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B3AE" w14:textId="303711A5" w:rsidR="006F3AE7" w:rsidRPr="00B13575" w:rsidRDefault="00E162C6" w:rsidP="00E432D1">
      <w:pPr>
        <w:pStyle w:val="Heading1"/>
        <w:rPr>
          <w:rFonts w:ascii="Arial" w:hAnsi="Arial" w:cs="Arial"/>
          <w:b/>
          <w:bCs/>
          <w:color w:val="auto"/>
          <w:sz w:val="28"/>
          <w:szCs w:val="28"/>
        </w:rPr>
      </w:pPr>
      <w:r>
        <w:rPr>
          <w:rFonts w:ascii="Arial" w:hAnsi="Arial" w:cs="Arial"/>
          <w:b/>
          <w:bCs/>
          <w:color w:val="auto"/>
          <w:sz w:val="28"/>
          <w:szCs w:val="28"/>
        </w:rPr>
        <w:t xml:space="preserve">OCEAN </w:t>
      </w:r>
      <w:r w:rsidR="009270D9">
        <w:rPr>
          <w:rFonts w:ascii="Arial" w:hAnsi="Arial" w:cs="Arial"/>
          <w:b/>
          <w:bCs/>
          <w:color w:val="auto"/>
          <w:sz w:val="28"/>
          <w:szCs w:val="28"/>
        </w:rPr>
        <w:t xml:space="preserve">Year 1 </w:t>
      </w:r>
      <w:r>
        <w:rPr>
          <w:rFonts w:ascii="Arial" w:hAnsi="Arial" w:cs="Arial"/>
          <w:b/>
          <w:bCs/>
          <w:color w:val="auto"/>
          <w:sz w:val="28"/>
          <w:szCs w:val="28"/>
        </w:rPr>
        <w:t>Annual Review</w:t>
      </w:r>
      <w:r w:rsidR="009270D9">
        <w:rPr>
          <w:rFonts w:ascii="Arial" w:hAnsi="Arial" w:cs="Arial"/>
          <w:b/>
          <w:bCs/>
          <w:color w:val="auto"/>
          <w:sz w:val="28"/>
          <w:szCs w:val="28"/>
        </w:rPr>
        <w:t xml:space="preserve"> (2023-24)</w:t>
      </w:r>
    </w:p>
    <w:p w14:paraId="4F1FFEFD" w14:textId="77777777" w:rsidR="006F3AE7" w:rsidRPr="00F70DBE" w:rsidRDefault="006F3AE7" w:rsidP="009021AD">
      <w:pPr>
        <w:spacing w:line="276" w:lineRule="auto"/>
        <w:rPr>
          <w:b/>
          <w:sz w:val="22"/>
          <w:szCs w:val="22"/>
        </w:rPr>
      </w:pPr>
    </w:p>
    <w:tbl>
      <w:tblPr>
        <w:tblStyle w:val="TableGrid"/>
        <w:tblW w:w="0" w:type="auto"/>
        <w:tblLook w:val="04A0" w:firstRow="1" w:lastRow="0" w:firstColumn="1" w:lastColumn="0" w:noHBand="0" w:noVBand="1"/>
      </w:tblPr>
      <w:tblGrid>
        <w:gridCol w:w="3964"/>
        <w:gridCol w:w="2410"/>
        <w:gridCol w:w="2642"/>
      </w:tblGrid>
      <w:tr w:rsidR="006F3AE7" w:rsidRPr="00F70DBE" w14:paraId="47F4281E" w14:textId="77777777" w:rsidTr="009021AD">
        <w:trPr>
          <w:trHeight w:val="454"/>
        </w:trPr>
        <w:tc>
          <w:tcPr>
            <w:tcW w:w="9016" w:type="dxa"/>
            <w:gridSpan w:val="3"/>
            <w:tcBorders>
              <w:top w:val="single" w:sz="4" w:space="0" w:color="auto"/>
              <w:left w:val="single" w:sz="4" w:space="0" w:color="auto"/>
              <w:bottom w:val="dotted" w:sz="2" w:space="0" w:color="000000" w:themeColor="text1"/>
              <w:right w:val="single" w:sz="4" w:space="0" w:color="auto"/>
            </w:tcBorders>
            <w:vAlign w:val="center"/>
          </w:tcPr>
          <w:p w14:paraId="19861584" w14:textId="0709AC9D" w:rsidR="006F3AE7" w:rsidRPr="00CC6489" w:rsidRDefault="006F3AE7" w:rsidP="009021AD">
            <w:pPr>
              <w:spacing w:line="276" w:lineRule="auto"/>
              <w:rPr>
                <w:b/>
                <w:sz w:val="20"/>
                <w:szCs w:val="22"/>
              </w:rPr>
            </w:pPr>
            <w:r w:rsidRPr="00CC6489">
              <w:rPr>
                <w:b/>
                <w:sz w:val="20"/>
                <w:szCs w:val="22"/>
              </w:rPr>
              <w:t xml:space="preserve">Title:  </w:t>
            </w:r>
            <w:r w:rsidR="00466124" w:rsidRPr="00466124">
              <w:rPr>
                <w:bCs/>
                <w:sz w:val="20"/>
                <w:szCs w:val="22"/>
              </w:rPr>
              <w:t>Ocean Community Empowerment and Nature (OCEAN) Competitive Grants Programme</w:t>
            </w:r>
          </w:p>
        </w:tc>
      </w:tr>
      <w:tr w:rsidR="006F3AE7" w:rsidRPr="00F70DBE" w14:paraId="0D529975" w14:textId="77777777" w:rsidTr="009021AD">
        <w:trPr>
          <w:trHeight w:val="454"/>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vAlign w:val="center"/>
            <w:hideMark/>
          </w:tcPr>
          <w:p w14:paraId="7CB3E574" w14:textId="7E26BE74" w:rsidR="006F3AE7" w:rsidRPr="00CC6489" w:rsidRDefault="006F3AE7" w:rsidP="009021AD">
            <w:pPr>
              <w:spacing w:line="276" w:lineRule="auto"/>
              <w:rPr>
                <w:b/>
                <w:sz w:val="20"/>
                <w:szCs w:val="22"/>
              </w:rPr>
            </w:pPr>
            <w:r w:rsidRPr="00CC6489">
              <w:rPr>
                <w:b/>
                <w:sz w:val="20"/>
                <w:szCs w:val="22"/>
              </w:rPr>
              <w:t xml:space="preserve">Programme Value £ (full life): </w:t>
            </w:r>
            <w:r w:rsidR="00466124" w:rsidRPr="00466124">
              <w:rPr>
                <w:bCs/>
                <w:sz w:val="20"/>
                <w:szCs w:val="22"/>
              </w:rPr>
              <w:t>£60,000,000</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vAlign w:val="center"/>
            <w:hideMark/>
          </w:tcPr>
          <w:p w14:paraId="1C769C30" w14:textId="4C88ED30" w:rsidR="006F3AE7" w:rsidRPr="00CC6489" w:rsidRDefault="006F3AE7" w:rsidP="009021AD">
            <w:pPr>
              <w:spacing w:line="276" w:lineRule="auto"/>
              <w:rPr>
                <w:b/>
                <w:sz w:val="20"/>
                <w:szCs w:val="22"/>
              </w:rPr>
            </w:pPr>
            <w:r w:rsidRPr="00CC6489">
              <w:rPr>
                <w:b/>
                <w:sz w:val="20"/>
                <w:szCs w:val="22"/>
              </w:rPr>
              <w:t xml:space="preserve">Review </w:t>
            </w:r>
            <w:r w:rsidR="002816BC">
              <w:rPr>
                <w:b/>
                <w:sz w:val="20"/>
                <w:szCs w:val="22"/>
              </w:rPr>
              <w:t>d</w:t>
            </w:r>
            <w:r w:rsidRPr="00CC6489">
              <w:rPr>
                <w:b/>
                <w:sz w:val="20"/>
                <w:szCs w:val="22"/>
              </w:rPr>
              <w:t xml:space="preserve">ate: </w:t>
            </w:r>
            <w:r w:rsidR="007D0558" w:rsidRPr="007D0558">
              <w:rPr>
                <w:bCs/>
                <w:sz w:val="20"/>
                <w:szCs w:val="22"/>
              </w:rPr>
              <w:t>September</w:t>
            </w:r>
            <w:r w:rsidR="00466124" w:rsidRPr="00466124">
              <w:rPr>
                <w:bCs/>
                <w:sz w:val="20"/>
                <w:szCs w:val="22"/>
              </w:rPr>
              <w:t xml:space="preserve"> 2024</w:t>
            </w:r>
          </w:p>
        </w:tc>
      </w:tr>
      <w:tr w:rsidR="006F3AE7" w:rsidRPr="00F70DBE" w14:paraId="7BCDC10B" w14:textId="77777777" w:rsidTr="009021AD">
        <w:trPr>
          <w:trHeight w:val="454"/>
        </w:trPr>
        <w:tc>
          <w:tcPr>
            <w:tcW w:w="3964" w:type="dxa"/>
            <w:tcBorders>
              <w:top w:val="dotted" w:sz="2" w:space="0" w:color="000000" w:themeColor="text1"/>
              <w:left w:val="single" w:sz="4" w:space="0" w:color="auto"/>
              <w:bottom w:val="single" w:sz="4" w:space="0" w:color="auto"/>
              <w:right w:val="dotted" w:sz="2" w:space="0" w:color="000000" w:themeColor="text1"/>
            </w:tcBorders>
            <w:vAlign w:val="center"/>
          </w:tcPr>
          <w:p w14:paraId="0C963E24" w14:textId="147D2DB7" w:rsidR="006F3AE7" w:rsidRPr="009021AD" w:rsidRDefault="006F3AE7" w:rsidP="009021AD">
            <w:pPr>
              <w:spacing w:line="276" w:lineRule="auto"/>
              <w:rPr>
                <w:bCs/>
                <w:sz w:val="20"/>
                <w:szCs w:val="22"/>
              </w:rPr>
            </w:pPr>
            <w:r w:rsidRPr="00CC6489">
              <w:rPr>
                <w:b/>
                <w:sz w:val="20"/>
                <w:szCs w:val="22"/>
              </w:rPr>
              <w:t xml:space="preserve">Programme Code: </w:t>
            </w:r>
            <w:r w:rsidR="00C65575" w:rsidRPr="00C65575">
              <w:rPr>
                <w:bCs/>
                <w:sz w:val="20"/>
                <w:szCs w:val="22"/>
              </w:rPr>
              <w:t>BPFOCEAN</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vAlign w:val="center"/>
            <w:hideMark/>
          </w:tcPr>
          <w:p w14:paraId="7ADA9748" w14:textId="03E3F981" w:rsidR="006F3AE7" w:rsidRPr="00CC6489" w:rsidRDefault="007B6475" w:rsidP="009021AD">
            <w:pPr>
              <w:spacing w:line="276" w:lineRule="auto"/>
              <w:rPr>
                <w:b/>
                <w:sz w:val="20"/>
                <w:szCs w:val="22"/>
              </w:rPr>
            </w:pPr>
            <w:r>
              <w:rPr>
                <w:b/>
                <w:sz w:val="20"/>
                <w:szCs w:val="22"/>
              </w:rPr>
              <w:t>S</w:t>
            </w:r>
            <w:r w:rsidR="002816BC">
              <w:rPr>
                <w:b/>
                <w:sz w:val="20"/>
                <w:szCs w:val="22"/>
              </w:rPr>
              <w:t>tart d</w:t>
            </w:r>
            <w:r w:rsidR="006F3AE7" w:rsidRPr="00CC6489">
              <w:rPr>
                <w:b/>
                <w:sz w:val="20"/>
                <w:szCs w:val="22"/>
              </w:rPr>
              <w:t>ate:</w:t>
            </w:r>
            <w:r w:rsidR="006F3AE7" w:rsidRPr="00CC6489">
              <w:rPr>
                <w:sz w:val="20"/>
              </w:rPr>
              <w:t xml:space="preserve"> </w:t>
            </w:r>
            <w:r w:rsidR="009E25E3">
              <w:rPr>
                <w:sz w:val="20"/>
              </w:rPr>
              <w:t xml:space="preserve">August 2023 </w:t>
            </w:r>
          </w:p>
        </w:tc>
        <w:tc>
          <w:tcPr>
            <w:tcW w:w="2642" w:type="dxa"/>
            <w:tcBorders>
              <w:top w:val="dotted" w:sz="2" w:space="0" w:color="000000" w:themeColor="text1"/>
              <w:left w:val="dotted" w:sz="2" w:space="0" w:color="000000" w:themeColor="text1"/>
              <w:bottom w:val="single" w:sz="4" w:space="0" w:color="auto"/>
              <w:right w:val="single" w:sz="4" w:space="0" w:color="auto"/>
            </w:tcBorders>
            <w:vAlign w:val="center"/>
            <w:hideMark/>
          </w:tcPr>
          <w:p w14:paraId="2EEAABCE" w14:textId="6FA6DDB4" w:rsidR="006F3AE7" w:rsidRPr="00CC6489" w:rsidRDefault="007B6475" w:rsidP="009021AD">
            <w:pPr>
              <w:spacing w:line="276" w:lineRule="auto"/>
              <w:rPr>
                <w:b/>
                <w:sz w:val="20"/>
                <w:szCs w:val="22"/>
              </w:rPr>
            </w:pPr>
            <w:r>
              <w:rPr>
                <w:b/>
                <w:sz w:val="20"/>
                <w:szCs w:val="22"/>
              </w:rPr>
              <w:t>End</w:t>
            </w:r>
            <w:r w:rsidR="002816BC">
              <w:rPr>
                <w:b/>
                <w:sz w:val="20"/>
                <w:szCs w:val="22"/>
              </w:rPr>
              <w:t xml:space="preserve"> d</w:t>
            </w:r>
            <w:r w:rsidR="006F3AE7" w:rsidRPr="00CC6489">
              <w:rPr>
                <w:b/>
                <w:sz w:val="20"/>
                <w:szCs w:val="22"/>
              </w:rPr>
              <w:t>ate:</w:t>
            </w:r>
            <w:r w:rsidR="006F3AE7" w:rsidRPr="00CC6489">
              <w:rPr>
                <w:sz w:val="20"/>
              </w:rPr>
              <w:t xml:space="preserve"> </w:t>
            </w:r>
            <w:r w:rsidR="002B4C4E">
              <w:rPr>
                <w:sz w:val="20"/>
              </w:rPr>
              <w:t>March 2030</w:t>
            </w:r>
          </w:p>
        </w:tc>
      </w:tr>
    </w:tbl>
    <w:p w14:paraId="1F73C094" w14:textId="77777777" w:rsidR="006F3AE7" w:rsidRPr="00F70DBE" w:rsidRDefault="006F3AE7" w:rsidP="009021AD">
      <w:pPr>
        <w:spacing w:line="276" w:lineRule="auto"/>
        <w:rPr>
          <w:b/>
          <w:sz w:val="22"/>
          <w:szCs w:val="22"/>
        </w:rPr>
      </w:pPr>
    </w:p>
    <w:p w14:paraId="36AFB1BA" w14:textId="77777777" w:rsidR="006F3AE7" w:rsidRPr="00CC6489" w:rsidRDefault="006F3AE7" w:rsidP="00B13575">
      <w:pPr>
        <w:pStyle w:val="Heading2"/>
      </w:pPr>
      <w:r w:rsidRPr="00CC6489">
        <w:t xml:space="preserve">Summary of Programme Performance </w:t>
      </w:r>
    </w:p>
    <w:tbl>
      <w:tblPr>
        <w:tblStyle w:val="TableGrid"/>
        <w:tblW w:w="9016" w:type="dxa"/>
        <w:tblLook w:val="04A0" w:firstRow="1" w:lastRow="0" w:firstColumn="1" w:lastColumn="0" w:noHBand="0" w:noVBand="1"/>
      </w:tblPr>
      <w:tblGrid>
        <w:gridCol w:w="2190"/>
        <w:gridCol w:w="1147"/>
        <w:gridCol w:w="810"/>
        <w:gridCol w:w="812"/>
        <w:gridCol w:w="811"/>
        <w:gridCol w:w="811"/>
        <w:gridCol w:w="812"/>
        <w:gridCol w:w="811"/>
        <w:gridCol w:w="812"/>
      </w:tblGrid>
      <w:tr w:rsidR="006F3AE7" w:rsidRPr="00CC6489" w14:paraId="3FAAC49F" w14:textId="77777777" w:rsidTr="66B95574">
        <w:tc>
          <w:tcPr>
            <w:tcW w:w="21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41FCBF" w14:textId="77777777" w:rsidR="006F3AE7" w:rsidRPr="00CC6489" w:rsidRDefault="006F3AE7" w:rsidP="009021AD">
            <w:pPr>
              <w:spacing w:line="276" w:lineRule="auto"/>
              <w:rPr>
                <w:sz w:val="20"/>
                <w:szCs w:val="22"/>
              </w:rPr>
            </w:pPr>
            <w:r w:rsidRPr="00CC6489">
              <w:rPr>
                <w:sz w:val="20"/>
                <w:szCs w:val="22"/>
              </w:rPr>
              <w:t>Year</w:t>
            </w:r>
          </w:p>
        </w:tc>
        <w:tc>
          <w:tcPr>
            <w:tcW w:w="1147" w:type="dxa"/>
            <w:tcBorders>
              <w:top w:val="single" w:sz="4" w:space="0" w:color="auto"/>
              <w:left w:val="single" w:sz="4" w:space="0" w:color="auto"/>
              <w:bottom w:val="single" w:sz="4" w:space="0" w:color="auto"/>
              <w:right w:val="single" w:sz="4" w:space="0" w:color="auto"/>
            </w:tcBorders>
            <w:vAlign w:val="center"/>
          </w:tcPr>
          <w:p w14:paraId="3789EC80" w14:textId="3F0BA713" w:rsidR="006F3AE7" w:rsidRPr="00CC6489" w:rsidRDefault="00FB3D49" w:rsidP="009021AD">
            <w:pPr>
              <w:spacing w:line="276" w:lineRule="auto"/>
              <w:jc w:val="center"/>
              <w:rPr>
                <w:b/>
                <w:sz w:val="20"/>
                <w:szCs w:val="22"/>
              </w:rPr>
            </w:pPr>
            <w:r>
              <w:rPr>
                <w:b/>
                <w:sz w:val="20"/>
                <w:szCs w:val="22"/>
              </w:rPr>
              <w:t>2024</w:t>
            </w:r>
          </w:p>
        </w:tc>
        <w:tc>
          <w:tcPr>
            <w:tcW w:w="810" w:type="dxa"/>
            <w:tcBorders>
              <w:top w:val="single" w:sz="4" w:space="0" w:color="auto"/>
              <w:left w:val="single" w:sz="4" w:space="0" w:color="auto"/>
              <w:bottom w:val="single" w:sz="4" w:space="0" w:color="auto"/>
              <w:right w:val="single" w:sz="4" w:space="0" w:color="auto"/>
            </w:tcBorders>
            <w:vAlign w:val="center"/>
          </w:tcPr>
          <w:p w14:paraId="4142BE6C"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388FF97F"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066342D3"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29074948"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17932494"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02EEF7F1"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24AA988B" w14:textId="77777777" w:rsidR="006F3AE7" w:rsidRPr="00CC6489" w:rsidRDefault="006F3AE7" w:rsidP="009021AD">
            <w:pPr>
              <w:spacing w:line="276" w:lineRule="auto"/>
              <w:jc w:val="center"/>
              <w:rPr>
                <w:b/>
                <w:sz w:val="20"/>
                <w:szCs w:val="22"/>
              </w:rPr>
            </w:pPr>
          </w:p>
        </w:tc>
      </w:tr>
      <w:tr w:rsidR="006F3AE7" w:rsidRPr="00CC6489" w14:paraId="07C3274D" w14:textId="77777777" w:rsidTr="66B95574">
        <w:tc>
          <w:tcPr>
            <w:tcW w:w="21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45D41E" w14:textId="2FC46EB2" w:rsidR="006F3AE7" w:rsidRPr="00CC6489" w:rsidRDefault="006F3AE7" w:rsidP="009021AD">
            <w:pPr>
              <w:spacing w:line="276" w:lineRule="auto"/>
              <w:rPr>
                <w:sz w:val="20"/>
                <w:szCs w:val="22"/>
              </w:rPr>
            </w:pPr>
            <w:r w:rsidRPr="00CC6489">
              <w:rPr>
                <w:sz w:val="20"/>
                <w:szCs w:val="22"/>
              </w:rPr>
              <w:t>Overall Output Score</w:t>
            </w:r>
          </w:p>
        </w:tc>
        <w:tc>
          <w:tcPr>
            <w:tcW w:w="1147" w:type="dxa"/>
            <w:tcBorders>
              <w:top w:val="single" w:sz="4" w:space="0" w:color="auto"/>
              <w:left w:val="single" w:sz="4" w:space="0" w:color="auto"/>
              <w:bottom w:val="single" w:sz="4" w:space="0" w:color="auto"/>
              <w:right w:val="single" w:sz="4" w:space="0" w:color="auto"/>
            </w:tcBorders>
            <w:vAlign w:val="center"/>
          </w:tcPr>
          <w:p w14:paraId="32E739E6" w14:textId="5D0F82C3" w:rsidR="006F3AE7" w:rsidRPr="00CC6489" w:rsidRDefault="00A92DEA" w:rsidP="009021AD">
            <w:pPr>
              <w:spacing w:line="276" w:lineRule="auto"/>
              <w:jc w:val="center"/>
              <w:rPr>
                <w:b/>
                <w:sz w:val="20"/>
                <w:szCs w:val="22"/>
              </w:rPr>
            </w:pPr>
            <w:r>
              <w:rPr>
                <w:b/>
                <w:sz w:val="20"/>
                <w:szCs w:val="22"/>
              </w:rPr>
              <w:t>A</w:t>
            </w:r>
          </w:p>
        </w:tc>
        <w:tc>
          <w:tcPr>
            <w:tcW w:w="810" w:type="dxa"/>
            <w:tcBorders>
              <w:top w:val="single" w:sz="4" w:space="0" w:color="auto"/>
              <w:left w:val="single" w:sz="4" w:space="0" w:color="auto"/>
              <w:bottom w:val="single" w:sz="4" w:space="0" w:color="auto"/>
              <w:right w:val="single" w:sz="4" w:space="0" w:color="auto"/>
            </w:tcBorders>
            <w:vAlign w:val="center"/>
          </w:tcPr>
          <w:p w14:paraId="6BA4EC77"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31108F1C"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634F0501"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697FDD6A"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695E147B"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59449EE1"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389002AB" w14:textId="77777777" w:rsidR="006F3AE7" w:rsidRPr="00CC6489" w:rsidRDefault="006F3AE7" w:rsidP="009021AD">
            <w:pPr>
              <w:spacing w:line="276" w:lineRule="auto"/>
              <w:jc w:val="center"/>
              <w:rPr>
                <w:b/>
                <w:sz w:val="20"/>
                <w:szCs w:val="22"/>
              </w:rPr>
            </w:pPr>
          </w:p>
        </w:tc>
      </w:tr>
      <w:tr w:rsidR="006F3AE7" w:rsidRPr="00CC6489" w14:paraId="29305AB3" w14:textId="77777777" w:rsidTr="66B95574">
        <w:trPr>
          <w:trHeight w:val="309"/>
        </w:trPr>
        <w:tc>
          <w:tcPr>
            <w:tcW w:w="21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C76BE5" w14:textId="77777777" w:rsidR="006F3AE7" w:rsidRPr="00CC6489" w:rsidRDefault="006F3AE7" w:rsidP="009021AD">
            <w:pPr>
              <w:spacing w:line="276" w:lineRule="auto"/>
              <w:rPr>
                <w:sz w:val="20"/>
                <w:szCs w:val="22"/>
              </w:rPr>
            </w:pPr>
            <w:r w:rsidRPr="00CC6489">
              <w:rPr>
                <w:sz w:val="20"/>
                <w:szCs w:val="22"/>
              </w:rPr>
              <w:t>Risk Rating</w:t>
            </w:r>
            <w:r w:rsidRPr="00CC6489">
              <w:rPr>
                <w:sz w:val="22"/>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14:paraId="51830F80" w14:textId="13E7295A" w:rsidR="006F3AE7" w:rsidRPr="00CC6489" w:rsidRDefault="00533374" w:rsidP="009021AD">
            <w:pPr>
              <w:spacing w:line="276" w:lineRule="auto"/>
              <w:jc w:val="center"/>
              <w:rPr>
                <w:b/>
                <w:sz w:val="20"/>
                <w:szCs w:val="20"/>
              </w:rPr>
            </w:pPr>
            <w:r>
              <w:rPr>
                <w:b/>
                <w:sz w:val="20"/>
                <w:szCs w:val="20"/>
              </w:rPr>
              <w:t>High</w:t>
            </w:r>
          </w:p>
        </w:tc>
        <w:tc>
          <w:tcPr>
            <w:tcW w:w="810" w:type="dxa"/>
            <w:tcBorders>
              <w:top w:val="single" w:sz="4" w:space="0" w:color="auto"/>
              <w:left w:val="single" w:sz="4" w:space="0" w:color="auto"/>
              <w:bottom w:val="single" w:sz="4" w:space="0" w:color="auto"/>
              <w:right w:val="single" w:sz="4" w:space="0" w:color="auto"/>
            </w:tcBorders>
            <w:vAlign w:val="center"/>
          </w:tcPr>
          <w:p w14:paraId="2BF67D24"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2A2B872D"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62ED8C8E"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4E36212A"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0DA33296" w14:textId="77777777" w:rsidR="006F3AE7" w:rsidRPr="00CC6489" w:rsidRDefault="006F3AE7" w:rsidP="009021AD">
            <w:pPr>
              <w:spacing w:line="276" w:lineRule="auto"/>
              <w:jc w:val="center"/>
              <w:rPr>
                <w:b/>
                <w:sz w:val="20"/>
                <w:szCs w:val="22"/>
              </w:rPr>
            </w:pPr>
          </w:p>
        </w:tc>
        <w:tc>
          <w:tcPr>
            <w:tcW w:w="811" w:type="dxa"/>
            <w:tcBorders>
              <w:top w:val="single" w:sz="4" w:space="0" w:color="auto"/>
              <w:left w:val="single" w:sz="4" w:space="0" w:color="auto"/>
              <w:bottom w:val="single" w:sz="4" w:space="0" w:color="auto"/>
              <w:right w:val="single" w:sz="4" w:space="0" w:color="auto"/>
            </w:tcBorders>
            <w:vAlign w:val="center"/>
          </w:tcPr>
          <w:p w14:paraId="48D84E4D" w14:textId="77777777" w:rsidR="006F3AE7" w:rsidRPr="00CC6489" w:rsidRDefault="006F3AE7" w:rsidP="009021AD">
            <w:pPr>
              <w:spacing w:line="276" w:lineRule="auto"/>
              <w:jc w:val="center"/>
              <w:rPr>
                <w:b/>
                <w:sz w:val="20"/>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2D40C773" w14:textId="77777777" w:rsidR="006F3AE7" w:rsidRPr="00CC6489" w:rsidRDefault="006F3AE7" w:rsidP="009021AD">
            <w:pPr>
              <w:spacing w:line="276" w:lineRule="auto"/>
              <w:jc w:val="center"/>
              <w:rPr>
                <w:b/>
                <w:sz w:val="20"/>
                <w:szCs w:val="22"/>
              </w:rPr>
            </w:pPr>
          </w:p>
        </w:tc>
      </w:tr>
    </w:tbl>
    <w:p w14:paraId="3F14494A" w14:textId="77777777" w:rsidR="006F3AE7" w:rsidRDefault="006F3AE7" w:rsidP="009021AD">
      <w:pPr>
        <w:spacing w:line="276" w:lineRule="auto"/>
        <w:rPr>
          <w:b/>
          <w:sz w:val="22"/>
          <w:szCs w:val="22"/>
        </w:rPr>
      </w:pPr>
    </w:p>
    <w:tbl>
      <w:tblPr>
        <w:tblStyle w:val="TableGrid"/>
        <w:tblW w:w="0" w:type="auto"/>
        <w:tblInd w:w="-5" w:type="dxa"/>
        <w:tblLook w:val="04A0" w:firstRow="1" w:lastRow="0" w:firstColumn="1" w:lastColumn="0" w:noHBand="0" w:noVBand="1"/>
      </w:tblPr>
      <w:tblGrid>
        <w:gridCol w:w="3969"/>
        <w:gridCol w:w="5052"/>
      </w:tblGrid>
      <w:tr w:rsidR="00842C00" w:rsidRPr="00F70DBE" w14:paraId="5ED04B8A" w14:textId="77777777" w:rsidTr="009021AD">
        <w:trPr>
          <w:trHeight w:val="355"/>
        </w:trPr>
        <w:tc>
          <w:tcPr>
            <w:tcW w:w="3969" w:type="dxa"/>
            <w:shd w:val="clear" w:color="auto" w:fill="B4C6E7" w:themeFill="accent1" w:themeFillTint="66"/>
            <w:vAlign w:val="center"/>
            <w:hideMark/>
          </w:tcPr>
          <w:p w14:paraId="084C6192" w14:textId="77777777" w:rsidR="006F3AE7" w:rsidRPr="00F70DBE" w:rsidRDefault="006F3AE7" w:rsidP="009021AD">
            <w:pPr>
              <w:spacing w:line="276" w:lineRule="auto"/>
              <w:rPr>
                <w:rFonts w:cs="Arial"/>
                <w:sz w:val="20"/>
                <w:szCs w:val="20"/>
              </w:rPr>
            </w:pPr>
            <w:proofErr w:type="spellStart"/>
            <w:r w:rsidRPr="00F70DBE">
              <w:rPr>
                <w:rFonts w:cs="Arial"/>
                <w:bCs/>
                <w:sz w:val="20"/>
                <w:szCs w:val="20"/>
              </w:rPr>
              <w:t>DevTracker</w:t>
            </w:r>
            <w:proofErr w:type="spellEnd"/>
            <w:r w:rsidRPr="00F70DBE">
              <w:rPr>
                <w:rFonts w:cs="Arial"/>
                <w:bCs/>
                <w:sz w:val="20"/>
                <w:szCs w:val="20"/>
              </w:rPr>
              <w:t xml:space="preserve"> Link to Business Case: </w:t>
            </w:r>
          </w:p>
        </w:tc>
        <w:tc>
          <w:tcPr>
            <w:tcW w:w="5052" w:type="dxa"/>
            <w:vAlign w:val="center"/>
          </w:tcPr>
          <w:p w14:paraId="7547CEAA" w14:textId="2424EED9" w:rsidR="006F3AE7" w:rsidRPr="00DA0F06" w:rsidRDefault="00DA0F06" w:rsidP="009021AD">
            <w:pPr>
              <w:spacing w:line="276" w:lineRule="auto"/>
              <w:rPr>
                <w:rFonts w:cs="Arial"/>
                <w:b/>
                <w:sz w:val="20"/>
                <w:szCs w:val="20"/>
              </w:rPr>
            </w:pPr>
            <w:hyperlink r:id="rId12" w:history="1">
              <w:r w:rsidRPr="00DA0F06">
                <w:rPr>
                  <w:rStyle w:val="Hyperlink"/>
                  <w:sz w:val="20"/>
                  <w:szCs w:val="20"/>
                </w:rPr>
                <w:t>OCEAN-Full-Business-Case_Final_1-20240319030320.7_Redacted-compressed.pdf (northeurope.cloudapp.azure.com)</w:t>
              </w:r>
            </w:hyperlink>
          </w:p>
        </w:tc>
      </w:tr>
    </w:tbl>
    <w:p w14:paraId="4BAB0AE0" w14:textId="11EAFD5F" w:rsidR="00CF0E0D" w:rsidRDefault="00CF0E0D" w:rsidP="009537EB">
      <w:pPr>
        <w:spacing w:after="160" w:line="276" w:lineRule="auto"/>
        <w:jc w:val="both"/>
        <w:rPr>
          <w:sz w:val="20"/>
          <w:szCs w:val="20"/>
        </w:rPr>
      </w:pPr>
    </w:p>
    <w:p w14:paraId="0A97108F" w14:textId="2943B10D" w:rsidR="005A08FB" w:rsidRPr="00F70DBE" w:rsidRDefault="005A08FB" w:rsidP="005A08FB">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line="276" w:lineRule="auto"/>
        <w:rPr>
          <w:b w:val="0"/>
          <w:i w:val="0"/>
          <w:sz w:val="20"/>
          <w:szCs w:val="20"/>
        </w:rPr>
      </w:pPr>
      <w:r>
        <w:rPr>
          <w:i w:val="0"/>
        </w:rPr>
        <w:t>A: SUMMARY AND OVERVIEW</w:t>
      </w:r>
      <w:r w:rsidRPr="00F70DBE">
        <w:rPr>
          <w:i w:val="0"/>
        </w:rPr>
        <w:t xml:space="preserve"> </w:t>
      </w:r>
    </w:p>
    <w:p w14:paraId="7347DCBF" w14:textId="77777777" w:rsidR="005A08FB" w:rsidRDefault="005A08FB" w:rsidP="009537EB">
      <w:pPr>
        <w:spacing w:after="160" w:line="276" w:lineRule="auto"/>
        <w:jc w:val="both"/>
        <w:rPr>
          <w:sz w:val="20"/>
          <w:szCs w:val="20"/>
        </w:rPr>
      </w:pPr>
    </w:p>
    <w:p w14:paraId="650458F1" w14:textId="25D399E5" w:rsidR="006F3AE7" w:rsidRPr="00E14C39" w:rsidRDefault="3D011391" w:rsidP="00E14C39">
      <w:pPr>
        <w:pStyle w:val="Heading3"/>
        <w:spacing w:after="160" w:line="276" w:lineRule="auto"/>
        <w:jc w:val="both"/>
        <w:rPr>
          <w:rFonts w:ascii="Arial" w:hAnsi="Arial" w:cs="Arial"/>
          <w:b/>
          <w:bCs/>
          <w:color w:val="auto"/>
          <w:sz w:val="20"/>
          <w:szCs w:val="20"/>
        </w:rPr>
      </w:pPr>
      <w:r w:rsidRPr="00FD468A">
        <w:rPr>
          <w:rFonts w:ascii="Arial" w:hAnsi="Arial" w:cs="Arial"/>
          <w:b/>
          <w:bCs/>
          <w:color w:val="auto"/>
        </w:rPr>
        <w:t xml:space="preserve">A1. </w:t>
      </w:r>
      <w:r w:rsidR="006F3AE7" w:rsidRPr="00FD468A">
        <w:rPr>
          <w:rFonts w:ascii="Arial" w:hAnsi="Arial" w:cs="Arial"/>
          <w:b/>
          <w:bCs/>
          <w:color w:val="auto"/>
        </w:rPr>
        <w:t xml:space="preserve">Description of programme </w:t>
      </w:r>
    </w:p>
    <w:p w14:paraId="0CF3BAF2" w14:textId="2D182FB3" w:rsidR="00EF3D71" w:rsidRDefault="0078287E" w:rsidP="00E14C39">
      <w:pPr>
        <w:spacing w:after="160" w:line="276" w:lineRule="auto"/>
        <w:jc w:val="both"/>
        <w:rPr>
          <w:rFonts w:cs="Arial"/>
          <w:color w:val="0B0C0C"/>
          <w:sz w:val="20"/>
          <w:szCs w:val="20"/>
          <w:shd w:val="clear" w:color="auto" w:fill="FFFFFF"/>
        </w:rPr>
      </w:pPr>
      <w:r w:rsidRPr="0078287E">
        <w:rPr>
          <w:rFonts w:cs="Arial"/>
          <w:color w:val="0B0C0C"/>
          <w:sz w:val="20"/>
          <w:szCs w:val="20"/>
          <w:shd w:val="clear" w:color="auto" w:fill="FFFFFF"/>
        </w:rPr>
        <w:t xml:space="preserve">The Ocean Community Empowerment and Nature (OCEAN) Grants Programme is a </w:t>
      </w:r>
      <w:r w:rsidR="006E0361">
        <w:rPr>
          <w:rFonts w:cs="Arial"/>
          <w:color w:val="0B0C0C"/>
          <w:sz w:val="20"/>
          <w:szCs w:val="20"/>
          <w:shd w:val="clear" w:color="auto" w:fill="FFFFFF"/>
        </w:rPr>
        <w:t>De</w:t>
      </w:r>
      <w:r w:rsidR="00C3734A">
        <w:rPr>
          <w:rFonts w:cs="Arial"/>
          <w:color w:val="0B0C0C"/>
          <w:sz w:val="20"/>
          <w:szCs w:val="20"/>
          <w:shd w:val="clear" w:color="auto" w:fill="FFFFFF"/>
        </w:rPr>
        <w:t>partment for Environment Food and Rural Affairs (Defra)</w:t>
      </w:r>
      <w:r w:rsidR="006E0361">
        <w:rPr>
          <w:rFonts w:cs="Arial"/>
          <w:color w:val="0B0C0C"/>
          <w:sz w:val="20"/>
          <w:szCs w:val="20"/>
          <w:shd w:val="clear" w:color="auto" w:fill="FFFFFF"/>
        </w:rPr>
        <w:t xml:space="preserve">-led </w:t>
      </w:r>
      <w:r w:rsidRPr="0078287E">
        <w:rPr>
          <w:rFonts w:cs="Arial"/>
          <w:color w:val="0B0C0C"/>
          <w:sz w:val="20"/>
          <w:szCs w:val="20"/>
          <w:shd w:val="clear" w:color="auto" w:fill="FFFFFF"/>
        </w:rPr>
        <w:t>competitive grants scheme to support projects that aim to deliver lasting change to the marine environment and coastal communities. The programme is funded through Official Development Assistance (ODA) as part of the Blue Planet Fund</w:t>
      </w:r>
      <w:r w:rsidR="007A5270">
        <w:rPr>
          <w:rFonts w:cs="Arial"/>
          <w:color w:val="0B0C0C"/>
          <w:sz w:val="20"/>
          <w:szCs w:val="20"/>
          <w:shd w:val="clear" w:color="auto" w:fill="FFFFFF"/>
        </w:rPr>
        <w:t xml:space="preserve"> (BPF)</w:t>
      </w:r>
      <w:r w:rsidR="00E75DAE">
        <w:rPr>
          <w:rFonts w:cs="Arial"/>
          <w:color w:val="0B0C0C"/>
          <w:sz w:val="20"/>
          <w:szCs w:val="20"/>
          <w:shd w:val="clear" w:color="auto" w:fill="FFFFFF"/>
        </w:rPr>
        <w:t xml:space="preserve"> – the UK’s</w:t>
      </w:r>
      <w:r w:rsidR="006A7CF9">
        <w:rPr>
          <w:rFonts w:cs="Arial"/>
          <w:color w:val="0B0C0C"/>
          <w:sz w:val="20"/>
          <w:szCs w:val="20"/>
          <w:shd w:val="clear" w:color="auto" w:fill="FFFFFF"/>
        </w:rPr>
        <w:t xml:space="preserve"> £500 million </w:t>
      </w:r>
      <w:r w:rsidR="0536026A">
        <w:rPr>
          <w:rFonts w:cs="Arial"/>
          <w:color w:val="0B0C0C"/>
          <w:sz w:val="20"/>
          <w:szCs w:val="20"/>
          <w:shd w:val="clear" w:color="auto" w:fill="FFFFFF"/>
        </w:rPr>
        <w:t>marine ODA portfolio to support</w:t>
      </w:r>
      <w:r w:rsidR="006A7CF9">
        <w:rPr>
          <w:rFonts w:cs="Arial"/>
          <w:color w:val="0B0C0C"/>
          <w:sz w:val="20"/>
          <w:szCs w:val="20"/>
          <w:shd w:val="clear" w:color="auto" w:fill="FFFFFF"/>
        </w:rPr>
        <w:t xml:space="preserve"> developing countries in protecting the ocean and reducing poverty</w:t>
      </w:r>
      <w:r w:rsidRPr="0078287E">
        <w:rPr>
          <w:rFonts w:cs="Arial"/>
          <w:color w:val="0B0C0C"/>
          <w:sz w:val="20"/>
          <w:szCs w:val="20"/>
          <w:shd w:val="clear" w:color="auto" w:fill="FFFFFF"/>
        </w:rPr>
        <w:t>.</w:t>
      </w:r>
      <w:r w:rsidR="006E0361">
        <w:rPr>
          <w:rFonts w:cs="Arial"/>
          <w:color w:val="0B0C0C"/>
          <w:sz w:val="20"/>
          <w:szCs w:val="20"/>
          <w:shd w:val="clear" w:color="auto" w:fill="FFFFFF"/>
        </w:rPr>
        <w:t xml:space="preserve"> </w:t>
      </w:r>
      <w:r w:rsidR="006E0361" w:rsidRPr="0078287E">
        <w:rPr>
          <w:rFonts w:cs="Arial"/>
          <w:color w:val="0B0C0C"/>
          <w:sz w:val="20"/>
          <w:szCs w:val="20"/>
          <w:shd w:val="clear" w:color="auto" w:fill="FFFFFF"/>
        </w:rPr>
        <w:t xml:space="preserve">An investment of up to £60 million for OCEAN was announced </w:t>
      </w:r>
      <w:r w:rsidR="00C371FC">
        <w:rPr>
          <w:rFonts w:cs="Arial"/>
          <w:color w:val="0B0C0C"/>
          <w:sz w:val="20"/>
          <w:szCs w:val="20"/>
          <w:shd w:val="clear" w:color="auto" w:fill="FFFFFF"/>
        </w:rPr>
        <w:t>in</w:t>
      </w:r>
      <w:r w:rsidR="006E0361" w:rsidRPr="0078287E">
        <w:rPr>
          <w:rFonts w:cs="Arial"/>
          <w:color w:val="0B0C0C"/>
          <w:sz w:val="20"/>
          <w:szCs w:val="20"/>
          <w:shd w:val="clear" w:color="auto" w:fill="FFFFFF"/>
        </w:rPr>
        <w:t xml:space="preserve"> December 2023 at COP28 in Dubai.</w:t>
      </w:r>
    </w:p>
    <w:p w14:paraId="6512B062" w14:textId="675CC35A" w:rsidR="00AF53B0" w:rsidRDefault="00C060D4" w:rsidP="26C65B74">
      <w:pPr>
        <w:shd w:val="clear" w:color="auto" w:fill="FFFFFF" w:themeFill="background1"/>
        <w:spacing w:after="160" w:line="276" w:lineRule="auto"/>
        <w:jc w:val="both"/>
        <w:rPr>
          <w:rFonts w:cs="Arial"/>
          <w:sz w:val="20"/>
          <w:szCs w:val="20"/>
          <w:lang w:eastAsia="en-GB"/>
        </w:rPr>
      </w:pPr>
      <w:r w:rsidRPr="00C060D4">
        <w:rPr>
          <w:rFonts w:cs="Arial"/>
          <w:sz w:val="20"/>
          <w:szCs w:val="20"/>
          <w:lang w:eastAsia="en-GB"/>
        </w:rPr>
        <w:t>In the last 10 years, less than 1% (around USD ~$13 billion) of the total value of the ocean has been invested in sustainable projects, even though the ocean supports the livelihoods of 1 in 10 people globally</w:t>
      </w:r>
      <w:r w:rsidR="00DA500D">
        <w:rPr>
          <w:rStyle w:val="FootnoteReference"/>
          <w:rFonts w:cs="Arial"/>
          <w:sz w:val="20"/>
          <w:szCs w:val="20"/>
          <w:lang w:eastAsia="en-GB"/>
        </w:rPr>
        <w:footnoteReference w:id="2"/>
      </w:r>
      <w:r w:rsidRPr="00C060D4">
        <w:rPr>
          <w:rFonts w:cs="Arial"/>
          <w:sz w:val="20"/>
          <w:szCs w:val="20"/>
          <w:lang w:eastAsia="en-GB"/>
        </w:rPr>
        <w:t>. OCEAN seeks to redress this imbalance and support people and communities who have most acutely and disproportionately been impacted by climate change.</w:t>
      </w:r>
      <w:r w:rsidR="00FA09B1">
        <w:rPr>
          <w:rFonts w:cs="Arial"/>
          <w:sz w:val="20"/>
          <w:szCs w:val="20"/>
          <w:lang w:eastAsia="en-GB"/>
        </w:rPr>
        <w:t xml:space="preserve"> By supporting both large and small organisations working towards ocean-based solutions to climate change</w:t>
      </w:r>
      <w:r w:rsidR="382CA1B7">
        <w:rPr>
          <w:rFonts w:cs="Arial"/>
          <w:sz w:val="20"/>
          <w:szCs w:val="20"/>
          <w:lang w:eastAsia="en-GB"/>
        </w:rPr>
        <w:t xml:space="preserve"> </w:t>
      </w:r>
      <w:r w:rsidR="382CA1B7" w:rsidRPr="21FC8464">
        <w:rPr>
          <w:rFonts w:cs="Arial"/>
          <w:sz w:val="20"/>
          <w:szCs w:val="20"/>
          <w:lang w:eastAsia="en-GB"/>
        </w:rPr>
        <w:t>and poverty reduction in coastal communities</w:t>
      </w:r>
      <w:r w:rsidR="00FA09B1">
        <w:rPr>
          <w:rFonts w:cs="Arial"/>
          <w:sz w:val="20"/>
          <w:szCs w:val="20"/>
          <w:lang w:eastAsia="en-GB"/>
        </w:rPr>
        <w:t>, OCEAN aims</w:t>
      </w:r>
      <w:r w:rsidR="00D92DEA">
        <w:rPr>
          <w:rFonts w:cs="Arial"/>
          <w:sz w:val="20"/>
          <w:szCs w:val="20"/>
          <w:lang w:eastAsia="en-GB"/>
        </w:rPr>
        <w:t xml:space="preserve"> to build resilience for coastal people and communities most acutely </w:t>
      </w:r>
      <w:r w:rsidR="2114A6CC" w:rsidRPr="21FC8464">
        <w:rPr>
          <w:rFonts w:cs="Arial"/>
          <w:sz w:val="20"/>
          <w:szCs w:val="20"/>
          <w:lang w:eastAsia="en-GB"/>
        </w:rPr>
        <w:t>a</w:t>
      </w:r>
      <w:r w:rsidR="00D92DEA">
        <w:rPr>
          <w:rFonts w:cs="Arial"/>
          <w:sz w:val="20"/>
          <w:szCs w:val="20"/>
          <w:lang w:eastAsia="en-GB"/>
        </w:rPr>
        <w:t xml:space="preserve">ffected by declining ocean health and climate change. </w:t>
      </w:r>
      <w:r w:rsidR="00951EB6" w:rsidRPr="0078287E">
        <w:rPr>
          <w:rFonts w:cs="Arial"/>
          <w:color w:val="0B0C0C"/>
          <w:sz w:val="20"/>
          <w:szCs w:val="20"/>
          <w:shd w:val="clear" w:color="auto" w:fill="FFFFFF"/>
        </w:rPr>
        <w:t xml:space="preserve">The fund’s long-term objective is to </w:t>
      </w:r>
      <w:r w:rsidR="00FD0571">
        <w:rPr>
          <w:rFonts w:cs="Arial"/>
          <w:color w:val="0B0C0C"/>
          <w:sz w:val="20"/>
          <w:szCs w:val="20"/>
          <w:shd w:val="clear" w:color="auto" w:fill="FFFFFF"/>
        </w:rPr>
        <w:t xml:space="preserve">place the ocean on a path to recovery, enabling local communities and nature to thrive side by side. </w:t>
      </w:r>
    </w:p>
    <w:p w14:paraId="1434D5B8" w14:textId="4F5D7B1C" w:rsidR="00EF3D71" w:rsidRDefault="00C060D4" w:rsidP="00E14C39">
      <w:pPr>
        <w:shd w:val="clear" w:color="auto" w:fill="FFFFFF"/>
        <w:spacing w:after="160" w:line="276" w:lineRule="auto"/>
        <w:jc w:val="both"/>
        <w:rPr>
          <w:rFonts w:cs="Arial"/>
          <w:sz w:val="20"/>
          <w:szCs w:val="20"/>
          <w:lang w:eastAsia="en-GB"/>
        </w:rPr>
      </w:pPr>
      <w:r w:rsidRPr="00C060D4">
        <w:rPr>
          <w:rFonts w:cs="Arial"/>
          <w:sz w:val="20"/>
          <w:szCs w:val="20"/>
          <w:lang w:eastAsia="en-GB"/>
        </w:rPr>
        <w:t xml:space="preserve">Organisations including Civil Society Organisations (CSOs) and Non-Governmental Organisations (NGOs) can submit applications for funding to deliver projects in ODA eligible countries. </w:t>
      </w:r>
      <w:r w:rsidR="00AF4005">
        <w:rPr>
          <w:rFonts w:cs="Arial"/>
          <w:sz w:val="20"/>
          <w:szCs w:val="20"/>
          <w:lang w:eastAsia="en-GB"/>
        </w:rPr>
        <w:t>OCEAN will award grants to projects that aim</w:t>
      </w:r>
      <w:r w:rsidR="004D67B4">
        <w:rPr>
          <w:rFonts w:cs="Arial"/>
          <w:sz w:val="20"/>
          <w:szCs w:val="20"/>
          <w:lang w:eastAsia="en-GB"/>
        </w:rPr>
        <w:t xml:space="preserve"> to achieve improvements to the marine environment and its biodiversity and a reduction in multi-dimensional poverty through</w:t>
      </w:r>
      <w:r w:rsidR="00781EF4">
        <w:rPr>
          <w:rFonts w:cs="Arial"/>
          <w:sz w:val="20"/>
          <w:szCs w:val="20"/>
          <w:lang w:eastAsia="en-GB"/>
        </w:rPr>
        <w:t xml:space="preserve"> the following</w:t>
      </w:r>
      <w:r w:rsidR="004D67B4">
        <w:rPr>
          <w:rFonts w:cs="Arial"/>
          <w:sz w:val="20"/>
          <w:szCs w:val="20"/>
          <w:lang w:eastAsia="en-GB"/>
        </w:rPr>
        <w:t xml:space="preserve"> two distinct funding pathways</w:t>
      </w:r>
      <w:r w:rsidR="00465435">
        <w:rPr>
          <w:rFonts w:cs="Arial"/>
          <w:sz w:val="20"/>
          <w:szCs w:val="20"/>
          <w:lang w:eastAsia="en-GB"/>
        </w:rPr>
        <w:t>:</w:t>
      </w:r>
    </w:p>
    <w:p w14:paraId="48E929CF" w14:textId="44ED6970" w:rsidR="000A7421" w:rsidRPr="00305685" w:rsidRDefault="000A7421" w:rsidP="00AD1823">
      <w:pPr>
        <w:pStyle w:val="ListParagraph"/>
        <w:numPr>
          <w:ilvl w:val="0"/>
          <w:numId w:val="13"/>
        </w:numPr>
        <w:shd w:val="clear" w:color="auto" w:fill="FFFFFF"/>
        <w:spacing w:after="160" w:line="276" w:lineRule="auto"/>
        <w:jc w:val="both"/>
        <w:rPr>
          <w:rFonts w:cs="Arial"/>
          <w:sz w:val="20"/>
        </w:rPr>
      </w:pPr>
      <w:r w:rsidRPr="00305685">
        <w:rPr>
          <w:rFonts w:cs="Arial"/>
          <w:sz w:val="20"/>
        </w:rPr>
        <w:t>Community Grants of a maximum allocation of £250,000</w:t>
      </w:r>
      <w:r w:rsidR="00FB0FE6" w:rsidRPr="00305685">
        <w:rPr>
          <w:rFonts w:cs="Arial"/>
          <w:sz w:val="20"/>
        </w:rPr>
        <w:t xml:space="preserve"> </w:t>
      </w:r>
      <w:r w:rsidR="00465435" w:rsidRPr="00305685">
        <w:rPr>
          <w:rFonts w:cs="Arial"/>
          <w:sz w:val="20"/>
        </w:rPr>
        <w:t>are</w:t>
      </w:r>
      <w:r w:rsidRPr="00305685">
        <w:rPr>
          <w:rFonts w:cs="Arial"/>
          <w:sz w:val="20"/>
        </w:rPr>
        <w:t xml:space="preserve"> available for small-scale, local, in-country organisations. These grants must focus on increasing the capacity of local communities to tackle marine and poverty issues, by delivering local solutions to local problems. </w:t>
      </w:r>
    </w:p>
    <w:p w14:paraId="5BB776AE" w14:textId="3DEE8D5A" w:rsidR="00393BC3" w:rsidRPr="00465435" w:rsidRDefault="00FB0FE6" w:rsidP="00AD1823">
      <w:pPr>
        <w:pStyle w:val="ListParagraph"/>
        <w:numPr>
          <w:ilvl w:val="0"/>
          <w:numId w:val="13"/>
        </w:numPr>
        <w:shd w:val="clear" w:color="auto" w:fill="FFFFFF"/>
        <w:spacing w:after="160" w:line="276" w:lineRule="auto"/>
        <w:jc w:val="both"/>
        <w:rPr>
          <w:rFonts w:cs="Arial"/>
          <w:sz w:val="20"/>
        </w:rPr>
      </w:pPr>
      <w:r w:rsidRPr="00465435">
        <w:rPr>
          <w:rFonts w:cs="Arial"/>
          <w:sz w:val="20"/>
        </w:rPr>
        <w:t xml:space="preserve">Partnership Grants of between £250,000 and £3 million </w:t>
      </w:r>
      <w:r w:rsidR="00465435" w:rsidRPr="00465435">
        <w:rPr>
          <w:rFonts w:cs="Arial"/>
          <w:sz w:val="20"/>
        </w:rPr>
        <w:t xml:space="preserve">are available for medium to large organisations with the capacity to deliver solutions at scale. These grants must focus on </w:t>
      </w:r>
      <w:r w:rsidR="00465435" w:rsidRPr="00465435">
        <w:rPr>
          <w:rFonts w:cs="Arial"/>
          <w:sz w:val="20"/>
        </w:rPr>
        <w:lastRenderedPageBreak/>
        <w:t>partnering with and working alongside the local communities, to deliver local solutions to local problems, while addressing the potential to scale.</w:t>
      </w:r>
    </w:p>
    <w:p w14:paraId="639EF8A7" w14:textId="0249D9AE" w:rsidR="001F03CB" w:rsidRDefault="0009354C" w:rsidP="00E14C39">
      <w:pPr>
        <w:spacing w:after="160" w:line="276" w:lineRule="auto"/>
        <w:jc w:val="both"/>
        <w:rPr>
          <w:rFonts w:cs="Arial"/>
          <w:color w:val="0B0C0C"/>
          <w:sz w:val="20"/>
          <w:szCs w:val="20"/>
          <w:shd w:val="clear" w:color="auto" w:fill="FFFFFF"/>
        </w:rPr>
      </w:pPr>
      <w:r>
        <w:rPr>
          <w:rFonts w:cs="Arial"/>
          <w:color w:val="0B0C0C"/>
          <w:sz w:val="20"/>
          <w:szCs w:val="20"/>
          <w:shd w:val="clear" w:color="auto" w:fill="FFFFFF"/>
        </w:rPr>
        <w:t>OCEAN is entirely ODA funded, and therefore projects must be based in an ODA eligible country and promote the economic development and welfare of that country as a primary objective.</w:t>
      </w:r>
      <w:r w:rsidR="004D75DB">
        <w:rPr>
          <w:rFonts w:cs="Arial"/>
          <w:color w:val="0B0C0C"/>
          <w:sz w:val="20"/>
          <w:szCs w:val="20"/>
          <w:shd w:val="clear" w:color="auto" w:fill="FFFFFF"/>
        </w:rPr>
        <w:t xml:space="preserve"> Projects can be based in more than one country, but all countries must be ODA eligible.</w:t>
      </w:r>
      <w:r>
        <w:rPr>
          <w:rFonts w:cs="Arial"/>
          <w:color w:val="0B0C0C"/>
          <w:sz w:val="20"/>
          <w:szCs w:val="20"/>
          <w:shd w:val="clear" w:color="auto" w:fill="FFFFFF"/>
        </w:rPr>
        <w:t xml:space="preserve"> Projects must also contribute to poverty reduction and do so in a way that reduces gender inequality, as required by the UK International Development Act. </w:t>
      </w:r>
      <w:r w:rsidR="001F03CB">
        <w:rPr>
          <w:rFonts w:cs="Arial"/>
          <w:color w:val="0B0C0C"/>
          <w:sz w:val="20"/>
          <w:szCs w:val="20"/>
          <w:shd w:val="clear" w:color="auto" w:fill="FFFFFF"/>
        </w:rPr>
        <w:t>OCEAN is expected to focus on Least Developed, Low Income and Lower Middle-Income countries</w:t>
      </w:r>
      <w:r w:rsidR="001F0887">
        <w:rPr>
          <w:rFonts w:cs="Arial"/>
          <w:color w:val="0B0C0C"/>
          <w:sz w:val="20"/>
          <w:szCs w:val="20"/>
          <w:shd w:val="clear" w:color="auto" w:fill="FFFFFF"/>
        </w:rPr>
        <w:t xml:space="preserve">, as defined by the </w:t>
      </w:r>
      <w:r w:rsidR="006C06BB">
        <w:rPr>
          <w:rFonts w:cs="Arial"/>
          <w:color w:val="0B0C0C"/>
          <w:sz w:val="20"/>
          <w:szCs w:val="20"/>
          <w:shd w:val="clear" w:color="auto" w:fill="FFFFFF"/>
        </w:rPr>
        <w:t>Organisation for Economic Co-operation and Development (</w:t>
      </w:r>
      <w:r w:rsidR="001F0887">
        <w:rPr>
          <w:rFonts w:cs="Arial"/>
          <w:color w:val="0B0C0C"/>
          <w:sz w:val="20"/>
          <w:szCs w:val="20"/>
          <w:shd w:val="clear" w:color="auto" w:fill="FFFFFF"/>
        </w:rPr>
        <w:t>OECD</w:t>
      </w:r>
      <w:r w:rsidR="006C06BB">
        <w:rPr>
          <w:rFonts w:cs="Arial"/>
          <w:color w:val="0B0C0C"/>
          <w:sz w:val="20"/>
          <w:szCs w:val="20"/>
          <w:shd w:val="clear" w:color="auto" w:fill="FFFFFF"/>
        </w:rPr>
        <w:t>)</w:t>
      </w:r>
      <w:r w:rsidR="00F27E75">
        <w:rPr>
          <w:rFonts w:cs="Arial"/>
          <w:color w:val="0B0C0C"/>
          <w:sz w:val="20"/>
          <w:szCs w:val="20"/>
          <w:shd w:val="clear" w:color="auto" w:fill="FFFFFF"/>
        </w:rPr>
        <w:t xml:space="preserve"> Development Assistance Committee</w:t>
      </w:r>
      <w:r w:rsidR="001F0887">
        <w:rPr>
          <w:rFonts w:cs="Arial"/>
          <w:color w:val="0B0C0C"/>
          <w:sz w:val="20"/>
          <w:szCs w:val="20"/>
          <w:shd w:val="clear" w:color="auto" w:fill="FFFFFF"/>
        </w:rPr>
        <w:t xml:space="preserve"> </w:t>
      </w:r>
      <w:r w:rsidR="00F27E75">
        <w:rPr>
          <w:rFonts w:cs="Arial"/>
          <w:color w:val="0B0C0C"/>
          <w:sz w:val="20"/>
          <w:szCs w:val="20"/>
          <w:shd w:val="clear" w:color="auto" w:fill="FFFFFF"/>
        </w:rPr>
        <w:t>(</w:t>
      </w:r>
      <w:r w:rsidR="001F0887">
        <w:rPr>
          <w:rFonts w:cs="Arial"/>
          <w:color w:val="0B0C0C"/>
          <w:sz w:val="20"/>
          <w:szCs w:val="20"/>
          <w:shd w:val="clear" w:color="auto" w:fill="FFFFFF"/>
        </w:rPr>
        <w:t>DAC</w:t>
      </w:r>
      <w:r w:rsidR="00F27E75">
        <w:rPr>
          <w:rFonts w:cs="Arial"/>
          <w:color w:val="0B0C0C"/>
          <w:sz w:val="20"/>
          <w:szCs w:val="20"/>
          <w:shd w:val="clear" w:color="auto" w:fill="FFFFFF"/>
        </w:rPr>
        <w:t>)</w:t>
      </w:r>
      <w:r w:rsidR="001F0887">
        <w:rPr>
          <w:rFonts w:cs="Arial"/>
          <w:color w:val="0B0C0C"/>
          <w:sz w:val="20"/>
          <w:szCs w:val="20"/>
          <w:shd w:val="clear" w:color="auto" w:fill="FFFFFF"/>
        </w:rPr>
        <w:t xml:space="preserve"> eligibility. Projects based in Upper Middle-Income Countries (UMICs) are eligible, however </w:t>
      </w:r>
      <w:r w:rsidR="599540C2">
        <w:rPr>
          <w:rFonts w:cs="Arial"/>
          <w:color w:val="0B0C0C"/>
          <w:sz w:val="20"/>
          <w:szCs w:val="20"/>
          <w:shd w:val="clear" w:color="auto" w:fill="FFFFFF"/>
        </w:rPr>
        <w:t xml:space="preserve">they </w:t>
      </w:r>
      <w:r w:rsidR="001F0887">
        <w:rPr>
          <w:rFonts w:cs="Arial"/>
          <w:color w:val="0B0C0C"/>
          <w:sz w:val="20"/>
          <w:szCs w:val="20"/>
          <w:shd w:val="clear" w:color="auto" w:fill="FFFFFF"/>
        </w:rPr>
        <w:t>must demonstrate a stronger case for support.</w:t>
      </w:r>
    </w:p>
    <w:p w14:paraId="4628EA5E" w14:textId="224427C7" w:rsidR="0078287E" w:rsidRPr="00E14C39" w:rsidRDefault="00F723B6" w:rsidP="00E14C39">
      <w:pPr>
        <w:spacing w:after="160" w:line="276" w:lineRule="auto"/>
        <w:jc w:val="both"/>
        <w:rPr>
          <w:rFonts w:cs="Arial"/>
          <w:color w:val="0B0C0C"/>
          <w:sz w:val="20"/>
          <w:szCs w:val="20"/>
          <w:shd w:val="clear" w:color="auto" w:fill="FFFFFF"/>
        </w:rPr>
      </w:pPr>
      <w:r>
        <w:rPr>
          <w:rFonts w:cs="Arial"/>
          <w:color w:val="0B0C0C"/>
          <w:sz w:val="20"/>
          <w:szCs w:val="20"/>
          <w:shd w:val="clear" w:color="auto" w:fill="FFFFFF"/>
        </w:rPr>
        <w:t xml:space="preserve">The </w:t>
      </w:r>
      <w:r w:rsidR="004E7434">
        <w:rPr>
          <w:rFonts w:cs="Arial"/>
          <w:color w:val="0B0C0C"/>
          <w:sz w:val="20"/>
          <w:szCs w:val="20"/>
          <w:shd w:val="clear" w:color="auto" w:fill="FFFFFF"/>
        </w:rPr>
        <w:t>12 months since OCEAN Business Case approval</w:t>
      </w:r>
      <w:r w:rsidR="000A083D">
        <w:rPr>
          <w:rFonts w:cs="Arial"/>
          <w:color w:val="0B0C0C"/>
          <w:sz w:val="20"/>
          <w:szCs w:val="20"/>
          <w:shd w:val="clear" w:color="auto" w:fill="FFFFFF"/>
        </w:rPr>
        <w:t xml:space="preserve"> </w:t>
      </w:r>
      <w:r w:rsidR="003C6E0D">
        <w:rPr>
          <w:rFonts w:cs="Arial"/>
          <w:color w:val="0B0C0C"/>
          <w:sz w:val="20"/>
          <w:szCs w:val="20"/>
          <w:shd w:val="clear" w:color="auto" w:fill="FFFFFF"/>
        </w:rPr>
        <w:t>ha</w:t>
      </w:r>
      <w:r w:rsidR="00D75FC9">
        <w:rPr>
          <w:rFonts w:cs="Arial"/>
          <w:color w:val="0B0C0C"/>
          <w:sz w:val="20"/>
          <w:szCs w:val="20"/>
          <w:shd w:val="clear" w:color="auto" w:fill="FFFFFF"/>
        </w:rPr>
        <w:t>s</w:t>
      </w:r>
      <w:r w:rsidR="003C6E0D">
        <w:rPr>
          <w:rFonts w:cs="Arial"/>
          <w:color w:val="0B0C0C"/>
          <w:sz w:val="20"/>
          <w:szCs w:val="20"/>
          <w:shd w:val="clear" w:color="auto" w:fill="FFFFFF"/>
        </w:rPr>
        <w:t xml:space="preserve"> focused on</w:t>
      </w:r>
      <w:r w:rsidR="006B6AE0">
        <w:rPr>
          <w:rFonts w:cs="Arial"/>
          <w:color w:val="0B0C0C"/>
          <w:sz w:val="20"/>
          <w:szCs w:val="20"/>
          <w:shd w:val="clear" w:color="auto" w:fill="FFFFFF"/>
        </w:rPr>
        <w:t xml:space="preserve"> the</w:t>
      </w:r>
      <w:r w:rsidR="003C6E0D">
        <w:rPr>
          <w:rFonts w:cs="Arial"/>
          <w:color w:val="0B0C0C"/>
          <w:sz w:val="20"/>
          <w:szCs w:val="20"/>
          <w:shd w:val="clear" w:color="auto" w:fill="FFFFFF"/>
        </w:rPr>
        <w:t xml:space="preserve"> mobilisation and implementation of OCEAN</w:t>
      </w:r>
      <w:r w:rsidR="00854B67">
        <w:rPr>
          <w:rFonts w:cs="Arial"/>
          <w:color w:val="0B0C0C"/>
          <w:sz w:val="20"/>
          <w:szCs w:val="20"/>
          <w:shd w:val="clear" w:color="auto" w:fill="FFFFFF"/>
        </w:rPr>
        <w:t>, including the onboarding of our Grant Administrator</w:t>
      </w:r>
      <w:r w:rsidR="001D5270">
        <w:rPr>
          <w:rFonts w:cs="Arial"/>
          <w:color w:val="0B0C0C"/>
          <w:sz w:val="20"/>
          <w:szCs w:val="20"/>
          <w:shd w:val="clear" w:color="auto" w:fill="FFFFFF"/>
        </w:rPr>
        <w:t xml:space="preserve"> (GA)</w:t>
      </w:r>
      <w:r w:rsidR="00854B67">
        <w:rPr>
          <w:rFonts w:cs="Arial"/>
          <w:color w:val="0B0C0C"/>
          <w:sz w:val="20"/>
          <w:szCs w:val="20"/>
          <w:shd w:val="clear" w:color="auto" w:fill="FFFFFF"/>
        </w:rPr>
        <w:t xml:space="preserve"> NIRAS</w:t>
      </w:r>
      <w:r w:rsidR="003C6E0D">
        <w:rPr>
          <w:rFonts w:cs="Arial"/>
          <w:color w:val="0B0C0C"/>
          <w:sz w:val="20"/>
          <w:szCs w:val="20"/>
          <w:shd w:val="clear" w:color="auto" w:fill="FFFFFF"/>
        </w:rPr>
        <w:t xml:space="preserve">. The first call for proposals launched in February 2024, and projects will be awarded in </w:t>
      </w:r>
      <w:r w:rsidR="0042005E">
        <w:rPr>
          <w:rFonts w:cs="Arial"/>
          <w:color w:val="0B0C0C"/>
          <w:sz w:val="20"/>
          <w:szCs w:val="20"/>
          <w:shd w:val="clear" w:color="auto" w:fill="FFFFFF"/>
        </w:rPr>
        <w:t>October</w:t>
      </w:r>
      <w:r w:rsidR="003C6E0D">
        <w:rPr>
          <w:rFonts w:cs="Arial"/>
          <w:color w:val="0B0C0C"/>
          <w:sz w:val="20"/>
          <w:szCs w:val="20"/>
          <w:shd w:val="clear" w:color="auto" w:fill="FFFFFF"/>
        </w:rPr>
        <w:t xml:space="preserve"> 2024. A second </w:t>
      </w:r>
      <w:r w:rsidR="00D75FC9">
        <w:rPr>
          <w:rFonts w:cs="Arial"/>
          <w:color w:val="0B0C0C"/>
          <w:sz w:val="20"/>
          <w:szCs w:val="20"/>
          <w:shd w:val="clear" w:color="auto" w:fill="FFFFFF"/>
        </w:rPr>
        <w:t xml:space="preserve">call for proposals is scheduled to launch in </w:t>
      </w:r>
      <w:r w:rsidR="008C3E40">
        <w:rPr>
          <w:rFonts w:cs="Arial"/>
          <w:color w:val="0B0C0C"/>
          <w:sz w:val="20"/>
          <w:szCs w:val="20"/>
          <w:shd w:val="clear" w:color="auto" w:fill="FFFFFF"/>
        </w:rPr>
        <w:t>January</w:t>
      </w:r>
      <w:r w:rsidR="0042005E">
        <w:rPr>
          <w:rFonts w:cs="Arial"/>
          <w:color w:val="0B0C0C"/>
          <w:sz w:val="20"/>
          <w:szCs w:val="20"/>
          <w:shd w:val="clear" w:color="auto" w:fill="FFFFFF"/>
        </w:rPr>
        <w:t xml:space="preserve"> 2025</w:t>
      </w:r>
      <w:r w:rsidR="00D75FC9">
        <w:rPr>
          <w:rFonts w:cs="Arial"/>
          <w:color w:val="0B0C0C"/>
          <w:sz w:val="20"/>
          <w:szCs w:val="20"/>
          <w:shd w:val="clear" w:color="auto" w:fill="FFFFFF"/>
        </w:rPr>
        <w:t>.</w:t>
      </w:r>
    </w:p>
    <w:p w14:paraId="0D87A25E" w14:textId="77777777" w:rsidR="00405AB8" w:rsidRDefault="21651D23" w:rsidP="00405AB8">
      <w:pPr>
        <w:pStyle w:val="Heading3"/>
        <w:spacing w:after="160" w:line="276" w:lineRule="auto"/>
        <w:jc w:val="both"/>
        <w:rPr>
          <w:rFonts w:ascii="Arial" w:hAnsi="Arial" w:cs="Arial"/>
          <w:b/>
          <w:bCs/>
          <w:color w:val="auto"/>
        </w:rPr>
      </w:pPr>
      <w:r w:rsidRPr="00405AB8">
        <w:rPr>
          <w:rFonts w:ascii="Arial" w:hAnsi="Arial" w:cs="Arial"/>
          <w:b/>
          <w:bCs/>
          <w:color w:val="auto"/>
        </w:rPr>
        <w:t xml:space="preserve">A2. </w:t>
      </w:r>
      <w:r w:rsidR="6F26DE3D" w:rsidRPr="00405AB8">
        <w:rPr>
          <w:rFonts w:ascii="Arial" w:hAnsi="Arial" w:cs="Arial"/>
          <w:b/>
          <w:bCs/>
          <w:color w:val="auto"/>
        </w:rPr>
        <w:t>S</w:t>
      </w:r>
      <w:r w:rsidR="006F3AE7" w:rsidRPr="00405AB8">
        <w:rPr>
          <w:rFonts w:ascii="Arial" w:hAnsi="Arial" w:cs="Arial"/>
          <w:b/>
          <w:bCs/>
          <w:color w:val="auto"/>
        </w:rPr>
        <w:t>ummary supporting narrative for the overall score in this review</w:t>
      </w:r>
    </w:p>
    <w:p w14:paraId="44B14C05" w14:textId="763C26AC" w:rsidR="001A7AF9" w:rsidRDefault="00B60CDD" w:rsidP="00083E2E">
      <w:pPr>
        <w:pStyle w:val="Heading3"/>
        <w:spacing w:after="160" w:line="276" w:lineRule="auto"/>
        <w:jc w:val="both"/>
        <w:rPr>
          <w:rFonts w:ascii="Arial" w:hAnsi="Arial" w:cs="Arial"/>
          <w:color w:val="auto"/>
          <w:sz w:val="20"/>
          <w:szCs w:val="20"/>
        </w:rPr>
      </w:pPr>
      <w:r w:rsidRPr="00C00542">
        <w:rPr>
          <w:rFonts w:ascii="Arial" w:hAnsi="Arial" w:cs="Arial"/>
          <w:color w:val="auto"/>
          <w:sz w:val="20"/>
          <w:szCs w:val="20"/>
        </w:rPr>
        <w:t xml:space="preserve">This </w:t>
      </w:r>
      <w:r w:rsidR="00AF3889" w:rsidRPr="00C00542">
        <w:rPr>
          <w:rFonts w:ascii="Arial" w:hAnsi="Arial" w:cs="Arial"/>
          <w:color w:val="auto"/>
          <w:sz w:val="20"/>
          <w:szCs w:val="20"/>
        </w:rPr>
        <w:t>OCEAN Annual Review covers the period from Business Case approval in August 2023 to</w:t>
      </w:r>
      <w:r w:rsidR="00E05BEE" w:rsidRPr="00C00542">
        <w:rPr>
          <w:rFonts w:ascii="Arial" w:hAnsi="Arial" w:cs="Arial"/>
          <w:color w:val="auto"/>
          <w:sz w:val="20"/>
          <w:szCs w:val="20"/>
        </w:rPr>
        <w:t xml:space="preserve"> 31</w:t>
      </w:r>
      <w:r w:rsidR="00E05BEE" w:rsidRPr="00C00542">
        <w:rPr>
          <w:rFonts w:ascii="Arial" w:hAnsi="Arial" w:cs="Arial"/>
          <w:color w:val="auto"/>
          <w:sz w:val="20"/>
          <w:szCs w:val="20"/>
          <w:vertAlign w:val="superscript"/>
        </w:rPr>
        <w:t>st</w:t>
      </w:r>
      <w:r w:rsidR="00E05BEE" w:rsidRPr="00C00542">
        <w:rPr>
          <w:rFonts w:ascii="Arial" w:hAnsi="Arial" w:cs="Arial"/>
          <w:color w:val="auto"/>
          <w:sz w:val="20"/>
          <w:szCs w:val="20"/>
        </w:rPr>
        <w:t xml:space="preserve"> August 2024</w:t>
      </w:r>
      <w:r w:rsidR="006C41C9" w:rsidRPr="00C00542">
        <w:rPr>
          <w:rFonts w:ascii="Arial" w:hAnsi="Arial" w:cs="Arial"/>
          <w:color w:val="auto"/>
          <w:sz w:val="20"/>
          <w:szCs w:val="20"/>
        </w:rPr>
        <w:t>, referred to as OCEAN year 1.</w:t>
      </w:r>
      <w:r w:rsidR="00837426" w:rsidRPr="00C00542">
        <w:rPr>
          <w:rFonts w:ascii="Arial" w:hAnsi="Arial" w:cs="Arial"/>
          <w:color w:val="auto"/>
          <w:sz w:val="20"/>
          <w:szCs w:val="20"/>
        </w:rPr>
        <w:t xml:space="preserve"> </w:t>
      </w:r>
      <w:r w:rsidR="00C80121" w:rsidRPr="00C00542">
        <w:rPr>
          <w:rFonts w:ascii="Arial" w:hAnsi="Arial" w:cs="Arial"/>
          <w:color w:val="auto"/>
          <w:sz w:val="20"/>
          <w:szCs w:val="20"/>
        </w:rPr>
        <w:t xml:space="preserve">The programme </w:t>
      </w:r>
      <w:proofErr w:type="gramStart"/>
      <w:r w:rsidR="00C80121" w:rsidRPr="00C00542">
        <w:rPr>
          <w:rFonts w:ascii="Arial" w:hAnsi="Arial" w:cs="Arial"/>
          <w:color w:val="auto"/>
          <w:sz w:val="20"/>
          <w:szCs w:val="20"/>
        </w:rPr>
        <w:t>score</w:t>
      </w:r>
      <w:proofErr w:type="gramEnd"/>
      <w:r w:rsidR="00C80121" w:rsidRPr="00C00542">
        <w:rPr>
          <w:rFonts w:ascii="Arial" w:hAnsi="Arial" w:cs="Arial"/>
          <w:color w:val="auto"/>
          <w:sz w:val="20"/>
          <w:szCs w:val="20"/>
        </w:rPr>
        <w:t xml:space="preserve"> for year 1 is</w:t>
      </w:r>
      <w:r w:rsidR="00C80121" w:rsidRPr="005F7157">
        <w:rPr>
          <w:rFonts w:ascii="Arial" w:hAnsi="Arial" w:cs="Arial"/>
          <w:color w:val="auto"/>
          <w:sz w:val="20"/>
          <w:szCs w:val="20"/>
        </w:rPr>
        <w:t xml:space="preserve"> </w:t>
      </w:r>
      <w:r w:rsidR="006678C1" w:rsidRPr="005F7157">
        <w:rPr>
          <w:rFonts w:ascii="Arial" w:hAnsi="Arial" w:cs="Arial"/>
          <w:i/>
          <w:iCs/>
          <w:color w:val="auto"/>
          <w:sz w:val="20"/>
          <w:szCs w:val="20"/>
        </w:rPr>
        <w:t>A –</w:t>
      </w:r>
      <w:r w:rsidR="006678C1" w:rsidRPr="005F7157">
        <w:rPr>
          <w:rFonts w:ascii="Arial" w:hAnsi="Arial" w:cs="Arial"/>
          <w:color w:val="auto"/>
          <w:sz w:val="20"/>
          <w:szCs w:val="20"/>
        </w:rPr>
        <w:t xml:space="preserve"> </w:t>
      </w:r>
      <w:r w:rsidR="006678C1" w:rsidRPr="005F7157">
        <w:rPr>
          <w:rFonts w:ascii="Arial" w:hAnsi="Arial" w:cs="Arial"/>
          <w:i/>
          <w:iCs/>
          <w:color w:val="auto"/>
          <w:sz w:val="20"/>
          <w:szCs w:val="20"/>
        </w:rPr>
        <w:t>met expectations</w:t>
      </w:r>
      <w:r w:rsidR="007E52A2" w:rsidRPr="005F7157">
        <w:rPr>
          <w:rFonts w:ascii="Arial" w:hAnsi="Arial" w:cs="Arial"/>
          <w:color w:val="auto"/>
          <w:sz w:val="20"/>
          <w:szCs w:val="20"/>
        </w:rPr>
        <w:t xml:space="preserve">, </w:t>
      </w:r>
      <w:r w:rsidR="007E52A2" w:rsidRPr="001A7AF9">
        <w:rPr>
          <w:rFonts w:ascii="Arial" w:hAnsi="Arial" w:cs="Arial"/>
          <w:color w:val="auto"/>
          <w:sz w:val="20"/>
          <w:szCs w:val="20"/>
        </w:rPr>
        <w:t xml:space="preserve">and </w:t>
      </w:r>
      <w:r w:rsidR="00CE3F75" w:rsidRPr="001A7AF9">
        <w:rPr>
          <w:rFonts w:ascii="Arial" w:hAnsi="Arial" w:cs="Arial"/>
          <w:color w:val="auto"/>
          <w:sz w:val="20"/>
          <w:szCs w:val="20"/>
        </w:rPr>
        <w:t xml:space="preserve">has been assessed through output scoring (please see sections B2, B3, and C for </w:t>
      </w:r>
      <w:r w:rsidR="00F97E94" w:rsidRPr="001A7AF9">
        <w:rPr>
          <w:rFonts w:ascii="Arial" w:hAnsi="Arial" w:cs="Arial"/>
          <w:color w:val="auto"/>
          <w:sz w:val="20"/>
          <w:szCs w:val="20"/>
        </w:rPr>
        <w:t xml:space="preserve">further detail). </w:t>
      </w:r>
      <w:r w:rsidR="002940AF" w:rsidRPr="001A7AF9">
        <w:rPr>
          <w:rFonts w:ascii="Arial" w:hAnsi="Arial" w:cs="Arial"/>
          <w:color w:val="auto"/>
          <w:sz w:val="20"/>
          <w:szCs w:val="20"/>
        </w:rPr>
        <w:t>Key successes from year 1 include:</w:t>
      </w:r>
    </w:p>
    <w:p w14:paraId="282A4E26" w14:textId="7B78D98D" w:rsidR="00083E2E" w:rsidRDefault="00203F34" w:rsidP="00AD1823">
      <w:pPr>
        <w:pStyle w:val="ListParagraph"/>
        <w:numPr>
          <w:ilvl w:val="0"/>
          <w:numId w:val="13"/>
        </w:numPr>
        <w:rPr>
          <w:sz w:val="20"/>
        </w:rPr>
      </w:pPr>
      <w:r>
        <w:rPr>
          <w:sz w:val="20"/>
        </w:rPr>
        <w:t>Due to</w:t>
      </w:r>
      <w:r w:rsidR="00F06FB9">
        <w:rPr>
          <w:sz w:val="20"/>
        </w:rPr>
        <w:t xml:space="preserve"> successful communication and engagement strategies t</w:t>
      </w:r>
      <w:r w:rsidR="00780EB4" w:rsidRPr="000E5668">
        <w:rPr>
          <w:sz w:val="20"/>
        </w:rPr>
        <w:t>he first call for proposals generated significant interest with 694 applications to implement projects in 107 countrie</w:t>
      </w:r>
      <w:r w:rsidR="006276E8" w:rsidRPr="000E5668">
        <w:rPr>
          <w:sz w:val="20"/>
        </w:rPr>
        <w:t xml:space="preserve">s. </w:t>
      </w:r>
    </w:p>
    <w:p w14:paraId="7A36F626" w14:textId="756C47E7" w:rsidR="00D93BB0" w:rsidRPr="00D93BB0" w:rsidRDefault="00D93BB0" w:rsidP="00D93BB0">
      <w:pPr>
        <w:pStyle w:val="ListParagraph"/>
        <w:numPr>
          <w:ilvl w:val="0"/>
          <w:numId w:val="13"/>
        </w:numPr>
        <w:rPr>
          <w:sz w:val="20"/>
        </w:rPr>
      </w:pPr>
      <w:r>
        <w:rPr>
          <w:sz w:val="20"/>
        </w:rPr>
        <w:t>As part of this successful communication and engagement strategy t</w:t>
      </w:r>
      <w:r w:rsidRPr="000E5668">
        <w:rPr>
          <w:sz w:val="20"/>
        </w:rPr>
        <w:t>he OCEAN branding, website, newsletter and social media channels were developed and launched ahead of the first call for proposals. The website has had over 33,000 users since launch and the OCEAN mailing list has 1200 subscribers.</w:t>
      </w:r>
    </w:p>
    <w:p w14:paraId="3A109909" w14:textId="68099203" w:rsidR="00BF45D0" w:rsidRPr="000E5668" w:rsidRDefault="00F06FB9" w:rsidP="00AD1823">
      <w:pPr>
        <w:pStyle w:val="ListParagraph"/>
        <w:numPr>
          <w:ilvl w:val="0"/>
          <w:numId w:val="13"/>
        </w:numPr>
        <w:rPr>
          <w:sz w:val="20"/>
        </w:rPr>
      </w:pPr>
      <w:r>
        <w:rPr>
          <w:sz w:val="20"/>
        </w:rPr>
        <w:t xml:space="preserve">High-quality programme management ensured that </w:t>
      </w:r>
      <w:r w:rsidR="00BF45D0" w:rsidRPr="000E5668">
        <w:rPr>
          <w:sz w:val="20"/>
        </w:rPr>
        <w:t>OCEAN successfully met all public-facing deadlines/dates including</w:t>
      </w:r>
      <w:r w:rsidR="002266E9" w:rsidRPr="000E5668">
        <w:rPr>
          <w:sz w:val="20"/>
        </w:rPr>
        <w:t xml:space="preserve"> application windows opening and closing on published dates, all webinars and workshops held on published dates, notification of application outcomes issued on time.</w:t>
      </w:r>
    </w:p>
    <w:p w14:paraId="27094A3E" w14:textId="1BDD1C28" w:rsidR="002266E9" w:rsidRPr="000E5668" w:rsidRDefault="00524BEB" w:rsidP="00AD1823">
      <w:pPr>
        <w:pStyle w:val="ListParagraph"/>
        <w:numPr>
          <w:ilvl w:val="0"/>
          <w:numId w:val="13"/>
        </w:numPr>
        <w:rPr>
          <w:sz w:val="20"/>
        </w:rPr>
      </w:pPr>
      <w:r w:rsidRPr="000E5668">
        <w:rPr>
          <w:sz w:val="20"/>
        </w:rPr>
        <w:t xml:space="preserve">OCEAN composed and delivered 694 tailored feedback letters to all Round 1 applicants, regardless of outcome, to </w:t>
      </w:r>
      <w:r w:rsidR="00F45744">
        <w:rPr>
          <w:sz w:val="20"/>
        </w:rPr>
        <w:t xml:space="preserve">provide high quality capability and capacity building to applications to </w:t>
      </w:r>
      <w:r w:rsidRPr="000E5668">
        <w:rPr>
          <w:sz w:val="20"/>
        </w:rPr>
        <w:t>support them to improve their future applications for funding. We received positive comments</w:t>
      </w:r>
      <w:r w:rsidR="00516888" w:rsidRPr="000E5668">
        <w:rPr>
          <w:sz w:val="20"/>
        </w:rPr>
        <w:t xml:space="preserve"> from applicants</w:t>
      </w:r>
      <w:r w:rsidRPr="000E5668">
        <w:rPr>
          <w:sz w:val="20"/>
        </w:rPr>
        <w:t xml:space="preserve"> on </w:t>
      </w:r>
      <w:r w:rsidR="00516888" w:rsidRPr="000E5668">
        <w:rPr>
          <w:sz w:val="20"/>
        </w:rPr>
        <w:t>the quality and usefulness of these letters.</w:t>
      </w:r>
    </w:p>
    <w:p w14:paraId="41BA212F" w14:textId="03FD74AD" w:rsidR="00516888" w:rsidRPr="000E5668" w:rsidRDefault="009A42E3" w:rsidP="00AD1823">
      <w:pPr>
        <w:pStyle w:val="ListParagraph"/>
        <w:numPr>
          <w:ilvl w:val="0"/>
          <w:numId w:val="13"/>
        </w:numPr>
        <w:rPr>
          <w:sz w:val="20"/>
        </w:rPr>
      </w:pPr>
      <w:r>
        <w:rPr>
          <w:sz w:val="20"/>
        </w:rPr>
        <w:t>Due to a successful recruitment campaign a</w:t>
      </w:r>
      <w:r w:rsidR="00F87285" w:rsidRPr="000E5668">
        <w:rPr>
          <w:sz w:val="20"/>
        </w:rPr>
        <w:t xml:space="preserve"> diverse</w:t>
      </w:r>
      <w:r w:rsidR="008262A3" w:rsidRPr="000E5668">
        <w:rPr>
          <w:sz w:val="20"/>
        </w:rPr>
        <w:t xml:space="preserve"> 11</w:t>
      </w:r>
      <w:r w:rsidR="00536390">
        <w:rPr>
          <w:sz w:val="20"/>
        </w:rPr>
        <w:t>-</w:t>
      </w:r>
      <w:r w:rsidR="008262A3" w:rsidRPr="000E5668">
        <w:rPr>
          <w:sz w:val="20"/>
        </w:rPr>
        <w:t>member Expert Committee</w:t>
      </w:r>
      <w:r w:rsidR="00F87285" w:rsidRPr="000E5668">
        <w:rPr>
          <w:sz w:val="20"/>
        </w:rPr>
        <w:t xml:space="preserve"> </w:t>
      </w:r>
      <w:r w:rsidR="00536390" w:rsidRPr="000E5668">
        <w:rPr>
          <w:sz w:val="20"/>
        </w:rPr>
        <w:t>whose</w:t>
      </w:r>
      <w:r w:rsidR="008E4F00" w:rsidRPr="000E5668">
        <w:rPr>
          <w:sz w:val="20"/>
        </w:rPr>
        <w:t xml:space="preserve"> role it is to assess applications </w:t>
      </w:r>
      <w:r w:rsidR="00F87285" w:rsidRPr="000E5668">
        <w:rPr>
          <w:sz w:val="20"/>
        </w:rPr>
        <w:t xml:space="preserve">was </w:t>
      </w:r>
      <w:r w:rsidR="009F0844" w:rsidRPr="000E5668">
        <w:rPr>
          <w:sz w:val="20"/>
        </w:rPr>
        <w:t>recruited and onboarded</w:t>
      </w:r>
      <w:r w:rsidR="00A64AF3" w:rsidRPr="000E5668">
        <w:rPr>
          <w:sz w:val="20"/>
        </w:rPr>
        <w:t>.</w:t>
      </w:r>
    </w:p>
    <w:p w14:paraId="62DE5805" w14:textId="18229201" w:rsidR="008A3818" w:rsidRPr="000E5668" w:rsidRDefault="00A72578" w:rsidP="00AD1823">
      <w:pPr>
        <w:pStyle w:val="ListParagraph"/>
        <w:numPr>
          <w:ilvl w:val="0"/>
          <w:numId w:val="13"/>
        </w:numPr>
        <w:rPr>
          <w:sz w:val="20"/>
        </w:rPr>
      </w:pPr>
      <w:r w:rsidRPr="000E5668">
        <w:rPr>
          <w:sz w:val="20"/>
        </w:rPr>
        <w:t>OCEAN developed and published comprehensive application guidance in time for the first call for proposals</w:t>
      </w:r>
      <w:r w:rsidR="0099561F">
        <w:rPr>
          <w:sz w:val="20"/>
        </w:rPr>
        <w:t xml:space="preserve"> to support applicants in producing high-quality and eligible applications</w:t>
      </w:r>
      <w:r w:rsidRPr="000E5668">
        <w:rPr>
          <w:sz w:val="20"/>
        </w:rPr>
        <w:t>. A total of 5 guidance documents were produced and shared on the OCEAN website and application portal</w:t>
      </w:r>
      <w:r w:rsidR="00AB04D8" w:rsidRPr="000E5668">
        <w:rPr>
          <w:sz w:val="20"/>
        </w:rPr>
        <w:t xml:space="preserve"> and translated into</w:t>
      </w:r>
      <w:r w:rsidR="00EB733E" w:rsidRPr="000E5668">
        <w:rPr>
          <w:sz w:val="20"/>
        </w:rPr>
        <w:t xml:space="preserve"> the </w:t>
      </w:r>
      <w:r w:rsidR="00124EE7" w:rsidRPr="000E5668">
        <w:rPr>
          <w:sz w:val="20"/>
        </w:rPr>
        <w:t xml:space="preserve">5 </w:t>
      </w:r>
      <w:r w:rsidR="00EB733E" w:rsidRPr="000E5668">
        <w:rPr>
          <w:sz w:val="20"/>
        </w:rPr>
        <w:t xml:space="preserve">OCEAN priority </w:t>
      </w:r>
      <w:r w:rsidR="00124EE7" w:rsidRPr="000E5668">
        <w:rPr>
          <w:sz w:val="20"/>
        </w:rPr>
        <w:t>languages. These documents were downloaded 6863 times as of end-June 2024.</w:t>
      </w:r>
    </w:p>
    <w:p w14:paraId="393CDC85" w14:textId="6CEE7906" w:rsidR="00124EE7" w:rsidRPr="000E5668" w:rsidRDefault="00B83795" w:rsidP="00AD1823">
      <w:pPr>
        <w:pStyle w:val="ListParagraph"/>
        <w:numPr>
          <w:ilvl w:val="0"/>
          <w:numId w:val="13"/>
        </w:numPr>
        <w:rPr>
          <w:sz w:val="20"/>
        </w:rPr>
      </w:pPr>
      <w:r w:rsidRPr="000E5668">
        <w:rPr>
          <w:sz w:val="20"/>
        </w:rPr>
        <w:t>The OCEAN Helpdesk was established to support applicants and grantees</w:t>
      </w:r>
      <w:r w:rsidR="00984757">
        <w:rPr>
          <w:sz w:val="20"/>
        </w:rPr>
        <w:t xml:space="preserve"> in their applications</w:t>
      </w:r>
      <w:r w:rsidRPr="000E5668">
        <w:rPr>
          <w:sz w:val="20"/>
        </w:rPr>
        <w:t xml:space="preserve">. From February </w:t>
      </w:r>
      <w:r w:rsidR="00D77CAC" w:rsidRPr="000E5668">
        <w:rPr>
          <w:sz w:val="20"/>
        </w:rPr>
        <w:t>to June 2024 the Helpdesk team resolved 1446 queries in multiple languages with an average response time of less than 1 working day</w:t>
      </w:r>
      <w:r w:rsidR="001517DD" w:rsidRPr="000E5668">
        <w:rPr>
          <w:sz w:val="20"/>
        </w:rPr>
        <w:t>.</w:t>
      </w:r>
    </w:p>
    <w:p w14:paraId="61F97E24" w14:textId="4A7BCF21" w:rsidR="00D70C2B" w:rsidRPr="000E5668" w:rsidRDefault="00984757" w:rsidP="00AD1823">
      <w:pPr>
        <w:pStyle w:val="ListParagraph"/>
        <w:numPr>
          <w:ilvl w:val="0"/>
          <w:numId w:val="13"/>
        </w:numPr>
        <w:rPr>
          <w:sz w:val="20"/>
        </w:rPr>
      </w:pPr>
      <w:proofErr w:type="gramStart"/>
      <w:r>
        <w:rPr>
          <w:sz w:val="20"/>
        </w:rPr>
        <w:t>In order to</w:t>
      </w:r>
      <w:proofErr w:type="gramEnd"/>
      <w:r>
        <w:rPr>
          <w:sz w:val="20"/>
        </w:rPr>
        <w:t xml:space="preserve"> further develop applicant capability and capacity </w:t>
      </w:r>
      <w:r w:rsidR="00D70C2B" w:rsidRPr="000E5668">
        <w:rPr>
          <w:sz w:val="20"/>
        </w:rPr>
        <w:t>OCEAN developed and delivered 22 webinars and workshops to support applicants. 1837</w:t>
      </w:r>
      <w:r w:rsidR="00EB733E" w:rsidRPr="000E5668">
        <w:rPr>
          <w:sz w:val="20"/>
        </w:rPr>
        <w:t xml:space="preserve"> representatives from 1119 different organisations attended these events.</w:t>
      </w:r>
    </w:p>
    <w:p w14:paraId="7525068C" w14:textId="163F1AAF" w:rsidR="0036582A" w:rsidRPr="000E5668" w:rsidRDefault="00D93BB0" w:rsidP="00AD1823">
      <w:pPr>
        <w:pStyle w:val="ListParagraph"/>
        <w:numPr>
          <w:ilvl w:val="0"/>
          <w:numId w:val="13"/>
        </w:numPr>
        <w:rPr>
          <w:sz w:val="20"/>
        </w:rPr>
      </w:pPr>
      <w:r>
        <w:rPr>
          <w:sz w:val="20"/>
        </w:rPr>
        <w:t xml:space="preserve">To support </w:t>
      </w:r>
      <w:r w:rsidR="0054126F">
        <w:rPr>
          <w:sz w:val="20"/>
        </w:rPr>
        <w:t xml:space="preserve">grantee engagement and capability and capacity building </w:t>
      </w:r>
      <w:r w:rsidR="0036582A" w:rsidRPr="000E5668">
        <w:rPr>
          <w:sz w:val="20"/>
        </w:rPr>
        <w:t>OCEAN has established a networking platform called the OCEAN Grants Community for applicants and grantees on the UN Ocean Decade Network and OCEAN has been endorsed by the UN Ocean Decade.</w:t>
      </w:r>
    </w:p>
    <w:p w14:paraId="4735F39A" w14:textId="6599E017" w:rsidR="00163427" w:rsidRPr="00B02E72" w:rsidRDefault="00163427" w:rsidP="00B02E72">
      <w:pPr>
        <w:pStyle w:val="ListParagraph"/>
        <w:numPr>
          <w:ilvl w:val="0"/>
          <w:numId w:val="13"/>
        </w:numPr>
        <w:rPr>
          <w:sz w:val="20"/>
        </w:rPr>
      </w:pPr>
      <w:r w:rsidRPr="000E5668">
        <w:rPr>
          <w:sz w:val="20"/>
        </w:rPr>
        <w:t>OCEAN has</w:t>
      </w:r>
      <w:r w:rsidR="005478D1">
        <w:rPr>
          <w:sz w:val="20"/>
        </w:rPr>
        <w:t xml:space="preserve"> </w:t>
      </w:r>
      <w:r w:rsidR="00B02E72">
        <w:rPr>
          <w:sz w:val="20"/>
        </w:rPr>
        <w:t>integrated a strong</w:t>
      </w:r>
      <w:r w:rsidR="005478D1">
        <w:rPr>
          <w:sz w:val="20"/>
        </w:rPr>
        <w:t xml:space="preserve"> focus </w:t>
      </w:r>
      <w:r w:rsidR="00B02E72">
        <w:rPr>
          <w:sz w:val="20"/>
        </w:rPr>
        <w:t>on G</w:t>
      </w:r>
      <w:r w:rsidR="006B2BE4">
        <w:rPr>
          <w:sz w:val="20"/>
        </w:rPr>
        <w:t xml:space="preserve">ender </w:t>
      </w:r>
      <w:r w:rsidR="00B02E72">
        <w:rPr>
          <w:sz w:val="20"/>
        </w:rPr>
        <w:t>E</w:t>
      </w:r>
      <w:r w:rsidR="006B2BE4">
        <w:rPr>
          <w:sz w:val="20"/>
        </w:rPr>
        <w:t>quality</w:t>
      </w:r>
      <w:r w:rsidR="00B02E72">
        <w:rPr>
          <w:sz w:val="20"/>
        </w:rPr>
        <w:t xml:space="preserve"> and S</w:t>
      </w:r>
      <w:r w:rsidR="006B2BE4">
        <w:rPr>
          <w:sz w:val="20"/>
        </w:rPr>
        <w:t xml:space="preserve">ocial </w:t>
      </w:r>
      <w:r w:rsidR="00B02E72">
        <w:rPr>
          <w:sz w:val="20"/>
        </w:rPr>
        <w:t>I</w:t>
      </w:r>
      <w:r w:rsidR="006B2BE4">
        <w:rPr>
          <w:sz w:val="20"/>
        </w:rPr>
        <w:t>nclusion (GESI)</w:t>
      </w:r>
      <w:r w:rsidR="00B02E72">
        <w:rPr>
          <w:sz w:val="20"/>
        </w:rPr>
        <w:t xml:space="preserve"> and S</w:t>
      </w:r>
      <w:r w:rsidR="006B2BE4">
        <w:rPr>
          <w:sz w:val="20"/>
        </w:rPr>
        <w:t xml:space="preserve">exual </w:t>
      </w:r>
      <w:r w:rsidR="00B02E72">
        <w:rPr>
          <w:sz w:val="20"/>
        </w:rPr>
        <w:t>E</w:t>
      </w:r>
      <w:r w:rsidR="006B2BE4">
        <w:rPr>
          <w:sz w:val="20"/>
        </w:rPr>
        <w:t>xploitation and Abuse and Sexual Harassment (</w:t>
      </w:r>
      <w:r w:rsidR="00B02E72">
        <w:rPr>
          <w:sz w:val="20"/>
        </w:rPr>
        <w:t>SEAH</w:t>
      </w:r>
      <w:r w:rsidR="006B2BE4">
        <w:rPr>
          <w:sz w:val="20"/>
        </w:rPr>
        <w:t>)</w:t>
      </w:r>
      <w:r w:rsidR="00B02E72">
        <w:rPr>
          <w:sz w:val="20"/>
        </w:rPr>
        <w:t>. The programme has d</w:t>
      </w:r>
      <w:r w:rsidRPr="000E5668">
        <w:rPr>
          <w:sz w:val="20"/>
        </w:rPr>
        <w:t>eveloped a GESI Action Plan</w:t>
      </w:r>
      <w:r w:rsidR="00B02E72">
        <w:rPr>
          <w:sz w:val="20"/>
        </w:rPr>
        <w:t xml:space="preserve">, </w:t>
      </w:r>
      <w:r w:rsidRPr="000E5668">
        <w:rPr>
          <w:sz w:val="20"/>
        </w:rPr>
        <w:t>is embedding GESI into all key processes and stages in the OCEAN application and project cycle</w:t>
      </w:r>
      <w:r w:rsidR="00B02E72">
        <w:rPr>
          <w:sz w:val="20"/>
        </w:rPr>
        <w:t xml:space="preserve"> and</w:t>
      </w:r>
      <w:r w:rsidR="008E6575" w:rsidRPr="00B02E72">
        <w:rPr>
          <w:sz w:val="20"/>
        </w:rPr>
        <w:t xml:space="preserve"> has </w:t>
      </w:r>
      <w:r w:rsidR="00C35DF2">
        <w:rPr>
          <w:sz w:val="20"/>
        </w:rPr>
        <w:t>recruited</w:t>
      </w:r>
      <w:r w:rsidR="008E6575" w:rsidRPr="00B02E72">
        <w:rPr>
          <w:sz w:val="20"/>
        </w:rPr>
        <w:t xml:space="preserve"> a dedicated Safeguarding Manager</w:t>
      </w:r>
      <w:r w:rsidR="00C35DF2">
        <w:rPr>
          <w:sz w:val="20"/>
        </w:rPr>
        <w:t xml:space="preserve"> </w:t>
      </w:r>
      <w:r w:rsidR="008E6575" w:rsidRPr="00B02E72">
        <w:rPr>
          <w:sz w:val="20"/>
        </w:rPr>
        <w:t>to provide guidance to applican</w:t>
      </w:r>
      <w:r w:rsidR="00B02E72" w:rsidRPr="00B02E72">
        <w:rPr>
          <w:sz w:val="20"/>
        </w:rPr>
        <w:t>ts</w:t>
      </w:r>
      <w:r w:rsidR="008E6575" w:rsidRPr="00B02E72">
        <w:rPr>
          <w:sz w:val="20"/>
        </w:rPr>
        <w:t xml:space="preserve"> and grantees</w:t>
      </w:r>
      <w:r w:rsidR="004B709B">
        <w:rPr>
          <w:sz w:val="20"/>
        </w:rPr>
        <w:t>.</w:t>
      </w:r>
    </w:p>
    <w:p w14:paraId="68C219EA" w14:textId="77777777" w:rsidR="00405AB8" w:rsidRPr="00405AB8" w:rsidRDefault="00405AB8" w:rsidP="00405AB8"/>
    <w:p w14:paraId="4ADBC453" w14:textId="0933CA00" w:rsidR="006F3AE7" w:rsidRPr="00E14C39" w:rsidRDefault="0DF55EDA" w:rsidP="00E14C39">
      <w:pPr>
        <w:pStyle w:val="Heading3"/>
        <w:spacing w:after="160" w:line="276" w:lineRule="auto"/>
        <w:jc w:val="both"/>
        <w:rPr>
          <w:rFonts w:ascii="Arial" w:hAnsi="Arial" w:cs="Arial"/>
          <w:b/>
          <w:bCs/>
          <w:color w:val="auto"/>
        </w:rPr>
      </w:pPr>
      <w:r w:rsidRPr="00FD468A">
        <w:rPr>
          <w:rFonts w:ascii="Arial" w:hAnsi="Arial" w:cs="Arial"/>
          <w:b/>
          <w:bCs/>
          <w:color w:val="auto"/>
        </w:rPr>
        <w:lastRenderedPageBreak/>
        <w:t xml:space="preserve">A3. </w:t>
      </w:r>
      <w:r w:rsidR="006F3AE7" w:rsidRPr="00FD468A">
        <w:rPr>
          <w:rFonts w:ascii="Arial" w:hAnsi="Arial" w:cs="Arial"/>
          <w:b/>
          <w:bCs/>
          <w:color w:val="auto"/>
        </w:rPr>
        <w:t xml:space="preserve">Major lessons and recommendations for the year ahead </w:t>
      </w:r>
    </w:p>
    <w:p w14:paraId="4934631C" w14:textId="7E524E50" w:rsidR="00341238" w:rsidRDefault="00341238" w:rsidP="00AD1823">
      <w:pPr>
        <w:pStyle w:val="ListParagraph"/>
        <w:numPr>
          <w:ilvl w:val="0"/>
          <w:numId w:val="11"/>
        </w:numPr>
        <w:jc w:val="both"/>
        <w:rPr>
          <w:sz w:val="20"/>
        </w:rPr>
      </w:pPr>
      <w:r w:rsidRPr="00893C33">
        <w:rPr>
          <w:b/>
          <w:bCs/>
          <w:sz w:val="20"/>
        </w:rPr>
        <w:t>Lesson:</w:t>
      </w:r>
      <w:r>
        <w:rPr>
          <w:sz w:val="20"/>
        </w:rPr>
        <w:t xml:space="preserve"> </w:t>
      </w:r>
      <w:r w:rsidR="00620234">
        <w:rPr>
          <w:sz w:val="20"/>
        </w:rPr>
        <w:t>Due to the competitive nature of OCEAN and the annual funding rounds ther</w:t>
      </w:r>
      <w:r w:rsidR="00FC61A1">
        <w:rPr>
          <w:sz w:val="20"/>
        </w:rPr>
        <w:t xml:space="preserve">e </w:t>
      </w:r>
      <w:r w:rsidR="000242C4">
        <w:rPr>
          <w:sz w:val="20"/>
        </w:rPr>
        <w:t>are key similarities with</w:t>
      </w:r>
      <w:r w:rsidR="006B4824">
        <w:rPr>
          <w:sz w:val="20"/>
        </w:rPr>
        <w:t xml:space="preserve"> </w:t>
      </w:r>
      <w:r w:rsidR="000C2991">
        <w:rPr>
          <w:sz w:val="20"/>
        </w:rPr>
        <w:t>Defra’s Challenge Funds</w:t>
      </w:r>
      <w:r w:rsidR="00151D50">
        <w:rPr>
          <w:sz w:val="20"/>
        </w:rPr>
        <w:t xml:space="preserve"> (Darwin</w:t>
      </w:r>
      <w:r w:rsidR="000C2991">
        <w:rPr>
          <w:sz w:val="20"/>
        </w:rPr>
        <w:t>, IWT Challenge Fund</w:t>
      </w:r>
      <w:r w:rsidR="00151D50">
        <w:rPr>
          <w:sz w:val="20"/>
        </w:rPr>
        <w:t xml:space="preserve"> etc.)</w:t>
      </w:r>
      <w:r w:rsidR="00CD2790">
        <w:rPr>
          <w:sz w:val="20"/>
        </w:rPr>
        <w:t xml:space="preserve"> and other relevant programmes</w:t>
      </w:r>
      <w:r w:rsidR="00151D50">
        <w:rPr>
          <w:sz w:val="20"/>
        </w:rPr>
        <w:t>.</w:t>
      </w:r>
      <w:r w:rsidR="00975D77">
        <w:rPr>
          <w:sz w:val="20"/>
        </w:rPr>
        <w:t xml:space="preserve"> </w:t>
      </w:r>
      <w:r w:rsidR="00431003">
        <w:rPr>
          <w:sz w:val="20"/>
        </w:rPr>
        <w:t>As OCEAN moves to the implementation phase</w:t>
      </w:r>
      <w:r w:rsidR="008F376A">
        <w:rPr>
          <w:sz w:val="20"/>
        </w:rPr>
        <w:t xml:space="preserve"> Defra</w:t>
      </w:r>
      <w:r w:rsidR="00431003">
        <w:rPr>
          <w:sz w:val="20"/>
        </w:rPr>
        <w:t xml:space="preserve"> p</w:t>
      </w:r>
      <w:r w:rsidR="00C47E25">
        <w:rPr>
          <w:sz w:val="20"/>
        </w:rPr>
        <w:t>rogramme teams must</w:t>
      </w:r>
      <w:r w:rsidR="00F248CE">
        <w:rPr>
          <w:sz w:val="20"/>
        </w:rPr>
        <w:t xml:space="preserve"> ensure that there are </w:t>
      </w:r>
      <w:r w:rsidR="002D4122">
        <w:rPr>
          <w:sz w:val="20"/>
        </w:rPr>
        <w:t>close strategic links and opportunities to share learning between the programmes</w:t>
      </w:r>
      <w:r w:rsidR="005C1EAC">
        <w:rPr>
          <w:sz w:val="20"/>
        </w:rPr>
        <w:t xml:space="preserve"> to </w:t>
      </w:r>
      <w:r w:rsidR="00DB1DD8">
        <w:rPr>
          <w:sz w:val="20"/>
        </w:rPr>
        <w:t xml:space="preserve">maximise programme impact, </w:t>
      </w:r>
      <w:r w:rsidR="005C1EAC">
        <w:rPr>
          <w:sz w:val="20"/>
        </w:rPr>
        <w:t xml:space="preserve">increase capability and capacity and </w:t>
      </w:r>
      <w:r w:rsidR="00B85907">
        <w:rPr>
          <w:sz w:val="20"/>
        </w:rPr>
        <w:t>support effective programme management, including risk management.</w:t>
      </w:r>
    </w:p>
    <w:p w14:paraId="5A61898A" w14:textId="6E060025" w:rsidR="00FD160B" w:rsidRDefault="00341238" w:rsidP="00FD160B">
      <w:pPr>
        <w:ind w:left="720"/>
        <w:jc w:val="both"/>
        <w:rPr>
          <w:sz w:val="20"/>
        </w:rPr>
      </w:pPr>
      <w:r w:rsidRPr="00893C33">
        <w:rPr>
          <w:b/>
          <w:bCs/>
          <w:sz w:val="20"/>
        </w:rPr>
        <w:t>Recommendation:</w:t>
      </w:r>
      <w:r>
        <w:rPr>
          <w:sz w:val="20"/>
        </w:rPr>
        <w:t xml:space="preserve"> </w:t>
      </w:r>
      <w:r w:rsidR="006D3921">
        <w:rPr>
          <w:sz w:val="20"/>
        </w:rPr>
        <w:t>Implement additional meetings and</w:t>
      </w:r>
      <w:r w:rsidR="00893C33">
        <w:rPr>
          <w:sz w:val="20"/>
        </w:rPr>
        <w:t xml:space="preserve"> focused</w:t>
      </w:r>
      <w:r w:rsidR="006D3921">
        <w:rPr>
          <w:sz w:val="20"/>
        </w:rPr>
        <w:t xml:space="preserve"> workshops at key </w:t>
      </w:r>
      <w:r w:rsidR="00893C33">
        <w:rPr>
          <w:sz w:val="20"/>
        </w:rPr>
        <w:t xml:space="preserve">points in the annual fund cycle to sit alongside regular meetings to support </w:t>
      </w:r>
      <w:r w:rsidR="007A06B7">
        <w:rPr>
          <w:sz w:val="20"/>
        </w:rPr>
        <w:t xml:space="preserve">sharing of </w:t>
      </w:r>
      <w:r w:rsidR="00893C33">
        <w:rPr>
          <w:sz w:val="20"/>
        </w:rPr>
        <w:t>lessons</w:t>
      </w:r>
      <w:r w:rsidR="00FC21BE">
        <w:rPr>
          <w:sz w:val="20"/>
        </w:rPr>
        <w:t>-</w:t>
      </w:r>
      <w:r w:rsidR="00893C33">
        <w:rPr>
          <w:sz w:val="20"/>
        </w:rPr>
        <w:t>learned and ensure a coherent strategy between Defra’s Challenge Funds.</w:t>
      </w:r>
      <w:r w:rsidR="003D615F">
        <w:rPr>
          <w:sz w:val="20"/>
        </w:rPr>
        <w:t xml:space="preserve"> A representative from the Biodiversity Challenge Funds will also sit on the OCEAN Programme Board.</w:t>
      </w:r>
    </w:p>
    <w:p w14:paraId="2F21846A" w14:textId="080D3BD5" w:rsidR="00FD160B" w:rsidRDefault="00FD160B" w:rsidP="00FD160B">
      <w:pPr>
        <w:jc w:val="both"/>
        <w:rPr>
          <w:sz w:val="20"/>
        </w:rPr>
      </w:pPr>
    </w:p>
    <w:p w14:paraId="76F0B2A7" w14:textId="41F0A33C" w:rsidR="00FD160B" w:rsidRDefault="00FD160B" w:rsidP="00FD160B">
      <w:pPr>
        <w:pStyle w:val="ListParagraph"/>
        <w:numPr>
          <w:ilvl w:val="0"/>
          <w:numId w:val="11"/>
        </w:numPr>
        <w:jc w:val="both"/>
        <w:rPr>
          <w:sz w:val="20"/>
        </w:rPr>
      </w:pPr>
      <w:r w:rsidRPr="00214A31">
        <w:rPr>
          <w:b/>
          <w:bCs/>
          <w:sz w:val="20"/>
        </w:rPr>
        <w:t>Lesson:</w:t>
      </w:r>
      <w:r w:rsidR="00E4644E">
        <w:rPr>
          <w:sz w:val="20"/>
        </w:rPr>
        <w:t xml:space="preserve"> The first year of OCEAN has been focused on the design and mobilisation of the programme.</w:t>
      </w:r>
      <w:r>
        <w:rPr>
          <w:sz w:val="20"/>
        </w:rPr>
        <w:t xml:space="preserve"> </w:t>
      </w:r>
      <w:r w:rsidR="00D27E10">
        <w:rPr>
          <w:sz w:val="20"/>
        </w:rPr>
        <w:t>As the programme moves to implementation i</w:t>
      </w:r>
      <w:r w:rsidR="003F1CD8">
        <w:rPr>
          <w:sz w:val="20"/>
        </w:rPr>
        <w:t xml:space="preserve">t is important to ensure that OCEAN enhances and complements </w:t>
      </w:r>
      <w:r w:rsidR="00533B61">
        <w:rPr>
          <w:sz w:val="20"/>
        </w:rPr>
        <w:t>the Blue Planet Fund portfolio and wider Defra ODA portfolio</w:t>
      </w:r>
      <w:r w:rsidR="00D27E10">
        <w:rPr>
          <w:sz w:val="20"/>
        </w:rPr>
        <w:t xml:space="preserve"> to maximise impact and reduce duplication</w:t>
      </w:r>
      <w:r w:rsidR="00F43525">
        <w:rPr>
          <w:sz w:val="20"/>
        </w:rPr>
        <w:t>. OCEAN must also achieve collective strategic impact beyond the small-scale impact of indi</w:t>
      </w:r>
      <w:r w:rsidR="00F24FC1">
        <w:rPr>
          <w:sz w:val="20"/>
        </w:rPr>
        <w:t>vidual projects.</w:t>
      </w:r>
    </w:p>
    <w:p w14:paraId="68B6A375" w14:textId="318B763E" w:rsidR="00214A31" w:rsidRPr="00214A31" w:rsidRDefault="00214A31" w:rsidP="00214A31">
      <w:pPr>
        <w:ind w:left="720"/>
        <w:jc w:val="both"/>
        <w:rPr>
          <w:sz w:val="20"/>
        </w:rPr>
      </w:pPr>
      <w:r w:rsidRPr="00214A31">
        <w:rPr>
          <w:b/>
          <w:bCs/>
          <w:sz w:val="20"/>
        </w:rPr>
        <w:t>Recommendation</w:t>
      </w:r>
      <w:r>
        <w:rPr>
          <w:sz w:val="20"/>
        </w:rPr>
        <w:t xml:space="preserve">: </w:t>
      </w:r>
      <w:r w:rsidR="00E3209A">
        <w:rPr>
          <w:sz w:val="20"/>
        </w:rPr>
        <w:t>Defra to e</w:t>
      </w:r>
      <w:r w:rsidR="00A60927">
        <w:rPr>
          <w:sz w:val="20"/>
        </w:rPr>
        <w:t xml:space="preserve">stablish </w:t>
      </w:r>
      <w:r w:rsidR="009D644B">
        <w:rPr>
          <w:sz w:val="20"/>
        </w:rPr>
        <w:t>the OCEAN Programme Board</w:t>
      </w:r>
      <w:r w:rsidR="00216029">
        <w:rPr>
          <w:sz w:val="20"/>
        </w:rPr>
        <w:t xml:space="preserve"> that will consist of key HMG stakeholders</w:t>
      </w:r>
      <w:r w:rsidR="009D644B">
        <w:rPr>
          <w:sz w:val="20"/>
        </w:rPr>
        <w:t xml:space="preserve"> who will convene bi-annually as a minimum</w:t>
      </w:r>
      <w:r w:rsidR="00963E1E">
        <w:rPr>
          <w:sz w:val="20"/>
        </w:rPr>
        <w:t>. The board will</w:t>
      </w:r>
      <w:r w:rsidR="009D644B">
        <w:rPr>
          <w:sz w:val="20"/>
        </w:rPr>
        <w:t xml:space="preserve"> </w:t>
      </w:r>
      <w:r w:rsidR="007967FD">
        <w:rPr>
          <w:sz w:val="20"/>
        </w:rPr>
        <w:t>discuss and agree</w:t>
      </w:r>
      <w:r w:rsidR="009D644B">
        <w:rPr>
          <w:sz w:val="20"/>
        </w:rPr>
        <w:t xml:space="preserve"> how OC</w:t>
      </w:r>
      <w:r w:rsidR="007967FD">
        <w:rPr>
          <w:sz w:val="20"/>
        </w:rPr>
        <w:t>E</w:t>
      </w:r>
      <w:r w:rsidR="009D644B">
        <w:rPr>
          <w:sz w:val="20"/>
        </w:rPr>
        <w:t xml:space="preserve">AN will enhance </w:t>
      </w:r>
      <w:r w:rsidR="007967FD">
        <w:rPr>
          <w:sz w:val="20"/>
        </w:rPr>
        <w:t>and</w:t>
      </w:r>
      <w:r w:rsidR="009D644B">
        <w:rPr>
          <w:sz w:val="20"/>
        </w:rPr>
        <w:t xml:space="preserve"> complement the existing BPF portfolio </w:t>
      </w:r>
      <w:r w:rsidR="007967FD">
        <w:rPr>
          <w:sz w:val="20"/>
        </w:rPr>
        <w:t>and wider Defra ODA portfolio</w:t>
      </w:r>
      <w:r w:rsidR="00F24FC1">
        <w:rPr>
          <w:sz w:val="20"/>
        </w:rPr>
        <w:t xml:space="preserve"> a</w:t>
      </w:r>
      <w:r w:rsidR="008911B1">
        <w:rPr>
          <w:sz w:val="20"/>
        </w:rPr>
        <w:t xml:space="preserve">nd ensure strategic impact through considering evidence, scalability and the focus of funding windows. </w:t>
      </w:r>
    </w:p>
    <w:p w14:paraId="1796A42F" w14:textId="77777777" w:rsidR="00893C33" w:rsidRPr="00341238" w:rsidRDefault="00893C33" w:rsidP="00341238">
      <w:pPr>
        <w:ind w:left="720"/>
        <w:jc w:val="both"/>
        <w:rPr>
          <w:sz w:val="20"/>
        </w:rPr>
      </w:pPr>
    </w:p>
    <w:p w14:paraId="05834F43" w14:textId="53458D4A" w:rsidR="006F3AE7" w:rsidRPr="00184AA3" w:rsidRDefault="13648996" w:rsidP="00AD1823">
      <w:pPr>
        <w:pStyle w:val="ListParagraph"/>
        <w:numPr>
          <w:ilvl w:val="0"/>
          <w:numId w:val="11"/>
        </w:numPr>
        <w:jc w:val="both"/>
        <w:rPr>
          <w:sz w:val="20"/>
        </w:rPr>
      </w:pPr>
      <w:r w:rsidRPr="00B40061">
        <w:rPr>
          <w:b/>
          <w:bCs/>
          <w:sz w:val="20"/>
        </w:rPr>
        <w:t>Lesson:</w:t>
      </w:r>
      <w:r w:rsidR="007D2B39" w:rsidRPr="00184AA3">
        <w:rPr>
          <w:sz w:val="20"/>
        </w:rPr>
        <w:t xml:space="preserve"> </w:t>
      </w:r>
      <w:r w:rsidR="00961CFA" w:rsidRPr="00184AA3">
        <w:rPr>
          <w:sz w:val="20"/>
        </w:rPr>
        <w:t xml:space="preserve">Within our guidance to </w:t>
      </w:r>
      <w:r w:rsidR="009E12F5" w:rsidRPr="00184AA3">
        <w:rPr>
          <w:sz w:val="20"/>
        </w:rPr>
        <w:t>applicants,</w:t>
      </w:r>
      <w:r w:rsidR="00961CFA" w:rsidRPr="00184AA3">
        <w:rPr>
          <w:sz w:val="20"/>
        </w:rPr>
        <w:t xml:space="preserve"> we clearly state</w:t>
      </w:r>
      <w:r w:rsidR="001A3893" w:rsidRPr="00184AA3">
        <w:rPr>
          <w:sz w:val="20"/>
        </w:rPr>
        <w:t>:</w:t>
      </w:r>
      <w:r w:rsidR="00961CFA" w:rsidRPr="00184AA3">
        <w:rPr>
          <w:sz w:val="20"/>
        </w:rPr>
        <w:t xml:space="preserve"> </w:t>
      </w:r>
      <w:r w:rsidR="001A3893" w:rsidRPr="00184AA3">
        <w:rPr>
          <w:sz w:val="20"/>
        </w:rPr>
        <w:t>“</w:t>
      </w:r>
      <w:r w:rsidR="00961CFA" w:rsidRPr="00184AA3">
        <w:rPr>
          <w:i/>
          <w:iCs/>
          <w:sz w:val="20"/>
        </w:rPr>
        <w:t>projects</w:t>
      </w:r>
      <w:r w:rsidR="000A4460" w:rsidRPr="00184AA3">
        <w:rPr>
          <w:i/>
          <w:iCs/>
          <w:sz w:val="20"/>
        </w:rPr>
        <w:t xml:space="preserve"> based in Upper Middle-Income Countries (UMICs) are eligible; however, projects applying to work in a UMIC should clearly demonstrate a stronger case for support</w:t>
      </w:r>
      <w:r w:rsidR="00961CFA" w:rsidRPr="00184AA3">
        <w:rPr>
          <w:i/>
          <w:iCs/>
          <w:sz w:val="20"/>
        </w:rPr>
        <w:t xml:space="preserve"> </w:t>
      </w:r>
      <w:r w:rsidR="000A4460" w:rsidRPr="00184AA3">
        <w:rPr>
          <w:i/>
          <w:iCs/>
          <w:sz w:val="20"/>
        </w:rPr>
        <w:t>and this will be assessed</w:t>
      </w:r>
      <w:r w:rsidR="001A3893" w:rsidRPr="00184AA3">
        <w:rPr>
          <w:i/>
          <w:iCs/>
          <w:sz w:val="20"/>
        </w:rPr>
        <w:t>”</w:t>
      </w:r>
      <w:r w:rsidR="0054214B" w:rsidRPr="00184AA3">
        <w:rPr>
          <w:i/>
          <w:iCs/>
          <w:sz w:val="20"/>
        </w:rPr>
        <w:t xml:space="preserve"> with </w:t>
      </w:r>
      <w:r w:rsidR="0054214B" w:rsidRPr="00184AA3">
        <w:rPr>
          <w:sz w:val="20"/>
        </w:rPr>
        <w:t>d</w:t>
      </w:r>
      <w:r w:rsidR="001A3893" w:rsidRPr="00184AA3">
        <w:rPr>
          <w:sz w:val="20"/>
        </w:rPr>
        <w:t>etailed</w:t>
      </w:r>
      <w:r w:rsidR="00A84D62" w:rsidRPr="00184AA3">
        <w:rPr>
          <w:sz w:val="20"/>
        </w:rPr>
        <w:t xml:space="preserve"> guidance around what this means</w:t>
      </w:r>
      <w:r w:rsidR="00961CFA" w:rsidRPr="00184AA3">
        <w:rPr>
          <w:sz w:val="20"/>
        </w:rPr>
        <w:t>.</w:t>
      </w:r>
      <w:r w:rsidR="00A84D62" w:rsidRPr="00184AA3">
        <w:rPr>
          <w:sz w:val="20"/>
        </w:rPr>
        <w:t xml:space="preserve">  </w:t>
      </w:r>
      <w:r w:rsidR="002B7C72">
        <w:rPr>
          <w:sz w:val="20"/>
        </w:rPr>
        <w:t>F</w:t>
      </w:r>
      <w:r w:rsidR="00FC6118" w:rsidRPr="00184AA3">
        <w:rPr>
          <w:sz w:val="20"/>
        </w:rPr>
        <w:t>ollowing</w:t>
      </w:r>
      <w:r w:rsidR="00D17FF2" w:rsidRPr="00184AA3">
        <w:rPr>
          <w:sz w:val="20"/>
        </w:rPr>
        <w:t xml:space="preserve"> results of</w:t>
      </w:r>
      <w:r w:rsidR="00A84D62" w:rsidRPr="00184AA3">
        <w:rPr>
          <w:sz w:val="20"/>
        </w:rPr>
        <w:t xml:space="preserve"> </w:t>
      </w:r>
      <w:r w:rsidR="00FC6118" w:rsidRPr="00184AA3">
        <w:rPr>
          <w:sz w:val="20"/>
        </w:rPr>
        <w:t xml:space="preserve">Stage 1 </w:t>
      </w:r>
      <w:r w:rsidR="00A84D62" w:rsidRPr="00184AA3">
        <w:rPr>
          <w:sz w:val="20"/>
        </w:rPr>
        <w:t>sifting</w:t>
      </w:r>
      <w:r w:rsidR="00FC6118" w:rsidRPr="00184AA3">
        <w:rPr>
          <w:sz w:val="20"/>
        </w:rPr>
        <w:t xml:space="preserve"> of applications by the Expert Committee it</w:t>
      </w:r>
      <w:r w:rsidR="00D17FF2" w:rsidRPr="00184AA3">
        <w:rPr>
          <w:sz w:val="20"/>
        </w:rPr>
        <w:t xml:space="preserve"> was eviden</w:t>
      </w:r>
      <w:r w:rsidR="001D02C8" w:rsidRPr="00184AA3">
        <w:rPr>
          <w:sz w:val="20"/>
        </w:rPr>
        <w:t>t</w:t>
      </w:r>
      <w:r w:rsidR="00D17FF2" w:rsidRPr="00184AA3">
        <w:rPr>
          <w:sz w:val="20"/>
        </w:rPr>
        <w:t xml:space="preserve"> that </w:t>
      </w:r>
      <w:r w:rsidR="007873B7" w:rsidRPr="00184AA3">
        <w:rPr>
          <w:sz w:val="20"/>
        </w:rPr>
        <w:t xml:space="preserve">we potentially </w:t>
      </w:r>
      <w:r w:rsidR="00D17FF2" w:rsidRPr="00184AA3">
        <w:rPr>
          <w:sz w:val="20"/>
        </w:rPr>
        <w:t>hadn’t</w:t>
      </w:r>
      <w:r w:rsidR="00A67652" w:rsidRPr="00184AA3">
        <w:rPr>
          <w:sz w:val="20"/>
        </w:rPr>
        <w:t xml:space="preserve"> </w:t>
      </w:r>
      <w:r w:rsidR="001A503B" w:rsidRPr="00184AA3">
        <w:rPr>
          <w:sz w:val="20"/>
        </w:rPr>
        <w:t xml:space="preserve">adequately </w:t>
      </w:r>
      <w:r w:rsidR="00A67652" w:rsidRPr="00184AA3">
        <w:rPr>
          <w:sz w:val="20"/>
        </w:rPr>
        <w:t>weighted</w:t>
      </w:r>
      <w:r w:rsidR="00D17FF2" w:rsidRPr="00184AA3">
        <w:rPr>
          <w:sz w:val="20"/>
        </w:rPr>
        <w:t xml:space="preserve"> this </w:t>
      </w:r>
      <w:r w:rsidR="001D02C8" w:rsidRPr="00184AA3">
        <w:rPr>
          <w:sz w:val="20"/>
        </w:rPr>
        <w:t>cl</w:t>
      </w:r>
      <w:r w:rsidR="001A503B" w:rsidRPr="00184AA3">
        <w:rPr>
          <w:sz w:val="20"/>
        </w:rPr>
        <w:t xml:space="preserve">early </w:t>
      </w:r>
      <w:r w:rsidR="007873B7" w:rsidRPr="00184AA3">
        <w:rPr>
          <w:sz w:val="20"/>
        </w:rPr>
        <w:t xml:space="preserve">enough </w:t>
      </w:r>
      <w:r w:rsidR="00D17FF2" w:rsidRPr="00184AA3">
        <w:rPr>
          <w:sz w:val="20"/>
        </w:rPr>
        <w:t>within our scoring criteria</w:t>
      </w:r>
      <w:r w:rsidR="00A67652" w:rsidRPr="00184AA3">
        <w:rPr>
          <w:sz w:val="20"/>
        </w:rPr>
        <w:t xml:space="preserve"> to allow for consistent scoring </w:t>
      </w:r>
      <w:r w:rsidR="0072558C" w:rsidRPr="00184AA3">
        <w:rPr>
          <w:sz w:val="20"/>
        </w:rPr>
        <w:t xml:space="preserve">by all </w:t>
      </w:r>
      <w:r w:rsidR="001A503B" w:rsidRPr="00184AA3">
        <w:rPr>
          <w:sz w:val="20"/>
        </w:rPr>
        <w:t xml:space="preserve">Expert Committee members </w:t>
      </w:r>
      <w:r w:rsidR="0072558C" w:rsidRPr="00184AA3">
        <w:rPr>
          <w:sz w:val="20"/>
        </w:rPr>
        <w:t xml:space="preserve">leading to </w:t>
      </w:r>
      <w:r w:rsidR="001A503B" w:rsidRPr="00184AA3">
        <w:rPr>
          <w:sz w:val="20"/>
        </w:rPr>
        <w:t xml:space="preserve">potential </w:t>
      </w:r>
      <w:r w:rsidR="00227BB7" w:rsidRPr="00184AA3">
        <w:rPr>
          <w:sz w:val="20"/>
        </w:rPr>
        <w:t>geographical biases</w:t>
      </w:r>
      <w:r w:rsidR="0072558C" w:rsidRPr="00184AA3">
        <w:rPr>
          <w:sz w:val="20"/>
        </w:rPr>
        <w:t xml:space="preserve"> and the requirement of additional review.</w:t>
      </w:r>
      <w:r w:rsidR="00D17FF2" w:rsidRPr="00184AA3">
        <w:rPr>
          <w:sz w:val="20"/>
        </w:rPr>
        <w:t xml:space="preserve"> </w:t>
      </w:r>
      <w:r w:rsidR="00A84D62" w:rsidRPr="00184AA3">
        <w:rPr>
          <w:sz w:val="20"/>
        </w:rPr>
        <w:t xml:space="preserve"> </w:t>
      </w:r>
      <w:r w:rsidR="00961CFA" w:rsidRPr="00184AA3">
        <w:rPr>
          <w:sz w:val="20"/>
        </w:rPr>
        <w:t xml:space="preserve">  </w:t>
      </w:r>
    </w:p>
    <w:p w14:paraId="3E4C1D66" w14:textId="499981EC" w:rsidR="456BA3D3" w:rsidRPr="00184AA3" w:rsidRDefault="456BA3D3" w:rsidP="0012520B">
      <w:pPr>
        <w:pStyle w:val="ListParagraph"/>
        <w:jc w:val="both"/>
        <w:rPr>
          <w:b/>
          <w:bCs/>
          <w:sz w:val="20"/>
        </w:rPr>
      </w:pPr>
    </w:p>
    <w:p w14:paraId="0D424C8C" w14:textId="5087FCE2" w:rsidR="006F3AE7" w:rsidRDefault="13648996" w:rsidP="00C005C2">
      <w:pPr>
        <w:pStyle w:val="ListParagraph"/>
        <w:jc w:val="both"/>
        <w:rPr>
          <w:sz w:val="20"/>
        </w:rPr>
      </w:pPr>
      <w:r w:rsidRPr="00184AA3">
        <w:rPr>
          <w:b/>
          <w:bCs/>
          <w:sz w:val="20"/>
        </w:rPr>
        <w:t>Recommendation:</w:t>
      </w:r>
      <w:r w:rsidR="49F28311" w:rsidRPr="00184AA3">
        <w:rPr>
          <w:b/>
          <w:bCs/>
          <w:sz w:val="20"/>
        </w:rPr>
        <w:t xml:space="preserve"> </w:t>
      </w:r>
      <w:r w:rsidR="49F28311" w:rsidRPr="00184AA3">
        <w:rPr>
          <w:sz w:val="20"/>
        </w:rPr>
        <w:t>D</w:t>
      </w:r>
      <w:r w:rsidR="00E3209A">
        <w:rPr>
          <w:sz w:val="20"/>
        </w:rPr>
        <w:t xml:space="preserve">efra and </w:t>
      </w:r>
      <w:r w:rsidR="00D26229">
        <w:rPr>
          <w:sz w:val="20"/>
        </w:rPr>
        <w:t>NIRAS</w:t>
      </w:r>
      <w:r w:rsidR="00E3209A">
        <w:rPr>
          <w:sz w:val="20"/>
        </w:rPr>
        <w:t xml:space="preserve"> to d</w:t>
      </w:r>
      <w:r w:rsidR="49F28311" w:rsidRPr="00184AA3">
        <w:rPr>
          <w:sz w:val="20"/>
        </w:rPr>
        <w:t>evelop clearer guidance for the OCEAN Expert Committee on the scoring of UMIC applications ahead of the assessment stages for the second call for proposals w</w:t>
      </w:r>
      <w:r w:rsidR="51058AF8" w:rsidRPr="00184AA3">
        <w:rPr>
          <w:sz w:val="20"/>
        </w:rPr>
        <w:t xml:space="preserve">hich will </w:t>
      </w:r>
      <w:r w:rsidR="00CE0F68">
        <w:rPr>
          <w:sz w:val="20"/>
        </w:rPr>
        <w:t>launch in January 2025.</w:t>
      </w:r>
    </w:p>
    <w:p w14:paraId="167FC1D6" w14:textId="77777777" w:rsidR="00C005C2" w:rsidRPr="00184AA3" w:rsidRDefault="00C005C2" w:rsidP="00C005C2">
      <w:pPr>
        <w:pStyle w:val="ListParagraph"/>
        <w:jc w:val="both"/>
        <w:rPr>
          <w:sz w:val="20"/>
        </w:rPr>
      </w:pPr>
    </w:p>
    <w:p w14:paraId="0F34A74E" w14:textId="195F3C20" w:rsidR="006F3AE7" w:rsidRPr="00184AA3" w:rsidRDefault="13648996" w:rsidP="00AD1823">
      <w:pPr>
        <w:pStyle w:val="ListParagraph"/>
        <w:numPr>
          <w:ilvl w:val="0"/>
          <w:numId w:val="11"/>
        </w:numPr>
        <w:jc w:val="both"/>
        <w:rPr>
          <w:sz w:val="20"/>
        </w:rPr>
      </w:pPr>
      <w:r w:rsidRPr="00B40061">
        <w:rPr>
          <w:b/>
          <w:bCs/>
          <w:sz w:val="20"/>
        </w:rPr>
        <w:t>Lesson:</w:t>
      </w:r>
      <w:r w:rsidR="006E74C9" w:rsidRPr="00184AA3">
        <w:rPr>
          <w:sz w:val="20"/>
        </w:rPr>
        <w:t xml:space="preserve"> Du</w:t>
      </w:r>
      <w:r w:rsidR="006753EC" w:rsidRPr="00184AA3">
        <w:rPr>
          <w:sz w:val="20"/>
        </w:rPr>
        <w:t xml:space="preserve">e to the </w:t>
      </w:r>
      <w:r w:rsidR="0009144C" w:rsidRPr="00184AA3">
        <w:rPr>
          <w:sz w:val="20"/>
        </w:rPr>
        <w:t>success</w:t>
      </w:r>
      <w:r w:rsidR="00F32A2F" w:rsidRPr="00184AA3">
        <w:rPr>
          <w:sz w:val="20"/>
        </w:rPr>
        <w:t xml:space="preserve"> of </w:t>
      </w:r>
      <w:r w:rsidR="00822D28" w:rsidRPr="00184AA3">
        <w:rPr>
          <w:sz w:val="20"/>
        </w:rPr>
        <w:t>the</w:t>
      </w:r>
      <w:r w:rsidR="00F32A2F" w:rsidRPr="00184AA3">
        <w:rPr>
          <w:sz w:val="20"/>
        </w:rPr>
        <w:t xml:space="preserve"> first funding round</w:t>
      </w:r>
      <w:r w:rsidR="006753EC" w:rsidRPr="00184AA3">
        <w:rPr>
          <w:sz w:val="20"/>
        </w:rPr>
        <w:t xml:space="preserve"> </w:t>
      </w:r>
      <w:r w:rsidR="00822D28" w:rsidRPr="00184AA3">
        <w:rPr>
          <w:sz w:val="20"/>
        </w:rPr>
        <w:t>OCEAN</w:t>
      </w:r>
      <w:r w:rsidR="00A05556" w:rsidRPr="00184AA3">
        <w:rPr>
          <w:sz w:val="20"/>
        </w:rPr>
        <w:t xml:space="preserve"> received </w:t>
      </w:r>
      <w:r w:rsidR="002901AE">
        <w:rPr>
          <w:sz w:val="20"/>
        </w:rPr>
        <w:t>significant</w:t>
      </w:r>
      <w:r w:rsidR="001D1884" w:rsidRPr="00184AA3">
        <w:rPr>
          <w:sz w:val="20"/>
        </w:rPr>
        <w:t xml:space="preserve"> volumes of </w:t>
      </w:r>
      <w:r w:rsidR="003D626E">
        <w:rPr>
          <w:sz w:val="20"/>
        </w:rPr>
        <w:t xml:space="preserve">eligible </w:t>
      </w:r>
      <w:r w:rsidR="001D1884" w:rsidRPr="00184AA3">
        <w:rPr>
          <w:sz w:val="20"/>
        </w:rPr>
        <w:t>applications</w:t>
      </w:r>
      <w:r w:rsidR="006753EC" w:rsidRPr="00184AA3">
        <w:rPr>
          <w:sz w:val="20"/>
        </w:rPr>
        <w:t xml:space="preserve"> </w:t>
      </w:r>
      <w:r w:rsidR="00F97590" w:rsidRPr="00184AA3">
        <w:rPr>
          <w:sz w:val="20"/>
        </w:rPr>
        <w:t>in</w:t>
      </w:r>
      <w:r w:rsidR="006E74C9" w:rsidRPr="00184AA3">
        <w:rPr>
          <w:sz w:val="20"/>
        </w:rPr>
        <w:t xml:space="preserve"> </w:t>
      </w:r>
      <w:r w:rsidR="00B050B4" w:rsidRPr="00184AA3">
        <w:rPr>
          <w:sz w:val="20"/>
        </w:rPr>
        <w:t>Year 1</w:t>
      </w:r>
      <w:r w:rsidR="00D833A5" w:rsidRPr="00184AA3">
        <w:rPr>
          <w:sz w:val="20"/>
        </w:rPr>
        <w:t>.</w:t>
      </w:r>
      <w:r w:rsidR="00B050B4" w:rsidRPr="00184AA3">
        <w:rPr>
          <w:sz w:val="20"/>
        </w:rPr>
        <w:t xml:space="preserve"> </w:t>
      </w:r>
      <w:r w:rsidR="0080760E" w:rsidRPr="00184AA3">
        <w:rPr>
          <w:sz w:val="20"/>
        </w:rPr>
        <w:t xml:space="preserve"> </w:t>
      </w:r>
      <w:r w:rsidR="00430827" w:rsidRPr="00184AA3">
        <w:rPr>
          <w:sz w:val="20"/>
        </w:rPr>
        <w:t>T</w:t>
      </w:r>
      <w:r w:rsidR="007C4C34" w:rsidRPr="00184AA3">
        <w:rPr>
          <w:sz w:val="20"/>
        </w:rPr>
        <w:t>o ensure</w:t>
      </w:r>
      <w:r w:rsidR="00430827" w:rsidRPr="00184AA3">
        <w:rPr>
          <w:sz w:val="20"/>
        </w:rPr>
        <w:t xml:space="preserve"> </w:t>
      </w:r>
      <w:r w:rsidR="0012520B">
        <w:rPr>
          <w:sz w:val="20"/>
        </w:rPr>
        <w:t xml:space="preserve">a </w:t>
      </w:r>
      <w:r w:rsidR="00430827" w:rsidRPr="00184AA3">
        <w:rPr>
          <w:sz w:val="20"/>
        </w:rPr>
        <w:t>robust evaluation</w:t>
      </w:r>
      <w:r w:rsidR="00822D28" w:rsidRPr="00184AA3">
        <w:rPr>
          <w:sz w:val="20"/>
        </w:rPr>
        <w:t xml:space="preserve"> </w:t>
      </w:r>
      <w:r w:rsidR="00C20DEC">
        <w:rPr>
          <w:sz w:val="20"/>
        </w:rPr>
        <w:t>process</w:t>
      </w:r>
      <w:r w:rsidR="003D626E">
        <w:rPr>
          <w:sz w:val="20"/>
        </w:rPr>
        <w:t xml:space="preserve">, </w:t>
      </w:r>
      <w:r w:rsidR="00837522">
        <w:rPr>
          <w:sz w:val="20"/>
        </w:rPr>
        <w:t>all</w:t>
      </w:r>
      <w:r w:rsidR="00581EFA">
        <w:rPr>
          <w:sz w:val="20"/>
        </w:rPr>
        <w:t xml:space="preserve"> </w:t>
      </w:r>
      <w:r w:rsidR="00B972A3">
        <w:rPr>
          <w:sz w:val="20"/>
        </w:rPr>
        <w:t>eligible appli</w:t>
      </w:r>
      <w:r w:rsidR="00020589">
        <w:rPr>
          <w:sz w:val="20"/>
        </w:rPr>
        <w:t>cation</w:t>
      </w:r>
      <w:r w:rsidR="00837522">
        <w:rPr>
          <w:sz w:val="20"/>
        </w:rPr>
        <w:t xml:space="preserve">s were </w:t>
      </w:r>
      <w:r w:rsidR="00043DF1">
        <w:rPr>
          <w:sz w:val="20"/>
        </w:rPr>
        <w:t>reviewed</w:t>
      </w:r>
      <w:r w:rsidR="002B2173">
        <w:rPr>
          <w:sz w:val="20"/>
        </w:rPr>
        <w:t xml:space="preserve"> </w:t>
      </w:r>
      <w:r w:rsidR="00212407">
        <w:rPr>
          <w:sz w:val="20"/>
        </w:rPr>
        <w:t>separately</w:t>
      </w:r>
      <w:r w:rsidR="002B2173">
        <w:rPr>
          <w:sz w:val="20"/>
        </w:rPr>
        <w:t xml:space="preserve"> by three </w:t>
      </w:r>
      <w:r w:rsidR="00822D28" w:rsidRPr="00184AA3">
        <w:rPr>
          <w:sz w:val="20"/>
        </w:rPr>
        <w:t>of</w:t>
      </w:r>
      <w:r w:rsidR="00604934" w:rsidRPr="00184AA3">
        <w:rPr>
          <w:sz w:val="20"/>
        </w:rPr>
        <w:t xml:space="preserve"> </w:t>
      </w:r>
      <w:r w:rsidR="002B2173">
        <w:rPr>
          <w:sz w:val="20"/>
        </w:rPr>
        <w:t xml:space="preserve">our </w:t>
      </w:r>
      <w:r w:rsidR="00DF73C8">
        <w:rPr>
          <w:sz w:val="20"/>
        </w:rPr>
        <w:t>Expert Committee members</w:t>
      </w:r>
      <w:r w:rsidR="00837522">
        <w:rPr>
          <w:sz w:val="20"/>
        </w:rPr>
        <w:t xml:space="preserve"> ahead of the sift meeting</w:t>
      </w:r>
      <w:r w:rsidR="00DF73C8">
        <w:rPr>
          <w:sz w:val="20"/>
        </w:rPr>
        <w:t>.</w:t>
      </w:r>
      <w:r w:rsidR="002B2173">
        <w:rPr>
          <w:sz w:val="20"/>
        </w:rPr>
        <w:t xml:space="preserve"> </w:t>
      </w:r>
      <w:r w:rsidR="00F83ACE">
        <w:rPr>
          <w:sz w:val="20"/>
        </w:rPr>
        <w:t xml:space="preserve">With </w:t>
      </w:r>
      <w:r w:rsidR="00D9002E">
        <w:rPr>
          <w:sz w:val="20"/>
        </w:rPr>
        <w:t>limited</w:t>
      </w:r>
      <w:r w:rsidR="006753EC" w:rsidRPr="00184AA3">
        <w:rPr>
          <w:sz w:val="20"/>
        </w:rPr>
        <w:t xml:space="preserve"> resource </w:t>
      </w:r>
      <w:r w:rsidR="00F83ACE">
        <w:rPr>
          <w:sz w:val="20"/>
        </w:rPr>
        <w:t>for the first funding round</w:t>
      </w:r>
      <w:r w:rsidR="00A92577">
        <w:rPr>
          <w:sz w:val="20"/>
        </w:rPr>
        <w:t>,</w:t>
      </w:r>
      <w:r w:rsidR="006753EC" w:rsidRPr="00184AA3">
        <w:rPr>
          <w:sz w:val="20"/>
        </w:rPr>
        <w:t xml:space="preserve"> </w:t>
      </w:r>
      <w:r w:rsidR="00B23EEB">
        <w:rPr>
          <w:sz w:val="20"/>
        </w:rPr>
        <w:t>this</w:t>
      </w:r>
      <w:r w:rsidR="006753EC" w:rsidRPr="00184AA3">
        <w:rPr>
          <w:sz w:val="20"/>
        </w:rPr>
        <w:t xml:space="preserve"> added strain to</w:t>
      </w:r>
      <w:r w:rsidR="00866EE6">
        <w:rPr>
          <w:sz w:val="20"/>
        </w:rPr>
        <w:t xml:space="preserve"> </w:t>
      </w:r>
      <w:r w:rsidR="006753EC" w:rsidRPr="00184AA3">
        <w:rPr>
          <w:sz w:val="20"/>
        </w:rPr>
        <w:t xml:space="preserve">members </w:t>
      </w:r>
      <w:r w:rsidR="00866EE6">
        <w:rPr>
          <w:sz w:val="20"/>
        </w:rPr>
        <w:t>and</w:t>
      </w:r>
      <w:r w:rsidR="006753EC" w:rsidRPr="00184AA3">
        <w:rPr>
          <w:sz w:val="20"/>
        </w:rPr>
        <w:t xml:space="preserve"> </w:t>
      </w:r>
      <w:r w:rsidR="00CE72D7">
        <w:rPr>
          <w:sz w:val="20"/>
        </w:rPr>
        <w:t xml:space="preserve">the </w:t>
      </w:r>
      <w:r w:rsidR="00A92577">
        <w:rPr>
          <w:sz w:val="20"/>
        </w:rPr>
        <w:t xml:space="preserve">programme </w:t>
      </w:r>
      <w:r w:rsidR="006753EC" w:rsidRPr="00184AA3">
        <w:rPr>
          <w:sz w:val="20"/>
        </w:rPr>
        <w:t>team</w:t>
      </w:r>
      <w:r w:rsidR="00A92577">
        <w:rPr>
          <w:sz w:val="20"/>
        </w:rPr>
        <w:t>, particularly</w:t>
      </w:r>
      <w:r w:rsidR="006753EC" w:rsidRPr="00184AA3">
        <w:rPr>
          <w:sz w:val="20"/>
        </w:rPr>
        <w:t xml:space="preserve"> if external issues led to members being unable to complete </w:t>
      </w:r>
      <w:proofErr w:type="gramStart"/>
      <w:r w:rsidR="00A92577">
        <w:rPr>
          <w:sz w:val="20"/>
        </w:rPr>
        <w:t>all of</w:t>
      </w:r>
      <w:proofErr w:type="gramEnd"/>
      <w:r w:rsidR="00A92577">
        <w:rPr>
          <w:sz w:val="20"/>
        </w:rPr>
        <w:t xml:space="preserve"> </w:t>
      </w:r>
      <w:r w:rsidR="006753EC" w:rsidRPr="00184AA3">
        <w:rPr>
          <w:sz w:val="20"/>
        </w:rPr>
        <w:t>their allocated assessments</w:t>
      </w:r>
      <w:r w:rsidR="00EC3CA9">
        <w:rPr>
          <w:sz w:val="20"/>
        </w:rPr>
        <w:t xml:space="preserve"> within tight time frames</w:t>
      </w:r>
      <w:r w:rsidR="00CE72D7">
        <w:rPr>
          <w:sz w:val="20"/>
        </w:rPr>
        <w:t xml:space="preserve"> allocated</w:t>
      </w:r>
      <w:r w:rsidR="006753EC" w:rsidRPr="00184AA3">
        <w:rPr>
          <w:sz w:val="20"/>
        </w:rPr>
        <w:t>.</w:t>
      </w:r>
    </w:p>
    <w:p w14:paraId="0D476B0B" w14:textId="3BDD728F" w:rsidR="5582601B" w:rsidRPr="00184AA3" w:rsidRDefault="5582601B" w:rsidP="002901AE">
      <w:pPr>
        <w:pStyle w:val="ListParagraph"/>
        <w:jc w:val="both"/>
        <w:rPr>
          <w:sz w:val="20"/>
        </w:rPr>
      </w:pPr>
    </w:p>
    <w:p w14:paraId="1C5C0C6D" w14:textId="5ED65DF2" w:rsidR="13648996" w:rsidRPr="00184AA3" w:rsidRDefault="13648996" w:rsidP="002901AE">
      <w:pPr>
        <w:pStyle w:val="ListParagraph"/>
        <w:jc w:val="both"/>
        <w:rPr>
          <w:sz w:val="20"/>
        </w:rPr>
      </w:pPr>
      <w:r w:rsidRPr="00184AA3">
        <w:rPr>
          <w:b/>
          <w:bCs/>
          <w:sz w:val="20"/>
        </w:rPr>
        <w:t>Recommendation:</w:t>
      </w:r>
      <w:r w:rsidR="190F4728" w:rsidRPr="00184AA3">
        <w:rPr>
          <w:b/>
          <w:bCs/>
          <w:sz w:val="20"/>
        </w:rPr>
        <w:t xml:space="preserve"> </w:t>
      </w:r>
      <w:r w:rsidR="003A3108">
        <w:rPr>
          <w:sz w:val="20"/>
        </w:rPr>
        <w:t>Defra to i</w:t>
      </w:r>
      <w:r w:rsidR="190F4728" w:rsidRPr="00184AA3">
        <w:rPr>
          <w:sz w:val="20"/>
        </w:rPr>
        <w:t>ncrease the number of Expert Committee members</w:t>
      </w:r>
      <w:r w:rsidR="00577A44">
        <w:rPr>
          <w:sz w:val="20"/>
        </w:rPr>
        <w:t>, particularly those with</w:t>
      </w:r>
      <w:r w:rsidR="00CC3DAC">
        <w:rPr>
          <w:sz w:val="20"/>
        </w:rPr>
        <w:t xml:space="preserve"> international development expertise</w:t>
      </w:r>
      <w:r w:rsidR="190F4728" w:rsidRPr="00184AA3">
        <w:rPr>
          <w:sz w:val="20"/>
        </w:rPr>
        <w:t xml:space="preserve"> ahead of the launch of the second call for proposals in </w:t>
      </w:r>
      <w:r w:rsidR="00CE0F68">
        <w:rPr>
          <w:sz w:val="20"/>
        </w:rPr>
        <w:t>January 2025.</w:t>
      </w:r>
      <w:r w:rsidR="190F4728" w:rsidRPr="00184AA3">
        <w:rPr>
          <w:sz w:val="20"/>
        </w:rPr>
        <w:t xml:space="preserve"> </w:t>
      </w:r>
    </w:p>
    <w:p w14:paraId="705574C7" w14:textId="724B455C" w:rsidR="5582601B" w:rsidRPr="00184AA3" w:rsidRDefault="5582601B" w:rsidP="002901AE">
      <w:pPr>
        <w:pStyle w:val="ListParagraph"/>
        <w:jc w:val="both"/>
        <w:rPr>
          <w:sz w:val="20"/>
        </w:rPr>
      </w:pPr>
    </w:p>
    <w:p w14:paraId="7EBBB7A9" w14:textId="4ABFBFB2" w:rsidR="13648996" w:rsidRPr="00184AA3" w:rsidRDefault="13648996" w:rsidP="00AD1823">
      <w:pPr>
        <w:pStyle w:val="ListParagraph"/>
        <w:numPr>
          <w:ilvl w:val="0"/>
          <w:numId w:val="11"/>
        </w:numPr>
        <w:jc w:val="both"/>
        <w:rPr>
          <w:sz w:val="20"/>
        </w:rPr>
      </w:pPr>
      <w:r w:rsidRPr="00B40061">
        <w:rPr>
          <w:b/>
          <w:bCs/>
          <w:sz w:val="20"/>
        </w:rPr>
        <w:t>Lesson:</w:t>
      </w:r>
      <w:r w:rsidR="00AA75C9">
        <w:rPr>
          <w:sz w:val="20"/>
        </w:rPr>
        <w:t xml:space="preserve"> </w:t>
      </w:r>
      <w:r w:rsidR="007B4E31">
        <w:rPr>
          <w:sz w:val="20"/>
        </w:rPr>
        <w:t xml:space="preserve">Due to </w:t>
      </w:r>
      <w:r w:rsidR="006F7252">
        <w:rPr>
          <w:sz w:val="20"/>
        </w:rPr>
        <w:t xml:space="preserve">OCEAN being a new </w:t>
      </w:r>
      <w:r w:rsidR="006F7252" w:rsidRPr="00ED0F50">
        <w:rPr>
          <w:sz w:val="20"/>
        </w:rPr>
        <w:t>funding</w:t>
      </w:r>
      <w:r w:rsidR="007B4E31" w:rsidRPr="00ED0F50">
        <w:rPr>
          <w:sz w:val="20"/>
        </w:rPr>
        <w:t xml:space="preserve"> programme</w:t>
      </w:r>
      <w:r w:rsidR="008006EF" w:rsidRPr="00ED0F50">
        <w:rPr>
          <w:sz w:val="20"/>
        </w:rPr>
        <w:t xml:space="preserve"> </w:t>
      </w:r>
      <w:r w:rsidR="00DB38FD">
        <w:rPr>
          <w:sz w:val="20"/>
        </w:rPr>
        <w:t>se</w:t>
      </w:r>
      <w:r w:rsidR="001650A0">
        <w:rPr>
          <w:sz w:val="20"/>
        </w:rPr>
        <w:t>veral</w:t>
      </w:r>
      <w:r w:rsidR="00DB38FD">
        <w:rPr>
          <w:sz w:val="20"/>
        </w:rPr>
        <w:t xml:space="preserve"> </w:t>
      </w:r>
      <w:r w:rsidR="007B4E31" w:rsidRPr="00ED0F50">
        <w:rPr>
          <w:sz w:val="20"/>
        </w:rPr>
        <w:t xml:space="preserve">detailed guidance </w:t>
      </w:r>
      <w:r w:rsidR="001650A0">
        <w:rPr>
          <w:sz w:val="20"/>
        </w:rPr>
        <w:t>documents</w:t>
      </w:r>
      <w:r w:rsidR="007B4E31" w:rsidRPr="00ED0F50">
        <w:rPr>
          <w:sz w:val="20"/>
        </w:rPr>
        <w:t xml:space="preserve"> </w:t>
      </w:r>
      <w:r w:rsidR="008006EF" w:rsidRPr="00ED0F50">
        <w:rPr>
          <w:sz w:val="20"/>
        </w:rPr>
        <w:t>for</w:t>
      </w:r>
      <w:r w:rsidR="007B4E31" w:rsidRPr="00ED0F50">
        <w:rPr>
          <w:sz w:val="20"/>
        </w:rPr>
        <w:t xml:space="preserve"> applicants </w:t>
      </w:r>
      <w:r w:rsidR="008006EF" w:rsidRPr="00ED0F50">
        <w:rPr>
          <w:sz w:val="20"/>
        </w:rPr>
        <w:t>w</w:t>
      </w:r>
      <w:r w:rsidR="00280C99">
        <w:rPr>
          <w:sz w:val="20"/>
        </w:rPr>
        <w:t>ere</w:t>
      </w:r>
      <w:r w:rsidR="008006EF" w:rsidRPr="00ED0F50">
        <w:rPr>
          <w:sz w:val="20"/>
        </w:rPr>
        <w:t xml:space="preserve"> </w:t>
      </w:r>
      <w:r w:rsidR="00C914BB">
        <w:rPr>
          <w:sz w:val="20"/>
        </w:rPr>
        <w:t>created and</w:t>
      </w:r>
      <w:r w:rsidR="008006EF" w:rsidRPr="00ED0F50">
        <w:rPr>
          <w:sz w:val="20"/>
        </w:rPr>
        <w:t xml:space="preserve"> </w:t>
      </w:r>
      <w:r w:rsidR="00DB38FD">
        <w:rPr>
          <w:sz w:val="20"/>
        </w:rPr>
        <w:t>published online</w:t>
      </w:r>
      <w:r w:rsidR="00703FCF">
        <w:rPr>
          <w:sz w:val="20"/>
        </w:rPr>
        <w:t>.</w:t>
      </w:r>
      <w:r w:rsidR="00D9002E">
        <w:rPr>
          <w:sz w:val="20"/>
        </w:rPr>
        <w:t xml:space="preserve"> </w:t>
      </w:r>
      <w:r w:rsidR="00703FCF">
        <w:rPr>
          <w:sz w:val="20"/>
        </w:rPr>
        <w:t>However</w:t>
      </w:r>
      <w:r w:rsidR="00AE16D2">
        <w:rPr>
          <w:sz w:val="20"/>
        </w:rPr>
        <w:t>, due to the</w:t>
      </w:r>
      <w:r w:rsidR="00864911">
        <w:rPr>
          <w:sz w:val="20"/>
        </w:rPr>
        <w:t xml:space="preserve"> c</w:t>
      </w:r>
      <w:r w:rsidR="00EA2F87">
        <w:rPr>
          <w:sz w:val="20"/>
        </w:rPr>
        <w:t xml:space="preserve">omplexity </w:t>
      </w:r>
      <w:r w:rsidR="00AE16D2">
        <w:rPr>
          <w:sz w:val="20"/>
        </w:rPr>
        <w:t>of</w:t>
      </w:r>
      <w:r w:rsidR="00EA2F87">
        <w:rPr>
          <w:sz w:val="20"/>
        </w:rPr>
        <w:t xml:space="preserve"> the</w:t>
      </w:r>
      <w:r w:rsidR="00AE16D2">
        <w:rPr>
          <w:sz w:val="20"/>
        </w:rPr>
        <w:t xml:space="preserve"> </w:t>
      </w:r>
      <w:r w:rsidR="00CC39A8">
        <w:rPr>
          <w:sz w:val="20"/>
        </w:rPr>
        <w:t>guidance</w:t>
      </w:r>
      <w:r w:rsidR="00101FD3">
        <w:rPr>
          <w:sz w:val="20"/>
        </w:rPr>
        <w:t>,</w:t>
      </w:r>
      <w:r w:rsidR="00D42D83">
        <w:rPr>
          <w:sz w:val="20"/>
        </w:rPr>
        <w:t xml:space="preserve"> </w:t>
      </w:r>
      <w:r w:rsidR="00A00242">
        <w:rPr>
          <w:sz w:val="20"/>
        </w:rPr>
        <w:t xml:space="preserve">applicants </w:t>
      </w:r>
      <w:r w:rsidR="001701AC">
        <w:rPr>
          <w:sz w:val="20"/>
        </w:rPr>
        <w:t xml:space="preserve">were found to </w:t>
      </w:r>
      <w:r w:rsidR="000125AC">
        <w:rPr>
          <w:sz w:val="20"/>
        </w:rPr>
        <w:t xml:space="preserve">often </w:t>
      </w:r>
      <w:r w:rsidR="009F6A8F">
        <w:rPr>
          <w:sz w:val="20"/>
        </w:rPr>
        <w:t>ma</w:t>
      </w:r>
      <w:r w:rsidR="001701AC">
        <w:rPr>
          <w:sz w:val="20"/>
        </w:rPr>
        <w:t>k</w:t>
      </w:r>
      <w:r w:rsidR="009F6A8F">
        <w:rPr>
          <w:sz w:val="20"/>
        </w:rPr>
        <w:t>e common mistakes</w:t>
      </w:r>
      <w:r w:rsidR="00101FD3">
        <w:rPr>
          <w:sz w:val="20"/>
        </w:rPr>
        <w:t xml:space="preserve"> </w:t>
      </w:r>
      <w:r w:rsidR="00B408F7">
        <w:rPr>
          <w:sz w:val="20"/>
        </w:rPr>
        <w:t xml:space="preserve">when it came to </w:t>
      </w:r>
      <w:r w:rsidR="00823F20">
        <w:rPr>
          <w:sz w:val="20"/>
        </w:rPr>
        <w:t xml:space="preserve">essential eligibility </w:t>
      </w:r>
      <w:r w:rsidR="003873FB">
        <w:rPr>
          <w:sz w:val="20"/>
        </w:rPr>
        <w:t xml:space="preserve">and </w:t>
      </w:r>
      <w:r w:rsidR="00A52468">
        <w:rPr>
          <w:sz w:val="20"/>
        </w:rPr>
        <w:t>application requirements</w:t>
      </w:r>
      <w:r w:rsidR="00E43C6D">
        <w:rPr>
          <w:sz w:val="20"/>
        </w:rPr>
        <w:t xml:space="preserve"> which le</w:t>
      </w:r>
      <w:r w:rsidR="00E05C13">
        <w:rPr>
          <w:sz w:val="20"/>
        </w:rPr>
        <w:t>d to</w:t>
      </w:r>
      <w:r w:rsidR="00E21F1C">
        <w:rPr>
          <w:sz w:val="20"/>
        </w:rPr>
        <w:t xml:space="preserve"> some</w:t>
      </w:r>
      <w:r w:rsidR="00ED50CB">
        <w:rPr>
          <w:sz w:val="20"/>
        </w:rPr>
        <w:t xml:space="preserve"> applications</w:t>
      </w:r>
      <w:r w:rsidR="0038657A">
        <w:rPr>
          <w:sz w:val="20"/>
        </w:rPr>
        <w:t xml:space="preserve"> being</w:t>
      </w:r>
      <w:r w:rsidR="00FC5C03">
        <w:rPr>
          <w:sz w:val="20"/>
        </w:rPr>
        <w:t xml:space="preserve"> </w:t>
      </w:r>
      <w:r w:rsidR="0085573F">
        <w:rPr>
          <w:sz w:val="20"/>
        </w:rPr>
        <w:t>ine</w:t>
      </w:r>
      <w:r w:rsidR="00250C48">
        <w:rPr>
          <w:sz w:val="20"/>
        </w:rPr>
        <w:t>ligible</w:t>
      </w:r>
      <w:r w:rsidR="004163E3">
        <w:rPr>
          <w:sz w:val="20"/>
        </w:rPr>
        <w:t>.</w:t>
      </w:r>
      <w:r w:rsidR="00B02963">
        <w:rPr>
          <w:sz w:val="20"/>
        </w:rPr>
        <w:t xml:space="preserve"> </w:t>
      </w:r>
    </w:p>
    <w:p w14:paraId="08E787C6" w14:textId="64AFBDC8" w:rsidR="456BA3D3" w:rsidRPr="00184AA3" w:rsidRDefault="456BA3D3" w:rsidP="00C914BB">
      <w:pPr>
        <w:pStyle w:val="ListParagraph"/>
        <w:jc w:val="both"/>
        <w:rPr>
          <w:sz w:val="20"/>
        </w:rPr>
      </w:pPr>
    </w:p>
    <w:p w14:paraId="4E0ECAE5" w14:textId="553ADF43" w:rsidR="13648996" w:rsidRPr="00184AA3" w:rsidRDefault="13648996" w:rsidP="00C914BB">
      <w:pPr>
        <w:pStyle w:val="ListParagraph"/>
        <w:jc w:val="both"/>
        <w:rPr>
          <w:sz w:val="20"/>
        </w:rPr>
      </w:pPr>
      <w:r w:rsidRPr="00184AA3">
        <w:rPr>
          <w:b/>
          <w:bCs/>
          <w:sz w:val="20"/>
        </w:rPr>
        <w:t>Recommendation</w:t>
      </w:r>
      <w:r w:rsidR="00334489" w:rsidRPr="00184AA3">
        <w:rPr>
          <w:b/>
          <w:bCs/>
          <w:sz w:val="20"/>
        </w:rPr>
        <w:t xml:space="preserve">: </w:t>
      </w:r>
      <w:r w:rsidR="00D26229">
        <w:rPr>
          <w:sz w:val="20"/>
        </w:rPr>
        <w:t>NIRAS and Defra</w:t>
      </w:r>
      <w:r w:rsidR="003A3108">
        <w:rPr>
          <w:sz w:val="20"/>
        </w:rPr>
        <w:t xml:space="preserve"> to p</w:t>
      </w:r>
      <w:r w:rsidR="00334489" w:rsidRPr="00184AA3">
        <w:rPr>
          <w:sz w:val="20"/>
        </w:rPr>
        <w:t xml:space="preserve">ublish short-form guidance to make essential eligibility and application requirements more visible to applicants </w:t>
      </w:r>
      <w:r w:rsidR="4EAA2EB1" w:rsidRPr="00184AA3">
        <w:rPr>
          <w:sz w:val="20"/>
        </w:rPr>
        <w:t>ahead of the launch of the second call for proposals</w:t>
      </w:r>
      <w:r w:rsidR="00FA7851">
        <w:rPr>
          <w:sz w:val="20"/>
        </w:rPr>
        <w:t>.</w:t>
      </w:r>
    </w:p>
    <w:p w14:paraId="482F7BFB" w14:textId="4C7EA762" w:rsidR="5582601B" w:rsidRPr="00184AA3" w:rsidRDefault="5582601B" w:rsidP="5582601B">
      <w:pPr>
        <w:pStyle w:val="ListParagraph"/>
        <w:rPr>
          <w:sz w:val="20"/>
        </w:rPr>
      </w:pPr>
    </w:p>
    <w:p w14:paraId="34CCEE3D" w14:textId="3937B4F2" w:rsidR="13648996" w:rsidRPr="00184AA3" w:rsidRDefault="13648996" w:rsidP="00AD1823">
      <w:pPr>
        <w:pStyle w:val="ListParagraph"/>
        <w:numPr>
          <w:ilvl w:val="0"/>
          <w:numId w:val="11"/>
        </w:numPr>
        <w:rPr>
          <w:sz w:val="20"/>
        </w:rPr>
      </w:pPr>
      <w:r w:rsidRPr="00B40061">
        <w:rPr>
          <w:b/>
          <w:bCs/>
          <w:sz w:val="20"/>
        </w:rPr>
        <w:t>Lesson:</w:t>
      </w:r>
      <w:r w:rsidR="00520EDA">
        <w:rPr>
          <w:sz w:val="20"/>
        </w:rPr>
        <w:t xml:space="preserve"> </w:t>
      </w:r>
      <w:r w:rsidR="009D3BFA">
        <w:rPr>
          <w:sz w:val="20"/>
        </w:rPr>
        <w:t>OCEAN programme team delivered a</w:t>
      </w:r>
      <w:r w:rsidR="00F12620">
        <w:rPr>
          <w:sz w:val="20"/>
        </w:rPr>
        <w:t xml:space="preserve"> briefing </w:t>
      </w:r>
      <w:r w:rsidR="00FF7C03">
        <w:rPr>
          <w:sz w:val="20"/>
        </w:rPr>
        <w:t xml:space="preserve">open </w:t>
      </w:r>
      <w:r w:rsidR="00F12620">
        <w:rPr>
          <w:sz w:val="20"/>
        </w:rPr>
        <w:t>to</w:t>
      </w:r>
      <w:r w:rsidR="009D3BFA">
        <w:rPr>
          <w:sz w:val="20"/>
        </w:rPr>
        <w:t xml:space="preserve"> </w:t>
      </w:r>
      <w:r w:rsidR="00FF7C03">
        <w:rPr>
          <w:sz w:val="20"/>
        </w:rPr>
        <w:t xml:space="preserve">all </w:t>
      </w:r>
      <w:r w:rsidR="00F12620">
        <w:rPr>
          <w:sz w:val="20"/>
        </w:rPr>
        <w:t>Climate and Environment</w:t>
      </w:r>
      <w:r w:rsidR="009D7724">
        <w:rPr>
          <w:sz w:val="20"/>
        </w:rPr>
        <w:t xml:space="preserve"> F</w:t>
      </w:r>
      <w:r w:rsidR="002F00CC">
        <w:rPr>
          <w:sz w:val="20"/>
        </w:rPr>
        <w:t>oreign Commonwealth and Development Office (FCDO)</w:t>
      </w:r>
      <w:r w:rsidR="00A5782A">
        <w:rPr>
          <w:sz w:val="20"/>
        </w:rPr>
        <w:t xml:space="preserve"> colleagues</w:t>
      </w:r>
      <w:r w:rsidR="00A76CE2">
        <w:rPr>
          <w:sz w:val="20"/>
        </w:rPr>
        <w:t xml:space="preserve"> ahead of the </w:t>
      </w:r>
      <w:r w:rsidR="006E3D54">
        <w:rPr>
          <w:sz w:val="20"/>
        </w:rPr>
        <w:t>first call for proposals</w:t>
      </w:r>
      <w:r w:rsidR="0023372B">
        <w:rPr>
          <w:sz w:val="20"/>
        </w:rPr>
        <w:t xml:space="preserve"> in Year 1</w:t>
      </w:r>
      <w:r w:rsidR="00FF7C03">
        <w:rPr>
          <w:sz w:val="20"/>
        </w:rPr>
        <w:t>.</w:t>
      </w:r>
      <w:r w:rsidR="00C230F8">
        <w:rPr>
          <w:sz w:val="20"/>
        </w:rPr>
        <w:t xml:space="preserve"> </w:t>
      </w:r>
      <w:r w:rsidR="0023372B">
        <w:rPr>
          <w:sz w:val="20"/>
        </w:rPr>
        <w:t>However,</w:t>
      </w:r>
      <w:r w:rsidR="00C230F8">
        <w:rPr>
          <w:sz w:val="20"/>
        </w:rPr>
        <w:t xml:space="preserve"> </w:t>
      </w:r>
      <w:r w:rsidR="006F54DA">
        <w:rPr>
          <w:sz w:val="20"/>
        </w:rPr>
        <w:t xml:space="preserve">due to the </w:t>
      </w:r>
      <w:r w:rsidR="00A44B46">
        <w:rPr>
          <w:sz w:val="20"/>
        </w:rPr>
        <w:t xml:space="preserve">restrained </w:t>
      </w:r>
      <w:r w:rsidR="0019737E">
        <w:rPr>
          <w:sz w:val="20"/>
        </w:rPr>
        <w:t>timelines</w:t>
      </w:r>
      <w:r w:rsidR="00961DFC">
        <w:rPr>
          <w:sz w:val="20"/>
        </w:rPr>
        <w:t xml:space="preserve"> ahead of</w:t>
      </w:r>
      <w:r w:rsidR="002C1342">
        <w:rPr>
          <w:sz w:val="20"/>
        </w:rPr>
        <w:t xml:space="preserve"> the launch date</w:t>
      </w:r>
      <w:r w:rsidR="0023372B">
        <w:rPr>
          <w:sz w:val="20"/>
        </w:rPr>
        <w:t xml:space="preserve"> some</w:t>
      </w:r>
      <w:r w:rsidR="004943D7">
        <w:rPr>
          <w:sz w:val="20"/>
        </w:rPr>
        <w:t xml:space="preserve"> key messaging around how FCDO colleagues could</w:t>
      </w:r>
      <w:r w:rsidR="002373C5">
        <w:rPr>
          <w:sz w:val="20"/>
        </w:rPr>
        <w:t xml:space="preserve"> support</w:t>
      </w:r>
      <w:r w:rsidR="005D3A02">
        <w:rPr>
          <w:sz w:val="20"/>
        </w:rPr>
        <w:t xml:space="preserve"> </w:t>
      </w:r>
      <w:r w:rsidR="0077083A">
        <w:rPr>
          <w:sz w:val="20"/>
        </w:rPr>
        <w:t xml:space="preserve">and engage with </w:t>
      </w:r>
      <w:r w:rsidR="005D3A02">
        <w:rPr>
          <w:sz w:val="20"/>
        </w:rPr>
        <w:t xml:space="preserve">applicants </w:t>
      </w:r>
      <w:r w:rsidR="007D35F0">
        <w:rPr>
          <w:sz w:val="20"/>
        </w:rPr>
        <w:t xml:space="preserve">during the competitive </w:t>
      </w:r>
      <w:r w:rsidR="0023372B">
        <w:rPr>
          <w:sz w:val="20"/>
        </w:rPr>
        <w:t xml:space="preserve">process </w:t>
      </w:r>
      <w:r w:rsidR="00F72414">
        <w:rPr>
          <w:sz w:val="20"/>
        </w:rPr>
        <w:t xml:space="preserve">was </w:t>
      </w:r>
      <w:r w:rsidR="00F00670">
        <w:rPr>
          <w:sz w:val="20"/>
        </w:rPr>
        <w:t xml:space="preserve">not clearly </w:t>
      </w:r>
      <w:r w:rsidR="0023372B">
        <w:rPr>
          <w:sz w:val="20"/>
        </w:rPr>
        <w:t xml:space="preserve">identified or </w:t>
      </w:r>
      <w:r w:rsidR="00F00670">
        <w:rPr>
          <w:sz w:val="20"/>
        </w:rPr>
        <w:t>understood</w:t>
      </w:r>
      <w:r w:rsidR="00763075">
        <w:rPr>
          <w:sz w:val="20"/>
        </w:rPr>
        <w:t>.</w:t>
      </w:r>
    </w:p>
    <w:p w14:paraId="70402582" w14:textId="5C700B1F" w:rsidR="0E9D34A5" w:rsidRPr="00184AA3" w:rsidRDefault="0E9D34A5" w:rsidP="0E9D34A5">
      <w:pPr>
        <w:pStyle w:val="ListParagraph"/>
        <w:rPr>
          <w:sz w:val="20"/>
        </w:rPr>
      </w:pPr>
    </w:p>
    <w:p w14:paraId="5053933F" w14:textId="3DE0E2C3" w:rsidR="13648996" w:rsidRPr="00184AA3" w:rsidRDefault="13648996" w:rsidP="5582601B">
      <w:pPr>
        <w:pStyle w:val="ListParagraph"/>
        <w:rPr>
          <w:sz w:val="20"/>
        </w:rPr>
      </w:pPr>
      <w:r w:rsidRPr="00184AA3">
        <w:rPr>
          <w:b/>
          <w:bCs/>
          <w:sz w:val="20"/>
        </w:rPr>
        <w:lastRenderedPageBreak/>
        <w:t>Recommendation:</w:t>
      </w:r>
      <w:r w:rsidR="66E7C433" w:rsidRPr="00184AA3">
        <w:rPr>
          <w:sz w:val="20"/>
        </w:rPr>
        <w:t xml:space="preserve"> </w:t>
      </w:r>
      <w:r w:rsidR="00D26229">
        <w:rPr>
          <w:sz w:val="20"/>
        </w:rPr>
        <w:t>Defra programme team to f</w:t>
      </w:r>
      <w:r w:rsidR="66E7C433" w:rsidRPr="00184AA3">
        <w:rPr>
          <w:sz w:val="20"/>
        </w:rPr>
        <w:t>urther develop the strategy for engagement with FCDO colleagues regarding OCEAN applications during the application and selection stages</w:t>
      </w:r>
      <w:r w:rsidR="7573EEB8" w:rsidRPr="00184AA3">
        <w:rPr>
          <w:sz w:val="20"/>
        </w:rPr>
        <w:t xml:space="preserve"> ahead of the launch of the second call for proposals in </w:t>
      </w:r>
      <w:r w:rsidR="00A33AA8">
        <w:rPr>
          <w:sz w:val="20"/>
        </w:rPr>
        <w:t>January 2025</w:t>
      </w:r>
      <w:r w:rsidR="7573EEB8" w:rsidRPr="00184AA3">
        <w:rPr>
          <w:sz w:val="20"/>
        </w:rPr>
        <w:t>.</w:t>
      </w:r>
    </w:p>
    <w:p w14:paraId="07DA6047" w14:textId="5C942DE0" w:rsidR="5582601B" w:rsidRPr="00184AA3" w:rsidRDefault="5582601B" w:rsidP="5582601B">
      <w:pPr>
        <w:pStyle w:val="ListParagraph"/>
        <w:rPr>
          <w:sz w:val="20"/>
        </w:rPr>
      </w:pPr>
    </w:p>
    <w:p w14:paraId="1848DA62" w14:textId="1543DAE9" w:rsidR="13648996" w:rsidRPr="00184AA3" w:rsidRDefault="13648996" w:rsidP="00AD1823">
      <w:pPr>
        <w:pStyle w:val="ListParagraph"/>
        <w:numPr>
          <w:ilvl w:val="0"/>
          <w:numId w:val="11"/>
        </w:numPr>
        <w:rPr>
          <w:sz w:val="20"/>
        </w:rPr>
      </w:pPr>
      <w:r w:rsidRPr="00B40061">
        <w:rPr>
          <w:b/>
          <w:bCs/>
          <w:sz w:val="20"/>
        </w:rPr>
        <w:t>Lesson:</w:t>
      </w:r>
      <w:r w:rsidR="00432B11">
        <w:rPr>
          <w:sz w:val="20"/>
        </w:rPr>
        <w:t xml:space="preserve"> A significant component of Year 1 was taken up by </w:t>
      </w:r>
      <w:r w:rsidR="00DC45AD">
        <w:rPr>
          <w:sz w:val="20"/>
        </w:rPr>
        <w:t xml:space="preserve">ensuring the </w:t>
      </w:r>
      <w:r w:rsidR="00040D72">
        <w:rPr>
          <w:sz w:val="20"/>
        </w:rPr>
        <w:t>development and implementation of OCEAN as a programme</w:t>
      </w:r>
      <w:r w:rsidR="00F50FF0">
        <w:rPr>
          <w:sz w:val="20"/>
        </w:rPr>
        <w:t xml:space="preserve">, therefore </w:t>
      </w:r>
      <w:r w:rsidR="00BC41F5">
        <w:rPr>
          <w:sz w:val="20"/>
        </w:rPr>
        <w:t xml:space="preserve">only </w:t>
      </w:r>
      <w:r w:rsidR="00F50FF0">
        <w:rPr>
          <w:sz w:val="20"/>
        </w:rPr>
        <w:t xml:space="preserve">limited </w:t>
      </w:r>
      <w:r w:rsidR="00F0251E">
        <w:rPr>
          <w:sz w:val="20"/>
        </w:rPr>
        <w:t>additional</w:t>
      </w:r>
      <w:r w:rsidR="00196FCC">
        <w:rPr>
          <w:sz w:val="20"/>
        </w:rPr>
        <w:t xml:space="preserve"> engagement activities were </w:t>
      </w:r>
      <w:proofErr w:type="gramStart"/>
      <w:r w:rsidR="00196FCC">
        <w:rPr>
          <w:sz w:val="20"/>
        </w:rPr>
        <w:t>undertaken</w:t>
      </w:r>
      <w:proofErr w:type="gramEnd"/>
      <w:r w:rsidR="005645AA">
        <w:rPr>
          <w:sz w:val="20"/>
        </w:rPr>
        <w:t xml:space="preserve"> and </w:t>
      </w:r>
      <w:r w:rsidR="00397DE4">
        <w:rPr>
          <w:sz w:val="20"/>
        </w:rPr>
        <w:t>developmen</w:t>
      </w:r>
      <w:r w:rsidR="00B767A5">
        <w:rPr>
          <w:sz w:val="20"/>
        </w:rPr>
        <w:t>t and growth</w:t>
      </w:r>
      <w:r w:rsidR="001E58CE">
        <w:rPr>
          <w:sz w:val="20"/>
        </w:rPr>
        <w:t xml:space="preserve"> </w:t>
      </w:r>
      <w:r w:rsidR="00702C4F">
        <w:rPr>
          <w:sz w:val="20"/>
        </w:rPr>
        <w:t xml:space="preserve">of </w:t>
      </w:r>
      <w:r w:rsidR="007E7755">
        <w:rPr>
          <w:sz w:val="20"/>
        </w:rPr>
        <w:t xml:space="preserve">the </w:t>
      </w:r>
      <w:r w:rsidR="00CA50F4">
        <w:rPr>
          <w:sz w:val="20"/>
        </w:rPr>
        <w:t xml:space="preserve">Ocean Decade Network was </w:t>
      </w:r>
      <w:r w:rsidR="00727412">
        <w:rPr>
          <w:sz w:val="20"/>
        </w:rPr>
        <w:t>put on hold due</w:t>
      </w:r>
      <w:r w:rsidR="00CA50F4">
        <w:rPr>
          <w:sz w:val="20"/>
        </w:rPr>
        <w:t xml:space="preserve"> </w:t>
      </w:r>
      <w:r w:rsidR="00727412">
        <w:rPr>
          <w:sz w:val="20"/>
        </w:rPr>
        <w:t>to changes in</w:t>
      </w:r>
      <w:r w:rsidR="00CA50F4">
        <w:rPr>
          <w:sz w:val="20"/>
        </w:rPr>
        <w:t xml:space="preserve"> </w:t>
      </w:r>
      <w:r w:rsidR="00B71175">
        <w:rPr>
          <w:sz w:val="20"/>
        </w:rPr>
        <w:t>the platform</w:t>
      </w:r>
      <w:r w:rsidR="00832167">
        <w:rPr>
          <w:sz w:val="20"/>
        </w:rPr>
        <w:t xml:space="preserve">s </w:t>
      </w:r>
      <w:r w:rsidR="00CA50F4">
        <w:rPr>
          <w:sz w:val="20"/>
        </w:rPr>
        <w:t>resourcing</w:t>
      </w:r>
      <w:r w:rsidR="00727412">
        <w:rPr>
          <w:sz w:val="20"/>
        </w:rPr>
        <w:t>.</w:t>
      </w:r>
      <w:r w:rsidR="00956B25">
        <w:rPr>
          <w:sz w:val="20"/>
        </w:rPr>
        <w:t xml:space="preserve"> </w:t>
      </w:r>
    </w:p>
    <w:p w14:paraId="4250225D" w14:textId="15B40DBF" w:rsidR="61AAE2FC" w:rsidRPr="00184AA3" w:rsidRDefault="61AAE2FC" w:rsidP="61AAE2FC">
      <w:pPr>
        <w:pStyle w:val="ListParagraph"/>
        <w:rPr>
          <w:sz w:val="20"/>
        </w:rPr>
      </w:pPr>
    </w:p>
    <w:p w14:paraId="6C6B2DEC" w14:textId="262BC2E7" w:rsidR="13648996" w:rsidRPr="00184AA3" w:rsidRDefault="13648996" w:rsidP="5582601B">
      <w:pPr>
        <w:pStyle w:val="ListParagraph"/>
        <w:rPr>
          <w:sz w:val="20"/>
        </w:rPr>
      </w:pPr>
      <w:r w:rsidRPr="00184AA3">
        <w:rPr>
          <w:b/>
          <w:bCs/>
          <w:sz w:val="20"/>
        </w:rPr>
        <w:t>Recommendation:</w:t>
      </w:r>
      <w:r w:rsidR="42E22C0F" w:rsidRPr="00184AA3">
        <w:rPr>
          <w:b/>
          <w:bCs/>
          <w:sz w:val="20"/>
        </w:rPr>
        <w:t xml:space="preserve"> </w:t>
      </w:r>
      <w:r w:rsidR="00D26229">
        <w:rPr>
          <w:sz w:val="20"/>
        </w:rPr>
        <w:t>NIRAS to u</w:t>
      </w:r>
      <w:r w:rsidR="66EC6845" w:rsidRPr="00184AA3">
        <w:rPr>
          <w:sz w:val="20"/>
        </w:rPr>
        <w:t xml:space="preserve">ndertake further engagement activities and grow the membership </w:t>
      </w:r>
      <w:r w:rsidR="00832167">
        <w:rPr>
          <w:sz w:val="20"/>
        </w:rPr>
        <w:t>and value</w:t>
      </w:r>
      <w:r w:rsidR="66EC6845" w:rsidRPr="00184AA3">
        <w:rPr>
          <w:sz w:val="20"/>
        </w:rPr>
        <w:t xml:space="preserve"> of the OCEAN Grants Community </w:t>
      </w:r>
      <w:r w:rsidR="00DD7D60">
        <w:rPr>
          <w:sz w:val="20"/>
        </w:rPr>
        <w:t xml:space="preserve">as a key learning platform </w:t>
      </w:r>
      <w:r w:rsidR="66EC6845" w:rsidRPr="00184AA3">
        <w:rPr>
          <w:sz w:val="20"/>
        </w:rPr>
        <w:t xml:space="preserve">on the Ocean Decade Network </w:t>
      </w:r>
      <w:r w:rsidR="00832167">
        <w:rPr>
          <w:sz w:val="20"/>
        </w:rPr>
        <w:t xml:space="preserve">focussing </w:t>
      </w:r>
      <w:r w:rsidR="00E642F3">
        <w:rPr>
          <w:sz w:val="20"/>
        </w:rPr>
        <w:t>for</w:t>
      </w:r>
      <w:r w:rsidR="00832167">
        <w:rPr>
          <w:sz w:val="20"/>
        </w:rPr>
        <w:t xml:space="preserve"> year 1 grantees</w:t>
      </w:r>
      <w:r w:rsidR="66EC6845" w:rsidRPr="00184AA3">
        <w:rPr>
          <w:sz w:val="20"/>
        </w:rPr>
        <w:t xml:space="preserve"> over the next 12 months.</w:t>
      </w:r>
    </w:p>
    <w:p w14:paraId="559D507F" w14:textId="225DB22C" w:rsidR="5582601B" w:rsidRPr="00184AA3" w:rsidRDefault="5582601B" w:rsidP="5582601B">
      <w:pPr>
        <w:pStyle w:val="ListParagraph"/>
        <w:rPr>
          <w:sz w:val="20"/>
        </w:rPr>
      </w:pPr>
    </w:p>
    <w:p w14:paraId="38A425DE" w14:textId="5916ADE4" w:rsidR="13648996" w:rsidRPr="00184AA3" w:rsidRDefault="13648996" w:rsidP="00AD1823">
      <w:pPr>
        <w:pStyle w:val="ListParagraph"/>
        <w:numPr>
          <w:ilvl w:val="0"/>
          <w:numId w:val="11"/>
        </w:numPr>
        <w:rPr>
          <w:sz w:val="20"/>
        </w:rPr>
      </w:pPr>
      <w:r w:rsidRPr="00B40061">
        <w:rPr>
          <w:b/>
          <w:bCs/>
          <w:sz w:val="20"/>
        </w:rPr>
        <w:t>Lesson:</w:t>
      </w:r>
      <w:r w:rsidR="00332987">
        <w:rPr>
          <w:sz w:val="20"/>
        </w:rPr>
        <w:t xml:space="preserve"> Due to </w:t>
      </w:r>
      <w:r w:rsidR="65C3BEF5" w:rsidRPr="08CA9F6D">
        <w:rPr>
          <w:sz w:val="20"/>
        </w:rPr>
        <w:t>con</w:t>
      </w:r>
      <w:r w:rsidR="00332987" w:rsidRPr="08CA9F6D">
        <w:rPr>
          <w:sz w:val="20"/>
        </w:rPr>
        <w:t>strained</w:t>
      </w:r>
      <w:r w:rsidR="00332987">
        <w:rPr>
          <w:sz w:val="20"/>
        </w:rPr>
        <w:t xml:space="preserve"> timelines ahead of </w:t>
      </w:r>
      <w:r w:rsidR="00F960EB">
        <w:rPr>
          <w:sz w:val="20"/>
        </w:rPr>
        <w:t xml:space="preserve">call for proposals </w:t>
      </w:r>
      <w:r w:rsidR="00332987">
        <w:rPr>
          <w:sz w:val="20"/>
        </w:rPr>
        <w:t>in Year 1</w:t>
      </w:r>
      <w:r w:rsidR="00F960EB">
        <w:rPr>
          <w:sz w:val="20"/>
        </w:rPr>
        <w:t xml:space="preserve">, </w:t>
      </w:r>
      <w:r w:rsidR="004408A4">
        <w:rPr>
          <w:sz w:val="20"/>
        </w:rPr>
        <w:t>very limited in-country</w:t>
      </w:r>
      <w:r w:rsidR="0BB5B425" w:rsidRPr="08CA9F6D">
        <w:rPr>
          <w:sz w:val="20"/>
        </w:rPr>
        <w:t xml:space="preserve">/regional </w:t>
      </w:r>
      <w:r w:rsidR="004408A4">
        <w:rPr>
          <w:sz w:val="20"/>
        </w:rPr>
        <w:t>engagement</w:t>
      </w:r>
      <w:r w:rsidR="00325D04">
        <w:rPr>
          <w:sz w:val="20"/>
        </w:rPr>
        <w:t xml:space="preserve"> was undertaken</w:t>
      </w:r>
      <w:r w:rsidR="149BF59B" w:rsidRPr="08CA9F6D">
        <w:rPr>
          <w:sz w:val="20"/>
        </w:rPr>
        <w:t>.</w:t>
      </w:r>
      <w:r w:rsidR="00A94894">
        <w:rPr>
          <w:sz w:val="20"/>
        </w:rPr>
        <w:t xml:space="preserve"> This resulted in a proportionately high number of applications from a small number of countries and some regions being underrepresented.</w:t>
      </w:r>
      <w:r w:rsidR="149BF59B" w:rsidRPr="08CA9F6D">
        <w:rPr>
          <w:sz w:val="20"/>
        </w:rPr>
        <w:t xml:space="preserve"> </w:t>
      </w:r>
    </w:p>
    <w:p w14:paraId="159632DD" w14:textId="3AB2B02B" w:rsidR="5EA544B9" w:rsidRPr="00184AA3" w:rsidRDefault="5EA544B9" w:rsidP="5EA544B9">
      <w:pPr>
        <w:pStyle w:val="ListParagraph"/>
        <w:rPr>
          <w:sz w:val="20"/>
        </w:rPr>
      </w:pPr>
    </w:p>
    <w:p w14:paraId="6493DB0E" w14:textId="1DF2882B" w:rsidR="13648996" w:rsidRPr="00184AA3" w:rsidRDefault="13648996" w:rsidP="57BCADE1">
      <w:pPr>
        <w:pStyle w:val="ListParagraph"/>
        <w:rPr>
          <w:sz w:val="20"/>
        </w:rPr>
      </w:pPr>
      <w:r w:rsidRPr="00184AA3">
        <w:rPr>
          <w:b/>
          <w:bCs/>
          <w:sz w:val="20"/>
        </w:rPr>
        <w:t>Recommendation:</w:t>
      </w:r>
      <w:r w:rsidR="00D26229">
        <w:rPr>
          <w:sz w:val="20"/>
        </w:rPr>
        <w:t xml:space="preserve"> Defra and NIRAS to e</w:t>
      </w:r>
      <w:r w:rsidR="1A4CA6AA" w:rsidRPr="00184AA3">
        <w:rPr>
          <w:sz w:val="20"/>
        </w:rPr>
        <w:t>nhance level of in-country</w:t>
      </w:r>
      <w:r w:rsidR="2AC588A6" w:rsidRPr="08CA9F6D">
        <w:rPr>
          <w:sz w:val="20"/>
        </w:rPr>
        <w:t>/regional</w:t>
      </w:r>
      <w:r w:rsidR="1A4CA6AA" w:rsidRPr="00184AA3">
        <w:rPr>
          <w:sz w:val="20"/>
        </w:rPr>
        <w:t xml:space="preserve"> engagement ahead of and during the second call for proposals to promote a diverse set of global applications, particularly from those who previously have not been able to access similar funds.</w:t>
      </w:r>
      <w:r w:rsidR="00284C83">
        <w:rPr>
          <w:sz w:val="20"/>
        </w:rPr>
        <w:t xml:space="preserve"> This will included targeted outreach in Western Africa and Small Island Developing States (SIDS).</w:t>
      </w:r>
    </w:p>
    <w:p w14:paraId="111454B5" w14:textId="32685613" w:rsidR="57BCADE1" w:rsidRPr="00184AA3" w:rsidRDefault="57BCADE1" w:rsidP="57BCADE1">
      <w:pPr>
        <w:pStyle w:val="ListParagraph"/>
        <w:rPr>
          <w:sz w:val="20"/>
        </w:rPr>
      </w:pPr>
    </w:p>
    <w:p w14:paraId="4F6A608F" w14:textId="00785376" w:rsidR="13648996" w:rsidRPr="00184AA3" w:rsidRDefault="13648996" w:rsidP="00AD1823">
      <w:pPr>
        <w:pStyle w:val="ListParagraph"/>
        <w:numPr>
          <w:ilvl w:val="0"/>
          <w:numId w:val="11"/>
        </w:numPr>
        <w:rPr>
          <w:sz w:val="20"/>
        </w:rPr>
      </w:pPr>
      <w:r w:rsidRPr="00B40061">
        <w:rPr>
          <w:b/>
          <w:bCs/>
          <w:sz w:val="20"/>
        </w:rPr>
        <w:t>Lesson</w:t>
      </w:r>
      <w:r w:rsidR="6E9859CC" w:rsidRPr="00B40061">
        <w:rPr>
          <w:b/>
          <w:bCs/>
          <w:sz w:val="20"/>
        </w:rPr>
        <w:t>:</w:t>
      </w:r>
      <w:r w:rsidR="6E9859CC" w:rsidRPr="49588B0D">
        <w:rPr>
          <w:sz w:val="20"/>
        </w:rPr>
        <w:t xml:space="preserve"> Given the number and variety of grantees, there is a need to standardise some of the reporting requirements </w:t>
      </w:r>
      <w:proofErr w:type="gramStart"/>
      <w:r w:rsidR="6E9859CC" w:rsidRPr="49588B0D">
        <w:rPr>
          <w:sz w:val="20"/>
        </w:rPr>
        <w:t>in order to</w:t>
      </w:r>
      <w:proofErr w:type="gramEnd"/>
      <w:r w:rsidR="6E9859CC" w:rsidRPr="49588B0D">
        <w:rPr>
          <w:sz w:val="20"/>
        </w:rPr>
        <w:t xml:space="preserve"> achieve consistent and accurate aggregation of results.</w:t>
      </w:r>
    </w:p>
    <w:p w14:paraId="2CA32C25" w14:textId="088DAA05" w:rsidR="036BBB7E" w:rsidRPr="00184AA3" w:rsidRDefault="036BBB7E" w:rsidP="036BBB7E">
      <w:pPr>
        <w:pStyle w:val="ListParagraph"/>
        <w:rPr>
          <w:sz w:val="20"/>
        </w:rPr>
      </w:pPr>
    </w:p>
    <w:p w14:paraId="58010642" w14:textId="42706204" w:rsidR="13648996" w:rsidRPr="00184AA3" w:rsidRDefault="13648996" w:rsidP="57BCADE1">
      <w:pPr>
        <w:pStyle w:val="ListParagraph"/>
        <w:rPr>
          <w:sz w:val="20"/>
        </w:rPr>
      </w:pPr>
      <w:r w:rsidRPr="00184AA3">
        <w:rPr>
          <w:b/>
          <w:bCs/>
          <w:sz w:val="20"/>
        </w:rPr>
        <w:t>Recommendation:</w:t>
      </w:r>
      <w:r w:rsidR="5EBEEC95" w:rsidRPr="00184AA3">
        <w:rPr>
          <w:b/>
          <w:bCs/>
          <w:sz w:val="20"/>
        </w:rPr>
        <w:t xml:space="preserve"> </w:t>
      </w:r>
      <w:r w:rsidR="5EBEEC95" w:rsidRPr="00184AA3">
        <w:rPr>
          <w:sz w:val="20"/>
        </w:rPr>
        <w:t>D</w:t>
      </w:r>
      <w:r w:rsidR="00D26229">
        <w:rPr>
          <w:sz w:val="20"/>
        </w:rPr>
        <w:t>efra to d</w:t>
      </w:r>
      <w:r w:rsidR="5EBEEC95" w:rsidRPr="00184AA3">
        <w:rPr>
          <w:sz w:val="20"/>
        </w:rPr>
        <w:t xml:space="preserve">evelop and pilot OCEAN Standard Indicators with first cohort of grantees at onboarding stage (from </w:t>
      </w:r>
      <w:r w:rsidR="001D6913">
        <w:rPr>
          <w:sz w:val="20"/>
        </w:rPr>
        <w:t>November</w:t>
      </w:r>
      <w:r w:rsidR="5EBEEC95" w:rsidRPr="00184AA3">
        <w:rPr>
          <w:sz w:val="20"/>
        </w:rPr>
        <w:t xml:space="preserve"> 2024) to support synthesis of results across the OCEAN portfolio.</w:t>
      </w:r>
    </w:p>
    <w:p w14:paraId="66C03FE0" w14:textId="0E01E058" w:rsidR="57BCADE1" w:rsidRPr="00B40061" w:rsidRDefault="57BCADE1" w:rsidP="57BCADE1">
      <w:pPr>
        <w:pStyle w:val="ListParagraph"/>
        <w:rPr>
          <w:b/>
          <w:bCs/>
          <w:sz w:val="20"/>
        </w:rPr>
      </w:pPr>
    </w:p>
    <w:p w14:paraId="327E37B6" w14:textId="7DA0F0D3" w:rsidR="13648996" w:rsidRPr="00184AA3" w:rsidRDefault="13648996" w:rsidP="00AD1823">
      <w:pPr>
        <w:pStyle w:val="ListParagraph"/>
        <w:numPr>
          <w:ilvl w:val="0"/>
          <w:numId w:val="11"/>
        </w:numPr>
        <w:rPr>
          <w:sz w:val="20"/>
        </w:rPr>
      </w:pPr>
      <w:r w:rsidRPr="00B40061">
        <w:rPr>
          <w:b/>
          <w:bCs/>
          <w:sz w:val="20"/>
        </w:rPr>
        <w:t>Lesson:</w:t>
      </w:r>
      <w:r w:rsidR="00EC301F">
        <w:rPr>
          <w:sz w:val="20"/>
        </w:rPr>
        <w:t xml:space="preserve"> </w:t>
      </w:r>
      <w:r w:rsidR="00DF1496">
        <w:rPr>
          <w:sz w:val="20"/>
        </w:rPr>
        <w:t>I</w:t>
      </w:r>
      <w:r w:rsidR="00EC301F">
        <w:rPr>
          <w:sz w:val="20"/>
        </w:rPr>
        <w:t>n-country engagement and feedback</w:t>
      </w:r>
      <w:r w:rsidR="00DF1496">
        <w:rPr>
          <w:sz w:val="20"/>
        </w:rPr>
        <w:t xml:space="preserve"> from HMG coll</w:t>
      </w:r>
      <w:r w:rsidR="00FF7AD0">
        <w:rPr>
          <w:sz w:val="20"/>
        </w:rPr>
        <w:t>eagues and applicants</w:t>
      </w:r>
      <w:r w:rsidR="00644418">
        <w:rPr>
          <w:sz w:val="20"/>
        </w:rPr>
        <w:t xml:space="preserve"> has </w:t>
      </w:r>
      <w:r w:rsidR="00B70DFC">
        <w:rPr>
          <w:sz w:val="20"/>
        </w:rPr>
        <w:t xml:space="preserve">demonstrated a need for </w:t>
      </w:r>
      <w:r w:rsidR="00B87DB0">
        <w:rPr>
          <w:sz w:val="20"/>
        </w:rPr>
        <w:t>continued</w:t>
      </w:r>
      <w:r w:rsidR="00B70DFC">
        <w:rPr>
          <w:sz w:val="20"/>
        </w:rPr>
        <w:t xml:space="preserve"> guidance and support </w:t>
      </w:r>
      <w:r w:rsidR="008004EA">
        <w:rPr>
          <w:sz w:val="20"/>
        </w:rPr>
        <w:t xml:space="preserve">beyond the application stage </w:t>
      </w:r>
      <w:r w:rsidR="00403050">
        <w:rPr>
          <w:sz w:val="20"/>
        </w:rPr>
        <w:t>for</w:t>
      </w:r>
      <w:r w:rsidR="008004EA">
        <w:rPr>
          <w:sz w:val="20"/>
        </w:rPr>
        <w:t xml:space="preserve"> new</w:t>
      </w:r>
      <w:r w:rsidR="00403050">
        <w:rPr>
          <w:sz w:val="20"/>
        </w:rPr>
        <w:t xml:space="preserve"> </w:t>
      </w:r>
      <w:r w:rsidR="0088656E">
        <w:rPr>
          <w:sz w:val="20"/>
        </w:rPr>
        <w:t>grantees</w:t>
      </w:r>
      <w:r w:rsidR="00182BCC">
        <w:rPr>
          <w:sz w:val="20"/>
        </w:rPr>
        <w:t>.</w:t>
      </w:r>
    </w:p>
    <w:p w14:paraId="72D01AED" w14:textId="77777777" w:rsidR="008F3FE9" w:rsidRPr="00184AA3" w:rsidRDefault="008F3FE9" w:rsidP="008F3FE9">
      <w:pPr>
        <w:pStyle w:val="ListParagraph"/>
        <w:rPr>
          <w:sz w:val="20"/>
        </w:rPr>
      </w:pPr>
    </w:p>
    <w:p w14:paraId="1ECD0DD6" w14:textId="13386BD4" w:rsidR="13648996" w:rsidRDefault="13648996" w:rsidP="57BCADE1">
      <w:pPr>
        <w:pStyle w:val="ListParagraph"/>
        <w:rPr>
          <w:sz w:val="20"/>
        </w:rPr>
      </w:pPr>
      <w:r w:rsidRPr="008F3FE9">
        <w:rPr>
          <w:b/>
          <w:sz w:val="20"/>
        </w:rPr>
        <w:t>Recommendation:</w:t>
      </w:r>
      <w:r w:rsidR="34B96013" w:rsidRPr="00184AA3">
        <w:rPr>
          <w:b/>
          <w:bCs/>
          <w:sz w:val="20"/>
        </w:rPr>
        <w:t xml:space="preserve"> </w:t>
      </w:r>
      <w:r w:rsidR="002E5674">
        <w:rPr>
          <w:sz w:val="20"/>
        </w:rPr>
        <w:t>NIRAS to o</w:t>
      </w:r>
      <w:r w:rsidR="34B96013" w:rsidRPr="00184AA3">
        <w:rPr>
          <w:sz w:val="20"/>
        </w:rPr>
        <w:t>ffer quarterly learning sessions on specific topics to support capacity development of grantees and facilitate networking and peer to peer learning.</w:t>
      </w:r>
    </w:p>
    <w:p w14:paraId="10179CDC" w14:textId="77777777" w:rsidR="001D0CA4" w:rsidRDefault="001D0CA4" w:rsidP="57BCADE1">
      <w:pPr>
        <w:pStyle w:val="ListParagraph"/>
        <w:rPr>
          <w:sz w:val="20"/>
        </w:rPr>
      </w:pPr>
    </w:p>
    <w:p w14:paraId="2F8BFACC" w14:textId="45A04F5F" w:rsidR="00B275D3" w:rsidRPr="00184AA3" w:rsidRDefault="00B275D3" w:rsidP="00B275D3">
      <w:pPr>
        <w:pStyle w:val="ListParagraph"/>
        <w:numPr>
          <w:ilvl w:val="0"/>
          <w:numId w:val="11"/>
        </w:numPr>
        <w:rPr>
          <w:sz w:val="20"/>
        </w:rPr>
      </w:pPr>
      <w:r w:rsidRPr="00B40061">
        <w:rPr>
          <w:b/>
          <w:bCs/>
          <w:sz w:val="20"/>
        </w:rPr>
        <w:t>Lesson:</w:t>
      </w:r>
      <w:r>
        <w:rPr>
          <w:sz w:val="20"/>
        </w:rPr>
        <w:t xml:space="preserve"> </w:t>
      </w:r>
      <w:r w:rsidR="00903CF3">
        <w:rPr>
          <w:sz w:val="20"/>
        </w:rPr>
        <w:t xml:space="preserve">Based on feedback from the Expert Committee </w:t>
      </w:r>
      <w:r w:rsidR="00761641">
        <w:rPr>
          <w:sz w:val="20"/>
        </w:rPr>
        <w:t xml:space="preserve">and ODA colleagues </w:t>
      </w:r>
      <w:r w:rsidR="00453962">
        <w:rPr>
          <w:sz w:val="20"/>
        </w:rPr>
        <w:t xml:space="preserve">there is an opportunity to increase the ambition of the OCEAN GESI approach for Round 2 and beyond. </w:t>
      </w:r>
    </w:p>
    <w:p w14:paraId="282128D2" w14:textId="77777777" w:rsidR="00B275D3" w:rsidRPr="00184AA3" w:rsidRDefault="00B275D3" w:rsidP="00B275D3">
      <w:pPr>
        <w:pStyle w:val="ListParagraph"/>
        <w:rPr>
          <w:sz w:val="20"/>
        </w:rPr>
      </w:pPr>
    </w:p>
    <w:p w14:paraId="1B27D7CF" w14:textId="21B5A797" w:rsidR="00B275D3" w:rsidRDefault="00B275D3" w:rsidP="00B275D3">
      <w:pPr>
        <w:pStyle w:val="ListParagraph"/>
        <w:rPr>
          <w:sz w:val="20"/>
        </w:rPr>
      </w:pPr>
      <w:r w:rsidRPr="008F3FE9">
        <w:rPr>
          <w:b/>
          <w:sz w:val="20"/>
        </w:rPr>
        <w:t>Recommendation:</w:t>
      </w:r>
      <w:r w:rsidRPr="00184AA3">
        <w:rPr>
          <w:b/>
          <w:bCs/>
          <w:sz w:val="20"/>
        </w:rPr>
        <w:t xml:space="preserve"> </w:t>
      </w:r>
      <w:r w:rsidR="0070261C">
        <w:rPr>
          <w:sz w:val="20"/>
        </w:rPr>
        <w:t xml:space="preserve">Undertake engagement with </w:t>
      </w:r>
      <w:r w:rsidR="00F94C99">
        <w:rPr>
          <w:sz w:val="20"/>
        </w:rPr>
        <w:t>GESI experts in HMG and beyond to refine OCEAN GESI</w:t>
      </w:r>
      <w:r w:rsidR="00A04035">
        <w:rPr>
          <w:sz w:val="20"/>
        </w:rPr>
        <w:t xml:space="preserve"> documents including Guidance Notes</w:t>
      </w:r>
      <w:r w:rsidR="00B6194E">
        <w:rPr>
          <w:sz w:val="20"/>
        </w:rPr>
        <w:t>, Ambition Statement</w:t>
      </w:r>
      <w:r w:rsidR="00A04035">
        <w:rPr>
          <w:sz w:val="20"/>
        </w:rPr>
        <w:t xml:space="preserve"> and the GESI Action Plan, explore opportunities for inclusion of disability in our GESI approach, and</w:t>
      </w:r>
      <w:r w:rsidR="00B6194E">
        <w:rPr>
          <w:sz w:val="20"/>
        </w:rPr>
        <w:t xml:space="preserve"> assess the feasibility of a GESI-focused funding window. </w:t>
      </w:r>
      <w:r w:rsidR="00C272A4">
        <w:rPr>
          <w:sz w:val="20"/>
        </w:rPr>
        <w:t xml:space="preserve">Inclusion of a </w:t>
      </w:r>
      <w:r w:rsidR="00E36B9A">
        <w:rPr>
          <w:sz w:val="20"/>
        </w:rPr>
        <w:t xml:space="preserve">GESI output to the OCEAN </w:t>
      </w:r>
      <w:proofErr w:type="spellStart"/>
      <w:r w:rsidR="00C535DB">
        <w:rPr>
          <w:sz w:val="20"/>
        </w:rPr>
        <w:t>l</w:t>
      </w:r>
      <w:r w:rsidR="00E36B9A">
        <w:rPr>
          <w:sz w:val="20"/>
        </w:rPr>
        <w:t>ogframe</w:t>
      </w:r>
      <w:proofErr w:type="spellEnd"/>
      <w:r w:rsidR="002D5993">
        <w:rPr>
          <w:sz w:val="20"/>
        </w:rPr>
        <w:t xml:space="preserve"> and a</w:t>
      </w:r>
      <w:r w:rsidR="00763EE9">
        <w:rPr>
          <w:sz w:val="20"/>
        </w:rPr>
        <w:t>ddition of a GESI Expert to the GA tea</w:t>
      </w:r>
      <w:r w:rsidR="00033453">
        <w:rPr>
          <w:sz w:val="20"/>
        </w:rPr>
        <w:t>m.</w:t>
      </w:r>
    </w:p>
    <w:p w14:paraId="2AC89059" w14:textId="4F34BFCD" w:rsidR="00EA124D" w:rsidRDefault="00EA124D">
      <w:pPr>
        <w:spacing w:after="160" w:line="259" w:lineRule="auto"/>
        <w:rPr>
          <w:sz w:val="20"/>
        </w:rPr>
      </w:pPr>
      <w:r>
        <w:rPr>
          <w:sz w:val="20"/>
        </w:rPr>
        <w:br w:type="page"/>
      </w:r>
    </w:p>
    <w:p w14:paraId="35AF0426" w14:textId="77777777" w:rsidR="00B275D3" w:rsidRPr="00B275D3" w:rsidRDefault="00B275D3" w:rsidP="00B275D3">
      <w:pPr>
        <w:rPr>
          <w:sz w:val="20"/>
        </w:rPr>
      </w:pPr>
    </w:p>
    <w:p w14:paraId="427BBEF9" w14:textId="77777777" w:rsidR="0071596C" w:rsidRPr="00184AA3" w:rsidRDefault="0071596C" w:rsidP="005A08FB">
      <w:pPr>
        <w:rPr>
          <w:sz w:val="20"/>
        </w:rPr>
      </w:pPr>
    </w:p>
    <w:p w14:paraId="5B0C6A76" w14:textId="1DF78D2A" w:rsidR="006F3AE7" w:rsidRPr="00F70DBE" w:rsidRDefault="006F3AE7" w:rsidP="009021AD">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line="276" w:lineRule="auto"/>
        <w:rPr>
          <w:b w:val="0"/>
          <w:i w:val="0"/>
          <w:sz w:val="20"/>
          <w:szCs w:val="20"/>
        </w:rPr>
      </w:pPr>
      <w:r>
        <w:rPr>
          <w:i w:val="0"/>
        </w:rPr>
        <w:t>B: THEORY OF CHANGE AND PROGRESS TOWARDS OUTCOMES</w:t>
      </w:r>
      <w:r w:rsidRPr="00F70DBE">
        <w:rPr>
          <w:i w:val="0"/>
        </w:rPr>
        <w:t xml:space="preserve"> </w:t>
      </w:r>
    </w:p>
    <w:p w14:paraId="065D0850" w14:textId="77777777" w:rsidR="006F3AE7" w:rsidRDefault="006F3AE7" w:rsidP="009021AD">
      <w:pPr>
        <w:spacing w:line="276" w:lineRule="auto"/>
        <w:rPr>
          <w:rFonts w:cs="Arial"/>
          <w:b/>
          <w:sz w:val="22"/>
          <w:szCs w:val="22"/>
        </w:rPr>
      </w:pPr>
    </w:p>
    <w:p w14:paraId="169DF3AA" w14:textId="7D89E15A" w:rsidR="006F3AE7" w:rsidRPr="00E14C39" w:rsidRDefault="1D9D3DDB" w:rsidP="00E14C39">
      <w:pPr>
        <w:spacing w:after="160" w:line="276" w:lineRule="auto"/>
        <w:jc w:val="both"/>
        <w:rPr>
          <w:rFonts w:cs="Arial"/>
          <w:b/>
          <w:bCs/>
          <w:sz w:val="22"/>
          <w:szCs w:val="22"/>
        </w:rPr>
      </w:pPr>
      <w:r w:rsidRPr="2350498C">
        <w:rPr>
          <w:rFonts w:cs="Arial"/>
          <w:b/>
          <w:bCs/>
          <w:sz w:val="22"/>
          <w:szCs w:val="22"/>
        </w:rPr>
        <w:t xml:space="preserve">B1. </w:t>
      </w:r>
      <w:r w:rsidR="006F3AE7" w:rsidRPr="2350498C">
        <w:rPr>
          <w:rFonts w:cs="Arial"/>
          <w:b/>
          <w:bCs/>
          <w:sz w:val="22"/>
          <w:szCs w:val="22"/>
        </w:rPr>
        <w:t xml:space="preserve">Summarise the programme’s </w:t>
      </w:r>
      <w:hyperlink r:id="rId13">
        <w:r w:rsidR="006F3AE7" w:rsidRPr="2350498C">
          <w:rPr>
            <w:rStyle w:val="Hyperlink"/>
            <w:rFonts w:cs="Arial"/>
            <w:b/>
            <w:bCs/>
            <w:sz w:val="22"/>
            <w:szCs w:val="22"/>
          </w:rPr>
          <w:t>theory of change</w:t>
        </w:r>
      </w:hyperlink>
      <w:r w:rsidR="006F3AE7" w:rsidRPr="2350498C">
        <w:rPr>
          <w:rFonts w:cs="Arial"/>
          <w:b/>
          <w:bCs/>
          <w:sz w:val="22"/>
          <w:szCs w:val="22"/>
        </w:rPr>
        <w:t xml:space="preserve">, including any changes to outcome and impact indicators from the original business case. </w:t>
      </w:r>
    </w:p>
    <w:p w14:paraId="552208C0" w14:textId="119C33A1" w:rsidR="00B13871" w:rsidRPr="00B13871" w:rsidRDefault="00B13871" w:rsidP="00B13871">
      <w:pPr>
        <w:jc w:val="both"/>
        <w:rPr>
          <w:rStyle w:val="normaltextrun"/>
          <w:rFonts w:cs="Arial"/>
          <w:color w:val="0F0F0F"/>
          <w:sz w:val="20"/>
          <w:szCs w:val="20"/>
        </w:rPr>
      </w:pPr>
      <w:r w:rsidRPr="00B13871">
        <w:rPr>
          <w:rStyle w:val="normaltextrun"/>
          <w:rFonts w:cs="Arial"/>
          <w:color w:val="0F0F0F"/>
          <w:sz w:val="20"/>
          <w:szCs w:val="20"/>
        </w:rPr>
        <w:t xml:space="preserve">OCEAN will provide </w:t>
      </w:r>
      <w:r w:rsidR="00E23AC3">
        <w:rPr>
          <w:rStyle w:val="normaltextrun"/>
          <w:rFonts w:cs="Arial"/>
          <w:color w:val="0F0F0F"/>
          <w:sz w:val="20"/>
          <w:szCs w:val="20"/>
        </w:rPr>
        <w:t xml:space="preserve">up to </w:t>
      </w:r>
      <w:r w:rsidRPr="00B13871">
        <w:rPr>
          <w:rStyle w:val="normaltextrun"/>
          <w:rFonts w:cs="Arial"/>
          <w:color w:val="0F0F0F"/>
          <w:sz w:val="20"/>
          <w:szCs w:val="20"/>
        </w:rPr>
        <w:t xml:space="preserve">£60 million in funding to organisations delivering marine environment and development projects in ODA eligible countries. Defra and FCDO policy teams provide support and expertise to the programme, drawing on advice from regional FCDO posts. </w:t>
      </w:r>
      <w:r w:rsidRPr="1EC34BED">
        <w:rPr>
          <w:rStyle w:val="normaltextrun"/>
          <w:rFonts w:cs="Arial"/>
          <w:color w:val="0F0F0F"/>
          <w:sz w:val="20"/>
          <w:szCs w:val="20"/>
        </w:rPr>
        <w:t xml:space="preserve">A dedicated </w:t>
      </w:r>
      <w:r w:rsidR="00CD3D0C" w:rsidRPr="1EC34BED">
        <w:rPr>
          <w:rStyle w:val="normaltextrun"/>
          <w:rFonts w:cs="Arial"/>
          <w:color w:val="0F0F0F"/>
          <w:sz w:val="20"/>
          <w:szCs w:val="20"/>
        </w:rPr>
        <w:t>G</w:t>
      </w:r>
      <w:r w:rsidR="28F6C281" w:rsidRPr="1EC34BED">
        <w:rPr>
          <w:rStyle w:val="normaltextrun"/>
          <w:rFonts w:cs="Arial"/>
          <w:color w:val="0F0F0F"/>
          <w:sz w:val="20"/>
          <w:szCs w:val="20"/>
        </w:rPr>
        <w:t xml:space="preserve">rant </w:t>
      </w:r>
      <w:r w:rsidR="1FA77943" w:rsidRPr="1EC34BED">
        <w:rPr>
          <w:rStyle w:val="normaltextrun"/>
          <w:rFonts w:cs="Arial"/>
          <w:color w:val="0F0F0F"/>
          <w:sz w:val="20"/>
          <w:szCs w:val="20"/>
        </w:rPr>
        <w:t>A</w:t>
      </w:r>
      <w:r w:rsidR="707652D0" w:rsidRPr="1EC34BED">
        <w:rPr>
          <w:rStyle w:val="normaltextrun"/>
          <w:rFonts w:cs="Arial"/>
          <w:color w:val="0F0F0F"/>
          <w:sz w:val="20"/>
          <w:szCs w:val="20"/>
        </w:rPr>
        <w:t>dministrator (</w:t>
      </w:r>
      <w:r w:rsidR="00CD3D0C">
        <w:rPr>
          <w:rStyle w:val="normaltextrun"/>
          <w:rFonts w:cs="Arial"/>
          <w:color w:val="0F0F0F"/>
          <w:sz w:val="20"/>
          <w:szCs w:val="20"/>
        </w:rPr>
        <w:t>GA</w:t>
      </w:r>
      <w:r w:rsidR="707652D0" w:rsidRPr="1EC34BED">
        <w:rPr>
          <w:rStyle w:val="normaltextrun"/>
          <w:rFonts w:cs="Arial"/>
          <w:color w:val="0F0F0F"/>
          <w:sz w:val="20"/>
          <w:szCs w:val="20"/>
        </w:rPr>
        <w:t>)</w:t>
      </w:r>
      <w:r w:rsidR="003D4B6D">
        <w:rPr>
          <w:rStyle w:val="normaltextrun"/>
          <w:rFonts w:cs="Arial"/>
          <w:color w:val="0F0F0F"/>
          <w:sz w:val="20"/>
          <w:szCs w:val="20"/>
        </w:rPr>
        <w:t xml:space="preserve"> </w:t>
      </w:r>
      <w:r w:rsidRPr="00B13871">
        <w:rPr>
          <w:rStyle w:val="normaltextrun"/>
          <w:rFonts w:cs="Arial"/>
          <w:color w:val="0F0F0F"/>
          <w:sz w:val="20"/>
          <w:szCs w:val="20"/>
        </w:rPr>
        <w:t>supports the design and implementation of the programme, and a dedicated OCEAN Expert Committee provides recommendations on what to fund, and feedback to applicants on their proposals. An Independent Evaluator supports the generation of evidence and consolidates emerging lessons and insights from the programme.</w:t>
      </w:r>
    </w:p>
    <w:p w14:paraId="555B199B" w14:textId="77777777" w:rsidR="00B92C98" w:rsidRDefault="00B92C98" w:rsidP="00B13871">
      <w:pPr>
        <w:jc w:val="both"/>
        <w:rPr>
          <w:rStyle w:val="normaltextrun"/>
          <w:rFonts w:cs="Arial"/>
          <w:color w:val="0F0F0F"/>
          <w:sz w:val="20"/>
          <w:szCs w:val="20"/>
        </w:rPr>
      </w:pPr>
    </w:p>
    <w:p w14:paraId="7261C8AF" w14:textId="69609A79" w:rsidR="00C22F50" w:rsidRDefault="00B13871" w:rsidP="00B13871">
      <w:pPr>
        <w:jc w:val="both"/>
        <w:rPr>
          <w:rFonts w:cs="Arial"/>
          <w:sz w:val="20"/>
          <w:szCs w:val="20"/>
        </w:rPr>
      </w:pPr>
      <w:r w:rsidRPr="00B13871">
        <w:rPr>
          <w:rStyle w:val="normaltextrun"/>
          <w:rFonts w:cs="Arial"/>
          <w:color w:val="0F0F0F"/>
          <w:sz w:val="20"/>
          <w:szCs w:val="20"/>
        </w:rPr>
        <w:t>By administering Community Grants and Partnership Grants, OCEAN supports grassroots to larger-scale projects to deliver lasting benefits to the marine environment and coastal communities.</w:t>
      </w:r>
      <w:r w:rsidRPr="00B13871">
        <w:rPr>
          <w:rStyle w:val="eop"/>
          <w:rFonts w:cs="Arial"/>
          <w:color w:val="0F0F0F"/>
          <w:sz w:val="20"/>
          <w:szCs w:val="20"/>
        </w:rPr>
        <w:t xml:space="preserve"> Alongside these grant pathways, OCEAN provides networking support, training and guidance to grantees and applicants to</w:t>
      </w:r>
      <w:r w:rsidRPr="00B13871">
        <w:rPr>
          <w:rFonts w:cs="Arial"/>
          <w:sz w:val="20"/>
          <w:szCs w:val="20"/>
        </w:rPr>
        <w:t xml:space="preserve"> help them apply for grants, deliver effective projects, and evidence their impact. The programme will consolidate evidence and disseminate lessons for</w:t>
      </w:r>
      <w:r w:rsidR="00CF6F3B">
        <w:rPr>
          <w:rFonts w:cs="Arial"/>
          <w:sz w:val="20"/>
          <w:szCs w:val="20"/>
        </w:rPr>
        <w:t xml:space="preserve"> the Blue Planet Fund,</w:t>
      </w:r>
      <w:r w:rsidRPr="00B13871">
        <w:rPr>
          <w:rFonts w:cs="Arial"/>
          <w:sz w:val="20"/>
          <w:szCs w:val="20"/>
        </w:rPr>
        <w:t xml:space="preserve"> Defra, FCDO, and wider stakeholders on how to effectively support local capacity development, e.g. through identifying, promoting and co-generating local and indigenous knowledge that supports marine conservation, empowers women and other marginalised groups.</w:t>
      </w:r>
    </w:p>
    <w:p w14:paraId="01F2652F" w14:textId="77777777" w:rsidR="00C22F50" w:rsidRDefault="00C22F50" w:rsidP="00B13871">
      <w:pPr>
        <w:jc w:val="both"/>
        <w:rPr>
          <w:rFonts w:cs="Arial"/>
          <w:sz w:val="20"/>
          <w:szCs w:val="20"/>
        </w:rPr>
      </w:pPr>
    </w:p>
    <w:p w14:paraId="16CA1A0A" w14:textId="2771F8F3" w:rsidR="00B13871" w:rsidRPr="00C22F50" w:rsidRDefault="00B13871" w:rsidP="00B13871">
      <w:pPr>
        <w:jc w:val="both"/>
        <w:rPr>
          <w:rFonts w:cs="Arial"/>
          <w:sz w:val="20"/>
          <w:szCs w:val="20"/>
        </w:rPr>
      </w:pPr>
      <w:r w:rsidRPr="00B13871">
        <w:rPr>
          <w:rFonts w:cs="Arial"/>
          <w:color w:val="0F0F0F"/>
          <w:sz w:val="20"/>
          <w:szCs w:val="20"/>
        </w:rPr>
        <w:t xml:space="preserve">By developing the OCEAN learning and networking platform to connect grantees with each other and the expertise they need, OCEAN will result in a global network of organisations supporting and promoting local and regional empowerment in the marine environment space. Small, </w:t>
      </w:r>
      <w:proofErr w:type="gramStart"/>
      <w:r w:rsidRPr="00B13871">
        <w:rPr>
          <w:rFonts w:cs="Arial"/>
          <w:color w:val="0F0F0F"/>
          <w:sz w:val="20"/>
          <w:szCs w:val="20"/>
        </w:rPr>
        <w:t>locally-based</w:t>
      </w:r>
      <w:proofErr w:type="gramEnd"/>
      <w:r w:rsidRPr="00B13871">
        <w:rPr>
          <w:rFonts w:cs="Arial"/>
          <w:color w:val="0F0F0F"/>
          <w:sz w:val="20"/>
          <w:szCs w:val="20"/>
        </w:rPr>
        <w:t xml:space="preserve"> organisations will apply for Community Grants, and larger, more established organisations will apply for Partnership Grants. Through these pathways, organisations will gain access to funding to address</w:t>
      </w:r>
      <w:r w:rsidR="705B4F48" w:rsidRPr="64BDE458">
        <w:rPr>
          <w:rFonts w:cs="Arial"/>
          <w:color w:val="0F0F0F"/>
          <w:sz w:val="20"/>
          <w:szCs w:val="20"/>
        </w:rPr>
        <w:t>, for example,</w:t>
      </w:r>
      <w:r w:rsidRPr="00B13871">
        <w:rPr>
          <w:rFonts w:cs="Arial"/>
          <w:color w:val="0F0F0F"/>
          <w:sz w:val="20"/>
          <w:szCs w:val="20"/>
        </w:rPr>
        <w:t xml:space="preserve"> the drivers of illegal, unreported and unregulated fishing, local sources of marine pollution, marine biodiversity loss, and climate change impacts. OCEAN will also generate and disseminate knowledge through products including guidance notes, webinars, annual reviews of projects, evaluation reports of the programme based on quantitative and qualitative evidence, and a range of webinars, workshops, case-studies and thematic deep dives based on needs identified by stakeholders. Sharing successes, challenges and best practices as they emerge will amplify the impact of the programme.</w:t>
      </w:r>
    </w:p>
    <w:p w14:paraId="0B2D4F07" w14:textId="6E4A6FD4" w:rsidR="00B13871" w:rsidRPr="00B13871" w:rsidRDefault="00B13871" w:rsidP="00B13871">
      <w:pPr>
        <w:jc w:val="both"/>
        <w:rPr>
          <w:rStyle w:val="normaltextrun"/>
          <w:rFonts w:cs="Arial"/>
          <w:color w:val="011342"/>
          <w:sz w:val="20"/>
          <w:szCs w:val="20"/>
        </w:rPr>
      </w:pPr>
    </w:p>
    <w:p w14:paraId="643D78F0" w14:textId="77777777" w:rsidR="00B13871" w:rsidRDefault="00B13871" w:rsidP="00B13871">
      <w:pPr>
        <w:jc w:val="both"/>
        <w:rPr>
          <w:rFonts w:cs="Arial"/>
          <w:color w:val="0F0F0F"/>
          <w:sz w:val="20"/>
          <w:szCs w:val="20"/>
        </w:rPr>
      </w:pPr>
      <w:r w:rsidRPr="00B13871">
        <w:rPr>
          <w:rFonts w:cs="Arial"/>
          <w:color w:val="0F0F0F"/>
          <w:sz w:val="20"/>
          <w:szCs w:val="20"/>
        </w:rPr>
        <w:t>As a result of the programme, local organisations will be better supported to help communities manage marine resources sustainable and inclusively. As the programme matures, the organisations it supports will have an increased ability to influence policy at local, sub-national, and national levels. This will promote more inclusive decision and policy making, by bringing in more local knowledge and experiences.</w:t>
      </w:r>
    </w:p>
    <w:p w14:paraId="350A1767" w14:textId="77777777" w:rsidR="00C6337F" w:rsidRPr="00B13871" w:rsidRDefault="00C6337F" w:rsidP="00B13871">
      <w:pPr>
        <w:jc w:val="both"/>
        <w:rPr>
          <w:rFonts w:cs="Arial"/>
          <w:color w:val="0F0F0F"/>
          <w:sz w:val="20"/>
          <w:szCs w:val="20"/>
        </w:rPr>
      </w:pPr>
    </w:p>
    <w:p w14:paraId="25556E46" w14:textId="55CDC943" w:rsidR="00B13871" w:rsidRPr="00B13871" w:rsidRDefault="00B13871" w:rsidP="00B13871">
      <w:pPr>
        <w:jc w:val="both"/>
        <w:rPr>
          <w:rFonts w:cs="Arial"/>
          <w:color w:val="0F0F0F"/>
          <w:sz w:val="20"/>
          <w:szCs w:val="20"/>
        </w:rPr>
      </w:pPr>
      <w:r w:rsidRPr="00B13871">
        <w:rPr>
          <w:rFonts w:cs="Arial"/>
          <w:color w:val="0F0F0F"/>
          <w:sz w:val="20"/>
          <w:szCs w:val="20"/>
        </w:rPr>
        <w:t xml:space="preserve">Through projects, communities will have an increased awareness </w:t>
      </w:r>
      <w:proofErr w:type="gramStart"/>
      <w:r w:rsidRPr="00B13871">
        <w:rPr>
          <w:rFonts w:cs="Arial"/>
          <w:color w:val="0F0F0F"/>
          <w:sz w:val="20"/>
          <w:szCs w:val="20"/>
        </w:rPr>
        <w:t>of, and</w:t>
      </w:r>
      <w:proofErr w:type="gramEnd"/>
      <w:r w:rsidRPr="00B13871">
        <w:rPr>
          <w:rFonts w:cs="Arial"/>
          <w:color w:val="0F0F0F"/>
          <w:sz w:val="20"/>
          <w:szCs w:val="20"/>
        </w:rPr>
        <w:t xml:space="preserve"> share knowledge about the themes in the BPF outcomes. Through this awareness, and through supporting grantees to deliver successful projects, local organisations will be more willing and able to apply for and access ODA funding. As more organisations apply and engage with the programme, Defra will learn more and become more knowledgeable and effective supporters of in-country organisations</w:t>
      </w:r>
      <w:r w:rsidR="009B0E2B">
        <w:rPr>
          <w:rFonts w:cs="Arial"/>
          <w:color w:val="0F0F0F"/>
          <w:sz w:val="20"/>
          <w:szCs w:val="20"/>
        </w:rPr>
        <w:t xml:space="preserve">. </w:t>
      </w:r>
      <w:r w:rsidRPr="00B13871">
        <w:rPr>
          <w:rFonts w:cs="Arial"/>
          <w:color w:val="0F0F0F"/>
          <w:sz w:val="20"/>
          <w:szCs w:val="20"/>
        </w:rPr>
        <w:t>This will contribute to an increased capacity for local organisations and communities to tackle environmental challenges at different levels. The increased diversity of organisations that have access to funding will ensure that alternative approaches to tackling marine issues are fostered. Approaches will be more nuanced, context-specific, and more accurately reflect the complexity of human behaviour and perceptions in social and environmental change.</w:t>
      </w:r>
      <w:r w:rsidR="00B81BCE">
        <w:rPr>
          <w:rFonts w:cs="Arial"/>
          <w:color w:val="0F0F0F"/>
          <w:sz w:val="20"/>
          <w:szCs w:val="20"/>
        </w:rPr>
        <w:t xml:space="preserve"> OCEAN will share relevant learning within the </w:t>
      </w:r>
      <w:r w:rsidR="004021B8">
        <w:rPr>
          <w:rFonts w:cs="Arial"/>
          <w:color w:val="0F0F0F"/>
          <w:sz w:val="20"/>
          <w:szCs w:val="20"/>
        </w:rPr>
        <w:t>BPF</w:t>
      </w:r>
      <w:r w:rsidR="00B81BCE">
        <w:rPr>
          <w:rFonts w:cs="Arial"/>
          <w:color w:val="0F0F0F"/>
          <w:sz w:val="20"/>
          <w:szCs w:val="20"/>
        </w:rPr>
        <w:t xml:space="preserve"> portfolio, across-HMG and beyond as relevant.</w:t>
      </w:r>
    </w:p>
    <w:p w14:paraId="7CFD4554" w14:textId="77777777" w:rsidR="002016D7" w:rsidRDefault="002016D7" w:rsidP="00B13871">
      <w:pPr>
        <w:jc w:val="both"/>
        <w:rPr>
          <w:rFonts w:cs="Arial"/>
          <w:color w:val="0F0F0F"/>
          <w:sz w:val="20"/>
          <w:szCs w:val="20"/>
        </w:rPr>
      </w:pPr>
    </w:p>
    <w:p w14:paraId="59743A29" w14:textId="4452A95E" w:rsidR="00B13871" w:rsidRDefault="00B13871" w:rsidP="00B13871">
      <w:pPr>
        <w:jc w:val="both"/>
        <w:rPr>
          <w:rFonts w:cs="Arial"/>
          <w:color w:val="0F0F0F"/>
          <w:sz w:val="20"/>
          <w:szCs w:val="20"/>
        </w:rPr>
      </w:pPr>
      <w:r w:rsidRPr="00B13871">
        <w:rPr>
          <w:rFonts w:cs="Arial"/>
          <w:color w:val="0F0F0F"/>
          <w:sz w:val="20"/>
          <w:szCs w:val="20"/>
        </w:rPr>
        <w:t xml:space="preserve">In the long term, the increased diversity and capacity of local actors addressing marine and development challenges will support the </w:t>
      </w:r>
      <w:proofErr w:type="gramStart"/>
      <w:r w:rsidRPr="00B13871">
        <w:rPr>
          <w:rFonts w:cs="Arial"/>
          <w:color w:val="0F0F0F"/>
          <w:sz w:val="20"/>
          <w:szCs w:val="20"/>
        </w:rPr>
        <w:t>ultimate goal</w:t>
      </w:r>
      <w:proofErr w:type="gramEnd"/>
      <w:r w:rsidRPr="00B13871">
        <w:rPr>
          <w:rFonts w:cs="Arial"/>
          <w:color w:val="0F0F0F"/>
          <w:sz w:val="20"/>
          <w:szCs w:val="20"/>
        </w:rPr>
        <w:t xml:space="preserve"> of placing the ocean on a path to recovery, enabling local communities and nature to thrive. Marine ecosystems will be better protected and more sustainably used and managed, as communities are more knowledgeable about them and empowered to influence decision-making. This will promote action in many areas, including</w:t>
      </w:r>
      <w:r w:rsidR="17B86AFA" w:rsidRPr="4A283015">
        <w:rPr>
          <w:rFonts w:cs="Arial"/>
          <w:color w:val="0F0F0F"/>
          <w:sz w:val="20"/>
          <w:szCs w:val="20"/>
        </w:rPr>
        <w:t>, for example</w:t>
      </w:r>
      <w:r w:rsidR="17B86AFA" w:rsidRPr="5DA980AA">
        <w:rPr>
          <w:rFonts w:cs="Arial"/>
          <w:color w:val="0F0F0F"/>
          <w:sz w:val="20"/>
          <w:szCs w:val="20"/>
        </w:rPr>
        <w:t>,</w:t>
      </w:r>
      <w:r w:rsidRPr="00B13871">
        <w:rPr>
          <w:rFonts w:cs="Arial"/>
          <w:color w:val="0F0F0F"/>
          <w:sz w:val="20"/>
          <w:szCs w:val="20"/>
        </w:rPr>
        <w:t xml:space="preserve"> improved waste management systems to manage marine pollution, and strengthened management of regional and national fisheries and aquaculture, more inclusive governance of </w:t>
      </w:r>
      <w:r w:rsidR="00951FBE" w:rsidRPr="6ACCB71B">
        <w:rPr>
          <w:rFonts w:cs="Arial"/>
          <w:color w:val="0F0F0F"/>
          <w:sz w:val="20"/>
          <w:szCs w:val="20"/>
        </w:rPr>
        <w:t>Marine Protected Areas (</w:t>
      </w:r>
      <w:r w:rsidRPr="00B13871">
        <w:rPr>
          <w:rFonts w:cs="Arial"/>
          <w:color w:val="0F0F0F"/>
          <w:sz w:val="20"/>
          <w:szCs w:val="20"/>
        </w:rPr>
        <w:t>MPAs</w:t>
      </w:r>
      <w:r w:rsidR="00951FBE" w:rsidRPr="6ACCB71B">
        <w:rPr>
          <w:rFonts w:cs="Arial"/>
          <w:color w:val="0F0F0F"/>
          <w:sz w:val="20"/>
          <w:szCs w:val="20"/>
        </w:rPr>
        <w:t>)</w:t>
      </w:r>
      <w:r w:rsidRPr="00B13871">
        <w:rPr>
          <w:rFonts w:cs="Arial"/>
          <w:color w:val="0F0F0F"/>
          <w:sz w:val="20"/>
          <w:szCs w:val="20"/>
        </w:rPr>
        <w:t xml:space="preserve"> and </w:t>
      </w:r>
      <w:r w:rsidR="00B46CC9" w:rsidRPr="6ACCB71B">
        <w:rPr>
          <w:rFonts w:cs="Arial"/>
          <w:color w:val="0F0F0F"/>
          <w:sz w:val="20"/>
          <w:szCs w:val="20"/>
        </w:rPr>
        <w:t>Other Effective Area-Based Conservation Measures (</w:t>
      </w:r>
      <w:r w:rsidRPr="00B13871">
        <w:rPr>
          <w:rFonts w:cs="Arial"/>
          <w:color w:val="0F0F0F"/>
          <w:sz w:val="20"/>
          <w:szCs w:val="20"/>
        </w:rPr>
        <w:t>OECMs</w:t>
      </w:r>
      <w:r w:rsidR="00B46CC9" w:rsidRPr="6ACCB71B">
        <w:rPr>
          <w:rFonts w:cs="Arial"/>
          <w:color w:val="0F0F0F"/>
          <w:sz w:val="20"/>
          <w:szCs w:val="20"/>
        </w:rPr>
        <w:t>)</w:t>
      </w:r>
      <w:r w:rsidRPr="6ACCB71B">
        <w:rPr>
          <w:rFonts w:cs="Arial"/>
          <w:color w:val="0F0F0F"/>
          <w:sz w:val="20"/>
          <w:szCs w:val="20"/>
        </w:rPr>
        <w:t>,</w:t>
      </w:r>
      <w:r w:rsidRPr="00B13871">
        <w:rPr>
          <w:rFonts w:cs="Arial"/>
          <w:color w:val="0F0F0F"/>
          <w:sz w:val="20"/>
          <w:szCs w:val="20"/>
        </w:rPr>
        <w:t xml:space="preserve"> and reduction in </w:t>
      </w:r>
      <w:r w:rsidR="00B46CC9" w:rsidRPr="6ACCB71B">
        <w:rPr>
          <w:rFonts w:cs="Arial"/>
          <w:color w:val="0F0F0F"/>
          <w:sz w:val="20"/>
          <w:szCs w:val="20"/>
        </w:rPr>
        <w:t>Illegal, Unregulated and Unreported (</w:t>
      </w:r>
      <w:r w:rsidRPr="00B13871">
        <w:rPr>
          <w:rFonts w:cs="Arial"/>
          <w:color w:val="0F0F0F"/>
          <w:sz w:val="20"/>
          <w:szCs w:val="20"/>
        </w:rPr>
        <w:t>IUU</w:t>
      </w:r>
      <w:r w:rsidR="00B46CC9" w:rsidRPr="6ACCB71B">
        <w:rPr>
          <w:rFonts w:cs="Arial"/>
          <w:color w:val="0F0F0F"/>
          <w:sz w:val="20"/>
          <w:szCs w:val="20"/>
        </w:rPr>
        <w:t>)</w:t>
      </w:r>
      <w:r w:rsidRPr="00B13871">
        <w:rPr>
          <w:rFonts w:cs="Arial"/>
          <w:color w:val="0F0F0F"/>
          <w:sz w:val="20"/>
          <w:szCs w:val="20"/>
        </w:rPr>
        <w:t xml:space="preserve"> fishing activities. These actions will address many of the dimensions </w:t>
      </w:r>
      <w:r w:rsidRPr="00B13871">
        <w:rPr>
          <w:rFonts w:cs="Arial"/>
          <w:color w:val="0F0F0F"/>
          <w:sz w:val="20"/>
          <w:szCs w:val="20"/>
        </w:rPr>
        <w:lastRenderedPageBreak/>
        <w:t xml:space="preserve">of poverty e.g. through improved food security, sustainable livelihoods, and improved social outcomes for vulnerable groups. Through reducing the multiple dimensions of poverty there will be an increase in coastal </w:t>
      </w:r>
      <w:r w:rsidRPr="6ACCB71B">
        <w:rPr>
          <w:rFonts w:cs="Arial"/>
          <w:color w:val="0F0F0F"/>
          <w:sz w:val="20"/>
          <w:szCs w:val="20"/>
        </w:rPr>
        <w:t>communities</w:t>
      </w:r>
      <w:r w:rsidR="44CBF822" w:rsidRPr="6ACCB71B">
        <w:rPr>
          <w:rFonts w:cs="Arial"/>
          <w:color w:val="0F0F0F"/>
          <w:sz w:val="20"/>
          <w:szCs w:val="20"/>
        </w:rPr>
        <w:t>’</w:t>
      </w:r>
      <w:r w:rsidRPr="00B13871">
        <w:rPr>
          <w:rFonts w:cs="Arial"/>
          <w:color w:val="0F0F0F"/>
          <w:sz w:val="20"/>
          <w:szCs w:val="20"/>
        </w:rPr>
        <w:t xml:space="preserve"> resilience to the climate crisis, by increasing their ability to adapt to and overcome shocks.</w:t>
      </w:r>
    </w:p>
    <w:p w14:paraId="330C547B" w14:textId="77777777" w:rsidR="00767652" w:rsidRDefault="00767652" w:rsidP="00B13871">
      <w:pPr>
        <w:jc w:val="both"/>
        <w:rPr>
          <w:rFonts w:cs="Arial"/>
          <w:color w:val="0F0F0F"/>
          <w:sz w:val="20"/>
          <w:szCs w:val="20"/>
        </w:rPr>
      </w:pPr>
    </w:p>
    <w:p w14:paraId="7372FE46" w14:textId="02B39769" w:rsidR="00767652" w:rsidRPr="00B13871" w:rsidRDefault="00732FA5" w:rsidP="00B13871">
      <w:pPr>
        <w:jc w:val="both"/>
        <w:rPr>
          <w:rFonts w:cs="Arial"/>
          <w:color w:val="0F0F0F"/>
          <w:sz w:val="20"/>
          <w:szCs w:val="20"/>
        </w:rPr>
      </w:pPr>
      <w:r>
        <w:rPr>
          <w:rFonts w:cs="Arial"/>
          <w:color w:val="0F0F0F"/>
          <w:sz w:val="20"/>
          <w:szCs w:val="20"/>
        </w:rPr>
        <w:t>The current OCEAN T</w:t>
      </w:r>
      <w:r w:rsidR="0071596C">
        <w:rPr>
          <w:rFonts w:cs="Arial"/>
          <w:color w:val="0F0F0F"/>
          <w:sz w:val="20"/>
          <w:szCs w:val="20"/>
        </w:rPr>
        <w:t>heory of Change is</w:t>
      </w:r>
      <w:r w:rsidR="008B5593">
        <w:rPr>
          <w:rFonts w:cs="Arial"/>
          <w:color w:val="0F0F0F"/>
          <w:sz w:val="20"/>
          <w:szCs w:val="20"/>
        </w:rPr>
        <w:t xml:space="preserve"> presented in Annex </w:t>
      </w:r>
      <w:r w:rsidR="002E5674">
        <w:rPr>
          <w:rFonts w:cs="Arial"/>
          <w:color w:val="0F0F0F"/>
          <w:sz w:val="20"/>
          <w:szCs w:val="20"/>
        </w:rPr>
        <w:t>A</w:t>
      </w:r>
      <w:r w:rsidR="005A3C09">
        <w:rPr>
          <w:rFonts w:cs="Arial"/>
          <w:color w:val="0F0F0F"/>
          <w:sz w:val="20"/>
          <w:szCs w:val="20"/>
        </w:rPr>
        <w:t>. Th</w:t>
      </w:r>
      <w:r w:rsidR="0071596C">
        <w:rPr>
          <w:rFonts w:cs="Arial"/>
          <w:color w:val="0F0F0F"/>
          <w:sz w:val="20"/>
          <w:szCs w:val="20"/>
        </w:rPr>
        <w:t>is</w:t>
      </w:r>
      <w:r w:rsidR="005A3C09">
        <w:rPr>
          <w:rFonts w:cs="Arial"/>
          <w:color w:val="0F0F0F"/>
          <w:sz w:val="20"/>
          <w:szCs w:val="20"/>
        </w:rPr>
        <w:t xml:space="preserve"> will be reviewed and updated on an annual basis to embed lessons from OCEAN’s delivery, results achieved, and emerging evidence from within and beyond OCEAN. </w:t>
      </w:r>
    </w:p>
    <w:p w14:paraId="5AE822B7" w14:textId="1B599E5B" w:rsidR="00B13871" w:rsidRPr="00B13871" w:rsidRDefault="00B13871" w:rsidP="00B13871">
      <w:pPr>
        <w:jc w:val="both"/>
        <w:rPr>
          <w:rStyle w:val="normaltextrun"/>
          <w:rFonts w:cs="Arial"/>
          <w:b/>
          <w:bCs/>
          <w:color w:val="011342"/>
          <w:sz w:val="20"/>
          <w:szCs w:val="20"/>
        </w:rPr>
      </w:pPr>
    </w:p>
    <w:p w14:paraId="5DF843A9" w14:textId="1599FF8E" w:rsidR="006F3AE7" w:rsidRPr="006D77E5" w:rsidRDefault="4D4F44B5" w:rsidP="00E14C39">
      <w:pPr>
        <w:spacing w:after="160" w:line="276" w:lineRule="auto"/>
        <w:jc w:val="both"/>
        <w:rPr>
          <w:rFonts w:cs="Arial"/>
          <w:b/>
          <w:bCs/>
          <w:sz w:val="22"/>
          <w:szCs w:val="22"/>
        </w:rPr>
      </w:pPr>
      <w:r w:rsidRPr="006D77E5">
        <w:rPr>
          <w:rFonts w:cs="Arial"/>
          <w:b/>
          <w:bCs/>
          <w:sz w:val="22"/>
          <w:szCs w:val="22"/>
        </w:rPr>
        <w:t xml:space="preserve">B2. </w:t>
      </w:r>
      <w:r w:rsidR="006F3AE7" w:rsidRPr="006D77E5">
        <w:rPr>
          <w:rFonts w:cs="Arial"/>
          <w:b/>
          <w:bCs/>
          <w:sz w:val="22"/>
          <w:szCs w:val="22"/>
        </w:rPr>
        <w:t>Describe where the programme is on/off track to contribute to the expected outcomes and impact. What action is planned in the year ahead?</w:t>
      </w:r>
      <w:r w:rsidR="006F3AE7" w:rsidRPr="006D77E5">
        <w:rPr>
          <w:rFonts w:cs="Arial"/>
          <w:sz w:val="22"/>
          <w:szCs w:val="22"/>
        </w:rPr>
        <w:t xml:space="preserve"> </w:t>
      </w:r>
    </w:p>
    <w:p w14:paraId="6F3CE96A" w14:textId="2B804300" w:rsidR="003C7326" w:rsidRDefault="00BB527C" w:rsidP="006F466D">
      <w:pPr>
        <w:spacing w:after="160" w:line="276" w:lineRule="auto"/>
        <w:jc w:val="both"/>
        <w:rPr>
          <w:sz w:val="20"/>
          <w:szCs w:val="20"/>
        </w:rPr>
      </w:pPr>
      <w:r w:rsidRPr="66B95574">
        <w:rPr>
          <w:rFonts w:cs="Arial"/>
          <w:sz w:val="20"/>
          <w:szCs w:val="20"/>
        </w:rPr>
        <w:t>An</w:t>
      </w:r>
      <w:r w:rsidR="00B7112C" w:rsidRPr="66B95574">
        <w:rPr>
          <w:rFonts w:cs="Arial"/>
          <w:sz w:val="20"/>
          <w:szCs w:val="20"/>
        </w:rPr>
        <w:t xml:space="preserve"> unforeseen delay in the approval of the OCEAN Business Case by Defra Ministers and HMT </w:t>
      </w:r>
      <w:r w:rsidR="000E7290" w:rsidRPr="66B95574">
        <w:rPr>
          <w:rFonts w:cs="Arial"/>
          <w:sz w:val="20"/>
          <w:szCs w:val="20"/>
        </w:rPr>
        <w:t>result</w:t>
      </w:r>
      <w:r w:rsidR="00B8750B" w:rsidRPr="66B95574">
        <w:rPr>
          <w:rFonts w:cs="Arial"/>
          <w:sz w:val="20"/>
          <w:szCs w:val="20"/>
        </w:rPr>
        <w:t>ed</w:t>
      </w:r>
      <w:r w:rsidR="000E7290" w:rsidRPr="66B95574">
        <w:rPr>
          <w:rFonts w:cs="Arial"/>
          <w:sz w:val="20"/>
          <w:szCs w:val="20"/>
        </w:rPr>
        <w:t xml:space="preserve"> in</w:t>
      </w:r>
      <w:r w:rsidR="00B7112C" w:rsidRPr="66B95574">
        <w:rPr>
          <w:rFonts w:cs="Arial"/>
          <w:sz w:val="20"/>
          <w:szCs w:val="20"/>
        </w:rPr>
        <w:t xml:space="preserve"> an eight</w:t>
      </w:r>
      <w:r w:rsidR="009238C6" w:rsidRPr="66B95574">
        <w:rPr>
          <w:rFonts w:cs="Arial"/>
          <w:sz w:val="20"/>
          <w:szCs w:val="20"/>
        </w:rPr>
        <w:t>-</w:t>
      </w:r>
      <w:r w:rsidR="00B7112C" w:rsidRPr="66B95574">
        <w:rPr>
          <w:rFonts w:cs="Arial"/>
          <w:sz w:val="20"/>
          <w:szCs w:val="20"/>
        </w:rPr>
        <w:t xml:space="preserve">week delay to awarding the </w:t>
      </w:r>
      <w:r w:rsidR="001D5270" w:rsidRPr="66B95574">
        <w:rPr>
          <w:rFonts w:cs="Arial"/>
          <w:sz w:val="20"/>
          <w:szCs w:val="20"/>
        </w:rPr>
        <w:t>GA</w:t>
      </w:r>
      <w:r w:rsidR="00B7112C" w:rsidRPr="66B95574">
        <w:rPr>
          <w:rFonts w:cs="Arial"/>
          <w:sz w:val="20"/>
          <w:szCs w:val="20"/>
        </w:rPr>
        <w:t xml:space="preserve"> contrac</w:t>
      </w:r>
      <w:r w:rsidR="000E7290" w:rsidRPr="66B95574">
        <w:rPr>
          <w:rFonts w:cs="Arial"/>
          <w:sz w:val="20"/>
          <w:szCs w:val="20"/>
        </w:rPr>
        <w:t>t and the subsequent launch of the first call for proposals</w:t>
      </w:r>
      <w:r w:rsidR="00024017" w:rsidRPr="66B95574">
        <w:rPr>
          <w:rFonts w:cs="Arial"/>
          <w:sz w:val="20"/>
          <w:szCs w:val="20"/>
        </w:rPr>
        <w:t>. This has in turn resulted in a delay to the a</w:t>
      </w:r>
      <w:r w:rsidR="00D620C0" w:rsidRPr="66B95574">
        <w:rPr>
          <w:rFonts w:cs="Arial"/>
          <w:sz w:val="20"/>
          <w:szCs w:val="20"/>
        </w:rPr>
        <w:t>ward of successful projects a</w:t>
      </w:r>
      <w:r w:rsidR="006F4470" w:rsidRPr="66B95574">
        <w:rPr>
          <w:rFonts w:cs="Arial"/>
          <w:sz w:val="20"/>
          <w:szCs w:val="20"/>
        </w:rPr>
        <w:t xml:space="preserve">nd disbursement of funding to grantees. </w:t>
      </w:r>
      <w:r w:rsidR="002D097D" w:rsidRPr="66B95574">
        <w:rPr>
          <w:rFonts w:cs="Arial"/>
          <w:sz w:val="20"/>
          <w:szCs w:val="20"/>
        </w:rPr>
        <w:t>This del</w:t>
      </w:r>
      <w:r w:rsidR="007D55B1" w:rsidRPr="66B95574">
        <w:rPr>
          <w:rFonts w:cs="Arial"/>
          <w:sz w:val="20"/>
          <w:szCs w:val="20"/>
        </w:rPr>
        <w:t>ay in the disbursement of funding to grantees</w:t>
      </w:r>
      <w:r w:rsidR="002D097D" w:rsidRPr="66B95574">
        <w:rPr>
          <w:rFonts w:cs="Arial"/>
          <w:sz w:val="20"/>
          <w:szCs w:val="20"/>
        </w:rPr>
        <w:t xml:space="preserve"> h</w:t>
      </w:r>
      <w:r w:rsidR="002D358A" w:rsidRPr="66B95574">
        <w:rPr>
          <w:rFonts w:cs="Arial"/>
          <w:sz w:val="20"/>
          <w:szCs w:val="20"/>
        </w:rPr>
        <w:t xml:space="preserve">as resulted in OCEAN </w:t>
      </w:r>
      <w:r w:rsidR="00F30D24" w:rsidRPr="66B95574">
        <w:rPr>
          <w:rFonts w:cs="Arial"/>
          <w:sz w:val="20"/>
          <w:szCs w:val="20"/>
        </w:rPr>
        <w:t xml:space="preserve">having </w:t>
      </w:r>
      <w:r w:rsidR="003445ED" w:rsidRPr="66B95574">
        <w:rPr>
          <w:rFonts w:cs="Arial"/>
          <w:sz w:val="20"/>
          <w:szCs w:val="20"/>
        </w:rPr>
        <w:t xml:space="preserve">not </w:t>
      </w:r>
      <w:r w:rsidR="00D6120C" w:rsidRPr="66B95574">
        <w:rPr>
          <w:rFonts w:cs="Arial"/>
          <w:sz w:val="20"/>
          <w:szCs w:val="20"/>
        </w:rPr>
        <w:t>being scored o</w:t>
      </w:r>
      <w:r w:rsidR="002F307B" w:rsidRPr="66B95574">
        <w:rPr>
          <w:rFonts w:cs="Arial"/>
          <w:sz w:val="20"/>
          <w:szCs w:val="20"/>
        </w:rPr>
        <w:t>n</w:t>
      </w:r>
      <w:r w:rsidR="00D6120C" w:rsidRPr="66B95574">
        <w:rPr>
          <w:rFonts w:cs="Arial"/>
          <w:sz w:val="20"/>
          <w:szCs w:val="20"/>
        </w:rPr>
        <w:t xml:space="preserve"> two</w:t>
      </w:r>
      <w:r w:rsidR="002F307B" w:rsidRPr="66B95574">
        <w:rPr>
          <w:rFonts w:cs="Arial"/>
          <w:sz w:val="20"/>
          <w:szCs w:val="20"/>
        </w:rPr>
        <w:t xml:space="preserve"> out of three</w:t>
      </w:r>
      <w:r w:rsidR="00D6120C" w:rsidRPr="66B95574">
        <w:rPr>
          <w:rFonts w:cs="Arial"/>
          <w:sz w:val="20"/>
          <w:szCs w:val="20"/>
        </w:rPr>
        <w:t xml:space="preserve"> indicators</w:t>
      </w:r>
      <w:r w:rsidR="003445ED" w:rsidRPr="66B95574">
        <w:rPr>
          <w:rFonts w:cs="Arial"/>
          <w:sz w:val="20"/>
          <w:szCs w:val="20"/>
        </w:rPr>
        <w:t xml:space="preserve"> o</w:t>
      </w:r>
      <w:r w:rsidR="002F307B" w:rsidRPr="66B95574">
        <w:rPr>
          <w:rFonts w:cs="Arial"/>
          <w:sz w:val="20"/>
          <w:szCs w:val="20"/>
        </w:rPr>
        <w:t>f</w:t>
      </w:r>
      <w:r w:rsidR="003445ED" w:rsidRPr="66B95574">
        <w:rPr>
          <w:rFonts w:cs="Arial"/>
          <w:sz w:val="20"/>
          <w:szCs w:val="20"/>
        </w:rPr>
        <w:t xml:space="preserve"> </w:t>
      </w:r>
      <w:r w:rsidR="003445ED" w:rsidRPr="66B95574">
        <w:rPr>
          <w:rFonts w:cs="Arial"/>
          <w:i/>
          <w:iCs/>
          <w:sz w:val="20"/>
          <w:szCs w:val="20"/>
        </w:rPr>
        <w:t xml:space="preserve">Output </w:t>
      </w:r>
      <w:r w:rsidR="006F466D" w:rsidRPr="66B95574">
        <w:rPr>
          <w:rFonts w:cs="Arial"/>
          <w:i/>
          <w:iCs/>
          <w:sz w:val="20"/>
          <w:szCs w:val="20"/>
        </w:rPr>
        <w:t xml:space="preserve">1 </w:t>
      </w:r>
      <w:r w:rsidR="002F307B" w:rsidRPr="66B95574">
        <w:rPr>
          <w:rFonts w:cs="Arial"/>
          <w:i/>
          <w:iCs/>
          <w:sz w:val="20"/>
          <w:szCs w:val="20"/>
        </w:rPr>
        <w:t xml:space="preserve">- </w:t>
      </w:r>
      <w:r w:rsidR="006F466D" w:rsidRPr="66B95574">
        <w:rPr>
          <w:i/>
          <w:iCs/>
          <w:sz w:val="20"/>
          <w:szCs w:val="20"/>
        </w:rPr>
        <w:t>Organisations in ODA eligible countries have access to funding to address marine environment and poverty reduction challenges at a local-level</w:t>
      </w:r>
      <w:r w:rsidR="00D6120C" w:rsidRPr="66B95574">
        <w:rPr>
          <w:i/>
          <w:iCs/>
          <w:sz w:val="20"/>
          <w:szCs w:val="20"/>
        </w:rPr>
        <w:t xml:space="preserve"> </w:t>
      </w:r>
      <w:r w:rsidR="00D6120C" w:rsidRPr="66B95574">
        <w:rPr>
          <w:sz w:val="20"/>
          <w:szCs w:val="20"/>
        </w:rPr>
        <w:t xml:space="preserve">and therefore not </w:t>
      </w:r>
      <w:r w:rsidR="005E4146" w:rsidRPr="66B95574">
        <w:rPr>
          <w:sz w:val="20"/>
          <w:szCs w:val="20"/>
        </w:rPr>
        <w:t>met expectations with a score of B</w:t>
      </w:r>
      <w:r w:rsidR="00D6120C" w:rsidRPr="66B95574">
        <w:rPr>
          <w:sz w:val="20"/>
          <w:szCs w:val="20"/>
        </w:rPr>
        <w:t>.</w:t>
      </w:r>
      <w:r w:rsidR="003C7326" w:rsidRPr="66B95574">
        <w:rPr>
          <w:sz w:val="20"/>
          <w:szCs w:val="20"/>
        </w:rPr>
        <w:t xml:space="preserve"> OCEAN has met or exceeded its expectations across indicators of the following two </w:t>
      </w:r>
      <w:r w:rsidR="008902CE" w:rsidRPr="66B95574">
        <w:rPr>
          <w:sz w:val="20"/>
          <w:szCs w:val="20"/>
        </w:rPr>
        <w:t>o</w:t>
      </w:r>
      <w:r w:rsidR="003C7326" w:rsidRPr="66B95574">
        <w:rPr>
          <w:sz w:val="20"/>
          <w:szCs w:val="20"/>
        </w:rPr>
        <w:t>utputs.</w:t>
      </w:r>
    </w:p>
    <w:p w14:paraId="54372B18" w14:textId="71AB13D8" w:rsidR="005E4146" w:rsidRPr="000E412C" w:rsidRDefault="003C7326" w:rsidP="00AD1823">
      <w:pPr>
        <w:pStyle w:val="ListParagraph"/>
        <w:numPr>
          <w:ilvl w:val="0"/>
          <w:numId w:val="15"/>
        </w:numPr>
        <w:spacing w:after="160" w:line="276" w:lineRule="auto"/>
        <w:jc w:val="both"/>
        <w:rPr>
          <w:rFonts w:cs="Arial"/>
          <w:i/>
          <w:iCs/>
          <w:sz w:val="20"/>
        </w:rPr>
      </w:pPr>
      <w:r w:rsidRPr="006D7160">
        <w:rPr>
          <w:i/>
          <w:iCs/>
          <w:sz w:val="20"/>
          <w:szCs w:val="22"/>
        </w:rPr>
        <w:t>Output 2</w:t>
      </w:r>
      <w:r w:rsidR="006D7160">
        <w:rPr>
          <w:i/>
          <w:iCs/>
          <w:sz w:val="20"/>
          <w:szCs w:val="22"/>
        </w:rPr>
        <w:t xml:space="preserve"> - </w:t>
      </w:r>
      <w:r w:rsidRPr="000E412C">
        <w:rPr>
          <w:rFonts w:cs="Arial"/>
          <w:i/>
          <w:iCs/>
          <w:sz w:val="20"/>
        </w:rPr>
        <w:t xml:space="preserve">Organisations and coastal communities in ODA eligible countries have access to guidance, training and support to build their capacity to address marine environment and poverty reduction </w:t>
      </w:r>
      <w:r w:rsidRPr="006D7160">
        <w:rPr>
          <w:rFonts w:cs="Arial"/>
          <w:i/>
          <w:iCs/>
          <w:sz w:val="20"/>
        </w:rPr>
        <w:t>challenges</w:t>
      </w:r>
      <w:r w:rsidRPr="000E412C">
        <w:rPr>
          <w:rFonts w:cs="Arial"/>
          <w:i/>
          <w:iCs/>
          <w:sz w:val="20"/>
        </w:rPr>
        <w:t xml:space="preserve"> </w:t>
      </w:r>
      <w:r w:rsidR="005E4146" w:rsidRPr="000E412C">
        <w:rPr>
          <w:rFonts w:cs="Arial"/>
          <w:i/>
          <w:iCs/>
          <w:sz w:val="20"/>
        </w:rPr>
        <w:t>–</w:t>
      </w:r>
      <w:r w:rsidRPr="000E412C">
        <w:rPr>
          <w:rFonts w:cs="Arial"/>
          <w:i/>
          <w:iCs/>
          <w:sz w:val="20"/>
        </w:rPr>
        <w:t xml:space="preserve"> </w:t>
      </w:r>
      <w:r w:rsidR="005149FC" w:rsidRPr="000E412C">
        <w:rPr>
          <w:rFonts w:cs="Arial"/>
          <w:i/>
          <w:iCs/>
          <w:sz w:val="20"/>
        </w:rPr>
        <w:t>A</w:t>
      </w:r>
      <w:r w:rsidR="005E4146" w:rsidRPr="000E412C">
        <w:rPr>
          <w:rFonts w:cs="Arial"/>
          <w:i/>
          <w:iCs/>
          <w:sz w:val="20"/>
        </w:rPr>
        <w:t>+</w:t>
      </w:r>
    </w:p>
    <w:p w14:paraId="0F1E7B55" w14:textId="04C76CF1" w:rsidR="000E412C" w:rsidRPr="006D7160" w:rsidRDefault="000E412C" w:rsidP="00AD1823">
      <w:pPr>
        <w:pStyle w:val="ListParagraph"/>
        <w:numPr>
          <w:ilvl w:val="0"/>
          <w:numId w:val="15"/>
        </w:numPr>
        <w:spacing w:after="160" w:line="276" w:lineRule="auto"/>
        <w:jc w:val="both"/>
        <w:rPr>
          <w:rFonts w:cs="Arial"/>
          <w:i/>
          <w:iCs/>
          <w:sz w:val="20"/>
        </w:rPr>
      </w:pPr>
      <w:r w:rsidRPr="006D7160">
        <w:rPr>
          <w:rFonts w:cs="Arial"/>
          <w:i/>
          <w:iCs/>
          <w:sz w:val="20"/>
        </w:rPr>
        <w:t>Output 3</w:t>
      </w:r>
      <w:r w:rsidR="006D7160">
        <w:rPr>
          <w:rFonts w:cs="Arial"/>
          <w:i/>
          <w:iCs/>
          <w:sz w:val="20"/>
        </w:rPr>
        <w:t xml:space="preserve"> - </w:t>
      </w:r>
      <w:r w:rsidRPr="006D7160">
        <w:rPr>
          <w:rFonts w:cs="Arial"/>
          <w:i/>
          <w:iCs/>
          <w:sz w:val="20"/>
        </w:rPr>
        <w:t>Networks, partnerships and learning processes are established, supporting knowledge and evidence exchange to address marine environment and poverty reduction challenges</w:t>
      </w:r>
      <w:r w:rsidR="006D7160">
        <w:rPr>
          <w:rFonts w:cs="Arial"/>
          <w:i/>
          <w:iCs/>
          <w:sz w:val="20"/>
        </w:rPr>
        <w:t xml:space="preserve"> </w:t>
      </w:r>
      <w:r w:rsidRPr="006D7160">
        <w:rPr>
          <w:rFonts w:cs="Arial"/>
          <w:i/>
          <w:iCs/>
          <w:sz w:val="20"/>
        </w:rPr>
        <w:t>- A</w:t>
      </w:r>
    </w:p>
    <w:p w14:paraId="0338A68A" w14:textId="7D1AA660" w:rsidR="00D927E5" w:rsidRDefault="007103AF" w:rsidP="00B7112C">
      <w:pPr>
        <w:spacing w:after="160" w:line="276" w:lineRule="auto"/>
        <w:jc w:val="both"/>
        <w:rPr>
          <w:rFonts w:cs="Arial"/>
          <w:bCs/>
          <w:sz w:val="20"/>
          <w:szCs w:val="22"/>
        </w:rPr>
      </w:pPr>
      <w:proofErr w:type="gramStart"/>
      <w:r>
        <w:rPr>
          <w:sz w:val="20"/>
          <w:szCs w:val="22"/>
        </w:rPr>
        <w:t>Therefore</w:t>
      </w:r>
      <w:proofErr w:type="gramEnd"/>
      <w:r>
        <w:rPr>
          <w:sz w:val="20"/>
          <w:szCs w:val="22"/>
        </w:rPr>
        <w:t xml:space="preserve"> OCEAN has </w:t>
      </w:r>
      <w:r w:rsidR="00F30D24">
        <w:rPr>
          <w:rFonts w:cs="Arial"/>
          <w:bCs/>
          <w:sz w:val="20"/>
          <w:szCs w:val="22"/>
        </w:rPr>
        <w:t>met or exceeded expectations on 2 of the 3 outputs across their indicators</w:t>
      </w:r>
      <w:r w:rsidR="008F7A53">
        <w:rPr>
          <w:rFonts w:cs="Arial"/>
          <w:bCs/>
          <w:sz w:val="20"/>
          <w:szCs w:val="22"/>
        </w:rPr>
        <w:t xml:space="preserve"> and overall has scored </w:t>
      </w:r>
      <w:r w:rsidR="00E00C66" w:rsidRPr="00E00C66">
        <w:rPr>
          <w:rFonts w:cs="Arial"/>
          <w:bCs/>
          <w:i/>
          <w:iCs/>
          <w:sz w:val="20"/>
          <w:szCs w:val="22"/>
        </w:rPr>
        <w:t xml:space="preserve">A – </w:t>
      </w:r>
      <w:r w:rsidR="001935E7">
        <w:rPr>
          <w:rFonts w:cs="Arial"/>
          <w:bCs/>
          <w:i/>
          <w:iCs/>
          <w:sz w:val="20"/>
          <w:szCs w:val="22"/>
        </w:rPr>
        <w:t>Outputs M</w:t>
      </w:r>
      <w:r w:rsidR="00E00C66" w:rsidRPr="00E00C66">
        <w:rPr>
          <w:rFonts w:cs="Arial"/>
          <w:bCs/>
          <w:i/>
          <w:iCs/>
          <w:sz w:val="20"/>
          <w:szCs w:val="22"/>
        </w:rPr>
        <w:t>et Expectation</w:t>
      </w:r>
      <w:r w:rsidR="00F30D24">
        <w:rPr>
          <w:rFonts w:cs="Arial"/>
          <w:bCs/>
          <w:sz w:val="20"/>
          <w:szCs w:val="22"/>
        </w:rPr>
        <w:t>.</w:t>
      </w:r>
      <w:r w:rsidR="00C11D51">
        <w:rPr>
          <w:rFonts w:cs="Arial"/>
          <w:bCs/>
          <w:sz w:val="20"/>
          <w:szCs w:val="22"/>
        </w:rPr>
        <w:t xml:space="preserve"> </w:t>
      </w:r>
      <w:r w:rsidR="00DC7529">
        <w:rPr>
          <w:rFonts w:cs="Arial"/>
          <w:bCs/>
          <w:sz w:val="20"/>
          <w:szCs w:val="22"/>
        </w:rPr>
        <w:t xml:space="preserve">Further information is contained in the </w:t>
      </w:r>
      <w:r w:rsidR="00C11D51">
        <w:rPr>
          <w:rFonts w:cs="Arial"/>
          <w:bCs/>
          <w:sz w:val="20"/>
          <w:szCs w:val="22"/>
        </w:rPr>
        <w:t>output assessment (section C)</w:t>
      </w:r>
      <w:r w:rsidR="008B00BB">
        <w:rPr>
          <w:rFonts w:cs="Arial"/>
          <w:bCs/>
          <w:sz w:val="20"/>
          <w:szCs w:val="22"/>
        </w:rPr>
        <w:t xml:space="preserve">, which </w:t>
      </w:r>
      <w:r w:rsidR="00C11D51">
        <w:rPr>
          <w:rFonts w:cs="Arial"/>
          <w:bCs/>
          <w:sz w:val="20"/>
          <w:szCs w:val="22"/>
        </w:rPr>
        <w:t>provides quantitative scores to detail whether the programme is</w:t>
      </w:r>
      <w:r w:rsidR="00A27329">
        <w:rPr>
          <w:rFonts w:cs="Arial"/>
          <w:bCs/>
          <w:sz w:val="20"/>
          <w:szCs w:val="22"/>
        </w:rPr>
        <w:t xml:space="preserve"> currently</w:t>
      </w:r>
      <w:r w:rsidR="00C11D51">
        <w:rPr>
          <w:rFonts w:cs="Arial"/>
          <w:bCs/>
          <w:sz w:val="20"/>
          <w:szCs w:val="22"/>
        </w:rPr>
        <w:t xml:space="preserve"> on track based on key outputs</w:t>
      </w:r>
      <w:r w:rsidR="00A27329">
        <w:rPr>
          <w:rFonts w:cs="Arial"/>
          <w:bCs/>
          <w:sz w:val="20"/>
          <w:szCs w:val="22"/>
        </w:rPr>
        <w:t xml:space="preserve">. </w:t>
      </w:r>
    </w:p>
    <w:p w14:paraId="22D3260B" w14:textId="7113F7E2" w:rsidR="00B7112C" w:rsidRPr="00F15E48" w:rsidRDefault="00B012C3" w:rsidP="00B7112C">
      <w:pPr>
        <w:spacing w:after="160" w:line="276" w:lineRule="auto"/>
        <w:jc w:val="both"/>
        <w:rPr>
          <w:rFonts w:cs="Arial"/>
          <w:bCs/>
          <w:sz w:val="20"/>
          <w:szCs w:val="22"/>
        </w:rPr>
      </w:pPr>
      <w:r>
        <w:rPr>
          <w:rFonts w:cs="Arial"/>
          <w:bCs/>
          <w:sz w:val="20"/>
          <w:szCs w:val="22"/>
        </w:rPr>
        <w:t>Despite the</w:t>
      </w:r>
      <w:r w:rsidR="007C28EF">
        <w:rPr>
          <w:rFonts w:cs="Arial"/>
          <w:bCs/>
          <w:sz w:val="20"/>
          <w:szCs w:val="22"/>
        </w:rPr>
        <w:t xml:space="preserve"> forementioned </w:t>
      </w:r>
      <w:r>
        <w:rPr>
          <w:rFonts w:cs="Arial"/>
          <w:bCs/>
          <w:sz w:val="20"/>
          <w:szCs w:val="22"/>
        </w:rPr>
        <w:t xml:space="preserve">delays OCEAN remains on track to contribute to the expected outcomes and impact </w:t>
      </w:r>
      <w:r w:rsidR="00984775">
        <w:rPr>
          <w:rFonts w:cs="Arial"/>
          <w:bCs/>
          <w:sz w:val="20"/>
          <w:szCs w:val="22"/>
        </w:rPr>
        <w:t>over the lifetime of the programme</w:t>
      </w:r>
      <w:r w:rsidR="00760999">
        <w:rPr>
          <w:rFonts w:cs="Arial"/>
          <w:bCs/>
          <w:sz w:val="20"/>
          <w:szCs w:val="22"/>
        </w:rPr>
        <w:t>.</w:t>
      </w:r>
    </w:p>
    <w:p w14:paraId="77BBDA88" w14:textId="3BEF3187" w:rsidR="006F3AE7" w:rsidRPr="00B54BA1" w:rsidRDefault="198756C5" w:rsidP="00E14C39">
      <w:pPr>
        <w:spacing w:after="160" w:line="276" w:lineRule="auto"/>
        <w:jc w:val="both"/>
        <w:rPr>
          <w:rFonts w:cs="Arial"/>
          <w:sz w:val="22"/>
          <w:szCs w:val="22"/>
        </w:rPr>
      </w:pPr>
      <w:r w:rsidRPr="00B54BA1">
        <w:rPr>
          <w:rFonts w:cs="Arial"/>
          <w:b/>
          <w:bCs/>
          <w:sz w:val="22"/>
          <w:szCs w:val="22"/>
          <w:lang w:val="en" w:eastAsia="en-GB"/>
        </w:rPr>
        <w:t xml:space="preserve">B3. </w:t>
      </w:r>
      <w:r w:rsidR="006F3AE7" w:rsidRPr="00B54BA1">
        <w:rPr>
          <w:rFonts w:cs="Arial"/>
          <w:b/>
          <w:bCs/>
          <w:sz w:val="22"/>
          <w:szCs w:val="22"/>
          <w:lang w:val="en" w:eastAsia="en-GB"/>
        </w:rPr>
        <w:t xml:space="preserve">Justify whether the </w:t>
      </w:r>
      <w:proofErr w:type="spellStart"/>
      <w:r w:rsidR="006F3AE7" w:rsidRPr="00B54BA1">
        <w:rPr>
          <w:rFonts w:cs="Arial"/>
          <w:b/>
          <w:bCs/>
          <w:sz w:val="22"/>
          <w:szCs w:val="22"/>
          <w:lang w:val="en" w:eastAsia="en-GB"/>
        </w:rPr>
        <w:t>programme</w:t>
      </w:r>
      <w:proofErr w:type="spellEnd"/>
      <w:r w:rsidR="006F3AE7" w:rsidRPr="00B54BA1">
        <w:rPr>
          <w:rFonts w:cs="Arial"/>
          <w:b/>
          <w:bCs/>
          <w:sz w:val="22"/>
          <w:szCs w:val="22"/>
          <w:lang w:val="en" w:eastAsia="en-GB"/>
        </w:rPr>
        <w:t xml:space="preserve"> should continue, based on its own merits and in the context of the wider portfolio </w:t>
      </w:r>
    </w:p>
    <w:p w14:paraId="0EA5BF40" w14:textId="7B9B3D15" w:rsidR="00C232CE" w:rsidRDefault="00C730CA" w:rsidP="00E14C39">
      <w:pPr>
        <w:spacing w:after="160" w:line="276" w:lineRule="auto"/>
        <w:jc w:val="both"/>
        <w:rPr>
          <w:rFonts w:cs="Arial"/>
          <w:sz w:val="20"/>
          <w:szCs w:val="20"/>
          <w:lang w:val="en-US" w:eastAsia="en-GB"/>
        </w:rPr>
      </w:pPr>
      <w:r>
        <w:rPr>
          <w:rFonts w:cs="Arial"/>
          <w:sz w:val="20"/>
          <w:szCs w:val="20"/>
          <w:lang w:val="en-US" w:eastAsia="en-GB"/>
        </w:rPr>
        <w:t xml:space="preserve">In its first year OCEAN </w:t>
      </w:r>
      <w:proofErr w:type="gramStart"/>
      <w:r>
        <w:rPr>
          <w:rFonts w:cs="Arial"/>
          <w:sz w:val="20"/>
          <w:szCs w:val="20"/>
          <w:lang w:val="en-US" w:eastAsia="en-GB"/>
        </w:rPr>
        <w:t>has focused</w:t>
      </w:r>
      <w:proofErr w:type="gramEnd"/>
      <w:r>
        <w:rPr>
          <w:rFonts w:cs="Arial"/>
          <w:sz w:val="20"/>
          <w:szCs w:val="20"/>
          <w:lang w:val="en-US" w:eastAsia="en-GB"/>
        </w:rPr>
        <w:t xml:space="preserve"> on</w:t>
      </w:r>
      <w:r w:rsidR="00435747">
        <w:rPr>
          <w:rFonts w:cs="Arial"/>
          <w:sz w:val="20"/>
          <w:szCs w:val="20"/>
          <w:lang w:val="en-US" w:eastAsia="en-GB"/>
        </w:rPr>
        <w:t xml:space="preserve"> </w:t>
      </w:r>
      <w:proofErr w:type="spellStart"/>
      <w:r w:rsidR="00053EA2">
        <w:rPr>
          <w:rFonts w:cs="Arial"/>
          <w:sz w:val="20"/>
          <w:szCs w:val="20"/>
          <w:lang w:val="en-US" w:eastAsia="en-GB"/>
        </w:rPr>
        <w:t>mobili</w:t>
      </w:r>
      <w:r w:rsidR="000E7290">
        <w:rPr>
          <w:rFonts w:cs="Arial"/>
          <w:sz w:val="20"/>
          <w:szCs w:val="20"/>
          <w:lang w:val="en-US" w:eastAsia="en-GB"/>
        </w:rPr>
        <w:t>s</w:t>
      </w:r>
      <w:r w:rsidR="00053EA2">
        <w:rPr>
          <w:rFonts w:cs="Arial"/>
          <w:sz w:val="20"/>
          <w:szCs w:val="20"/>
          <w:lang w:val="en-US" w:eastAsia="en-GB"/>
        </w:rPr>
        <w:t>ation</w:t>
      </w:r>
      <w:proofErr w:type="spellEnd"/>
      <w:r w:rsidR="00053EA2">
        <w:rPr>
          <w:rFonts w:cs="Arial"/>
          <w:sz w:val="20"/>
          <w:szCs w:val="20"/>
          <w:lang w:val="en-US" w:eastAsia="en-GB"/>
        </w:rPr>
        <w:t>, procurement and the first call for proposals. Good progress has been made across these objectives in line with OCEAN’s overall strategy and</w:t>
      </w:r>
      <w:r w:rsidR="00727AC5">
        <w:rPr>
          <w:rFonts w:cs="Arial"/>
          <w:sz w:val="20"/>
          <w:szCs w:val="20"/>
          <w:lang w:val="en-US" w:eastAsia="en-GB"/>
        </w:rPr>
        <w:t xml:space="preserve"> </w:t>
      </w:r>
      <w:r w:rsidR="000761FC">
        <w:rPr>
          <w:rFonts w:cs="Arial"/>
          <w:sz w:val="20"/>
          <w:szCs w:val="20"/>
          <w:lang w:val="en-US" w:eastAsia="en-GB"/>
        </w:rPr>
        <w:t xml:space="preserve">Theory of </w:t>
      </w:r>
      <w:r w:rsidR="000761FC" w:rsidRPr="002E5674">
        <w:rPr>
          <w:rFonts w:cs="Arial"/>
          <w:sz w:val="20"/>
          <w:szCs w:val="20"/>
          <w:lang w:val="en-US" w:eastAsia="en-GB"/>
        </w:rPr>
        <w:t xml:space="preserve">Change (Annex </w:t>
      </w:r>
      <w:r w:rsidR="002E5674" w:rsidRPr="002E5674">
        <w:rPr>
          <w:rFonts w:cs="Arial"/>
          <w:sz w:val="20"/>
          <w:szCs w:val="20"/>
          <w:lang w:val="en-US" w:eastAsia="en-GB"/>
        </w:rPr>
        <w:t>A</w:t>
      </w:r>
      <w:r w:rsidR="000761FC" w:rsidRPr="002E5674">
        <w:rPr>
          <w:rFonts w:cs="Arial"/>
          <w:sz w:val="20"/>
          <w:szCs w:val="20"/>
          <w:lang w:val="en-US" w:eastAsia="en-GB"/>
        </w:rPr>
        <w:t>).</w:t>
      </w:r>
      <w:r w:rsidR="000761FC">
        <w:rPr>
          <w:rFonts w:cs="Arial"/>
          <w:sz w:val="20"/>
          <w:szCs w:val="20"/>
          <w:lang w:val="en-US" w:eastAsia="en-GB"/>
        </w:rPr>
        <w:t xml:space="preserve"> </w:t>
      </w:r>
      <w:r w:rsidR="00D12FCE" w:rsidRPr="00E94A23">
        <w:rPr>
          <w:rFonts w:cs="Arial"/>
          <w:sz w:val="20"/>
          <w:lang w:val="en-US"/>
        </w:rPr>
        <w:t>Despite delays</w:t>
      </w:r>
      <w:r w:rsidR="6EDE8B24" w:rsidRPr="3BAA8A14">
        <w:rPr>
          <w:rFonts w:cs="Arial"/>
          <w:sz w:val="20"/>
          <w:szCs w:val="20"/>
          <w:lang w:val="en-US"/>
        </w:rPr>
        <w:t>,</w:t>
      </w:r>
      <w:r w:rsidR="00D12FCE" w:rsidRPr="00E94A23">
        <w:rPr>
          <w:rFonts w:cs="Arial"/>
          <w:sz w:val="20"/>
          <w:lang w:val="en-US"/>
        </w:rPr>
        <w:t xml:space="preserve"> the first call for proposals was a success with 694 applications</w:t>
      </w:r>
      <w:r w:rsidR="00775DD6" w:rsidRPr="00E94A23">
        <w:rPr>
          <w:rFonts w:cs="Arial"/>
          <w:sz w:val="20"/>
          <w:lang w:val="en-US"/>
        </w:rPr>
        <w:t xml:space="preserve"> to implement projects in 107</w:t>
      </w:r>
      <w:r w:rsidR="00715A1F" w:rsidRPr="00E94A23">
        <w:rPr>
          <w:rFonts w:cs="Arial"/>
          <w:sz w:val="20"/>
          <w:lang w:val="en-US"/>
        </w:rPr>
        <w:t xml:space="preserve"> different countries</w:t>
      </w:r>
      <w:r w:rsidR="00036A59">
        <w:rPr>
          <w:rFonts w:cs="Arial"/>
          <w:sz w:val="20"/>
          <w:lang w:val="en-US"/>
        </w:rPr>
        <w:t xml:space="preserve"> and </w:t>
      </w:r>
      <w:r w:rsidR="00C02E9D">
        <w:rPr>
          <w:rFonts w:cs="Arial"/>
          <w:sz w:val="20"/>
          <w:lang w:val="en-US"/>
        </w:rPr>
        <w:t xml:space="preserve">96% of Community Grant and 100% of Partnership Grant applicants </w:t>
      </w:r>
      <w:r w:rsidR="008640AC">
        <w:rPr>
          <w:rFonts w:cs="Arial"/>
          <w:sz w:val="20"/>
          <w:lang w:val="en-US"/>
        </w:rPr>
        <w:t xml:space="preserve">who were </w:t>
      </w:r>
      <w:r w:rsidR="00C02E9D">
        <w:rPr>
          <w:rFonts w:cs="Arial"/>
          <w:sz w:val="20"/>
          <w:lang w:val="en-US"/>
        </w:rPr>
        <w:t xml:space="preserve">invited to Stage 2 </w:t>
      </w:r>
      <w:r w:rsidR="00B212FB">
        <w:rPr>
          <w:rFonts w:cs="Arial"/>
          <w:sz w:val="20"/>
          <w:lang w:val="en-US"/>
        </w:rPr>
        <w:t>completed this phase</w:t>
      </w:r>
      <w:r w:rsidR="008640AC">
        <w:rPr>
          <w:rFonts w:cs="Arial"/>
          <w:sz w:val="20"/>
          <w:lang w:val="en-US"/>
        </w:rPr>
        <w:t xml:space="preserve"> of the process</w:t>
      </w:r>
      <w:r w:rsidR="00B212FB">
        <w:rPr>
          <w:rFonts w:cs="Arial"/>
          <w:sz w:val="20"/>
          <w:lang w:val="en-US"/>
        </w:rPr>
        <w:t>.</w:t>
      </w:r>
      <w:r w:rsidR="00C02E9D">
        <w:rPr>
          <w:rFonts w:cs="Arial"/>
          <w:sz w:val="20"/>
          <w:lang w:val="en-US"/>
        </w:rPr>
        <w:t xml:space="preserve"> </w:t>
      </w:r>
      <w:r w:rsidR="005A7254">
        <w:rPr>
          <w:rFonts w:cs="Arial"/>
          <w:sz w:val="20"/>
          <w:lang w:val="en-US"/>
        </w:rPr>
        <w:t>W</w:t>
      </w:r>
      <w:r w:rsidR="00D55080">
        <w:rPr>
          <w:rFonts w:cs="Arial"/>
          <w:sz w:val="20"/>
          <w:lang w:val="en-US"/>
        </w:rPr>
        <w:t xml:space="preserve">e are on track to </w:t>
      </w:r>
      <w:proofErr w:type="gramStart"/>
      <w:r w:rsidR="00D55080">
        <w:rPr>
          <w:rFonts w:cs="Arial"/>
          <w:sz w:val="20"/>
          <w:lang w:val="en-US"/>
        </w:rPr>
        <w:t>award</w:t>
      </w:r>
      <w:proofErr w:type="gramEnd"/>
      <w:r w:rsidR="00D55080">
        <w:rPr>
          <w:rFonts w:cs="Arial"/>
          <w:sz w:val="20"/>
          <w:lang w:val="en-US"/>
        </w:rPr>
        <w:t xml:space="preserve"> </w:t>
      </w:r>
      <w:r w:rsidR="2A9721A5" w:rsidRPr="3BAA8A14">
        <w:rPr>
          <w:rFonts w:cs="Arial"/>
          <w:sz w:val="20"/>
          <w:szCs w:val="20"/>
          <w:lang w:val="en-US"/>
        </w:rPr>
        <w:t>in the region of</w:t>
      </w:r>
      <w:r w:rsidR="76E3B9B0" w:rsidRPr="3BAA8A14">
        <w:rPr>
          <w:rFonts w:cs="Arial"/>
          <w:sz w:val="20"/>
          <w:szCs w:val="20"/>
          <w:lang w:val="en-US"/>
        </w:rPr>
        <w:t xml:space="preserve"> </w:t>
      </w:r>
      <w:r w:rsidR="00D55080">
        <w:rPr>
          <w:rFonts w:cs="Arial"/>
          <w:sz w:val="20"/>
          <w:lang w:val="en-US"/>
        </w:rPr>
        <w:t>£</w:t>
      </w:r>
      <w:r w:rsidR="00572B40">
        <w:rPr>
          <w:rFonts w:cs="Arial"/>
          <w:sz w:val="20"/>
          <w:lang w:val="en-US"/>
        </w:rPr>
        <w:t>2</w:t>
      </w:r>
      <w:r w:rsidR="00D55080">
        <w:rPr>
          <w:rFonts w:cs="Arial"/>
          <w:sz w:val="20"/>
          <w:lang w:val="en-US"/>
        </w:rPr>
        <w:t>.</w:t>
      </w:r>
      <w:r w:rsidR="00442043">
        <w:rPr>
          <w:rFonts w:cs="Arial"/>
          <w:sz w:val="20"/>
          <w:szCs w:val="20"/>
          <w:lang w:val="en-US"/>
        </w:rPr>
        <w:t>7</w:t>
      </w:r>
      <w:r w:rsidR="52DDCF50" w:rsidRPr="3BAA8A14">
        <w:rPr>
          <w:rFonts w:cs="Arial"/>
          <w:sz w:val="20"/>
          <w:szCs w:val="20"/>
          <w:lang w:val="en-US"/>
        </w:rPr>
        <w:t xml:space="preserve"> </w:t>
      </w:r>
      <w:r w:rsidR="76E3B9B0" w:rsidRPr="3BAA8A14">
        <w:rPr>
          <w:rFonts w:cs="Arial"/>
          <w:sz w:val="20"/>
          <w:szCs w:val="20"/>
          <w:lang w:val="en-US"/>
        </w:rPr>
        <w:t>million</w:t>
      </w:r>
      <w:r w:rsidR="00D55080">
        <w:rPr>
          <w:rFonts w:cs="Arial"/>
          <w:sz w:val="20"/>
          <w:lang w:val="en-US"/>
        </w:rPr>
        <w:t xml:space="preserve"> of funding </w:t>
      </w:r>
      <w:r w:rsidR="0062750B">
        <w:rPr>
          <w:rFonts w:cs="Arial"/>
          <w:sz w:val="20"/>
          <w:lang w:val="en-US"/>
        </w:rPr>
        <w:t xml:space="preserve">in this financial year to successful projects from </w:t>
      </w:r>
      <w:r w:rsidR="00BF3F23">
        <w:rPr>
          <w:rFonts w:cs="Arial"/>
          <w:sz w:val="20"/>
          <w:lang w:val="en-US"/>
        </w:rPr>
        <w:t>November</w:t>
      </w:r>
      <w:r w:rsidR="0062750B">
        <w:rPr>
          <w:rFonts w:cs="Arial"/>
          <w:sz w:val="20"/>
          <w:lang w:val="en-US"/>
        </w:rPr>
        <w:t xml:space="preserve"> 202</w:t>
      </w:r>
      <w:r w:rsidR="00512ADA">
        <w:rPr>
          <w:rFonts w:cs="Arial"/>
          <w:sz w:val="20"/>
          <w:lang w:val="en-US"/>
        </w:rPr>
        <w:t>4</w:t>
      </w:r>
      <w:r w:rsidR="00B04000">
        <w:rPr>
          <w:rFonts w:cs="Arial"/>
          <w:sz w:val="20"/>
          <w:lang w:val="en-US"/>
        </w:rPr>
        <w:t xml:space="preserve">. </w:t>
      </w:r>
      <w:r w:rsidR="00EC22B5">
        <w:rPr>
          <w:rFonts w:cs="Arial"/>
          <w:sz w:val="20"/>
          <w:lang w:val="en-US"/>
        </w:rPr>
        <w:t>Other successes</w:t>
      </w:r>
      <w:r w:rsidR="570B506B" w:rsidRPr="3BAA8A14">
        <w:rPr>
          <w:rFonts w:cs="Arial"/>
          <w:sz w:val="20"/>
          <w:szCs w:val="20"/>
          <w:lang w:val="en-US"/>
        </w:rPr>
        <w:t xml:space="preserve"> are </w:t>
      </w:r>
      <w:r w:rsidR="570B506B" w:rsidRPr="58C288AC">
        <w:rPr>
          <w:rFonts w:cs="Arial"/>
          <w:sz w:val="20"/>
          <w:szCs w:val="20"/>
          <w:lang w:val="en-US"/>
        </w:rPr>
        <w:t>outlined in section</w:t>
      </w:r>
      <w:r w:rsidR="0070295F">
        <w:rPr>
          <w:rFonts w:cs="Arial"/>
          <w:sz w:val="20"/>
          <w:szCs w:val="20"/>
          <w:lang w:val="en-US"/>
        </w:rPr>
        <w:t xml:space="preserve"> A2. </w:t>
      </w:r>
      <w:r w:rsidR="00EC22B5">
        <w:rPr>
          <w:rFonts w:cs="Arial"/>
          <w:sz w:val="20"/>
          <w:lang w:val="en-US"/>
        </w:rPr>
        <w:t xml:space="preserve"> </w:t>
      </w:r>
    </w:p>
    <w:p w14:paraId="740CEBE5" w14:textId="14C2C4CF" w:rsidR="009D3FF7" w:rsidRDefault="00A93455" w:rsidP="00E14C39">
      <w:pPr>
        <w:spacing w:after="160" w:line="276" w:lineRule="auto"/>
        <w:jc w:val="both"/>
        <w:rPr>
          <w:rFonts w:cs="Arial"/>
          <w:sz w:val="20"/>
          <w:szCs w:val="20"/>
          <w:lang w:val="en-US" w:eastAsia="en-GB"/>
        </w:rPr>
      </w:pPr>
      <w:r>
        <w:rPr>
          <w:rFonts w:cs="Arial"/>
          <w:sz w:val="20"/>
          <w:szCs w:val="20"/>
          <w:lang w:val="en-US" w:eastAsia="en-GB"/>
        </w:rPr>
        <w:t>OCEAN is therefore recommended to continue de</w:t>
      </w:r>
      <w:r w:rsidR="000570F4">
        <w:rPr>
          <w:rFonts w:cs="Arial"/>
          <w:sz w:val="20"/>
          <w:szCs w:val="20"/>
          <w:lang w:val="en-US" w:eastAsia="en-GB"/>
        </w:rPr>
        <w:t>livery</w:t>
      </w:r>
      <w:r w:rsidR="00EB3D6E">
        <w:rPr>
          <w:rFonts w:cs="Arial"/>
          <w:sz w:val="20"/>
          <w:szCs w:val="20"/>
          <w:lang w:val="en-US" w:eastAsia="en-GB"/>
        </w:rPr>
        <w:t xml:space="preserve"> as planned, ensuring that there is close monitoring of progress throughout year two to </w:t>
      </w:r>
      <w:r w:rsidR="55D9FBA4" w:rsidRPr="58C288AC">
        <w:rPr>
          <w:rFonts w:cs="Arial"/>
          <w:sz w:val="20"/>
          <w:szCs w:val="20"/>
          <w:lang w:val="en-US" w:eastAsia="en-GB"/>
        </w:rPr>
        <w:t xml:space="preserve">learn from </w:t>
      </w:r>
      <w:r w:rsidR="55D9FBA4" w:rsidRPr="16147DAF">
        <w:rPr>
          <w:rFonts w:cs="Arial"/>
          <w:sz w:val="20"/>
          <w:szCs w:val="20"/>
          <w:lang w:val="en-US" w:eastAsia="en-GB"/>
        </w:rPr>
        <w:t xml:space="preserve">and </w:t>
      </w:r>
      <w:r w:rsidR="00EB3D6E" w:rsidRPr="16147DAF">
        <w:rPr>
          <w:rFonts w:cs="Arial"/>
          <w:sz w:val="20"/>
          <w:szCs w:val="20"/>
          <w:lang w:val="en-US" w:eastAsia="en-GB"/>
        </w:rPr>
        <w:t>adapt</w:t>
      </w:r>
      <w:r w:rsidR="00EB3D6E">
        <w:rPr>
          <w:rFonts w:cs="Arial"/>
          <w:sz w:val="20"/>
          <w:szCs w:val="20"/>
          <w:lang w:val="en-US" w:eastAsia="en-GB"/>
        </w:rPr>
        <w:t xml:space="preserve"> to </w:t>
      </w:r>
      <w:r w:rsidR="00DC1C40">
        <w:rPr>
          <w:rFonts w:cs="Arial"/>
          <w:sz w:val="20"/>
          <w:szCs w:val="20"/>
          <w:lang w:val="en-US" w:eastAsia="en-GB"/>
        </w:rPr>
        <w:t xml:space="preserve">any </w:t>
      </w:r>
      <w:r w:rsidR="00EB3D6E">
        <w:rPr>
          <w:rFonts w:cs="Arial"/>
          <w:sz w:val="20"/>
          <w:szCs w:val="20"/>
          <w:lang w:val="en-US" w:eastAsia="en-GB"/>
        </w:rPr>
        <w:t>changing circumstances</w:t>
      </w:r>
      <w:r w:rsidR="1F2A2F0B" w:rsidRPr="16147DAF">
        <w:rPr>
          <w:rFonts w:cs="Arial"/>
          <w:sz w:val="20"/>
          <w:szCs w:val="20"/>
          <w:lang w:val="en-US" w:eastAsia="en-GB"/>
        </w:rPr>
        <w:t>.</w:t>
      </w:r>
      <w:r w:rsidR="00AB02A8">
        <w:rPr>
          <w:rFonts w:cs="Arial"/>
          <w:sz w:val="20"/>
          <w:szCs w:val="20"/>
          <w:lang w:val="en-US" w:eastAsia="en-GB"/>
        </w:rPr>
        <w:t xml:space="preserve"> and to avoid any fu</w:t>
      </w:r>
      <w:r w:rsidR="00512ADA">
        <w:rPr>
          <w:rFonts w:cs="Arial"/>
          <w:sz w:val="20"/>
          <w:szCs w:val="20"/>
          <w:lang w:val="en-US" w:eastAsia="en-GB"/>
        </w:rPr>
        <w:t>ture</w:t>
      </w:r>
      <w:r w:rsidR="00AB02A8">
        <w:rPr>
          <w:rFonts w:cs="Arial"/>
          <w:sz w:val="20"/>
          <w:szCs w:val="20"/>
          <w:lang w:val="en-US" w:eastAsia="en-GB"/>
        </w:rPr>
        <w:t xml:space="preserve"> delays. </w:t>
      </w:r>
    </w:p>
    <w:p w14:paraId="4BD8B491" w14:textId="15C29E0F" w:rsidR="00E75614" w:rsidRDefault="00EA124D">
      <w:pPr>
        <w:spacing w:after="160" w:line="259" w:lineRule="auto"/>
        <w:rPr>
          <w:rFonts w:cs="Arial"/>
          <w:sz w:val="20"/>
          <w:szCs w:val="22"/>
          <w:lang w:val="en" w:eastAsia="en-GB"/>
        </w:rPr>
      </w:pPr>
      <w:r>
        <w:rPr>
          <w:rFonts w:cs="Arial"/>
          <w:sz w:val="20"/>
          <w:szCs w:val="22"/>
          <w:lang w:val="en" w:eastAsia="en-GB"/>
        </w:rPr>
        <w:br w:type="page"/>
      </w:r>
    </w:p>
    <w:p w14:paraId="66366104" w14:textId="77777777" w:rsidR="00E75614" w:rsidRDefault="00E75614" w:rsidP="009021AD">
      <w:pPr>
        <w:spacing w:line="276" w:lineRule="auto"/>
        <w:rPr>
          <w:rFonts w:cs="Arial"/>
          <w:sz w:val="20"/>
          <w:szCs w:val="22"/>
          <w:lang w:val="en" w:eastAsia="en-GB"/>
        </w:rPr>
      </w:pPr>
    </w:p>
    <w:p w14:paraId="4C0C0DD9" w14:textId="33E52952" w:rsidR="00671C45" w:rsidRPr="00671C45" w:rsidRDefault="006F3AE7" w:rsidP="00671C45">
      <w:pPr>
        <w:pStyle w:val="Heading2"/>
        <w:pBdr>
          <w:top w:val="single" w:sz="4" w:space="1" w:color="auto"/>
          <w:left w:val="single" w:sz="4" w:space="6" w:color="auto"/>
          <w:bottom w:val="single" w:sz="4" w:space="1" w:color="auto"/>
          <w:right w:val="single" w:sz="4" w:space="4" w:color="auto"/>
        </w:pBdr>
        <w:shd w:val="clear" w:color="auto" w:fill="D9E2F3" w:themeFill="accent1" w:themeFillTint="33"/>
        <w:spacing w:before="0" w:line="276" w:lineRule="auto"/>
        <w:rPr>
          <w:b w:val="0"/>
          <w:i w:val="0"/>
          <w:sz w:val="20"/>
          <w:szCs w:val="20"/>
        </w:rPr>
      </w:pPr>
      <w:r>
        <w:rPr>
          <w:i w:val="0"/>
        </w:rPr>
        <w:t>C.</w:t>
      </w:r>
      <w:r w:rsidRPr="00F70DBE">
        <w:rPr>
          <w:i w:val="0"/>
        </w:rPr>
        <w:t xml:space="preserve"> DETAILED OUTPUT SCORING</w:t>
      </w:r>
      <w:r w:rsidRPr="00F70DBE">
        <w:rPr>
          <w:b w:val="0"/>
          <w:i w:val="0"/>
          <w:sz w:val="20"/>
          <w:szCs w:val="20"/>
        </w:rPr>
        <w:t xml:space="preserve"> </w:t>
      </w:r>
    </w:p>
    <w:tbl>
      <w:tblPr>
        <w:tblStyle w:val="TableGrid"/>
        <w:tblpPr w:leftFromText="180" w:rightFromText="180" w:vertAnchor="text" w:horzAnchor="margin" w:tblpXSpec="center" w:tblpY="273"/>
        <w:tblW w:w="10206" w:type="dxa"/>
        <w:tblLook w:val="04A0" w:firstRow="1" w:lastRow="0" w:firstColumn="1" w:lastColumn="0" w:noHBand="0" w:noVBand="1"/>
      </w:tblPr>
      <w:tblGrid>
        <w:gridCol w:w="2133"/>
        <w:gridCol w:w="616"/>
        <w:gridCol w:w="937"/>
        <w:gridCol w:w="3283"/>
        <w:gridCol w:w="3237"/>
      </w:tblGrid>
      <w:tr w:rsidR="009C2A1E" w:rsidRPr="008A4154" w14:paraId="5B7FF4CD" w14:textId="77777777" w:rsidTr="009C2A1E">
        <w:trPr>
          <w:trHeight w:val="489"/>
        </w:trPr>
        <w:tc>
          <w:tcPr>
            <w:tcW w:w="21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71F5E2" w14:textId="77777777" w:rsidR="009C2A1E" w:rsidRPr="008A4154" w:rsidRDefault="009C2A1E" w:rsidP="009C2A1E">
            <w:pPr>
              <w:spacing w:line="276" w:lineRule="auto"/>
              <w:rPr>
                <w:b/>
                <w:bCs/>
                <w:sz w:val="20"/>
                <w:szCs w:val="22"/>
              </w:rPr>
            </w:pPr>
            <w:r w:rsidRPr="008A4154">
              <w:rPr>
                <w:b/>
                <w:bCs/>
                <w:sz w:val="20"/>
                <w:szCs w:val="22"/>
              </w:rPr>
              <w:t xml:space="preserve">Output Title </w:t>
            </w:r>
          </w:p>
        </w:tc>
        <w:tc>
          <w:tcPr>
            <w:tcW w:w="8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2B113" w14:textId="77777777" w:rsidR="009C2A1E" w:rsidRPr="008A4154" w:rsidRDefault="009C2A1E" w:rsidP="009C2A1E">
            <w:pPr>
              <w:spacing w:line="276" w:lineRule="auto"/>
              <w:rPr>
                <w:bCs/>
                <w:i/>
                <w:color w:val="FF0000"/>
                <w:sz w:val="20"/>
                <w:szCs w:val="22"/>
              </w:rPr>
            </w:pPr>
            <w:r w:rsidRPr="00062F2F">
              <w:rPr>
                <w:sz w:val="20"/>
                <w:szCs w:val="22"/>
              </w:rPr>
              <w:t xml:space="preserve">Organisations in ODA eligible countries have access to funding to address marine environment and poverty reduction challenges at a </w:t>
            </w:r>
            <w:proofErr w:type="gramStart"/>
            <w:r w:rsidRPr="00062F2F">
              <w:rPr>
                <w:sz w:val="20"/>
                <w:szCs w:val="22"/>
              </w:rPr>
              <w:t>local-level</w:t>
            </w:r>
            <w:proofErr w:type="gramEnd"/>
          </w:p>
        </w:tc>
      </w:tr>
      <w:tr w:rsidR="009C2A1E" w:rsidRPr="008A4154" w14:paraId="597D17A3" w14:textId="77777777" w:rsidTr="009C2A1E">
        <w:trPr>
          <w:trHeight w:val="347"/>
        </w:trPr>
        <w:tc>
          <w:tcPr>
            <w:tcW w:w="27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DF4093" w14:textId="77777777" w:rsidR="009C2A1E" w:rsidRPr="008A4154" w:rsidRDefault="009C2A1E" w:rsidP="009C2A1E">
            <w:pPr>
              <w:spacing w:line="276" w:lineRule="auto"/>
              <w:rPr>
                <w:bCs/>
                <w:sz w:val="20"/>
                <w:szCs w:val="22"/>
              </w:rPr>
            </w:pPr>
            <w:r w:rsidRPr="008A4154">
              <w:rPr>
                <w:bCs/>
                <w:sz w:val="20"/>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vAlign w:val="center"/>
          </w:tcPr>
          <w:p w14:paraId="4DBD3B04" w14:textId="77777777" w:rsidR="009C2A1E" w:rsidRPr="008A4154" w:rsidRDefault="009C2A1E" w:rsidP="009C2A1E">
            <w:pPr>
              <w:spacing w:line="276" w:lineRule="auto"/>
              <w:rPr>
                <w:sz w:val="20"/>
                <w:szCs w:val="20"/>
              </w:rPr>
            </w:pPr>
            <w:r>
              <w:rPr>
                <w:sz w:val="20"/>
                <w:szCs w:val="20"/>
              </w:rPr>
              <w:t>1</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8DECB4" w14:textId="77777777" w:rsidR="009C2A1E" w:rsidRPr="008A4154" w:rsidRDefault="009C2A1E" w:rsidP="009C2A1E">
            <w:pPr>
              <w:spacing w:line="276" w:lineRule="auto"/>
              <w:rPr>
                <w:sz w:val="20"/>
                <w:szCs w:val="22"/>
              </w:rPr>
            </w:pPr>
            <w:r w:rsidRPr="008A4154">
              <w:rPr>
                <w:bCs/>
                <w:sz w:val="20"/>
                <w:szCs w:val="22"/>
              </w:rPr>
              <w:t xml:space="preserve">Output Score: </w:t>
            </w:r>
          </w:p>
        </w:tc>
        <w:tc>
          <w:tcPr>
            <w:tcW w:w="3237" w:type="dxa"/>
            <w:tcBorders>
              <w:top w:val="single" w:sz="4" w:space="0" w:color="auto"/>
              <w:left w:val="single" w:sz="4" w:space="0" w:color="auto"/>
              <w:bottom w:val="single" w:sz="4" w:space="0" w:color="auto"/>
              <w:right w:val="single" w:sz="4" w:space="0" w:color="auto"/>
            </w:tcBorders>
            <w:vAlign w:val="center"/>
          </w:tcPr>
          <w:p w14:paraId="32BEB6F1" w14:textId="77777777" w:rsidR="009C2A1E" w:rsidRPr="00860E27" w:rsidRDefault="009C2A1E" w:rsidP="009C2A1E">
            <w:pPr>
              <w:spacing w:line="276" w:lineRule="auto"/>
              <w:rPr>
                <w:b/>
                <w:bCs/>
                <w:sz w:val="20"/>
                <w:szCs w:val="20"/>
              </w:rPr>
            </w:pPr>
            <w:r w:rsidRPr="00860E27">
              <w:rPr>
                <w:b/>
                <w:bCs/>
                <w:sz w:val="20"/>
                <w:szCs w:val="20"/>
              </w:rPr>
              <w:t>B</w:t>
            </w:r>
          </w:p>
        </w:tc>
      </w:tr>
      <w:tr w:rsidR="009C2A1E" w:rsidRPr="008A4154" w14:paraId="7BD209C6" w14:textId="77777777" w:rsidTr="009C2A1E">
        <w:trPr>
          <w:trHeight w:val="345"/>
        </w:trPr>
        <w:tc>
          <w:tcPr>
            <w:tcW w:w="27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00AB1F" w14:textId="77777777" w:rsidR="009C2A1E" w:rsidRPr="008A4154" w:rsidRDefault="009C2A1E" w:rsidP="009C2A1E">
            <w:pPr>
              <w:spacing w:line="276" w:lineRule="auto"/>
              <w:rPr>
                <w:sz w:val="20"/>
                <w:szCs w:val="22"/>
              </w:rPr>
            </w:pPr>
            <w:r w:rsidRPr="008A4154">
              <w:rPr>
                <w:bCs/>
                <w:sz w:val="20"/>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vAlign w:val="center"/>
            <w:hideMark/>
          </w:tcPr>
          <w:p w14:paraId="47B1951C" w14:textId="77777777" w:rsidR="009C2A1E" w:rsidRPr="008A4154" w:rsidRDefault="009C2A1E" w:rsidP="009C2A1E">
            <w:pPr>
              <w:spacing w:line="276" w:lineRule="auto"/>
              <w:rPr>
                <w:sz w:val="20"/>
                <w:szCs w:val="20"/>
              </w:rPr>
            </w:pPr>
            <w:r>
              <w:rPr>
                <w:sz w:val="20"/>
                <w:szCs w:val="20"/>
              </w:rPr>
              <w:t>20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B22CA4" w14:textId="77777777" w:rsidR="009C2A1E" w:rsidRPr="008A4154" w:rsidRDefault="009C2A1E" w:rsidP="009C2A1E">
            <w:pPr>
              <w:spacing w:line="276" w:lineRule="auto"/>
              <w:rPr>
                <w:bCs/>
                <w:sz w:val="20"/>
                <w:szCs w:val="22"/>
              </w:rPr>
            </w:pPr>
            <w:r>
              <w:rPr>
                <w:bCs/>
                <w:sz w:val="20"/>
                <w:szCs w:val="22"/>
              </w:rPr>
              <w:t>W</w:t>
            </w:r>
            <w:r w:rsidRPr="008A4154">
              <w:rPr>
                <w:bCs/>
                <w:sz w:val="20"/>
                <w:szCs w:val="22"/>
              </w:rPr>
              <w:t xml:space="preserve">eighting revised since last </w:t>
            </w:r>
            <w:proofErr w:type="gramStart"/>
            <w:r w:rsidRPr="008A4154">
              <w:rPr>
                <w:bCs/>
                <w:sz w:val="20"/>
                <w:szCs w:val="22"/>
              </w:rPr>
              <w:t>AR?</w:t>
            </w:r>
            <w:proofErr w:type="gramEnd"/>
            <w:r w:rsidRPr="008A4154">
              <w:rPr>
                <w:bCs/>
                <w:sz w:val="20"/>
                <w:szCs w:val="22"/>
              </w:rPr>
              <w:t xml:space="preserve"> </w:t>
            </w:r>
          </w:p>
        </w:tc>
        <w:tc>
          <w:tcPr>
            <w:tcW w:w="3237" w:type="dxa"/>
            <w:tcBorders>
              <w:top w:val="single" w:sz="4" w:space="0" w:color="auto"/>
              <w:left w:val="single" w:sz="4" w:space="0" w:color="auto"/>
              <w:bottom w:val="single" w:sz="4" w:space="0" w:color="auto"/>
              <w:right w:val="single" w:sz="4" w:space="0" w:color="auto"/>
            </w:tcBorders>
            <w:vAlign w:val="center"/>
          </w:tcPr>
          <w:p w14:paraId="08673E69" w14:textId="77777777" w:rsidR="009C2A1E" w:rsidRPr="008A4154" w:rsidRDefault="009C2A1E" w:rsidP="009C2A1E">
            <w:pPr>
              <w:spacing w:line="276" w:lineRule="auto"/>
              <w:rPr>
                <w:sz w:val="20"/>
                <w:szCs w:val="20"/>
              </w:rPr>
            </w:pPr>
            <w:r>
              <w:rPr>
                <w:sz w:val="20"/>
                <w:szCs w:val="20"/>
              </w:rPr>
              <w:t>N/A</w:t>
            </w:r>
          </w:p>
        </w:tc>
      </w:tr>
    </w:tbl>
    <w:p w14:paraId="794B1D49" w14:textId="77777777" w:rsidR="00EA124D" w:rsidRPr="00EA124D" w:rsidRDefault="00EA124D" w:rsidP="00EA124D"/>
    <w:p w14:paraId="045196E9" w14:textId="77777777" w:rsidR="00671C45" w:rsidRDefault="00671C45" w:rsidP="00671C45"/>
    <w:p w14:paraId="1736FC15" w14:textId="77777777" w:rsidR="00671C45" w:rsidRDefault="00671C45" w:rsidP="00671C45"/>
    <w:p w14:paraId="10427651" w14:textId="77777777" w:rsidR="00EA124D" w:rsidRDefault="00EA124D" w:rsidP="00671C45"/>
    <w:p w14:paraId="033FE858" w14:textId="77777777" w:rsidR="00671C45" w:rsidRDefault="00671C45" w:rsidP="00671C45"/>
    <w:p w14:paraId="1C9E7DC2" w14:textId="77777777" w:rsidR="00671C45" w:rsidRDefault="00671C45" w:rsidP="00671C45"/>
    <w:p w14:paraId="6BBF4804" w14:textId="77777777" w:rsidR="00671C45" w:rsidRDefault="00671C45" w:rsidP="00671C45"/>
    <w:p w14:paraId="79FF3FFC" w14:textId="77777777" w:rsidR="00671C45" w:rsidRDefault="00671C45" w:rsidP="00671C45"/>
    <w:p w14:paraId="1AA9BAA0" w14:textId="77777777" w:rsidR="00671C45" w:rsidRDefault="00671C45" w:rsidP="00671C45"/>
    <w:p w14:paraId="705A3ED8" w14:textId="77777777" w:rsidR="00671C45" w:rsidRPr="00671C45" w:rsidRDefault="00671C45" w:rsidP="00671C45"/>
    <w:p w14:paraId="42FDE965" w14:textId="77777777" w:rsidR="006F3AE7" w:rsidRDefault="006F3AE7" w:rsidP="00FD468A">
      <w:pPr>
        <w:spacing w:line="276" w:lineRule="auto"/>
        <w:jc w:val="both"/>
        <w:rPr>
          <w:sz w:val="22"/>
          <w:szCs w:val="22"/>
        </w:rPr>
      </w:pPr>
    </w:p>
    <w:p w14:paraId="3BA8DBC9" w14:textId="77777777" w:rsidR="00DA016A" w:rsidRDefault="00DA016A" w:rsidP="00FD468A">
      <w:pPr>
        <w:spacing w:line="276" w:lineRule="auto"/>
        <w:jc w:val="both"/>
        <w:rPr>
          <w:b/>
          <w:bCs/>
          <w:sz w:val="22"/>
          <w:szCs w:val="22"/>
        </w:rPr>
      </w:pPr>
    </w:p>
    <w:p w14:paraId="3B9397D7" w14:textId="77777777" w:rsidR="00DA016A" w:rsidRDefault="00DA016A" w:rsidP="009021AD">
      <w:pPr>
        <w:spacing w:line="276" w:lineRule="auto"/>
        <w:jc w:val="both"/>
        <w:rPr>
          <w:rFonts w:cs="Arial"/>
          <w:b/>
          <w:bCs/>
          <w:sz w:val="22"/>
          <w:szCs w:val="22"/>
        </w:rPr>
      </w:pPr>
    </w:p>
    <w:tbl>
      <w:tblPr>
        <w:tblStyle w:val="TableGrid"/>
        <w:tblpPr w:leftFromText="180" w:rightFromText="180" w:vertAnchor="text" w:horzAnchor="margin" w:tblpXSpec="center" w:tblpY="-3261"/>
        <w:tblOverlap w:val="never"/>
        <w:tblW w:w="10228" w:type="dxa"/>
        <w:tblLook w:val="04A0" w:firstRow="1" w:lastRow="0" w:firstColumn="1" w:lastColumn="0" w:noHBand="0" w:noVBand="1"/>
      </w:tblPr>
      <w:tblGrid>
        <w:gridCol w:w="553"/>
        <w:gridCol w:w="2925"/>
        <w:gridCol w:w="1120"/>
        <w:gridCol w:w="1239"/>
        <w:gridCol w:w="1239"/>
        <w:gridCol w:w="3152"/>
      </w:tblGrid>
      <w:tr w:rsidR="00BF6830" w:rsidRPr="00E548EA" w14:paraId="3D5977B9" w14:textId="77777777" w:rsidTr="09B8010C">
        <w:trPr>
          <w:trHeight w:val="454"/>
        </w:trPr>
        <w:tc>
          <w:tcPr>
            <w:tcW w:w="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F97411" w14:textId="77777777" w:rsidR="00DA016A" w:rsidRPr="00E548EA" w:rsidRDefault="00DA016A" w:rsidP="004F2ABC">
            <w:pPr>
              <w:spacing w:line="276" w:lineRule="auto"/>
              <w:jc w:val="center"/>
              <w:rPr>
                <w:b/>
                <w:bCs/>
                <w:sz w:val="20"/>
                <w:szCs w:val="22"/>
              </w:rPr>
            </w:pPr>
            <w:bookmarkStart w:id="0" w:name="_Hlk171508440"/>
            <w:r>
              <w:rPr>
                <w:b/>
                <w:bCs/>
                <w:sz w:val="20"/>
                <w:szCs w:val="22"/>
              </w:rPr>
              <w:t>#</w:t>
            </w:r>
          </w:p>
        </w:tc>
        <w:tc>
          <w:tcPr>
            <w:tcW w:w="29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E6B540" w14:textId="77777777" w:rsidR="00DA016A" w:rsidRPr="00E548EA" w:rsidRDefault="00DA016A" w:rsidP="004F2ABC">
            <w:pPr>
              <w:spacing w:line="276" w:lineRule="auto"/>
              <w:jc w:val="center"/>
              <w:rPr>
                <w:b/>
                <w:bCs/>
                <w:sz w:val="20"/>
                <w:szCs w:val="22"/>
              </w:rPr>
            </w:pPr>
            <w:r>
              <w:rPr>
                <w:b/>
                <w:bCs/>
                <w:sz w:val="20"/>
                <w:szCs w:val="22"/>
              </w:rPr>
              <w:t>Indicator</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C42281" w14:textId="77777777" w:rsidR="00DA016A" w:rsidRPr="00E548EA" w:rsidRDefault="00DA016A" w:rsidP="004F2ABC">
            <w:pPr>
              <w:spacing w:line="276" w:lineRule="auto"/>
              <w:jc w:val="center"/>
              <w:rPr>
                <w:b/>
                <w:bCs/>
                <w:sz w:val="20"/>
                <w:szCs w:val="22"/>
              </w:rPr>
            </w:pPr>
            <w:r>
              <w:rPr>
                <w:b/>
                <w:bCs/>
                <w:sz w:val="20"/>
                <w:szCs w:val="22"/>
              </w:rPr>
              <w:t>Baseline</w:t>
            </w:r>
          </w:p>
        </w:tc>
        <w:tc>
          <w:tcPr>
            <w:tcW w:w="12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6C88ED" w14:textId="77777777" w:rsidR="00DA016A" w:rsidRPr="00E548EA" w:rsidRDefault="00DA016A" w:rsidP="004F2ABC">
            <w:pPr>
              <w:spacing w:line="276" w:lineRule="auto"/>
              <w:jc w:val="center"/>
              <w:rPr>
                <w:b/>
                <w:bCs/>
                <w:sz w:val="20"/>
                <w:szCs w:val="22"/>
              </w:rPr>
            </w:pPr>
            <w:r>
              <w:rPr>
                <w:b/>
                <w:bCs/>
                <w:sz w:val="20"/>
                <w:szCs w:val="22"/>
              </w:rPr>
              <w:t>Target</w:t>
            </w:r>
          </w:p>
        </w:tc>
        <w:tc>
          <w:tcPr>
            <w:tcW w:w="12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CDD2AD" w14:textId="77777777" w:rsidR="00DA016A" w:rsidRDefault="00DA016A" w:rsidP="004F2ABC">
            <w:pPr>
              <w:spacing w:line="276" w:lineRule="auto"/>
              <w:jc w:val="center"/>
              <w:rPr>
                <w:b/>
                <w:bCs/>
                <w:sz w:val="20"/>
                <w:szCs w:val="22"/>
              </w:rPr>
            </w:pPr>
            <w:r>
              <w:rPr>
                <w:b/>
                <w:bCs/>
                <w:sz w:val="20"/>
                <w:szCs w:val="22"/>
              </w:rPr>
              <w:t>Achieved</w:t>
            </w:r>
          </w:p>
        </w:tc>
        <w:tc>
          <w:tcPr>
            <w:tcW w:w="31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803E0" w14:textId="33A785D6" w:rsidR="00DA016A" w:rsidRDefault="00CC6C04" w:rsidP="004F2ABC">
            <w:pPr>
              <w:spacing w:line="276" w:lineRule="auto"/>
              <w:jc w:val="center"/>
              <w:rPr>
                <w:b/>
                <w:bCs/>
                <w:sz w:val="20"/>
                <w:szCs w:val="22"/>
              </w:rPr>
            </w:pPr>
            <w:r>
              <w:rPr>
                <w:b/>
                <w:bCs/>
                <w:sz w:val="20"/>
                <w:szCs w:val="22"/>
              </w:rPr>
              <w:t>Progress</w:t>
            </w:r>
          </w:p>
        </w:tc>
      </w:tr>
      <w:tr w:rsidR="0042332C" w:rsidRPr="00E548EA" w14:paraId="1DD5401E" w14:textId="77777777" w:rsidTr="09B8010C">
        <w:trPr>
          <w:trHeight w:val="567"/>
        </w:trPr>
        <w:tc>
          <w:tcPr>
            <w:tcW w:w="553" w:type="dxa"/>
            <w:tcBorders>
              <w:top w:val="single" w:sz="4" w:space="0" w:color="auto"/>
              <w:left w:val="single" w:sz="4" w:space="0" w:color="auto"/>
              <w:bottom w:val="single" w:sz="4" w:space="0" w:color="auto"/>
              <w:right w:val="single" w:sz="4" w:space="0" w:color="auto"/>
            </w:tcBorders>
            <w:vAlign w:val="center"/>
          </w:tcPr>
          <w:p w14:paraId="2C52DBC2" w14:textId="77777777" w:rsidR="00DA016A" w:rsidRPr="00E548EA" w:rsidRDefault="00DA016A" w:rsidP="004F2ABC">
            <w:pPr>
              <w:spacing w:line="276" w:lineRule="auto"/>
              <w:jc w:val="center"/>
              <w:rPr>
                <w:sz w:val="20"/>
                <w:szCs w:val="20"/>
              </w:rPr>
            </w:pPr>
            <w:r>
              <w:rPr>
                <w:sz w:val="20"/>
                <w:szCs w:val="20"/>
              </w:rPr>
              <w:t>1.1</w:t>
            </w:r>
          </w:p>
        </w:tc>
        <w:tc>
          <w:tcPr>
            <w:tcW w:w="2925" w:type="dxa"/>
            <w:tcBorders>
              <w:top w:val="single" w:sz="4" w:space="0" w:color="auto"/>
              <w:left w:val="single" w:sz="4" w:space="0" w:color="auto"/>
              <w:bottom w:val="single" w:sz="4" w:space="0" w:color="auto"/>
              <w:right w:val="single" w:sz="4" w:space="0" w:color="auto"/>
            </w:tcBorders>
            <w:vAlign w:val="center"/>
          </w:tcPr>
          <w:p w14:paraId="01C57C5E" w14:textId="32E373BD" w:rsidR="00DA016A" w:rsidRPr="00C50203" w:rsidRDefault="00DA016A" w:rsidP="004F2ABC">
            <w:pPr>
              <w:spacing w:line="276" w:lineRule="auto"/>
              <w:jc w:val="center"/>
              <w:rPr>
                <w:sz w:val="20"/>
                <w:szCs w:val="20"/>
              </w:rPr>
            </w:pPr>
            <w:r w:rsidRPr="4FA67688">
              <w:rPr>
                <w:sz w:val="20"/>
                <w:szCs w:val="20"/>
              </w:rPr>
              <w:t>Volume of funding awarded: OCEAN commits £60m in grant funding to organisations working at local level</w:t>
            </w:r>
          </w:p>
        </w:tc>
        <w:tc>
          <w:tcPr>
            <w:tcW w:w="1120" w:type="dxa"/>
            <w:tcBorders>
              <w:top w:val="single" w:sz="4" w:space="0" w:color="auto"/>
              <w:left w:val="single" w:sz="4" w:space="0" w:color="auto"/>
              <w:bottom w:val="single" w:sz="4" w:space="0" w:color="auto"/>
              <w:right w:val="single" w:sz="4" w:space="0" w:color="auto"/>
            </w:tcBorders>
            <w:vAlign w:val="center"/>
          </w:tcPr>
          <w:p w14:paraId="1040E24A" w14:textId="77777777" w:rsidR="00DA016A" w:rsidRPr="00E548EA" w:rsidRDefault="00DA016A" w:rsidP="004F2ABC">
            <w:pPr>
              <w:spacing w:line="276" w:lineRule="auto"/>
              <w:jc w:val="center"/>
              <w:rPr>
                <w:sz w:val="20"/>
                <w:szCs w:val="20"/>
              </w:rPr>
            </w:pPr>
            <w:r>
              <w:rPr>
                <w:sz w:val="20"/>
                <w:szCs w:val="20"/>
              </w:rPr>
              <w:t>£0</w:t>
            </w:r>
          </w:p>
        </w:tc>
        <w:tc>
          <w:tcPr>
            <w:tcW w:w="1239" w:type="dxa"/>
            <w:tcBorders>
              <w:top w:val="single" w:sz="4" w:space="0" w:color="auto"/>
              <w:left w:val="single" w:sz="4" w:space="0" w:color="auto"/>
              <w:bottom w:val="single" w:sz="4" w:space="0" w:color="auto"/>
              <w:right w:val="single" w:sz="4" w:space="0" w:color="auto"/>
            </w:tcBorders>
            <w:vAlign w:val="center"/>
          </w:tcPr>
          <w:p w14:paraId="2435F6F2" w14:textId="77777777" w:rsidR="00DA016A" w:rsidRPr="00E548EA" w:rsidRDefault="00DA016A" w:rsidP="004F2ABC">
            <w:pPr>
              <w:spacing w:line="276" w:lineRule="auto"/>
              <w:jc w:val="center"/>
              <w:rPr>
                <w:sz w:val="20"/>
                <w:szCs w:val="20"/>
              </w:rPr>
            </w:pPr>
            <w:r>
              <w:rPr>
                <w:sz w:val="20"/>
                <w:szCs w:val="20"/>
              </w:rPr>
              <w:t>£4.5m</w:t>
            </w:r>
          </w:p>
        </w:tc>
        <w:tc>
          <w:tcPr>
            <w:tcW w:w="1239" w:type="dxa"/>
            <w:tcBorders>
              <w:top w:val="single" w:sz="4" w:space="0" w:color="auto"/>
              <w:left w:val="single" w:sz="4" w:space="0" w:color="auto"/>
              <w:bottom w:val="single" w:sz="4" w:space="0" w:color="auto"/>
              <w:right w:val="single" w:sz="4" w:space="0" w:color="auto"/>
            </w:tcBorders>
            <w:vAlign w:val="center"/>
          </w:tcPr>
          <w:p w14:paraId="454F6606" w14:textId="26F109E2" w:rsidR="00DA016A" w:rsidRPr="00E548EA" w:rsidRDefault="00860E27" w:rsidP="004F2ABC">
            <w:pPr>
              <w:spacing w:line="276" w:lineRule="auto"/>
              <w:jc w:val="center"/>
              <w:rPr>
                <w:sz w:val="20"/>
                <w:szCs w:val="20"/>
              </w:rPr>
            </w:pPr>
            <w:r>
              <w:rPr>
                <w:sz w:val="20"/>
                <w:szCs w:val="20"/>
              </w:rPr>
              <w:t>£0</w:t>
            </w:r>
          </w:p>
        </w:tc>
        <w:tc>
          <w:tcPr>
            <w:tcW w:w="3152" w:type="dxa"/>
            <w:tcBorders>
              <w:top w:val="single" w:sz="4" w:space="0" w:color="auto"/>
              <w:left w:val="single" w:sz="4" w:space="0" w:color="auto"/>
              <w:bottom w:val="single" w:sz="4" w:space="0" w:color="auto"/>
              <w:right w:val="single" w:sz="4" w:space="0" w:color="auto"/>
            </w:tcBorders>
            <w:vAlign w:val="center"/>
          </w:tcPr>
          <w:p w14:paraId="40B76DC2" w14:textId="017370AC" w:rsidR="006433D4" w:rsidRPr="006433D4" w:rsidRDefault="00EE242E" w:rsidP="004F2ABC">
            <w:pPr>
              <w:spacing w:line="276" w:lineRule="auto"/>
              <w:jc w:val="center"/>
              <w:rPr>
                <w:b/>
                <w:bCs/>
                <w:sz w:val="20"/>
                <w:szCs w:val="20"/>
              </w:rPr>
            </w:pPr>
            <w:r w:rsidRPr="006433D4">
              <w:rPr>
                <w:b/>
                <w:bCs/>
                <w:sz w:val="20"/>
                <w:szCs w:val="20"/>
              </w:rPr>
              <w:t xml:space="preserve">Overall: </w:t>
            </w:r>
            <w:r w:rsidR="00402671">
              <w:rPr>
                <w:b/>
                <w:bCs/>
                <w:sz w:val="20"/>
                <w:szCs w:val="20"/>
              </w:rPr>
              <w:t>B - Missed</w:t>
            </w:r>
          </w:p>
          <w:p w14:paraId="1209D24B" w14:textId="4932ECA9" w:rsidR="00DA016A" w:rsidRPr="00E548EA" w:rsidRDefault="0091254E" w:rsidP="004F2ABC">
            <w:pPr>
              <w:spacing w:line="276" w:lineRule="auto"/>
              <w:jc w:val="center"/>
              <w:rPr>
                <w:sz w:val="20"/>
                <w:szCs w:val="20"/>
              </w:rPr>
            </w:pPr>
            <w:r>
              <w:rPr>
                <w:sz w:val="20"/>
                <w:szCs w:val="20"/>
              </w:rPr>
              <w:t xml:space="preserve">Due to delays with approvals of the Business Case the launch of </w:t>
            </w:r>
            <w:r w:rsidR="00752392">
              <w:rPr>
                <w:sz w:val="20"/>
                <w:szCs w:val="20"/>
              </w:rPr>
              <w:t>the first call for proposals</w:t>
            </w:r>
            <w:r>
              <w:rPr>
                <w:sz w:val="20"/>
                <w:szCs w:val="20"/>
              </w:rPr>
              <w:t xml:space="preserve"> was delayed by 8 weeks. </w:t>
            </w:r>
            <w:r w:rsidR="004D3303">
              <w:rPr>
                <w:sz w:val="20"/>
                <w:szCs w:val="20"/>
              </w:rPr>
              <w:t xml:space="preserve">Successful projects will be selected in </w:t>
            </w:r>
            <w:r w:rsidR="00C2757D">
              <w:rPr>
                <w:sz w:val="20"/>
                <w:szCs w:val="20"/>
              </w:rPr>
              <w:t>October</w:t>
            </w:r>
            <w:r w:rsidR="004D3303">
              <w:rPr>
                <w:sz w:val="20"/>
                <w:szCs w:val="20"/>
              </w:rPr>
              <w:t xml:space="preserve"> 2024 with funding disbursed to grantees from </w:t>
            </w:r>
            <w:r w:rsidR="00C2757D">
              <w:rPr>
                <w:sz w:val="20"/>
                <w:szCs w:val="20"/>
              </w:rPr>
              <w:t>November</w:t>
            </w:r>
            <w:r w:rsidR="004D3303">
              <w:rPr>
                <w:sz w:val="20"/>
                <w:szCs w:val="20"/>
              </w:rPr>
              <w:t xml:space="preserve"> 2024.</w:t>
            </w:r>
          </w:p>
        </w:tc>
      </w:tr>
      <w:tr w:rsidR="0042332C" w:rsidRPr="00E548EA" w14:paraId="2303A74F" w14:textId="77777777" w:rsidTr="09B8010C">
        <w:trPr>
          <w:trHeight w:val="567"/>
        </w:trPr>
        <w:tc>
          <w:tcPr>
            <w:tcW w:w="553" w:type="dxa"/>
            <w:vMerge w:val="restart"/>
            <w:tcBorders>
              <w:top w:val="single" w:sz="4" w:space="0" w:color="auto"/>
              <w:left w:val="single" w:sz="4" w:space="0" w:color="auto"/>
              <w:right w:val="single" w:sz="4" w:space="0" w:color="auto"/>
            </w:tcBorders>
            <w:vAlign w:val="center"/>
          </w:tcPr>
          <w:p w14:paraId="19099392" w14:textId="77777777" w:rsidR="00DA016A" w:rsidRPr="00E548EA" w:rsidRDefault="00DA016A" w:rsidP="004F2ABC">
            <w:pPr>
              <w:spacing w:line="276" w:lineRule="auto"/>
              <w:jc w:val="center"/>
              <w:rPr>
                <w:bCs/>
                <w:sz w:val="20"/>
                <w:szCs w:val="22"/>
              </w:rPr>
            </w:pPr>
            <w:r>
              <w:rPr>
                <w:bCs/>
                <w:sz w:val="20"/>
                <w:szCs w:val="22"/>
              </w:rPr>
              <w:t>1.2</w:t>
            </w:r>
          </w:p>
        </w:tc>
        <w:tc>
          <w:tcPr>
            <w:tcW w:w="2925" w:type="dxa"/>
            <w:tcBorders>
              <w:top w:val="single" w:sz="4" w:space="0" w:color="auto"/>
              <w:left w:val="single" w:sz="4" w:space="0" w:color="auto"/>
              <w:bottom w:val="single" w:sz="4" w:space="0" w:color="auto"/>
              <w:right w:val="single" w:sz="4" w:space="0" w:color="auto"/>
            </w:tcBorders>
            <w:vAlign w:val="center"/>
          </w:tcPr>
          <w:p w14:paraId="1F6F0542" w14:textId="77777777" w:rsidR="00DA016A" w:rsidRPr="00C50203" w:rsidRDefault="00DA016A" w:rsidP="004F2ABC">
            <w:pPr>
              <w:spacing w:line="276" w:lineRule="auto"/>
              <w:jc w:val="center"/>
              <w:rPr>
                <w:sz w:val="20"/>
                <w:szCs w:val="20"/>
              </w:rPr>
            </w:pPr>
            <w:r w:rsidRPr="18987C02">
              <w:rPr>
                <w:sz w:val="20"/>
                <w:szCs w:val="20"/>
              </w:rPr>
              <w:t>Volume of funding managed by local organisations: Local organisations receive OCEAN funds either by directly receiving a grant, or through managing a portion of the budget when partnering with a Lead organisation.</w:t>
            </w:r>
          </w:p>
          <w:p w14:paraId="012977D1" w14:textId="5ADBE94F" w:rsidR="00DA016A" w:rsidRPr="00C50203" w:rsidRDefault="00DA016A" w:rsidP="00AD1823">
            <w:pPr>
              <w:pStyle w:val="ListParagraph"/>
              <w:numPr>
                <w:ilvl w:val="0"/>
                <w:numId w:val="4"/>
              </w:numPr>
              <w:spacing w:after="0" w:line="276" w:lineRule="auto"/>
              <w:jc w:val="center"/>
              <w:rPr>
                <w:sz w:val="20"/>
              </w:rPr>
            </w:pPr>
            <w:r w:rsidRPr="18987C02">
              <w:rPr>
                <w:sz w:val="20"/>
              </w:rPr>
              <w:t>Proportion of funds committed that are managed by small-medium organisations</w:t>
            </w:r>
          </w:p>
        </w:tc>
        <w:tc>
          <w:tcPr>
            <w:tcW w:w="1120" w:type="dxa"/>
            <w:tcBorders>
              <w:top w:val="single" w:sz="4" w:space="0" w:color="auto"/>
              <w:left w:val="single" w:sz="4" w:space="0" w:color="auto"/>
              <w:bottom w:val="single" w:sz="4" w:space="0" w:color="auto"/>
              <w:right w:val="single" w:sz="4" w:space="0" w:color="auto"/>
            </w:tcBorders>
            <w:vAlign w:val="center"/>
          </w:tcPr>
          <w:p w14:paraId="2EE6414D" w14:textId="77777777" w:rsidR="00DA016A" w:rsidRPr="00E548EA" w:rsidRDefault="00DA016A" w:rsidP="004F2ABC">
            <w:pPr>
              <w:spacing w:line="276" w:lineRule="auto"/>
              <w:jc w:val="center"/>
              <w:rPr>
                <w:sz w:val="20"/>
                <w:szCs w:val="20"/>
              </w:rPr>
            </w:pPr>
            <w:r>
              <w:rPr>
                <w:sz w:val="20"/>
                <w:szCs w:val="20"/>
              </w:rPr>
              <w:t>-</w:t>
            </w:r>
          </w:p>
        </w:tc>
        <w:tc>
          <w:tcPr>
            <w:tcW w:w="1239" w:type="dxa"/>
            <w:tcBorders>
              <w:top w:val="single" w:sz="4" w:space="0" w:color="auto"/>
              <w:left w:val="single" w:sz="4" w:space="0" w:color="auto"/>
              <w:bottom w:val="single" w:sz="4" w:space="0" w:color="auto"/>
              <w:right w:val="single" w:sz="4" w:space="0" w:color="auto"/>
            </w:tcBorders>
            <w:vAlign w:val="center"/>
          </w:tcPr>
          <w:p w14:paraId="5263FF8A" w14:textId="00BE17ED" w:rsidR="00DA016A" w:rsidRDefault="00DA016A" w:rsidP="004F2ABC">
            <w:pPr>
              <w:spacing w:line="276" w:lineRule="auto"/>
              <w:jc w:val="center"/>
              <w:rPr>
                <w:sz w:val="20"/>
                <w:szCs w:val="20"/>
              </w:rPr>
            </w:pPr>
            <w:r>
              <w:rPr>
                <w:sz w:val="20"/>
                <w:szCs w:val="20"/>
              </w:rPr>
              <w:t>C</w:t>
            </w:r>
            <w:r w:rsidR="00EC22B5">
              <w:rPr>
                <w:sz w:val="20"/>
                <w:szCs w:val="20"/>
              </w:rPr>
              <w:t>ommunity Grant</w:t>
            </w:r>
            <w:r>
              <w:rPr>
                <w:sz w:val="20"/>
                <w:szCs w:val="20"/>
              </w:rPr>
              <w:t>s: 100%</w:t>
            </w:r>
          </w:p>
          <w:p w14:paraId="614F2AEF" w14:textId="5B5ED201" w:rsidR="00DA016A" w:rsidRPr="00E548EA" w:rsidRDefault="00EC22B5" w:rsidP="004F2ABC">
            <w:pPr>
              <w:spacing w:line="276" w:lineRule="auto"/>
              <w:jc w:val="center"/>
              <w:rPr>
                <w:sz w:val="20"/>
                <w:szCs w:val="20"/>
              </w:rPr>
            </w:pPr>
            <w:r>
              <w:rPr>
                <w:sz w:val="20"/>
                <w:szCs w:val="20"/>
              </w:rPr>
              <w:t xml:space="preserve">Partnership </w:t>
            </w:r>
            <w:r w:rsidR="00DA016A">
              <w:rPr>
                <w:sz w:val="20"/>
                <w:szCs w:val="20"/>
              </w:rPr>
              <w:t>G</w:t>
            </w:r>
            <w:r>
              <w:rPr>
                <w:sz w:val="20"/>
                <w:szCs w:val="20"/>
              </w:rPr>
              <w:t>rant</w:t>
            </w:r>
            <w:r w:rsidR="00DA016A">
              <w:rPr>
                <w:sz w:val="20"/>
                <w:szCs w:val="20"/>
              </w:rPr>
              <w:t>s: N/A</w:t>
            </w:r>
            <w:r w:rsidR="00F1439E">
              <w:rPr>
                <w:sz w:val="20"/>
                <w:szCs w:val="20"/>
              </w:rPr>
              <w:t xml:space="preserve"> for Round 1</w:t>
            </w:r>
          </w:p>
        </w:tc>
        <w:tc>
          <w:tcPr>
            <w:tcW w:w="1239" w:type="dxa"/>
            <w:tcBorders>
              <w:top w:val="single" w:sz="4" w:space="0" w:color="auto"/>
              <w:left w:val="single" w:sz="4" w:space="0" w:color="auto"/>
              <w:bottom w:val="single" w:sz="4" w:space="0" w:color="auto"/>
              <w:right w:val="single" w:sz="4" w:space="0" w:color="auto"/>
            </w:tcBorders>
            <w:vAlign w:val="center"/>
          </w:tcPr>
          <w:p w14:paraId="07706979" w14:textId="77777777" w:rsidR="00EC22B5" w:rsidRDefault="00EC22B5" w:rsidP="00EC22B5">
            <w:pPr>
              <w:spacing w:line="276" w:lineRule="auto"/>
              <w:jc w:val="center"/>
              <w:rPr>
                <w:sz w:val="20"/>
                <w:szCs w:val="20"/>
              </w:rPr>
            </w:pPr>
          </w:p>
          <w:p w14:paraId="18E52514" w14:textId="05BB8F2D" w:rsidR="00EC22B5" w:rsidRDefault="00EC22B5" w:rsidP="00EC22B5">
            <w:pPr>
              <w:spacing w:line="276" w:lineRule="auto"/>
              <w:jc w:val="center"/>
              <w:rPr>
                <w:sz w:val="20"/>
                <w:szCs w:val="20"/>
              </w:rPr>
            </w:pPr>
            <w:r>
              <w:rPr>
                <w:sz w:val="20"/>
                <w:szCs w:val="20"/>
              </w:rPr>
              <w:t>Community Grants: 100%</w:t>
            </w:r>
          </w:p>
          <w:p w14:paraId="0A974345" w14:textId="52537D76" w:rsidR="00EC22B5" w:rsidRPr="00E548EA" w:rsidRDefault="00EC22B5" w:rsidP="00EC22B5">
            <w:pPr>
              <w:spacing w:line="276" w:lineRule="auto"/>
              <w:jc w:val="center"/>
              <w:rPr>
                <w:sz w:val="20"/>
                <w:szCs w:val="20"/>
              </w:rPr>
            </w:pPr>
            <w:r>
              <w:rPr>
                <w:sz w:val="20"/>
                <w:szCs w:val="20"/>
              </w:rPr>
              <w:t>Partnership Grants: N/A</w:t>
            </w:r>
            <w:r w:rsidR="00F1439E">
              <w:rPr>
                <w:sz w:val="20"/>
                <w:szCs w:val="20"/>
              </w:rPr>
              <w:t xml:space="preserve"> for Round 1</w:t>
            </w:r>
          </w:p>
          <w:p w14:paraId="352EF43B" w14:textId="4D9AE367" w:rsidR="00316931" w:rsidRPr="00E548EA" w:rsidRDefault="00316931" w:rsidP="004F2ABC">
            <w:pPr>
              <w:spacing w:line="276" w:lineRule="auto"/>
              <w:jc w:val="center"/>
              <w:rPr>
                <w:sz w:val="20"/>
                <w:szCs w:val="20"/>
              </w:rPr>
            </w:pPr>
          </w:p>
        </w:tc>
        <w:tc>
          <w:tcPr>
            <w:tcW w:w="3152" w:type="dxa"/>
            <w:tcBorders>
              <w:top w:val="single" w:sz="4" w:space="0" w:color="auto"/>
              <w:left w:val="single" w:sz="4" w:space="0" w:color="auto"/>
              <w:bottom w:val="single" w:sz="4" w:space="0" w:color="auto"/>
              <w:right w:val="single" w:sz="4" w:space="0" w:color="auto"/>
            </w:tcBorders>
            <w:vAlign w:val="center"/>
          </w:tcPr>
          <w:p w14:paraId="1BC4413B" w14:textId="24F2F9E2" w:rsidR="00DA016A" w:rsidRPr="000175CD" w:rsidRDefault="006433D4" w:rsidP="004F2ABC">
            <w:pPr>
              <w:spacing w:line="276" w:lineRule="auto"/>
              <w:jc w:val="center"/>
              <w:rPr>
                <w:b/>
                <w:bCs/>
                <w:sz w:val="20"/>
                <w:szCs w:val="20"/>
              </w:rPr>
            </w:pPr>
            <w:r w:rsidRPr="000175CD">
              <w:rPr>
                <w:b/>
                <w:bCs/>
                <w:sz w:val="20"/>
                <w:szCs w:val="20"/>
              </w:rPr>
              <w:t xml:space="preserve">Overall: A </w:t>
            </w:r>
            <w:r w:rsidR="00E24A79" w:rsidRPr="000175CD">
              <w:rPr>
                <w:b/>
                <w:bCs/>
                <w:sz w:val="20"/>
                <w:szCs w:val="20"/>
              </w:rPr>
              <w:t>–</w:t>
            </w:r>
            <w:r w:rsidRPr="000175CD">
              <w:rPr>
                <w:b/>
                <w:bCs/>
                <w:sz w:val="20"/>
                <w:szCs w:val="20"/>
              </w:rPr>
              <w:t xml:space="preserve"> </w:t>
            </w:r>
            <w:r w:rsidR="00802750">
              <w:rPr>
                <w:b/>
                <w:bCs/>
                <w:sz w:val="20"/>
                <w:szCs w:val="20"/>
              </w:rPr>
              <w:t>M</w:t>
            </w:r>
            <w:r w:rsidRPr="000175CD">
              <w:rPr>
                <w:b/>
                <w:bCs/>
                <w:sz w:val="20"/>
                <w:szCs w:val="20"/>
              </w:rPr>
              <w:t>et</w:t>
            </w:r>
          </w:p>
          <w:p w14:paraId="655C5A5E" w14:textId="714C03EC" w:rsidR="00E24A79" w:rsidRPr="00E548EA" w:rsidRDefault="00E24A79" w:rsidP="004F2ABC">
            <w:pPr>
              <w:spacing w:line="276" w:lineRule="auto"/>
              <w:jc w:val="center"/>
              <w:rPr>
                <w:sz w:val="20"/>
                <w:szCs w:val="20"/>
              </w:rPr>
            </w:pPr>
            <w:r>
              <w:rPr>
                <w:sz w:val="20"/>
                <w:szCs w:val="20"/>
              </w:rPr>
              <w:t xml:space="preserve">For OCEAN </w:t>
            </w:r>
            <w:r w:rsidR="00C90888">
              <w:rPr>
                <w:sz w:val="20"/>
                <w:szCs w:val="20"/>
              </w:rPr>
              <w:t>Round 1</w:t>
            </w:r>
            <w:r>
              <w:rPr>
                <w:sz w:val="20"/>
                <w:szCs w:val="20"/>
              </w:rPr>
              <w:t xml:space="preserve"> </w:t>
            </w:r>
            <w:r w:rsidR="00B75110">
              <w:rPr>
                <w:sz w:val="20"/>
                <w:szCs w:val="20"/>
              </w:rPr>
              <w:t>100% of successful funding</w:t>
            </w:r>
            <w:r w:rsidR="00C90888">
              <w:rPr>
                <w:sz w:val="20"/>
                <w:szCs w:val="20"/>
              </w:rPr>
              <w:t xml:space="preserve"> through the Community Grants pathway</w:t>
            </w:r>
            <w:r w:rsidR="00B75110">
              <w:rPr>
                <w:sz w:val="20"/>
                <w:szCs w:val="20"/>
              </w:rPr>
              <w:t xml:space="preserve"> will be managed by local </w:t>
            </w:r>
            <w:r w:rsidR="008473FD">
              <w:rPr>
                <w:sz w:val="20"/>
                <w:szCs w:val="20"/>
              </w:rPr>
              <w:t xml:space="preserve">small-medium </w:t>
            </w:r>
            <w:r w:rsidR="00F1439E">
              <w:rPr>
                <w:sz w:val="20"/>
                <w:szCs w:val="20"/>
              </w:rPr>
              <w:t xml:space="preserve">sized </w:t>
            </w:r>
            <w:r w:rsidR="008473FD">
              <w:rPr>
                <w:sz w:val="20"/>
                <w:szCs w:val="20"/>
              </w:rPr>
              <w:t xml:space="preserve">organisations. A proportional approach for Partnership </w:t>
            </w:r>
            <w:r w:rsidR="000175CD">
              <w:rPr>
                <w:sz w:val="20"/>
                <w:szCs w:val="20"/>
              </w:rPr>
              <w:t>Grants will be implemented for Round 2.</w:t>
            </w:r>
          </w:p>
        </w:tc>
      </w:tr>
      <w:tr w:rsidR="00B517DB" w:rsidRPr="00E548EA" w14:paraId="2D155F92" w14:textId="77777777" w:rsidTr="09B8010C">
        <w:trPr>
          <w:trHeight w:val="67"/>
        </w:trPr>
        <w:tc>
          <w:tcPr>
            <w:tcW w:w="553" w:type="dxa"/>
            <w:vMerge/>
            <w:vAlign w:val="center"/>
          </w:tcPr>
          <w:p w14:paraId="5E364F66" w14:textId="77777777" w:rsidR="00DA016A" w:rsidRDefault="00DA016A" w:rsidP="004F2ABC">
            <w:pPr>
              <w:spacing w:line="276" w:lineRule="auto"/>
              <w:jc w:val="center"/>
              <w:rPr>
                <w:bCs/>
                <w:sz w:val="20"/>
                <w:szCs w:val="22"/>
              </w:rPr>
            </w:pPr>
          </w:p>
        </w:tc>
        <w:tc>
          <w:tcPr>
            <w:tcW w:w="2925" w:type="dxa"/>
            <w:tcBorders>
              <w:top w:val="single" w:sz="4" w:space="0" w:color="auto"/>
              <w:left w:val="single" w:sz="4" w:space="0" w:color="auto"/>
              <w:bottom w:val="single" w:sz="4" w:space="0" w:color="auto"/>
              <w:right w:val="single" w:sz="4" w:space="0" w:color="auto"/>
            </w:tcBorders>
            <w:vAlign w:val="center"/>
          </w:tcPr>
          <w:p w14:paraId="6490E3C1" w14:textId="77777777" w:rsidR="00DA016A" w:rsidRPr="00C50203" w:rsidRDefault="00DA016A" w:rsidP="00AD1823">
            <w:pPr>
              <w:pStyle w:val="ListParagraph"/>
              <w:numPr>
                <w:ilvl w:val="0"/>
                <w:numId w:val="3"/>
              </w:numPr>
              <w:spacing w:after="0" w:line="276" w:lineRule="auto"/>
              <w:jc w:val="center"/>
              <w:rPr>
                <w:bCs/>
                <w:sz w:val="20"/>
                <w:szCs w:val="22"/>
              </w:rPr>
            </w:pPr>
            <w:r w:rsidRPr="00C50203">
              <w:rPr>
                <w:bCs/>
                <w:sz w:val="20"/>
                <w:szCs w:val="22"/>
              </w:rPr>
              <w:t>Proportion of grants led by organisations registered in ODA eligible countries</w:t>
            </w:r>
          </w:p>
        </w:tc>
        <w:tc>
          <w:tcPr>
            <w:tcW w:w="1120" w:type="dxa"/>
            <w:tcBorders>
              <w:top w:val="single" w:sz="4" w:space="0" w:color="auto"/>
              <w:left w:val="single" w:sz="4" w:space="0" w:color="auto"/>
              <w:bottom w:val="single" w:sz="4" w:space="0" w:color="auto"/>
              <w:right w:val="single" w:sz="4" w:space="0" w:color="auto"/>
            </w:tcBorders>
            <w:vAlign w:val="center"/>
          </w:tcPr>
          <w:p w14:paraId="257E4BF1" w14:textId="77777777" w:rsidR="00DA016A" w:rsidRPr="1D997569" w:rsidRDefault="00DA016A" w:rsidP="004F2ABC">
            <w:pPr>
              <w:spacing w:line="276" w:lineRule="auto"/>
              <w:jc w:val="center"/>
              <w:rPr>
                <w:sz w:val="20"/>
                <w:szCs w:val="20"/>
              </w:rPr>
            </w:pPr>
            <w:r>
              <w:rPr>
                <w:sz w:val="20"/>
                <w:szCs w:val="20"/>
              </w:rPr>
              <w:t>-</w:t>
            </w:r>
          </w:p>
        </w:tc>
        <w:tc>
          <w:tcPr>
            <w:tcW w:w="1239" w:type="dxa"/>
            <w:tcBorders>
              <w:top w:val="single" w:sz="4" w:space="0" w:color="auto"/>
              <w:left w:val="single" w:sz="4" w:space="0" w:color="auto"/>
              <w:bottom w:val="single" w:sz="4" w:space="0" w:color="auto"/>
              <w:right w:val="single" w:sz="4" w:space="0" w:color="auto"/>
            </w:tcBorders>
            <w:vAlign w:val="center"/>
          </w:tcPr>
          <w:p w14:paraId="79341472" w14:textId="77777777" w:rsidR="00DA016A" w:rsidRPr="1D997569" w:rsidRDefault="00DA016A" w:rsidP="004F2ABC">
            <w:pPr>
              <w:spacing w:line="276" w:lineRule="auto"/>
              <w:jc w:val="center"/>
              <w:rPr>
                <w:sz w:val="20"/>
                <w:szCs w:val="20"/>
              </w:rPr>
            </w:pPr>
            <w:r>
              <w:rPr>
                <w:sz w:val="20"/>
                <w:szCs w:val="20"/>
              </w:rPr>
              <w:t>90%</w:t>
            </w:r>
          </w:p>
        </w:tc>
        <w:tc>
          <w:tcPr>
            <w:tcW w:w="1239" w:type="dxa"/>
            <w:tcBorders>
              <w:top w:val="single" w:sz="4" w:space="0" w:color="auto"/>
              <w:left w:val="single" w:sz="4" w:space="0" w:color="auto"/>
              <w:bottom w:val="single" w:sz="4" w:space="0" w:color="auto"/>
              <w:right w:val="single" w:sz="4" w:space="0" w:color="auto"/>
            </w:tcBorders>
            <w:vAlign w:val="center"/>
          </w:tcPr>
          <w:p w14:paraId="5E014695" w14:textId="139D0935" w:rsidR="00DA016A" w:rsidRPr="1D997569" w:rsidRDefault="00D6074D" w:rsidP="004F2ABC">
            <w:pPr>
              <w:spacing w:line="276" w:lineRule="auto"/>
              <w:jc w:val="center"/>
              <w:rPr>
                <w:sz w:val="20"/>
                <w:szCs w:val="20"/>
              </w:rPr>
            </w:pPr>
            <w:r>
              <w:rPr>
                <w:sz w:val="20"/>
                <w:szCs w:val="20"/>
              </w:rPr>
              <w:t>0%</w:t>
            </w:r>
          </w:p>
        </w:tc>
        <w:tc>
          <w:tcPr>
            <w:tcW w:w="3152" w:type="dxa"/>
            <w:tcBorders>
              <w:top w:val="single" w:sz="4" w:space="0" w:color="auto"/>
              <w:left w:val="single" w:sz="4" w:space="0" w:color="auto"/>
              <w:bottom w:val="single" w:sz="4" w:space="0" w:color="auto"/>
              <w:right w:val="single" w:sz="4" w:space="0" w:color="auto"/>
            </w:tcBorders>
            <w:vAlign w:val="center"/>
          </w:tcPr>
          <w:p w14:paraId="7E799129" w14:textId="3D079AE6" w:rsidR="00DA016A" w:rsidRPr="000B5F6E" w:rsidRDefault="005C0E60" w:rsidP="004F2ABC">
            <w:pPr>
              <w:spacing w:line="276" w:lineRule="auto"/>
              <w:jc w:val="center"/>
              <w:rPr>
                <w:b/>
                <w:bCs/>
                <w:sz w:val="20"/>
                <w:szCs w:val="20"/>
              </w:rPr>
            </w:pPr>
            <w:r w:rsidRPr="4A8504F3">
              <w:rPr>
                <w:b/>
                <w:bCs/>
                <w:sz w:val="20"/>
                <w:szCs w:val="20"/>
              </w:rPr>
              <w:t>Overall:</w:t>
            </w:r>
            <w:r w:rsidR="00860E27" w:rsidRPr="4A8504F3">
              <w:rPr>
                <w:b/>
                <w:bCs/>
                <w:sz w:val="20"/>
                <w:szCs w:val="20"/>
              </w:rPr>
              <w:t xml:space="preserve"> </w:t>
            </w:r>
            <w:r w:rsidR="00402671">
              <w:rPr>
                <w:b/>
                <w:bCs/>
                <w:sz w:val="20"/>
                <w:szCs w:val="20"/>
              </w:rPr>
              <w:t>B - Missed</w:t>
            </w:r>
          </w:p>
          <w:p w14:paraId="71FDB4FE" w14:textId="0794F790" w:rsidR="00752392" w:rsidRPr="1D997569" w:rsidRDefault="00752392" w:rsidP="004F2ABC">
            <w:pPr>
              <w:spacing w:line="276" w:lineRule="auto"/>
              <w:jc w:val="center"/>
              <w:rPr>
                <w:sz w:val="20"/>
                <w:szCs w:val="20"/>
              </w:rPr>
            </w:pPr>
            <w:r w:rsidRPr="5789585B">
              <w:rPr>
                <w:sz w:val="20"/>
                <w:szCs w:val="20"/>
              </w:rPr>
              <w:t>Due to the forementioned delays in launching the first call for proposals</w:t>
            </w:r>
            <w:r w:rsidR="00B55ECF" w:rsidRPr="5789585B">
              <w:rPr>
                <w:sz w:val="20"/>
                <w:szCs w:val="20"/>
              </w:rPr>
              <w:t xml:space="preserve"> successful projects have not yet been selected. We therefore cannot confirm the proportion of grants led by organisations registered in ODA eligible countries</w:t>
            </w:r>
            <w:r w:rsidR="0054215C" w:rsidRPr="5789585B">
              <w:rPr>
                <w:sz w:val="20"/>
                <w:szCs w:val="20"/>
              </w:rPr>
              <w:t xml:space="preserve"> but are on track to</w:t>
            </w:r>
            <w:r w:rsidR="003C2F54" w:rsidRPr="5789585B">
              <w:rPr>
                <w:sz w:val="20"/>
                <w:szCs w:val="20"/>
              </w:rPr>
              <w:t xml:space="preserve"> meet our 90% target</w:t>
            </w:r>
            <w:r w:rsidR="00B55ECF" w:rsidRPr="5789585B">
              <w:rPr>
                <w:sz w:val="20"/>
                <w:szCs w:val="20"/>
              </w:rPr>
              <w:t>.</w:t>
            </w:r>
          </w:p>
        </w:tc>
      </w:tr>
    </w:tbl>
    <w:tbl>
      <w:tblPr>
        <w:tblStyle w:val="TableGrid"/>
        <w:tblpPr w:leftFromText="180" w:rightFromText="180" w:vertAnchor="text" w:horzAnchor="margin" w:tblpXSpec="center" w:tblpY="148"/>
        <w:tblW w:w="10201" w:type="dxa"/>
        <w:tblLook w:val="04A0" w:firstRow="1" w:lastRow="0" w:firstColumn="1" w:lastColumn="0" w:noHBand="0" w:noVBand="1"/>
      </w:tblPr>
      <w:tblGrid>
        <w:gridCol w:w="2748"/>
        <w:gridCol w:w="897"/>
        <w:gridCol w:w="3108"/>
        <w:gridCol w:w="3448"/>
      </w:tblGrid>
      <w:tr w:rsidR="009C2A1E" w:rsidRPr="00A1174B" w14:paraId="4D2A85B2" w14:textId="77777777" w:rsidTr="009C2A1E">
        <w:trPr>
          <w:trHeight w:val="489"/>
        </w:trPr>
        <w:tc>
          <w:tcPr>
            <w:tcW w:w="22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52CCB42" w14:textId="77777777" w:rsidR="009C2A1E" w:rsidRPr="00A1174B" w:rsidRDefault="009C2A1E" w:rsidP="009C2A1E">
            <w:pPr>
              <w:spacing w:line="276" w:lineRule="auto"/>
              <w:rPr>
                <w:rFonts w:cs="Arial"/>
                <w:b/>
                <w:bCs/>
                <w:sz w:val="20"/>
                <w:szCs w:val="20"/>
                <w:lang w:eastAsia="en-US"/>
              </w:rPr>
            </w:pPr>
            <w:r w:rsidRPr="00A1174B">
              <w:rPr>
                <w:rFonts w:cs="Arial"/>
                <w:b/>
                <w:bCs/>
                <w:sz w:val="20"/>
                <w:szCs w:val="20"/>
                <w:lang w:eastAsia="en-US"/>
              </w:rPr>
              <w:lastRenderedPageBreak/>
              <w:t xml:space="preserve">Output Title </w:t>
            </w:r>
          </w:p>
        </w:tc>
        <w:tc>
          <w:tcPr>
            <w:tcW w:w="79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9519" w14:textId="77777777" w:rsidR="009C2A1E" w:rsidRPr="00A1174B" w:rsidRDefault="009C2A1E" w:rsidP="009C2A1E">
            <w:pPr>
              <w:spacing w:line="276" w:lineRule="auto"/>
              <w:rPr>
                <w:rFonts w:cs="Arial"/>
                <w:i/>
                <w:sz w:val="20"/>
                <w:szCs w:val="20"/>
                <w:lang w:eastAsia="en-US"/>
              </w:rPr>
            </w:pPr>
            <w:r w:rsidRPr="00A00B41">
              <w:rPr>
                <w:rFonts w:cs="Arial"/>
                <w:sz w:val="20"/>
                <w:szCs w:val="20"/>
                <w:lang w:eastAsia="en-US"/>
              </w:rPr>
              <w:t>Organisations and coastal communities in ODA eligible countries have access to guidance, training and support to build their capacity to address marine environment and poverty reduction challenges</w:t>
            </w:r>
          </w:p>
        </w:tc>
      </w:tr>
      <w:tr w:rsidR="009C2A1E" w:rsidRPr="00A1174B" w14:paraId="3D39D2D7" w14:textId="77777777" w:rsidTr="009C2A1E">
        <w:trPr>
          <w:trHeight w:val="347"/>
        </w:trPr>
        <w:tc>
          <w:tcPr>
            <w:tcW w:w="28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57DE8C" w14:textId="77777777" w:rsidR="009C2A1E" w:rsidRPr="00A1174B" w:rsidRDefault="009C2A1E" w:rsidP="009C2A1E">
            <w:pPr>
              <w:spacing w:line="276" w:lineRule="auto"/>
              <w:rPr>
                <w:rFonts w:cs="Arial"/>
                <w:sz w:val="20"/>
                <w:szCs w:val="20"/>
                <w:lang w:eastAsia="en-US"/>
              </w:rPr>
            </w:pPr>
            <w:r w:rsidRPr="00A1174B">
              <w:rPr>
                <w:rFonts w:cs="Arial"/>
                <w:sz w:val="20"/>
                <w:szCs w:val="20"/>
                <w:lang w:eastAsia="en-US"/>
              </w:rPr>
              <w:t xml:space="preserve">Output number: </w:t>
            </w:r>
          </w:p>
        </w:tc>
        <w:tc>
          <w:tcPr>
            <w:tcW w:w="937" w:type="dxa"/>
            <w:tcBorders>
              <w:top w:val="single" w:sz="4" w:space="0" w:color="auto"/>
              <w:left w:val="single" w:sz="4" w:space="0" w:color="auto"/>
              <w:bottom w:val="single" w:sz="4" w:space="0" w:color="auto"/>
              <w:right w:val="single" w:sz="4" w:space="0" w:color="auto"/>
            </w:tcBorders>
            <w:vAlign w:val="center"/>
          </w:tcPr>
          <w:p w14:paraId="0D018C63" w14:textId="77777777" w:rsidR="009C2A1E" w:rsidRPr="00A1174B" w:rsidRDefault="009C2A1E" w:rsidP="009C2A1E">
            <w:pPr>
              <w:spacing w:line="276" w:lineRule="auto"/>
              <w:rPr>
                <w:rFonts w:cs="Arial"/>
                <w:sz w:val="20"/>
                <w:szCs w:val="20"/>
                <w:lang w:eastAsia="en-US"/>
              </w:rPr>
            </w:pPr>
            <w:r>
              <w:rPr>
                <w:rFonts w:cs="Arial"/>
                <w:sz w:val="20"/>
                <w:szCs w:val="20"/>
                <w:lang w:eastAsia="en-US"/>
              </w:rPr>
              <w:t>2</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735842" w14:textId="77777777" w:rsidR="009C2A1E" w:rsidRPr="00A1174B" w:rsidRDefault="009C2A1E" w:rsidP="009C2A1E">
            <w:pPr>
              <w:spacing w:line="276" w:lineRule="auto"/>
              <w:rPr>
                <w:rFonts w:cs="Arial"/>
                <w:sz w:val="20"/>
                <w:szCs w:val="20"/>
                <w:lang w:eastAsia="en-US"/>
              </w:rPr>
            </w:pPr>
            <w:r w:rsidRPr="00A1174B">
              <w:rPr>
                <w:rFonts w:cs="Arial"/>
                <w:sz w:val="20"/>
                <w:szCs w:val="20"/>
                <w:lang w:eastAsia="en-US"/>
              </w:rPr>
              <w:t xml:space="preserve">Output Score: </w:t>
            </w:r>
          </w:p>
        </w:tc>
        <w:tc>
          <w:tcPr>
            <w:tcW w:w="3085" w:type="dxa"/>
            <w:tcBorders>
              <w:top w:val="single" w:sz="4" w:space="0" w:color="auto"/>
              <w:left w:val="single" w:sz="4" w:space="0" w:color="auto"/>
              <w:bottom w:val="single" w:sz="4" w:space="0" w:color="auto"/>
              <w:right w:val="single" w:sz="4" w:space="0" w:color="auto"/>
            </w:tcBorders>
          </w:tcPr>
          <w:p w14:paraId="570D887C" w14:textId="77777777" w:rsidR="009C2A1E" w:rsidRPr="0098484D" w:rsidRDefault="009C2A1E" w:rsidP="009C2A1E">
            <w:pPr>
              <w:spacing w:line="276" w:lineRule="auto"/>
              <w:jc w:val="both"/>
              <w:rPr>
                <w:rFonts w:cs="Arial"/>
                <w:b/>
                <w:bCs/>
                <w:sz w:val="20"/>
                <w:szCs w:val="20"/>
                <w:highlight w:val="yellow"/>
                <w:lang w:eastAsia="en-US"/>
              </w:rPr>
            </w:pPr>
            <w:r w:rsidRPr="0098484D">
              <w:rPr>
                <w:rFonts w:cs="Arial"/>
                <w:b/>
                <w:bCs/>
                <w:sz w:val="20"/>
                <w:szCs w:val="20"/>
                <w:lang w:eastAsia="en-US"/>
              </w:rPr>
              <w:t>A+</w:t>
            </w:r>
          </w:p>
        </w:tc>
      </w:tr>
      <w:tr w:rsidR="009C2A1E" w:rsidRPr="00A1174B" w14:paraId="5FB4E619" w14:textId="77777777" w:rsidTr="009C2A1E">
        <w:trPr>
          <w:trHeight w:val="345"/>
        </w:trPr>
        <w:tc>
          <w:tcPr>
            <w:tcW w:w="28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5A5B1E" w14:textId="77777777" w:rsidR="009C2A1E" w:rsidRPr="00A1174B" w:rsidRDefault="009C2A1E" w:rsidP="009C2A1E">
            <w:pPr>
              <w:spacing w:line="276" w:lineRule="auto"/>
              <w:rPr>
                <w:rFonts w:cs="Arial"/>
                <w:sz w:val="20"/>
                <w:szCs w:val="20"/>
                <w:lang w:eastAsia="en-US"/>
              </w:rPr>
            </w:pPr>
            <w:r w:rsidRPr="00A1174B">
              <w:rPr>
                <w:rFonts w:cs="Arial"/>
                <w:sz w:val="20"/>
                <w:szCs w:val="20"/>
                <w:lang w:eastAsia="en-US"/>
              </w:rPr>
              <w:t xml:space="preserve">Impact weighting (%):  </w:t>
            </w:r>
          </w:p>
        </w:tc>
        <w:tc>
          <w:tcPr>
            <w:tcW w:w="937" w:type="dxa"/>
            <w:tcBorders>
              <w:top w:val="single" w:sz="4" w:space="0" w:color="auto"/>
              <w:left w:val="single" w:sz="4" w:space="0" w:color="auto"/>
              <w:bottom w:val="single" w:sz="4" w:space="0" w:color="auto"/>
              <w:right w:val="single" w:sz="4" w:space="0" w:color="auto"/>
            </w:tcBorders>
            <w:vAlign w:val="center"/>
            <w:hideMark/>
          </w:tcPr>
          <w:p w14:paraId="1B668603" w14:textId="77777777" w:rsidR="009C2A1E" w:rsidRPr="00A1174B" w:rsidRDefault="009C2A1E" w:rsidP="009C2A1E">
            <w:pPr>
              <w:spacing w:line="276" w:lineRule="auto"/>
              <w:rPr>
                <w:rFonts w:cs="Arial"/>
                <w:sz w:val="20"/>
                <w:szCs w:val="20"/>
                <w:lang w:eastAsia="en-US"/>
              </w:rPr>
            </w:pPr>
            <w:r>
              <w:rPr>
                <w:rFonts w:cs="Arial"/>
                <w:sz w:val="20"/>
                <w:szCs w:val="20"/>
                <w:lang w:eastAsia="en-US"/>
              </w:rPr>
              <w:t>4</w:t>
            </w:r>
            <w:r w:rsidRPr="00A1174B">
              <w:rPr>
                <w:rFonts w:cs="Arial"/>
                <w:sz w:val="20"/>
                <w:szCs w:val="20"/>
                <w:lang w:eastAsia="en-US"/>
              </w:rPr>
              <w:t>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2FDB29" w14:textId="77777777" w:rsidR="009C2A1E" w:rsidRPr="00A1174B" w:rsidRDefault="009C2A1E" w:rsidP="009C2A1E">
            <w:pPr>
              <w:spacing w:line="276" w:lineRule="auto"/>
              <w:rPr>
                <w:rFonts w:cs="Arial"/>
                <w:sz w:val="20"/>
                <w:szCs w:val="20"/>
                <w:lang w:eastAsia="en-US"/>
              </w:rPr>
            </w:pPr>
            <w:r w:rsidRPr="00A1174B">
              <w:rPr>
                <w:rFonts w:cs="Arial"/>
                <w:sz w:val="20"/>
                <w:szCs w:val="20"/>
                <w:lang w:eastAsia="en-US"/>
              </w:rPr>
              <w:t xml:space="preserve">Weighting revised since last </w:t>
            </w:r>
            <w:proofErr w:type="gramStart"/>
            <w:r w:rsidRPr="00A1174B">
              <w:rPr>
                <w:rFonts w:cs="Arial"/>
                <w:sz w:val="20"/>
                <w:szCs w:val="20"/>
                <w:lang w:eastAsia="en-US"/>
              </w:rPr>
              <w:t>AR?</w:t>
            </w:r>
            <w:proofErr w:type="gramEnd"/>
            <w:r w:rsidRPr="00A1174B">
              <w:rPr>
                <w:rFonts w:cs="Arial"/>
                <w:sz w:val="20"/>
                <w:szCs w:val="20"/>
                <w:lang w:eastAsia="en-US"/>
              </w:rPr>
              <w:t xml:space="preserve"> </w:t>
            </w:r>
          </w:p>
        </w:tc>
        <w:tc>
          <w:tcPr>
            <w:tcW w:w="3085" w:type="dxa"/>
            <w:tcBorders>
              <w:top w:val="single" w:sz="4" w:space="0" w:color="auto"/>
              <w:left w:val="single" w:sz="4" w:space="0" w:color="auto"/>
              <w:bottom w:val="single" w:sz="4" w:space="0" w:color="auto"/>
              <w:right w:val="single" w:sz="4" w:space="0" w:color="auto"/>
            </w:tcBorders>
          </w:tcPr>
          <w:p w14:paraId="11F784F8" w14:textId="77777777" w:rsidR="009C2A1E" w:rsidRPr="00A1174B" w:rsidRDefault="009C2A1E" w:rsidP="009C2A1E">
            <w:pPr>
              <w:spacing w:line="276" w:lineRule="auto"/>
              <w:jc w:val="both"/>
              <w:rPr>
                <w:rFonts w:cs="Arial"/>
                <w:sz w:val="20"/>
                <w:szCs w:val="20"/>
                <w:lang w:eastAsia="en-US"/>
              </w:rPr>
            </w:pPr>
            <w:r>
              <w:rPr>
                <w:rFonts w:cs="Arial"/>
                <w:sz w:val="20"/>
                <w:szCs w:val="20"/>
                <w:lang w:eastAsia="en-US"/>
              </w:rPr>
              <w:t>N/A</w:t>
            </w:r>
          </w:p>
        </w:tc>
      </w:tr>
      <w:bookmarkEnd w:id="0"/>
    </w:tbl>
    <w:p w14:paraId="73BEEA41" w14:textId="77777777" w:rsidR="00957C5B" w:rsidRDefault="00957C5B" w:rsidP="009021AD">
      <w:pPr>
        <w:spacing w:line="276" w:lineRule="auto"/>
        <w:jc w:val="both"/>
        <w:rPr>
          <w:rFonts w:cs="Arial"/>
          <w:sz w:val="22"/>
          <w:szCs w:val="22"/>
        </w:rPr>
      </w:pPr>
    </w:p>
    <w:p w14:paraId="2FB23308" w14:textId="77777777" w:rsidR="00DB03F5" w:rsidRDefault="00DB03F5" w:rsidP="009021AD">
      <w:pPr>
        <w:spacing w:line="276" w:lineRule="auto"/>
        <w:jc w:val="both"/>
        <w:rPr>
          <w:rFonts w:cs="Arial"/>
          <w:sz w:val="22"/>
          <w:szCs w:val="22"/>
        </w:rPr>
      </w:pPr>
    </w:p>
    <w:p w14:paraId="22E66C84" w14:textId="77777777" w:rsidR="00DB03F5" w:rsidRPr="00A1174B" w:rsidRDefault="00DB03F5" w:rsidP="009021AD">
      <w:pPr>
        <w:spacing w:line="276" w:lineRule="auto"/>
        <w:jc w:val="both"/>
        <w:rPr>
          <w:rFonts w:cs="Arial"/>
          <w:sz w:val="22"/>
          <w:szCs w:val="22"/>
        </w:rPr>
      </w:pPr>
    </w:p>
    <w:p w14:paraId="74EBAC59" w14:textId="77777777" w:rsidR="00A1174B" w:rsidRPr="00A1174B" w:rsidRDefault="00A1174B" w:rsidP="009021AD">
      <w:pPr>
        <w:spacing w:line="276" w:lineRule="auto"/>
        <w:jc w:val="both"/>
        <w:rPr>
          <w:rFonts w:cs="Arial"/>
          <w:sz w:val="22"/>
          <w:szCs w:val="22"/>
        </w:rPr>
      </w:pPr>
    </w:p>
    <w:p w14:paraId="24A95F92" w14:textId="77777777" w:rsidR="00B95D39" w:rsidRDefault="00B95D39" w:rsidP="009021AD">
      <w:pPr>
        <w:spacing w:line="276" w:lineRule="auto"/>
        <w:jc w:val="both"/>
        <w:rPr>
          <w:rFonts w:cs="Arial"/>
          <w:sz w:val="22"/>
          <w:szCs w:val="22"/>
        </w:rPr>
      </w:pPr>
    </w:p>
    <w:tbl>
      <w:tblPr>
        <w:tblStyle w:val="TableGrid"/>
        <w:tblpPr w:leftFromText="180" w:rightFromText="180" w:vertAnchor="text" w:horzAnchor="margin" w:tblpXSpec="center" w:tblpY="-919"/>
        <w:tblOverlap w:val="never"/>
        <w:tblW w:w="10228" w:type="dxa"/>
        <w:tblLook w:val="04A0" w:firstRow="1" w:lastRow="0" w:firstColumn="1" w:lastColumn="0" w:noHBand="0" w:noVBand="1"/>
      </w:tblPr>
      <w:tblGrid>
        <w:gridCol w:w="561"/>
        <w:gridCol w:w="2973"/>
        <w:gridCol w:w="1134"/>
        <w:gridCol w:w="1133"/>
        <w:gridCol w:w="1173"/>
        <w:gridCol w:w="3254"/>
      </w:tblGrid>
      <w:tr w:rsidR="00A1174B" w:rsidRPr="00E548EA" w14:paraId="25CAB9BC" w14:textId="77777777" w:rsidTr="00957C5B">
        <w:trPr>
          <w:trHeight w:val="273"/>
        </w:trPr>
        <w:tc>
          <w:tcPr>
            <w:tcW w:w="5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9A3BF4" w14:textId="6E37C31C" w:rsidR="00A1174B" w:rsidRPr="00E548EA" w:rsidRDefault="00A1174B" w:rsidP="004F2ABC">
            <w:pPr>
              <w:spacing w:line="276" w:lineRule="auto"/>
              <w:jc w:val="center"/>
              <w:rPr>
                <w:b/>
                <w:bCs/>
                <w:sz w:val="20"/>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FABF54" w14:textId="77777777" w:rsidR="00A1174B" w:rsidRPr="00E548EA" w:rsidRDefault="00A1174B" w:rsidP="004F2ABC">
            <w:pPr>
              <w:spacing w:line="276" w:lineRule="auto"/>
              <w:jc w:val="center"/>
              <w:rPr>
                <w:b/>
                <w:bCs/>
                <w:sz w:val="20"/>
                <w:szCs w:val="22"/>
              </w:rPr>
            </w:pPr>
            <w:r>
              <w:rPr>
                <w:b/>
                <w:bCs/>
                <w:sz w:val="20"/>
                <w:szCs w:val="22"/>
              </w:rPr>
              <w:t>Indicator</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8AE27E" w14:textId="77777777" w:rsidR="00A1174B" w:rsidRPr="00E548EA" w:rsidRDefault="00A1174B" w:rsidP="004F2ABC">
            <w:pPr>
              <w:spacing w:line="276" w:lineRule="auto"/>
              <w:jc w:val="center"/>
              <w:rPr>
                <w:b/>
                <w:bCs/>
                <w:sz w:val="20"/>
                <w:szCs w:val="22"/>
              </w:rPr>
            </w:pPr>
            <w:r>
              <w:rPr>
                <w:b/>
                <w:bCs/>
                <w:sz w:val="20"/>
                <w:szCs w:val="22"/>
              </w:rPr>
              <w:t>Baseline</w:t>
            </w:r>
          </w:p>
        </w:tc>
        <w:tc>
          <w:tcPr>
            <w:tcW w:w="11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1FC1AE" w14:textId="77777777" w:rsidR="00A1174B" w:rsidRPr="00E548EA" w:rsidRDefault="00A1174B" w:rsidP="004F2ABC">
            <w:pPr>
              <w:spacing w:line="276" w:lineRule="auto"/>
              <w:jc w:val="center"/>
              <w:rPr>
                <w:b/>
                <w:bCs/>
                <w:sz w:val="20"/>
                <w:szCs w:val="22"/>
              </w:rPr>
            </w:pPr>
            <w:r>
              <w:rPr>
                <w:b/>
                <w:bCs/>
                <w:sz w:val="20"/>
                <w:szCs w:val="22"/>
              </w:rPr>
              <w:t>Target</w:t>
            </w:r>
          </w:p>
        </w:tc>
        <w:tc>
          <w:tcPr>
            <w:tcW w:w="11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561C1C" w14:textId="77777777" w:rsidR="00A1174B" w:rsidRDefault="00A1174B" w:rsidP="004F2ABC">
            <w:pPr>
              <w:spacing w:line="276" w:lineRule="auto"/>
              <w:jc w:val="center"/>
              <w:rPr>
                <w:b/>
                <w:bCs/>
                <w:sz w:val="20"/>
                <w:szCs w:val="22"/>
              </w:rPr>
            </w:pPr>
            <w:r>
              <w:rPr>
                <w:b/>
                <w:bCs/>
                <w:sz w:val="20"/>
                <w:szCs w:val="22"/>
              </w:rPr>
              <w:t>Achieved</w:t>
            </w:r>
          </w:p>
        </w:tc>
        <w:tc>
          <w:tcPr>
            <w:tcW w:w="3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12739" w14:textId="77777777" w:rsidR="00A1174B" w:rsidRDefault="00A1174B" w:rsidP="004F2ABC">
            <w:pPr>
              <w:spacing w:line="276" w:lineRule="auto"/>
              <w:jc w:val="center"/>
              <w:rPr>
                <w:b/>
                <w:bCs/>
                <w:sz w:val="20"/>
                <w:szCs w:val="22"/>
              </w:rPr>
            </w:pPr>
            <w:r>
              <w:rPr>
                <w:b/>
                <w:bCs/>
                <w:sz w:val="20"/>
                <w:szCs w:val="22"/>
              </w:rPr>
              <w:t>On track?</w:t>
            </w:r>
          </w:p>
        </w:tc>
      </w:tr>
      <w:tr w:rsidR="000F67ED" w:rsidRPr="00E548EA" w14:paraId="3EC18284" w14:textId="77777777" w:rsidTr="00957C5B">
        <w:trPr>
          <w:trHeight w:val="567"/>
        </w:trPr>
        <w:tc>
          <w:tcPr>
            <w:tcW w:w="561" w:type="dxa"/>
            <w:vMerge w:val="restart"/>
            <w:tcBorders>
              <w:top w:val="single" w:sz="4" w:space="0" w:color="auto"/>
              <w:left w:val="single" w:sz="4" w:space="0" w:color="auto"/>
              <w:right w:val="single" w:sz="4" w:space="0" w:color="auto"/>
            </w:tcBorders>
            <w:vAlign w:val="center"/>
          </w:tcPr>
          <w:p w14:paraId="6D4416DE" w14:textId="4BCFB882" w:rsidR="000F67ED" w:rsidRPr="00255D4E" w:rsidRDefault="000F67ED" w:rsidP="004F2ABC">
            <w:pPr>
              <w:spacing w:line="276" w:lineRule="auto"/>
              <w:jc w:val="center"/>
              <w:rPr>
                <w:sz w:val="20"/>
                <w:szCs w:val="20"/>
              </w:rPr>
            </w:pPr>
            <w:r>
              <w:rPr>
                <w:sz w:val="20"/>
                <w:szCs w:val="20"/>
              </w:rPr>
              <w:t>2</w:t>
            </w:r>
            <w:r w:rsidRPr="00255D4E">
              <w:rPr>
                <w:sz w:val="20"/>
                <w:szCs w:val="20"/>
              </w:rPr>
              <w:t>.1</w:t>
            </w:r>
          </w:p>
        </w:tc>
        <w:tc>
          <w:tcPr>
            <w:tcW w:w="2973" w:type="dxa"/>
            <w:tcBorders>
              <w:top w:val="single" w:sz="4" w:space="0" w:color="auto"/>
              <w:left w:val="single" w:sz="4" w:space="0" w:color="auto"/>
              <w:bottom w:val="single" w:sz="4" w:space="0" w:color="auto"/>
              <w:right w:val="single" w:sz="4" w:space="0" w:color="auto"/>
            </w:tcBorders>
            <w:vAlign w:val="center"/>
          </w:tcPr>
          <w:p w14:paraId="13EFEDCB" w14:textId="3ACEF431" w:rsidR="000F67ED" w:rsidRPr="00C50203" w:rsidRDefault="000F67ED" w:rsidP="004F2ABC">
            <w:pPr>
              <w:spacing w:line="276" w:lineRule="auto"/>
              <w:jc w:val="center"/>
              <w:rPr>
                <w:bCs/>
                <w:sz w:val="20"/>
                <w:szCs w:val="22"/>
              </w:rPr>
            </w:pPr>
            <w:r w:rsidRPr="00C50203">
              <w:rPr>
                <w:bCs/>
                <w:sz w:val="20"/>
                <w:szCs w:val="22"/>
              </w:rPr>
              <w:t>Applicants and grantees use OCEAN training and guidance to build their capacity to apply, design projects and effectively manage projects</w:t>
            </w:r>
          </w:p>
          <w:p w14:paraId="682E3DFA" w14:textId="5B7DCA62" w:rsidR="000F67ED" w:rsidRPr="00C50203" w:rsidRDefault="000F67ED" w:rsidP="00AD1823">
            <w:pPr>
              <w:pStyle w:val="ListParagraph"/>
              <w:numPr>
                <w:ilvl w:val="0"/>
                <w:numId w:val="1"/>
              </w:numPr>
              <w:spacing w:after="0" w:line="276" w:lineRule="auto"/>
              <w:ind w:left="357" w:hanging="357"/>
              <w:jc w:val="center"/>
              <w:rPr>
                <w:bCs/>
                <w:sz w:val="20"/>
                <w:szCs w:val="22"/>
              </w:rPr>
            </w:pPr>
            <w:r w:rsidRPr="00C50203">
              <w:rPr>
                <w:bCs/>
                <w:sz w:val="20"/>
                <w:szCs w:val="22"/>
              </w:rPr>
              <w:t>Number of applicants and grantees attending OCEAN training</w:t>
            </w:r>
          </w:p>
        </w:tc>
        <w:tc>
          <w:tcPr>
            <w:tcW w:w="1134" w:type="dxa"/>
            <w:tcBorders>
              <w:top w:val="single" w:sz="4" w:space="0" w:color="auto"/>
              <w:left w:val="single" w:sz="4" w:space="0" w:color="auto"/>
              <w:bottom w:val="single" w:sz="4" w:space="0" w:color="auto"/>
              <w:right w:val="single" w:sz="4" w:space="0" w:color="auto"/>
            </w:tcBorders>
            <w:vAlign w:val="center"/>
          </w:tcPr>
          <w:p w14:paraId="510C9F6C" w14:textId="65A18C92" w:rsidR="000F67ED" w:rsidRPr="00255D4E" w:rsidRDefault="00A106F5" w:rsidP="004F2ABC">
            <w:pPr>
              <w:spacing w:line="276" w:lineRule="auto"/>
              <w:jc w:val="center"/>
              <w:rPr>
                <w:sz w:val="20"/>
                <w:szCs w:val="20"/>
              </w:rPr>
            </w:pPr>
            <w:r>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6C4CD8E2" w14:textId="558588BF" w:rsidR="000F67ED" w:rsidRPr="00255D4E" w:rsidRDefault="00FC2B57" w:rsidP="004F2ABC">
            <w:pPr>
              <w:spacing w:line="276" w:lineRule="auto"/>
              <w:jc w:val="center"/>
              <w:rPr>
                <w:sz w:val="20"/>
                <w:szCs w:val="20"/>
              </w:rPr>
            </w:pPr>
            <w:r>
              <w:rPr>
                <w:sz w:val="20"/>
                <w:szCs w:val="20"/>
              </w:rPr>
              <w:t>350</w:t>
            </w:r>
          </w:p>
        </w:tc>
        <w:tc>
          <w:tcPr>
            <w:tcW w:w="1173" w:type="dxa"/>
            <w:tcBorders>
              <w:top w:val="single" w:sz="4" w:space="0" w:color="auto"/>
              <w:left w:val="single" w:sz="4" w:space="0" w:color="auto"/>
              <w:bottom w:val="single" w:sz="4" w:space="0" w:color="auto"/>
              <w:right w:val="single" w:sz="4" w:space="0" w:color="auto"/>
            </w:tcBorders>
            <w:vAlign w:val="center"/>
          </w:tcPr>
          <w:p w14:paraId="5B295075" w14:textId="3B67F518" w:rsidR="000F67ED" w:rsidRPr="00C949B4" w:rsidRDefault="00D454C6" w:rsidP="004F2ABC">
            <w:pPr>
              <w:spacing w:line="276" w:lineRule="auto"/>
              <w:jc w:val="center"/>
              <w:rPr>
                <w:sz w:val="20"/>
                <w:szCs w:val="20"/>
                <w:highlight w:val="yellow"/>
              </w:rPr>
            </w:pPr>
            <w:r w:rsidRPr="00D454C6">
              <w:rPr>
                <w:sz w:val="20"/>
                <w:szCs w:val="20"/>
              </w:rPr>
              <w:t>1837</w:t>
            </w:r>
          </w:p>
        </w:tc>
        <w:tc>
          <w:tcPr>
            <w:tcW w:w="3254" w:type="dxa"/>
            <w:tcBorders>
              <w:top w:val="single" w:sz="4" w:space="0" w:color="auto"/>
              <w:left w:val="single" w:sz="4" w:space="0" w:color="auto"/>
              <w:bottom w:val="single" w:sz="4" w:space="0" w:color="auto"/>
              <w:right w:val="single" w:sz="4" w:space="0" w:color="auto"/>
            </w:tcBorders>
            <w:vAlign w:val="center"/>
          </w:tcPr>
          <w:p w14:paraId="0E5938A1" w14:textId="77777777" w:rsidR="000F67ED" w:rsidRPr="002E76B8" w:rsidRDefault="00D454C6" w:rsidP="004F2ABC">
            <w:pPr>
              <w:spacing w:line="276" w:lineRule="auto"/>
              <w:jc w:val="center"/>
              <w:rPr>
                <w:b/>
                <w:bCs/>
                <w:sz w:val="20"/>
                <w:szCs w:val="20"/>
              </w:rPr>
            </w:pPr>
            <w:proofErr w:type="spellStart"/>
            <w:proofErr w:type="gramStart"/>
            <w:r w:rsidRPr="002E76B8">
              <w:rPr>
                <w:b/>
                <w:bCs/>
                <w:sz w:val="20"/>
                <w:szCs w:val="20"/>
              </w:rPr>
              <w:t>Overall:</w:t>
            </w:r>
            <w:r w:rsidR="00A03B0E" w:rsidRPr="002E76B8">
              <w:rPr>
                <w:b/>
                <w:bCs/>
                <w:sz w:val="20"/>
                <w:szCs w:val="20"/>
              </w:rPr>
              <w:t>A</w:t>
            </w:r>
            <w:proofErr w:type="spellEnd"/>
            <w:proofErr w:type="gramEnd"/>
            <w:r w:rsidR="00A03B0E" w:rsidRPr="002E76B8">
              <w:rPr>
                <w:b/>
                <w:bCs/>
                <w:sz w:val="20"/>
                <w:szCs w:val="20"/>
              </w:rPr>
              <w:t>+</w:t>
            </w:r>
            <w:r w:rsidR="00802750" w:rsidRPr="002E76B8">
              <w:rPr>
                <w:b/>
                <w:bCs/>
                <w:sz w:val="20"/>
                <w:szCs w:val="20"/>
              </w:rPr>
              <w:t xml:space="preserve"> - Outputs moderately exceeded expectations.</w:t>
            </w:r>
          </w:p>
          <w:p w14:paraId="5B008A2B" w14:textId="43514A50" w:rsidR="00D30189" w:rsidRPr="00E548EA" w:rsidRDefault="003C2F54" w:rsidP="004F2ABC">
            <w:pPr>
              <w:spacing w:line="276" w:lineRule="auto"/>
              <w:jc w:val="center"/>
              <w:rPr>
                <w:sz w:val="20"/>
                <w:szCs w:val="20"/>
              </w:rPr>
            </w:pPr>
            <w:r>
              <w:rPr>
                <w:sz w:val="20"/>
                <w:szCs w:val="20"/>
              </w:rPr>
              <w:t>22</w:t>
            </w:r>
            <w:r w:rsidR="009D32E2">
              <w:rPr>
                <w:sz w:val="20"/>
                <w:szCs w:val="20"/>
              </w:rPr>
              <w:t xml:space="preserve"> </w:t>
            </w:r>
            <w:r w:rsidR="009E471C">
              <w:rPr>
                <w:sz w:val="20"/>
                <w:szCs w:val="20"/>
              </w:rPr>
              <w:t xml:space="preserve">training and information </w:t>
            </w:r>
            <w:r w:rsidR="009D32E2">
              <w:rPr>
                <w:sz w:val="20"/>
                <w:szCs w:val="20"/>
              </w:rPr>
              <w:t xml:space="preserve">events were held in total with </w:t>
            </w:r>
            <w:r w:rsidR="002E76B8">
              <w:rPr>
                <w:sz w:val="20"/>
                <w:szCs w:val="20"/>
              </w:rPr>
              <w:t>1837 applicants from 1119 organisations covering 106 countries.</w:t>
            </w:r>
          </w:p>
        </w:tc>
      </w:tr>
      <w:tr w:rsidR="000F67ED" w:rsidRPr="00E548EA" w14:paraId="10401CD7" w14:textId="77777777" w:rsidTr="189BE4BD">
        <w:trPr>
          <w:trHeight w:val="567"/>
        </w:trPr>
        <w:tc>
          <w:tcPr>
            <w:tcW w:w="561" w:type="dxa"/>
            <w:vMerge/>
            <w:vAlign w:val="center"/>
          </w:tcPr>
          <w:p w14:paraId="14623ACD" w14:textId="77777777" w:rsidR="000F67ED" w:rsidRDefault="000F67ED" w:rsidP="004F2ABC">
            <w:pPr>
              <w:spacing w:line="276" w:lineRule="auto"/>
              <w:jc w:val="center"/>
              <w:rPr>
                <w:sz w:val="20"/>
                <w:szCs w:val="20"/>
              </w:rPr>
            </w:pPr>
          </w:p>
        </w:tc>
        <w:tc>
          <w:tcPr>
            <w:tcW w:w="2973" w:type="dxa"/>
            <w:tcBorders>
              <w:top w:val="single" w:sz="4" w:space="0" w:color="auto"/>
              <w:left w:val="single" w:sz="4" w:space="0" w:color="auto"/>
              <w:bottom w:val="single" w:sz="4" w:space="0" w:color="auto"/>
              <w:right w:val="single" w:sz="4" w:space="0" w:color="auto"/>
            </w:tcBorders>
            <w:vAlign w:val="center"/>
          </w:tcPr>
          <w:p w14:paraId="177686DE" w14:textId="0A9FF838" w:rsidR="000F67ED" w:rsidRPr="00C50203" w:rsidRDefault="000F67ED" w:rsidP="00AD1823">
            <w:pPr>
              <w:pStyle w:val="ListParagraph"/>
              <w:numPr>
                <w:ilvl w:val="0"/>
                <w:numId w:val="1"/>
              </w:numPr>
              <w:spacing w:after="0" w:line="276" w:lineRule="auto"/>
              <w:ind w:left="357" w:hanging="357"/>
              <w:jc w:val="center"/>
              <w:rPr>
                <w:bCs/>
                <w:sz w:val="20"/>
                <w:szCs w:val="22"/>
              </w:rPr>
            </w:pPr>
            <w:r w:rsidRPr="00C50203">
              <w:rPr>
                <w:bCs/>
                <w:sz w:val="20"/>
                <w:szCs w:val="22"/>
              </w:rPr>
              <w:t>Number of applicants and grantees using OCEAN guidance</w:t>
            </w:r>
          </w:p>
        </w:tc>
        <w:tc>
          <w:tcPr>
            <w:tcW w:w="1134" w:type="dxa"/>
            <w:tcBorders>
              <w:top w:val="single" w:sz="4" w:space="0" w:color="auto"/>
              <w:left w:val="single" w:sz="4" w:space="0" w:color="auto"/>
              <w:bottom w:val="single" w:sz="4" w:space="0" w:color="auto"/>
              <w:right w:val="single" w:sz="4" w:space="0" w:color="auto"/>
            </w:tcBorders>
            <w:vAlign w:val="center"/>
          </w:tcPr>
          <w:p w14:paraId="3920B58F" w14:textId="019AB022" w:rsidR="000F67ED" w:rsidRPr="00255D4E" w:rsidRDefault="00A106F5" w:rsidP="004F2ABC">
            <w:pPr>
              <w:spacing w:line="276" w:lineRule="auto"/>
              <w:jc w:val="center"/>
              <w:rPr>
                <w:sz w:val="20"/>
                <w:szCs w:val="20"/>
              </w:rPr>
            </w:pPr>
            <w:r>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36E210A8" w14:textId="36931C41" w:rsidR="000F67ED" w:rsidRPr="00255D4E" w:rsidRDefault="00FC2B57" w:rsidP="004F2ABC">
            <w:pPr>
              <w:spacing w:line="276" w:lineRule="auto"/>
              <w:jc w:val="center"/>
              <w:rPr>
                <w:sz w:val="20"/>
                <w:szCs w:val="20"/>
              </w:rPr>
            </w:pPr>
            <w:r>
              <w:rPr>
                <w:sz w:val="20"/>
                <w:szCs w:val="20"/>
              </w:rPr>
              <w:t>350</w:t>
            </w:r>
          </w:p>
        </w:tc>
        <w:tc>
          <w:tcPr>
            <w:tcW w:w="1173" w:type="dxa"/>
            <w:tcBorders>
              <w:top w:val="single" w:sz="4" w:space="0" w:color="auto"/>
              <w:left w:val="single" w:sz="4" w:space="0" w:color="auto"/>
              <w:bottom w:val="single" w:sz="4" w:space="0" w:color="auto"/>
              <w:right w:val="single" w:sz="4" w:space="0" w:color="auto"/>
            </w:tcBorders>
            <w:vAlign w:val="center"/>
          </w:tcPr>
          <w:p w14:paraId="19A5D17A" w14:textId="2D30251B" w:rsidR="000F67ED" w:rsidRPr="00C949B4" w:rsidRDefault="004F6EA1" w:rsidP="004F2ABC">
            <w:pPr>
              <w:spacing w:line="276" w:lineRule="auto"/>
              <w:jc w:val="center"/>
              <w:rPr>
                <w:sz w:val="20"/>
                <w:szCs w:val="20"/>
                <w:highlight w:val="yellow"/>
              </w:rPr>
            </w:pPr>
            <w:r w:rsidRPr="004F6EA1">
              <w:rPr>
                <w:sz w:val="20"/>
                <w:szCs w:val="20"/>
              </w:rPr>
              <w:t>6863 individual downloads</w:t>
            </w:r>
          </w:p>
        </w:tc>
        <w:tc>
          <w:tcPr>
            <w:tcW w:w="3254" w:type="dxa"/>
            <w:tcBorders>
              <w:top w:val="single" w:sz="4" w:space="0" w:color="auto"/>
              <w:left w:val="single" w:sz="4" w:space="0" w:color="auto"/>
              <w:bottom w:val="single" w:sz="4" w:space="0" w:color="auto"/>
              <w:right w:val="single" w:sz="4" w:space="0" w:color="auto"/>
            </w:tcBorders>
            <w:vAlign w:val="center"/>
          </w:tcPr>
          <w:p w14:paraId="280AF4DA" w14:textId="49E8CB6E" w:rsidR="000F67ED" w:rsidRPr="00F90620" w:rsidRDefault="00900431" w:rsidP="004F2ABC">
            <w:pPr>
              <w:spacing w:line="276" w:lineRule="auto"/>
              <w:jc w:val="center"/>
              <w:rPr>
                <w:b/>
                <w:bCs/>
                <w:sz w:val="20"/>
                <w:szCs w:val="20"/>
              </w:rPr>
            </w:pPr>
            <w:r w:rsidRPr="00F90620">
              <w:rPr>
                <w:b/>
                <w:bCs/>
                <w:sz w:val="20"/>
                <w:szCs w:val="20"/>
              </w:rPr>
              <w:t>Overall: A – Met</w:t>
            </w:r>
          </w:p>
          <w:p w14:paraId="7549F020" w14:textId="77410EC8" w:rsidR="00900431" w:rsidRPr="00E548EA" w:rsidRDefault="00900431" w:rsidP="0A1EDC9F">
            <w:pPr>
              <w:spacing w:line="276" w:lineRule="auto"/>
              <w:jc w:val="center"/>
              <w:rPr>
                <w:sz w:val="20"/>
                <w:szCs w:val="20"/>
              </w:rPr>
            </w:pPr>
          </w:p>
          <w:p w14:paraId="09620400" w14:textId="663A3AF5" w:rsidR="00900431" w:rsidRPr="00E548EA" w:rsidRDefault="00900431" w:rsidP="004F2ABC">
            <w:pPr>
              <w:spacing w:line="276" w:lineRule="auto"/>
              <w:jc w:val="center"/>
              <w:rPr>
                <w:sz w:val="20"/>
                <w:szCs w:val="20"/>
              </w:rPr>
            </w:pPr>
          </w:p>
        </w:tc>
      </w:tr>
      <w:tr w:rsidR="00A1174B" w:rsidRPr="00E548EA" w14:paraId="0F61A51E" w14:textId="77777777" w:rsidTr="00957C5B">
        <w:trPr>
          <w:trHeight w:val="567"/>
        </w:trPr>
        <w:tc>
          <w:tcPr>
            <w:tcW w:w="561" w:type="dxa"/>
            <w:vMerge w:val="restart"/>
            <w:tcBorders>
              <w:top w:val="single" w:sz="4" w:space="0" w:color="auto"/>
              <w:left w:val="single" w:sz="4" w:space="0" w:color="auto"/>
              <w:right w:val="single" w:sz="4" w:space="0" w:color="auto"/>
            </w:tcBorders>
            <w:vAlign w:val="center"/>
          </w:tcPr>
          <w:p w14:paraId="20B8D533" w14:textId="67EE8E94" w:rsidR="00A1174B" w:rsidRPr="00255D4E" w:rsidRDefault="00A106F5" w:rsidP="004F2ABC">
            <w:pPr>
              <w:spacing w:line="276" w:lineRule="auto"/>
              <w:jc w:val="center"/>
              <w:rPr>
                <w:bCs/>
                <w:sz w:val="20"/>
                <w:szCs w:val="22"/>
              </w:rPr>
            </w:pPr>
            <w:r>
              <w:rPr>
                <w:bCs/>
                <w:sz w:val="20"/>
                <w:szCs w:val="22"/>
              </w:rPr>
              <w:t>2</w:t>
            </w:r>
            <w:r w:rsidR="00A1174B" w:rsidRPr="00255D4E">
              <w:rPr>
                <w:bCs/>
                <w:sz w:val="20"/>
                <w:szCs w:val="22"/>
              </w:rPr>
              <w:t>.2</w:t>
            </w:r>
          </w:p>
        </w:tc>
        <w:tc>
          <w:tcPr>
            <w:tcW w:w="2973" w:type="dxa"/>
            <w:tcBorders>
              <w:top w:val="single" w:sz="4" w:space="0" w:color="auto"/>
              <w:left w:val="single" w:sz="4" w:space="0" w:color="auto"/>
              <w:bottom w:val="single" w:sz="4" w:space="0" w:color="auto"/>
              <w:right w:val="single" w:sz="4" w:space="0" w:color="auto"/>
            </w:tcBorders>
            <w:vAlign w:val="center"/>
          </w:tcPr>
          <w:p w14:paraId="3BDBBA82" w14:textId="1C74574C" w:rsidR="00C50203" w:rsidRPr="00C50203" w:rsidRDefault="00C50203" w:rsidP="004F2ABC">
            <w:pPr>
              <w:spacing w:line="276" w:lineRule="auto"/>
              <w:jc w:val="center"/>
              <w:rPr>
                <w:bCs/>
                <w:sz w:val="20"/>
                <w:szCs w:val="22"/>
              </w:rPr>
            </w:pPr>
            <w:r w:rsidRPr="00C50203">
              <w:rPr>
                <w:bCs/>
                <w:sz w:val="20"/>
                <w:szCs w:val="22"/>
              </w:rPr>
              <w:t>Applicants and Grantees report that OCEAN training and guidance was relevant and useful - proportion reporting that training and support is relevant and useful</w:t>
            </w:r>
          </w:p>
          <w:p w14:paraId="6F958CCB" w14:textId="10D6730C" w:rsidR="00C50203" w:rsidRPr="00C50203" w:rsidRDefault="00C50203" w:rsidP="00AD1823">
            <w:pPr>
              <w:pStyle w:val="ListParagraph"/>
              <w:numPr>
                <w:ilvl w:val="0"/>
                <w:numId w:val="2"/>
              </w:numPr>
              <w:spacing w:after="0" w:line="276" w:lineRule="auto"/>
              <w:jc w:val="center"/>
              <w:rPr>
                <w:bCs/>
                <w:sz w:val="20"/>
                <w:szCs w:val="22"/>
              </w:rPr>
            </w:pPr>
            <w:r w:rsidRPr="00C50203">
              <w:rPr>
                <w:bCs/>
                <w:sz w:val="20"/>
                <w:szCs w:val="22"/>
              </w:rPr>
              <w:t>Proportion reporting that OCEAN training is relevant and useful</w:t>
            </w:r>
          </w:p>
        </w:tc>
        <w:tc>
          <w:tcPr>
            <w:tcW w:w="1134" w:type="dxa"/>
            <w:tcBorders>
              <w:top w:val="single" w:sz="4" w:space="0" w:color="auto"/>
              <w:left w:val="single" w:sz="4" w:space="0" w:color="auto"/>
              <w:bottom w:val="single" w:sz="4" w:space="0" w:color="auto"/>
              <w:right w:val="single" w:sz="4" w:space="0" w:color="auto"/>
            </w:tcBorders>
            <w:vAlign w:val="center"/>
          </w:tcPr>
          <w:p w14:paraId="574743D4" w14:textId="2663BBD4" w:rsidR="00A1174B" w:rsidRPr="00255D4E" w:rsidRDefault="00A106F5" w:rsidP="004F2ABC">
            <w:pPr>
              <w:spacing w:line="276" w:lineRule="auto"/>
              <w:jc w:val="center"/>
              <w:rPr>
                <w:sz w:val="20"/>
                <w:szCs w:val="20"/>
              </w:rPr>
            </w:pPr>
            <w:r>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916B1AE" w14:textId="3A27EB98" w:rsidR="00A1174B" w:rsidRPr="00255D4E" w:rsidRDefault="00FC2B57" w:rsidP="004F2ABC">
            <w:pPr>
              <w:spacing w:line="276" w:lineRule="auto"/>
              <w:jc w:val="center"/>
              <w:rPr>
                <w:sz w:val="20"/>
                <w:szCs w:val="20"/>
              </w:rPr>
            </w:pPr>
            <w:r>
              <w:rPr>
                <w:sz w:val="20"/>
                <w:szCs w:val="20"/>
              </w:rPr>
              <w:t>75%</w:t>
            </w:r>
          </w:p>
        </w:tc>
        <w:tc>
          <w:tcPr>
            <w:tcW w:w="1173" w:type="dxa"/>
            <w:tcBorders>
              <w:top w:val="single" w:sz="4" w:space="0" w:color="auto"/>
              <w:left w:val="single" w:sz="4" w:space="0" w:color="auto"/>
              <w:bottom w:val="single" w:sz="4" w:space="0" w:color="auto"/>
              <w:right w:val="single" w:sz="4" w:space="0" w:color="auto"/>
            </w:tcBorders>
            <w:vAlign w:val="center"/>
          </w:tcPr>
          <w:p w14:paraId="36AB4032" w14:textId="297F2470" w:rsidR="00A1174B" w:rsidRPr="00C949B4" w:rsidRDefault="004F6EA1" w:rsidP="004F2ABC">
            <w:pPr>
              <w:spacing w:line="276" w:lineRule="auto"/>
              <w:jc w:val="center"/>
              <w:rPr>
                <w:sz w:val="20"/>
                <w:szCs w:val="20"/>
                <w:highlight w:val="yellow"/>
              </w:rPr>
            </w:pPr>
            <w:r w:rsidRPr="004F6EA1">
              <w:rPr>
                <w:sz w:val="20"/>
                <w:szCs w:val="20"/>
              </w:rPr>
              <w:t>94%</w:t>
            </w:r>
          </w:p>
        </w:tc>
        <w:tc>
          <w:tcPr>
            <w:tcW w:w="3254" w:type="dxa"/>
            <w:tcBorders>
              <w:top w:val="single" w:sz="4" w:space="0" w:color="auto"/>
              <w:left w:val="single" w:sz="4" w:space="0" w:color="auto"/>
              <w:bottom w:val="single" w:sz="4" w:space="0" w:color="auto"/>
              <w:right w:val="single" w:sz="4" w:space="0" w:color="auto"/>
            </w:tcBorders>
            <w:vAlign w:val="center"/>
          </w:tcPr>
          <w:p w14:paraId="3170DD9A" w14:textId="77777777" w:rsidR="00A1174B" w:rsidRPr="00F90620" w:rsidRDefault="002E5EC4" w:rsidP="004F2ABC">
            <w:pPr>
              <w:spacing w:line="276" w:lineRule="auto"/>
              <w:jc w:val="center"/>
              <w:rPr>
                <w:b/>
                <w:bCs/>
                <w:sz w:val="20"/>
                <w:szCs w:val="20"/>
              </w:rPr>
            </w:pPr>
            <w:r w:rsidRPr="00F90620">
              <w:rPr>
                <w:b/>
                <w:bCs/>
                <w:sz w:val="20"/>
                <w:szCs w:val="20"/>
              </w:rPr>
              <w:t>Overall: A+ - Outputs moderately exceeded expectations</w:t>
            </w:r>
            <w:r w:rsidR="005E3FEC" w:rsidRPr="00F90620">
              <w:rPr>
                <w:b/>
                <w:bCs/>
                <w:sz w:val="20"/>
                <w:szCs w:val="20"/>
              </w:rPr>
              <w:t>.</w:t>
            </w:r>
          </w:p>
          <w:p w14:paraId="62CA8BCA" w14:textId="4EAC88D5" w:rsidR="005E3FEC" w:rsidRPr="00E548EA" w:rsidRDefault="005E3FEC" w:rsidP="004F2ABC">
            <w:pPr>
              <w:spacing w:line="276" w:lineRule="auto"/>
              <w:jc w:val="center"/>
              <w:rPr>
                <w:sz w:val="20"/>
                <w:szCs w:val="20"/>
              </w:rPr>
            </w:pPr>
            <w:r>
              <w:rPr>
                <w:sz w:val="20"/>
                <w:szCs w:val="20"/>
              </w:rPr>
              <w:t xml:space="preserve">Based on applicant feedback surveys 94% of respondents reported that the OCEAN training </w:t>
            </w:r>
            <w:r w:rsidR="00D55817">
              <w:rPr>
                <w:sz w:val="20"/>
                <w:szCs w:val="20"/>
              </w:rPr>
              <w:t>is</w:t>
            </w:r>
            <w:r>
              <w:rPr>
                <w:sz w:val="20"/>
                <w:szCs w:val="20"/>
              </w:rPr>
              <w:t xml:space="preserve"> relevant and useful.</w:t>
            </w:r>
          </w:p>
        </w:tc>
      </w:tr>
      <w:tr w:rsidR="00A1174B" w:rsidRPr="00E548EA" w14:paraId="73E7E401" w14:textId="77777777" w:rsidTr="189BE4BD">
        <w:trPr>
          <w:trHeight w:val="567"/>
        </w:trPr>
        <w:tc>
          <w:tcPr>
            <w:tcW w:w="561" w:type="dxa"/>
            <w:vMerge/>
            <w:vAlign w:val="center"/>
          </w:tcPr>
          <w:p w14:paraId="3008367B" w14:textId="77777777" w:rsidR="00A1174B" w:rsidRPr="00255D4E" w:rsidRDefault="00A1174B" w:rsidP="004F2ABC">
            <w:pPr>
              <w:spacing w:line="276" w:lineRule="auto"/>
              <w:jc w:val="center"/>
              <w:rPr>
                <w:bCs/>
                <w:sz w:val="20"/>
                <w:szCs w:val="22"/>
              </w:rPr>
            </w:pPr>
          </w:p>
        </w:tc>
        <w:tc>
          <w:tcPr>
            <w:tcW w:w="2973" w:type="dxa"/>
            <w:tcBorders>
              <w:top w:val="single" w:sz="4" w:space="0" w:color="auto"/>
              <w:left w:val="single" w:sz="4" w:space="0" w:color="auto"/>
              <w:bottom w:val="single" w:sz="4" w:space="0" w:color="auto"/>
              <w:right w:val="single" w:sz="4" w:space="0" w:color="auto"/>
            </w:tcBorders>
            <w:vAlign w:val="center"/>
          </w:tcPr>
          <w:p w14:paraId="461EEA92" w14:textId="1E91A609" w:rsidR="00A1174B" w:rsidRPr="00C50203" w:rsidRDefault="00C50203" w:rsidP="00AD1823">
            <w:pPr>
              <w:pStyle w:val="ListParagraph"/>
              <w:numPr>
                <w:ilvl w:val="0"/>
                <w:numId w:val="2"/>
              </w:numPr>
              <w:spacing w:after="0" w:line="276" w:lineRule="auto"/>
              <w:jc w:val="center"/>
              <w:rPr>
                <w:bCs/>
                <w:sz w:val="20"/>
                <w:szCs w:val="22"/>
              </w:rPr>
            </w:pPr>
            <w:r w:rsidRPr="00C50203">
              <w:rPr>
                <w:bCs/>
                <w:sz w:val="20"/>
                <w:szCs w:val="22"/>
              </w:rPr>
              <w:t>Proportion reporting that OCEAN guidance is relevant and useful</w:t>
            </w:r>
          </w:p>
        </w:tc>
        <w:tc>
          <w:tcPr>
            <w:tcW w:w="1134" w:type="dxa"/>
            <w:tcBorders>
              <w:top w:val="single" w:sz="4" w:space="0" w:color="auto"/>
              <w:left w:val="single" w:sz="4" w:space="0" w:color="auto"/>
              <w:bottom w:val="single" w:sz="4" w:space="0" w:color="auto"/>
              <w:right w:val="single" w:sz="4" w:space="0" w:color="auto"/>
            </w:tcBorders>
            <w:vAlign w:val="center"/>
          </w:tcPr>
          <w:p w14:paraId="2B19AD5F" w14:textId="5B2985B0" w:rsidR="00A1174B" w:rsidRPr="00255D4E" w:rsidRDefault="00A106F5" w:rsidP="004F2ABC">
            <w:pPr>
              <w:spacing w:line="276" w:lineRule="auto"/>
              <w:jc w:val="center"/>
              <w:rPr>
                <w:sz w:val="20"/>
                <w:szCs w:val="20"/>
              </w:rPr>
            </w:pPr>
            <w:r>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131CD02F" w14:textId="3007E5D0" w:rsidR="00A1174B" w:rsidRPr="00255D4E" w:rsidRDefault="00FC2B57" w:rsidP="004F2ABC">
            <w:pPr>
              <w:spacing w:line="276" w:lineRule="auto"/>
              <w:jc w:val="center"/>
              <w:rPr>
                <w:sz w:val="20"/>
                <w:szCs w:val="20"/>
              </w:rPr>
            </w:pPr>
            <w:r>
              <w:rPr>
                <w:sz w:val="20"/>
                <w:szCs w:val="20"/>
              </w:rPr>
              <w:t>75%</w:t>
            </w:r>
          </w:p>
        </w:tc>
        <w:tc>
          <w:tcPr>
            <w:tcW w:w="1173" w:type="dxa"/>
            <w:tcBorders>
              <w:top w:val="single" w:sz="4" w:space="0" w:color="auto"/>
              <w:left w:val="single" w:sz="4" w:space="0" w:color="auto"/>
              <w:bottom w:val="single" w:sz="4" w:space="0" w:color="auto"/>
              <w:right w:val="single" w:sz="4" w:space="0" w:color="auto"/>
            </w:tcBorders>
            <w:vAlign w:val="center"/>
          </w:tcPr>
          <w:p w14:paraId="536B572A" w14:textId="36E7FC4C" w:rsidR="00A1174B" w:rsidRPr="00C949B4" w:rsidRDefault="004F6EA1" w:rsidP="004F2ABC">
            <w:pPr>
              <w:spacing w:line="276" w:lineRule="auto"/>
              <w:jc w:val="center"/>
              <w:rPr>
                <w:sz w:val="20"/>
                <w:szCs w:val="20"/>
                <w:highlight w:val="yellow"/>
              </w:rPr>
            </w:pPr>
            <w:r w:rsidRPr="004F6EA1">
              <w:rPr>
                <w:sz w:val="20"/>
                <w:szCs w:val="20"/>
              </w:rPr>
              <w:t>98%</w:t>
            </w:r>
          </w:p>
        </w:tc>
        <w:tc>
          <w:tcPr>
            <w:tcW w:w="3254" w:type="dxa"/>
            <w:tcBorders>
              <w:top w:val="single" w:sz="4" w:space="0" w:color="auto"/>
              <w:left w:val="single" w:sz="4" w:space="0" w:color="auto"/>
              <w:bottom w:val="single" w:sz="4" w:space="0" w:color="auto"/>
              <w:right w:val="single" w:sz="4" w:space="0" w:color="auto"/>
            </w:tcBorders>
            <w:vAlign w:val="center"/>
          </w:tcPr>
          <w:p w14:paraId="082BE5FF" w14:textId="77777777" w:rsidR="00D55817" w:rsidRPr="00F90620" w:rsidRDefault="00D55817" w:rsidP="004F2ABC">
            <w:pPr>
              <w:spacing w:line="276" w:lineRule="auto"/>
              <w:jc w:val="center"/>
              <w:rPr>
                <w:b/>
                <w:bCs/>
                <w:sz w:val="20"/>
                <w:szCs w:val="20"/>
              </w:rPr>
            </w:pPr>
            <w:r w:rsidRPr="001D0DCD">
              <w:rPr>
                <w:b/>
                <w:bCs/>
                <w:sz w:val="20"/>
                <w:szCs w:val="20"/>
              </w:rPr>
              <w:t>Overall: A+</w:t>
            </w:r>
            <w:r>
              <w:rPr>
                <w:sz w:val="20"/>
                <w:szCs w:val="20"/>
              </w:rPr>
              <w:t xml:space="preserve"> </w:t>
            </w:r>
            <w:r w:rsidRPr="00F90620">
              <w:rPr>
                <w:b/>
                <w:bCs/>
                <w:sz w:val="20"/>
                <w:szCs w:val="20"/>
              </w:rPr>
              <w:t>- Outputs moderately exceeded expectations.</w:t>
            </w:r>
          </w:p>
          <w:p w14:paraId="57FBDA05" w14:textId="0BC9EE2C" w:rsidR="00A1174B" w:rsidRPr="1D997569" w:rsidRDefault="00D55817" w:rsidP="004F2ABC">
            <w:pPr>
              <w:spacing w:line="276" w:lineRule="auto"/>
              <w:jc w:val="center"/>
              <w:rPr>
                <w:sz w:val="20"/>
                <w:szCs w:val="20"/>
              </w:rPr>
            </w:pPr>
            <w:r>
              <w:rPr>
                <w:sz w:val="20"/>
                <w:szCs w:val="20"/>
              </w:rPr>
              <w:t>Based on applicant feedback surveys 98% of respondents reported that the OCEAN guidance is relevant and useful.</w:t>
            </w:r>
          </w:p>
        </w:tc>
      </w:tr>
      <w:tr w:rsidR="00C50203" w:rsidRPr="00E548EA" w14:paraId="2ABD3320" w14:textId="77777777" w:rsidTr="00957C5B">
        <w:trPr>
          <w:trHeight w:val="567"/>
        </w:trPr>
        <w:tc>
          <w:tcPr>
            <w:tcW w:w="561" w:type="dxa"/>
            <w:tcBorders>
              <w:left w:val="single" w:sz="4" w:space="0" w:color="auto"/>
              <w:bottom w:val="single" w:sz="4" w:space="0" w:color="auto"/>
              <w:right w:val="single" w:sz="4" w:space="0" w:color="auto"/>
            </w:tcBorders>
            <w:vAlign w:val="center"/>
          </w:tcPr>
          <w:p w14:paraId="306FC0E0" w14:textId="1DBFCCC5" w:rsidR="00C50203" w:rsidRPr="00255D4E" w:rsidRDefault="00A106F5" w:rsidP="004F2ABC">
            <w:pPr>
              <w:spacing w:line="276" w:lineRule="auto"/>
              <w:jc w:val="center"/>
              <w:rPr>
                <w:bCs/>
                <w:sz w:val="20"/>
                <w:szCs w:val="22"/>
              </w:rPr>
            </w:pPr>
            <w:r>
              <w:rPr>
                <w:bCs/>
                <w:sz w:val="20"/>
                <w:szCs w:val="22"/>
              </w:rPr>
              <w:t>2.3</w:t>
            </w:r>
          </w:p>
        </w:tc>
        <w:tc>
          <w:tcPr>
            <w:tcW w:w="2973" w:type="dxa"/>
            <w:tcBorders>
              <w:top w:val="single" w:sz="4" w:space="0" w:color="auto"/>
              <w:left w:val="single" w:sz="4" w:space="0" w:color="auto"/>
              <w:bottom w:val="single" w:sz="4" w:space="0" w:color="auto"/>
              <w:right w:val="single" w:sz="4" w:space="0" w:color="auto"/>
            </w:tcBorders>
            <w:vAlign w:val="center"/>
          </w:tcPr>
          <w:p w14:paraId="4A471316" w14:textId="57BDA56B" w:rsidR="00C50203" w:rsidRPr="00A106F5" w:rsidRDefault="00A106F5" w:rsidP="004F2ABC">
            <w:pPr>
              <w:spacing w:line="276" w:lineRule="auto"/>
              <w:jc w:val="center"/>
              <w:rPr>
                <w:bCs/>
                <w:sz w:val="20"/>
                <w:szCs w:val="22"/>
              </w:rPr>
            </w:pPr>
            <w:r w:rsidRPr="00A106F5">
              <w:rPr>
                <w:bCs/>
                <w:sz w:val="20"/>
                <w:szCs w:val="22"/>
              </w:rPr>
              <w:t>Proportion of OCEAN projects that provide guidance, training and/or support services to communities</w:t>
            </w:r>
          </w:p>
        </w:tc>
        <w:tc>
          <w:tcPr>
            <w:tcW w:w="1134" w:type="dxa"/>
            <w:tcBorders>
              <w:top w:val="single" w:sz="4" w:space="0" w:color="auto"/>
              <w:left w:val="single" w:sz="4" w:space="0" w:color="auto"/>
              <w:bottom w:val="single" w:sz="4" w:space="0" w:color="auto"/>
              <w:right w:val="single" w:sz="4" w:space="0" w:color="auto"/>
            </w:tcBorders>
            <w:vAlign w:val="center"/>
          </w:tcPr>
          <w:p w14:paraId="23B4184C" w14:textId="62FA95D4" w:rsidR="00C50203" w:rsidRPr="00255D4E" w:rsidRDefault="00A106F5" w:rsidP="004F2ABC">
            <w:pPr>
              <w:spacing w:line="276" w:lineRule="auto"/>
              <w:jc w:val="center"/>
              <w:rPr>
                <w:sz w:val="20"/>
                <w:szCs w:val="20"/>
              </w:rPr>
            </w:pPr>
            <w:r>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4F14E543" w14:textId="169A8C79" w:rsidR="00C50203" w:rsidRPr="00255D4E" w:rsidRDefault="00FC2B57" w:rsidP="004F2ABC">
            <w:pPr>
              <w:spacing w:line="276" w:lineRule="auto"/>
              <w:jc w:val="center"/>
              <w:rPr>
                <w:sz w:val="20"/>
                <w:szCs w:val="20"/>
              </w:rPr>
            </w:pPr>
            <w:r>
              <w:rPr>
                <w:sz w:val="20"/>
                <w:szCs w:val="20"/>
              </w:rPr>
              <w:t>N/A</w:t>
            </w:r>
          </w:p>
        </w:tc>
        <w:tc>
          <w:tcPr>
            <w:tcW w:w="1173" w:type="dxa"/>
            <w:tcBorders>
              <w:top w:val="single" w:sz="4" w:space="0" w:color="auto"/>
              <w:left w:val="single" w:sz="4" w:space="0" w:color="auto"/>
              <w:bottom w:val="single" w:sz="4" w:space="0" w:color="auto"/>
              <w:right w:val="single" w:sz="4" w:space="0" w:color="auto"/>
            </w:tcBorders>
            <w:vAlign w:val="center"/>
          </w:tcPr>
          <w:p w14:paraId="6FAC2A62" w14:textId="00B72064" w:rsidR="00C50203" w:rsidRPr="00C949B4" w:rsidRDefault="004F6EA1" w:rsidP="004F2ABC">
            <w:pPr>
              <w:spacing w:line="276" w:lineRule="auto"/>
              <w:jc w:val="center"/>
              <w:rPr>
                <w:sz w:val="20"/>
                <w:szCs w:val="20"/>
                <w:highlight w:val="yellow"/>
              </w:rPr>
            </w:pPr>
            <w:r w:rsidRPr="004F6EA1">
              <w:rPr>
                <w:sz w:val="20"/>
                <w:szCs w:val="20"/>
              </w:rPr>
              <w:t>N/A</w:t>
            </w:r>
          </w:p>
        </w:tc>
        <w:tc>
          <w:tcPr>
            <w:tcW w:w="3254" w:type="dxa"/>
            <w:tcBorders>
              <w:top w:val="single" w:sz="4" w:space="0" w:color="auto"/>
              <w:left w:val="single" w:sz="4" w:space="0" w:color="auto"/>
              <w:bottom w:val="single" w:sz="4" w:space="0" w:color="auto"/>
              <w:right w:val="single" w:sz="4" w:space="0" w:color="auto"/>
            </w:tcBorders>
            <w:vAlign w:val="center"/>
          </w:tcPr>
          <w:p w14:paraId="3AE2D2C9" w14:textId="34E1CD1C" w:rsidR="00C50203" w:rsidRPr="1D997569" w:rsidRDefault="00397700" w:rsidP="004F2ABC">
            <w:pPr>
              <w:spacing w:line="276" w:lineRule="auto"/>
              <w:jc w:val="center"/>
              <w:rPr>
                <w:sz w:val="20"/>
                <w:szCs w:val="20"/>
              </w:rPr>
            </w:pPr>
            <w:r>
              <w:rPr>
                <w:sz w:val="20"/>
                <w:szCs w:val="20"/>
              </w:rPr>
              <w:t>No</w:t>
            </w:r>
            <w:r w:rsidR="009679EF">
              <w:rPr>
                <w:sz w:val="20"/>
                <w:szCs w:val="20"/>
              </w:rPr>
              <w:t xml:space="preserve"> data </w:t>
            </w:r>
            <w:r>
              <w:rPr>
                <w:sz w:val="20"/>
                <w:szCs w:val="20"/>
              </w:rPr>
              <w:t>until project</w:t>
            </w:r>
            <w:r w:rsidR="009679EF">
              <w:rPr>
                <w:sz w:val="20"/>
                <w:szCs w:val="20"/>
              </w:rPr>
              <w:t xml:space="preserve"> </w:t>
            </w:r>
            <w:r>
              <w:rPr>
                <w:sz w:val="20"/>
                <w:szCs w:val="20"/>
              </w:rPr>
              <w:t xml:space="preserve">commencement </w:t>
            </w:r>
            <w:r w:rsidR="009679EF">
              <w:rPr>
                <w:sz w:val="20"/>
                <w:szCs w:val="20"/>
              </w:rPr>
              <w:t>(</w:t>
            </w:r>
            <w:r w:rsidR="00FA55C3">
              <w:rPr>
                <w:sz w:val="20"/>
                <w:szCs w:val="20"/>
              </w:rPr>
              <w:t>November</w:t>
            </w:r>
            <w:r>
              <w:rPr>
                <w:sz w:val="20"/>
                <w:szCs w:val="20"/>
              </w:rPr>
              <w:t xml:space="preserve"> 2024</w:t>
            </w:r>
            <w:r w:rsidR="009679EF">
              <w:rPr>
                <w:sz w:val="20"/>
                <w:szCs w:val="20"/>
              </w:rPr>
              <w:t xml:space="preserve"> onwards).</w:t>
            </w:r>
          </w:p>
        </w:tc>
      </w:tr>
    </w:tbl>
    <w:p w14:paraId="134395BA" w14:textId="77777777" w:rsidR="00957C5B" w:rsidRDefault="00957C5B" w:rsidP="009021AD">
      <w:pPr>
        <w:spacing w:line="276" w:lineRule="auto"/>
        <w:jc w:val="both"/>
        <w:rPr>
          <w:rFonts w:cs="Arial"/>
          <w:sz w:val="22"/>
          <w:szCs w:val="22"/>
        </w:rPr>
      </w:pPr>
    </w:p>
    <w:p w14:paraId="2EA3828D" w14:textId="77777777" w:rsidR="00957C5B" w:rsidRDefault="00957C5B" w:rsidP="009021AD">
      <w:pPr>
        <w:spacing w:line="276" w:lineRule="auto"/>
        <w:jc w:val="both"/>
        <w:rPr>
          <w:rFonts w:cs="Arial"/>
          <w:sz w:val="22"/>
          <w:szCs w:val="22"/>
        </w:rPr>
      </w:pPr>
    </w:p>
    <w:p w14:paraId="51ABDF06" w14:textId="77777777" w:rsidR="00957C5B" w:rsidRDefault="00957C5B" w:rsidP="009021AD">
      <w:pPr>
        <w:spacing w:line="276" w:lineRule="auto"/>
        <w:jc w:val="both"/>
        <w:rPr>
          <w:rFonts w:cs="Arial"/>
          <w:sz w:val="22"/>
          <w:szCs w:val="22"/>
        </w:rPr>
      </w:pPr>
    </w:p>
    <w:p w14:paraId="5E21687D" w14:textId="77777777" w:rsidR="00957C5B" w:rsidRDefault="00957C5B" w:rsidP="009021AD">
      <w:pPr>
        <w:spacing w:line="276" w:lineRule="auto"/>
        <w:jc w:val="both"/>
        <w:rPr>
          <w:rFonts w:cs="Arial"/>
          <w:sz w:val="22"/>
          <w:szCs w:val="22"/>
        </w:rPr>
      </w:pPr>
    </w:p>
    <w:p w14:paraId="18ED7E29" w14:textId="77777777" w:rsidR="003F3165" w:rsidRDefault="003F3165" w:rsidP="009021AD">
      <w:pPr>
        <w:spacing w:line="276" w:lineRule="auto"/>
        <w:jc w:val="both"/>
        <w:rPr>
          <w:rFonts w:cs="Arial"/>
          <w:sz w:val="22"/>
          <w:szCs w:val="22"/>
        </w:rPr>
      </w:pPr>
    </w:p>
    <w:p w14:paraId="4F9EF2B2" w14:textId="77777777" w:rsidR="00957C5B" w:rsidRDefault="00957C5B" w:rsidP="009021AD">
      <w:pPr>
        <w:spacing w:line="276" w:lineRule="auto"/>
        <w:jc w:val="both"/>
        <w:rPr>
          <w:rFonts w:cs="Arial"/>
          <w:sz w:val="22"/>
          <w:szCs w:val="22"/>
        </w:rPr>
      </w:pPr>
    </w:p>
    <w:p w14:paraId="01C860A2" w14:textId="77777777" w:rsidR="009C2A1E" w:rsidRDefault="009C2A1E" w:rsidP="009021AD">
      <w:pPr>
        <w:spacing w:line="276" w:lineRule="auto"/>
        <w:jc w:val="both"/>
        <w:rPr>
          <w:rFonts w:cs="Arial"/>
          <w:sz w:val="22"/>
          <w:szCs w:val="22"/>
        </w:rPr>
      </w:pPr>
    </w:p>
    <w:tbl>
      <w:tblPr>
        <w:tblStyle w:val="TableGrid"/>
        <w:tblpPr w:leftFromText="180" w:rightFromText="180" w:vertAnchor="page" w:horzAnchor="margin" w:tblpXSpec="center" w:tblpY="1108"/>
        <w:tblW w:w="9975" w:type="dxa"/>
        <w:tblLook w:val="04A0" w:firstRow="1" w:lastRow="0" w:firstColumn="1" w:lastColumn="0" w:noHBand="0" w:noVBand="1"/>
      </w:tblPr>
      <w:tblGrid>
        <w:gridCol w:w="1821"/>
        <w:gridCol w:w="656"/>
        <w:gridCol w:w="999"/>
        <w:gridCol w:w="3500"/>
        <w:gridCol w:w="2999"/>
      </w:tblGrid>
      <w:tr w:rsidR="009C2A1E" w:rsidRPr="00091FD4" w14:paraId="7B5F4651" w14:textId="77777777" w:rsidTr="009C2A1E">
        <w:trPr>
          <w:trHeight w:val="553"/>
        </w:trPr>
        <w:tc>
          <w:tcPr>
            <w:tcW w:w="182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D3665F" w14:textId="77777777" w:rsidR="009C2A1E" w:rsidRPr="00091FD4" w:rsidRDefault="009C2A1E" w:rsidP="009C2A1E">
            <w:pPr>
              <w:spacing w:line="276" w:lineRule="auto"/>
              <w:jc w:val="both"/>
              <w:rPr>
                <w:rFonts w:cs="Arial"/>
                <w:b/>
                <w:bCs/>
                <w:sz w:val="20"/>
                <w:szCs w:val="20"/>
                <w:lang w:eastAsia="en-US"/>
              </w:rPr>
            </w:pPr>
            <w:r w:rsidRPr="00091FD4">
              <w:rPr>
                <w:rFonts w:cs="Arial"/>
                <w:b/>
                <w:bCs/>
                <w:sz w:val="20"/>
                <w:szCs w:val="20"/>
                <w:lang w:eastAsia="en-US"/>
              </w:rPr>
              <w:lastRenderedPageBreak/>
              <w:t xml:space="preserve">Output Title </w:t>
            </w:r>
          </w:p>
        </w:tc>
        <w:tc>
          <w:tcPr>
            <w:tcW w:w="8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B0F86" w14:textId="77777777" w:rsidR="009C2A1E" w:rsidRPr="00091FD4" w:rsidRDefault="009C2A1E" w:rsidP="009C2A1E">
            <w:pPr>
              <w:spacing w:line="276" w:lineRule="auto"/>
              <w:rPr>
                <w:rFonts w:cs="Arial"/>
                <w:i/>
                <w:sz w:val="20"/>
                <w:szCs w:val="20"/>
                <w:lang w:eastAsia="en-US"/>
              </w:rPr>
            </w:pPr>
            <w:r w:rsidRPr="00425A98">
              <w:rPr>
                <w:rFonts w:cs="Arial"/>
                <w:sz w:val="20"/>
                <w:szCs w:val="20"/>
                <w:lang w:eastAsia="en-US"/>
              </w:rPr>
              <w:t>Networks, partnerships and learning processes are established, supporting knowledge and evidence exchange to address marine environment and poverty reduction challenges</w:t>
            </w:r>
          </w:p>
        </w:tc>
      </w:tr>
      <w:tr w:rsidR="009C2A1E" w:rsidRPr="00091FD4" w14:paraId="07F85A4D" w14:textId="77777777" w:rsidTr="009C2A1E">
        <w:trPr>
          <w:trHeight w:val="392"/>
        </w:trPr>
        <w:tc>
          <w:tcPr>
            <w:tcW w:w="24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198BF0" w14:textId="77777777" w:rsidR="009C2A1E" w:rsidRPr="00091FD4" w:rsidRDefault="009C2A1E" w:rsidP="009C2A1E">
            <w:pPr>
              <w:spacing w:line="276" w:lineRule="auto"/>
              <w:jc w:val="both"/>
              <w:rPr>
                <w:rFonts w:cs="Arial"/>
                <w:sz w:val="20"/>
                <w:szCs w:val="20"/>
                <w:lang w:eastAsia="en-US"/>
              </w:rPr>
            </w:pPr>
            <w:r w:rsidRPr="00091FD4">
              <w:rPr>
                <w:rFonts w:cs="Arial"/>
                <w:sz w:val="20"/>
                <w:szCs w:val="20"/>
                <w:lang w:eastAsia="en-US"/>
              </w:rPr>
              <w:t xml:space="preserve">Output number: </w:t>
            </w:r>
          </w:p>
        </w:tc>
        <w:tc>
          <w:tcPr>
            <w:tcW w:w="999" w:type="dxa"/>
            <w:tcBorders>
              <w:top w:val="single" w:sz="4" w:space="0" w:color="auto"/>
              <w:left w:val="single" w:sz="4" w:space="0" w:color="auto"/>
              <w:bottom w:val="single" w:sz="4" w:space="0" w:color="auto"/>
              <w:right w:val="single" w:sz="4" w:space="0" w:color="auto"/>
            </w:tcBorders>
            <w:vAlign w:val="center"/>
          </w:tcPr>
          <w:p w14:paraId="1C1A2911" w14:textId="77777777" w:rsidR="009C2A1E" w:rsidRPr="00091FD4" w:rsidRDefault="009C2A1E" w:rsidP="009C2A1E">
            <w:pPr>
              <w:spacing w:line="276" w:lineRule="auto"/>
              <w:jc w:val="both"/>
              <w:rPr>
                <w:rFonts w:cs="Arial"/>
                <w:sz w:val="20"/>
                <w:szCs w:val="20"/>
                <w:lang w:eastAsia="en-US"/>
              </w:rPr>
            </w:pPr>
            <w:r>
              <w:rPr>
                <w:rFonts w:cs="Arial"/>
                <w:sz w:val="20"/>
                <w:szCs w:val="20"/>
                <w:lang w:eastAsia="en-US"/>
              </w:rPr>
              <w:t>3</w:t>
            </w:r>
          </w:p>
        </w:tc>
        <w:tc>
          <w:tcPr>
            <w:tcW w:w="35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A63177" w14:textId="77777777" w:rsidR="009C2A1E" w:rsidRPr="00091FD4" w:rsidRDefault="009C2A1E" w:rsidP="009C2A1E">
            <w:pPr>
              <w:spacing w:line="276" w:lineRule="auto"/>
              <w:jc w:val="both"/>
              <w:rPr>
                <w:rFonts w:cs="Arial"/>
                <w:sz w:val="20"/>
                <w:szCs w:val="20"/>
                <w:lang w:eastAsia="en-US"/>
              </w:rPr>
            </w:pPr>
            <w:r w:rsidRPr="00091FD4">
              <w:rPr>
                <w:rFonts w:cs="Arial"/>
                <w:sz w:val="20"/>
                <w:szCs w:val="20"/>
                <w:lang w:eastAsia="en-US"/>
              </w:rPr>
              <w:t xml:space="preserve">Output Score: </w:t>
            </w:r>
          </w:p>
        </w:tc>
        <w:tc>
          <w:tcPr>
            <w:tcW w:w="2999" w:type="dxa"/>
            <w:tcBorders>
              <w:top w:val="single" w:sz="4" w:space="0" w:color="auto"/>
              <w:left w:val="single" w:sz="4" w:space="0" w:color="auto"/>
              <w:bottom w:val="single" w:sz="4" w:space="0" w:color="auto"/>
              <w:right w:val="single" w:sz="4" w:space="0" w:color="auto"/>
            </w:tcBorders>
          </w:tcPr>
          <w:p w14:paraId="2CC4763A" w14:textId="77777777" w:rsidR="009C2A1E" w:rsidRPr="001C68C5" w:rsidRDefault="009C2A1E" w:rsidP="009C2A1E">
            <w:pPr>
              <w:spacing w:line="276" w:lineRule="auto"/>
              <w:jc w:val="both"/>
              <w:rPr>
                <w:rFonts w:cs="Arial"/>
                <w:b/>
                <w:bCs/>
                <w:sz w:val="20"/>
                <w:szCs w:val="20"/>
                <w:lang w:eastAsia="en-US"/>
              </w:rPr>
            </w:pPr>
            <w:r w:rsidRPr="001C68C5">
              <w:rPr>
                <w:rFonts w:cs="Arial"/>
                <w:b/>
                <w:bCs/>
                <w:sz w:val="20"/>
                <w:szCs w:val="20"/>
                <w:lang w:eastAsia="en-US"/>
              </w:rPr>
              <w:t>A</w:t>
            </w:r>
          </w:p>
        </w:tc>
      </w:tr>
      <w:tr w:rsidR="009C2A1E" w:rsidRPr="00091FD4" w14:paraId="7CD939F4" w14:textId="77777777" w:rsidTr="009C2A1E">
        <w:trPr>
          <w:trHeight w:val="390"/>
        </w:trPr>
        <w:tc>
          <w:tcPr>
            <w:tcW w:w="24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ACFD89" w14:textId="77777777" w:rsidR="009C2A1E" w:rsidRPr="00091FD4" w:rsidRDefault="009C2A1E" w:rsidP="009C2A1E">
            <w:pPr>
              <w:spacing w:line="276" w:lineRule="auto"/>
              <w:jc w:val="both"/>
              <w:rPr>
                <w:rFonts w:cs="Arial"/>
                <w:sz w:val="20"/>
                <w:szCs w:val="20"/>
                <w:lang w:eastAsia="en-US"/>
              </w:rPr>
            </w:pPr>
            <w:r w:rsidRPr="00091FD4">
              <w:rPr>
                <w:rFonts w:cs="Arial"/>
                <w:sz w:val="20"/>
                <w:szCs w:val="20"/>
                <w:lang w:eastAsia="en-US"/>
              </w:rPr>
              <w:t xml:space="preserve">Impact weighting (%):  </w:t>
            </w:r>
          </w:p>
        </w:tc>
        <w:tc>
          <w:tcPr>
            <w:tcW w:w="999" w:type="dxa"/>
            <w:tcBorders>
              <w:top w:val="single" w:sz="4" w:space="0" w:color="auto"/>
              <w:left w:val="single" w:sz="4" w:space="0" w:color="auto"/>
              <w:bottom w:val="single" w:sz="4" w:space="0" w:color="auto"/>
              <w:right w:val="single" w:sz="4" w:space="0" w:color="auto"/>
            </w:tcBorders>
            <w:vAlign w:val="center"/>
            <w:hideMark/>
          </w:tcPr>
          <w:p w14:paraId="50874823" w14:textId="77777777" w:rsidR="009C2A1E" w:rsidRPr="00091FD4" w:rsidRDefault="009C2A1E" w:rsidP="009C2A1E">
            <w:pPr>
              <w:spacing w:line="276" w:lineRule="auto"/>
              <w:jc w:val="both"/>
              <w:rPr>
                <w:rFonts w:cs="Arial"/>
                <w:sz w:val="20"/>
                <w:szCs w:val="20"/>
                <w:lang w:eastAsia="en-US"/>
              </w:rPr>
            </w:pPr>
            <w:r w:rsidRPr="00091FD4">
              <w:rPr>
                <w:rFonts w:cs="Arial"/>
                <w:sz w:val="20"/>
                <w:szCs w:val="20"/>
                <w:lang w:eastAsia="en-US"/>
              </w:rPr>
              <w:t>40</w:t>
            </w:r>
          </w:p>
        </w:tc>
        <w:tc>
          <w:tcPr>
            <w:tcW w:w="35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E7389C" w14:textId="77777777" w:rsidR="009C2A1E" w:rsidRPr="00091FD4" w:rsidRDefault="009C2A1E" w:rsidP="009C2A1E">
            <w:pPr>
              <w:spacing w:line="276" w:lineRule="auto"/>
              <w:jc w:val="both"/>
              <w:rPr>
                <w:rFonts w:cs="Arial"/>
                <w:sz w:val="20"/>
                <w:szCs w:val="20"/>
                <w:lang w:eastAsia="en-US"/>
              </w:rPr>
            </w:pPr>
            <w:r w:rsidRPr="00091FD4">
              <w:rPr>
                <w:rFonts w:cs="Arial"/>
                <w:sz w:val="20"/>
                <w:szCs w:val="20"/>
                <w:lang w:eastAsia="en-US"/>
              </w:rPr>
              <w:t xml:space="preserve">Weighting revised since last </w:t>
            </w:r>
            <w:proofErr w:type="gramStart"/>
            <w:r w:rsidRPr="00091FD4">
              <w:rPr>
                <w:rFonts w:cs="Arial"/>
                <w:sz w:val="20"/>
                <w:szCs w:val="20"/>
                <w:lang w:eastAsia="en-US"/>
              </w:rPr>
              <w:t>AR?</w:t>
            </w:r>
            <w:proofErr w:type="gramEnd"/>
            <w:r w:rsidRPr="00091FD4">
              <w:rPr>
                <w:rFonts w:cs="Arial"/>
                <w:sz w:val="20"/>
                <w:szCs w:val="20"/>
                <w:lang w:eastAsia="en-US"/>
              </w:rPr>
              <w:t xml:space="preserve"> </w:t>
            </w:r>
          </w:p>
        </w:tc>
        <w:tc>
          <w:tcPr>
            <w:tcW w:w="2999" w:type="dxa"/>
            <w:tcBorders>
              <w:top w:val="single" w:sz="4" w:space="0" w:color="auto"/>
              <w:left w:val="single" w:sz="4" w:space="0" w:color="auto"/>
              <w:bottom w:val="single" w:sz="4" w:space="0" w:color="auto"/>
              <w:right w:val="single" w:sz="4" w:space="0" w:color="auto"/>
            </w:tcBorders>
          </w:tcPr>
          <w:p w14:paraId="7173A6F7" w14:textId="77777777" w:rsidR="009C2A1E" w:rsidRPr="00091FD4" w:rsidRDefault="009C2A1E" w:rsidP="009C2A1E">
            <w:pPr>
              <w:spacing w:line="276" w:lineRule="auto"/>
              <w:jc w:val="both"/>
              <w:rPr>
                <w:rFonts w:cs="Arial"/>
                <w:sz w:val="20"/>
                <w:szCs w:val="20"/>
                <w:lang w:eastAsia="en-US"/>
              </w:rPr>
            </w:pPr>
            <w:r>
              <w:rPr>
                <w:rFonts w:cs="Arial"/>
                <w:sz w:val="20"/>
                <w:szCs w:val="20"/>
                <w:lang w:eastAsia="en-US"/>
              </w:rPr>
              <w:t>N/A</w:t>
            </w:r>
          </w:p>
        </w:tc>
      </w:tr>
    </w:tbl>
    <w:p w14:paraId="419DEEBD" w14:textId="77777777" w:rsidR="009C2A1E" w:rsidRDefault="009C2A1E" w:rsidP="009021AD">
      <w:pPr>
        <w:spacing w:line="276" w:lineRule="auto"/>
        <w:jc w:val="both"/>
        <w:rPr>
          <w:rFonts w:cs="Arial"/>
          <w:sz w:val="22"/>
          <w:szCs w:val="22"/>
        </w:rPr>
      </w:pPr>
    </w:p>
    <w:tbl>
      <w:tblPr>
        <w:tblStyle w:val="TableGrid"/>
        <w:tblpPr w:leftFromText="180" w:rightFromText="180" w:vertAnchor="text" w:horzAnchor="margin" w:tblpXSpec="center" w:tblpY="127"/>
        <w:tblOverlap w:val="never"/>
        <w:tblW w:w="10201" w:type="dxa"/>
        <w:tblLook w:val="04A0" w:firstRow="1" w:lastRow="0" w:firstColumn="1" w:lastColumn="0" w:noHBand="0" w:noVBand="1"/>
      </w:tblPr>
      <w:tblGrid>
        <w:gridCol w:w="558"/>
        <w:gridCol w:w="3074"/>
        <w:gridCol w:w="1039"/>
        <w:gridCol w:w="1246"/>
        <w:gridCol w:w="1222"/>
        <w:gridCol w:w="3062"/>
      </w:tblGrid>
      <w:tr w:rsidR="009679EF" w:rsidRPr="00091FD4" w14:paraId="13298F3B" w14:textId="77777777" w:rsidTr="009679EF">
        <w:trPr>
          <w:trHeight w:val="273"/>
        </w:trPr>
        <w:tc>
          <w:tcPr>
            <w:tcW w:w="5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074613" w14:textId="77777777" w:rsidR="009679EF" w:rsidRPr="00091FD4" w:rsidRDefault="009679EF" w:rsidP="004F2ABC">
            <w:pPr>
              <w:spacing w:line="276" w:lineRule="auto"/>
              <w:jc w:val="center"/>
              <w:rPr>
                <w:rFonts w:cs="Arial"/>
                <w:b/>
                <w:bCs/>
                <w:sz w:val="20"/>
                <w:szCs w:val="20"/>
                <w:lang w:eastAsia="en-US"/>
              </w:rPr>
            </w:pPr>
          </w:p>
        </w:tc>
        <w:tc>
          <w:tcPr>
            <w:tcW w:w="307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18314E" w14:textId="77777777" w:rsidR="009679EF" w:rsidRPr="00091FD4" w:rsidRDefault="009679EF" w:rsidP="004F2ABC">
            <w:pPr>
              <w:spacing w:line="276" w:lineRule="auto"/>
              <w:jc w:val="center"/>
              <w:rPr>
                <w:rFonts w:cs="Arial"/>
                <w:b/>
                <w:bCs/>
                <w:sz w:val="20"/>
                <w:szCs w:val="20"/>
                <w:lang w:eastAsia="en-US"/>
              </w:rPr>
            </w:pPr>
            <w:r w:rsidRPr="00091FD4">
              <w:rPr>
                <w:rFonts w:cs="Arial"/>
                <w:b/>
                <w:bCs/>
                <w:sz w:val="20"/>
                <w:szCs w:val="20"/>
                <w:lang w:eastAsia="en-US"/>
              </w:rPr>
              <w:t>Indicator</w:t>
            </w: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282E1E" w14:textId="77777777" w:rsidR="009679EF" w:rsidRPr="00091FD4" w:rsidRDefault="009679EF" w:rsidP="004F2ABC">
            <w:pPr>
              <w:spacing w:line="276" w:lineRule="auto"/>
              <w:jc w:val="center"/>
              <w:rPr>
                <w:rFonts w:cs="Arial"/>
                <w:b/>
                <w:bCs/>
                <w:sz w:val="20"/>
                <w:szCs w:val="20"/>
                <w:lang w:eastAsia="en-US"/>
              </w:rPr>
            </w:pPr>
            <w:r w:rsidRPr="00091FD4">
              <w:rPr>
                <w:rFonts w:cs="Arial"/>
                <w:b/>
                <w:bCs/>
                <w:sz w:val="20"/>
                <w:szCs w:val="20"/>
                <w:lang w:eastAsia="en-US"/>
              </w:rPr>
              <w:t>Baseline</w:t>
            </w:r>
          </w:p>
        </w:tc>
        <w:tc>
          <w:tcPr>
            <w:tcW w:w="12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DF1E4" w14:textId="77777777" w:rsidR="009679EF" w:rsidRPr="00091FD4" w:rsidRDefault="009679EF" w:rsidP="004F2ABC">
            <w:pPr>
              <w:spacing w:line="276" w:lineRule="auto"/>
              <w:jc w:val="center"/>
              <w:rPr>
                <w:rFonts w:cs="Arial"/>
                <w:b/>
                <w:bCs/>
                <w:sz w:val="20"/>
                <w:szCs w:val="20"/>
                <w:lang w:eastAsia="en-US"/>
              </w:rPr>
            </w:pPr>
            <w:r w:rsidRPr="00091FD4">
              <w:rPr>
                <w:rFonts w:cs="Arial"/>
                <w:b/>
                <w:bCs/>
                <w:sz w:val="20"/>
                <w:szCs w:val="20"/>
                <w:lang w:eastAsia="en-US"/>
              </w:rPr>
              <w:t>Target</w:t>
            </w:r>
          </w:p>
        </w:tc>
        <w:tc>
          <w:tcPr>
            <w:tcW w:w="12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B58C20" w14:textId="77777777" w:rsidR="009679EF" w:rsidRPr="00091FD4" w:rsidRDefault="009679EF" w:rsidP="004F2ABC">
            <w:pPr>
              <w:spacing w:line="276" w:lineRule="auto"/>
              <w:jc w:val="center"/>
              <w:rPr>
                <w:rFonts w:cs="Arial"/>
                <w:b/>
                <w:bCs/>
                <w:sz w:val="20"/>
                <w:szCs w:val="20"/>
                <w:lang w:eastAsia="en-US"/>
              </w:rPr>
            </w:pPr>
            <w:r w:rsidRPr="00091FD4">
              <w:rPr>
                <w:rFonts w:cs="Arial"/>
                <w:b/>
                <w:bCs/>
                <w:sz w:val="20"/>
                <w:szCs w:val="20"/>
                <w:lang w:eastAsia="en-US"/>
              </w:rPr>
              <w:t>Achieved</w:t>
            </w:r>
          </w:p>
        </w:tc>
        <w:tc>
          <w:tcPr>
            <w:tcW w:w="30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CD685C" w14:textId="77777777" w:rsidR="009679EF" w:rsidRPr="00091FD4" w:rsidRDefault="009679EF" w:rsidP="004F2ABC">
            <w:pPr>
              <w:spacing w:line="276" w:lineRule="auto"/>
              <w:jc w:val="center"/>
              <w:rPr>
                <w:rFonts w:cs="Arial"/>
                <w:b/>
                <w:bCs/>
                <w:sz w:val="20"/>
                <w:szCs w:val="20"/>
                <w:lang w:eastAsia="en-US"/>
              </w:rPr>
            </w:pPr>
            <w:r w:rsidRPr="00091FD4">
              <w:rPr>
                <w:rFonts w:cs="Arial"/>
                <w:b/>
                <w:bCs/>
                <w:sz w:val="20"/>
                <w:szCs w:val="20"/>
                <w:lang w:eastAsia="en-US"/>
              </w:rPr>
              <w:t>On track?</w:t>
            </w:r>
          </w:p>
        </w:tc>
      </w:tr>
      <w:tr w:rsidR="009679EF" w:rsidRPr="00091FD4" w14:paraId="4968A225" w14:textId="77777777" w:rsidTr="009679EF">
        <w:trPr>
          <w:trHeight w:val="567"/>
        </w:trPr>
        <w:tc>
          <w:tcPr>
            <w:tcW w:w="558" w:type="dxa"/>
            <w:tcBorders>
              <w:top w:val="single" w:sz="4" w:space="0" w:color="auto"/>
              <w:left w:val="single" w:sz="4" w:space="0" w:color="auto"/>
              <w:right w:val="single" w:sz="4" w:space="0" w:color="auto"/>
            </w:tcBorders>
            <w:vAlign w:val="center"/>
          </w:tcPr>
          <w:p w14:paraId="3C687D03" w14:textId="77777777" w:rsidR="009679EF" w:rsidRPr="00091FD4" w:rsidRDefault="009679EF" w:rsidP="004F2ABC">
            <w:pPr>
              <w:spacing w:line="276" w:lineRule="auto"/>
              <w:jc w:val="center"/>
              <w:rPr>
                <w:rFonts w:cs="Arial"/>
                <w:sz w:val="20"/>
                <w:szCs w:val="20"/>
                <w:lang w:eastAsia="en-US"/>
              </w:rPr>
            </w:pPr>
            <w:r>
              <w:rPr>
                <w:rFonts w:cs="Arial"/>
                <w:sz w:val="20"/>
                <w:szCs w:val="20"/>
                <w:lang w:eastAsia="en-US"/>
              </w:rPr>
              <w:t>3</w:t>
            </w:r>
            <w:r w:rsidRPr="00091FD4">
              <w:rPr>
                <w:rFonts w:cs="Arial"/>
                <w:sz w:val="20"/>
                <w:szCs w:val="20"/>
                <w:lang w:eastAsia="en-US"/>
              </w:rPr>
              <w:t>.1</w:t>
            </w:r>
          </w:p>
        </w:tc>
        <w:tc>
          <w:tcPr>
            <w:tcW w:w="3074" w:type="dxa"/>
            <w:tcBorders>
              <w:top w:val="single" w:sz="4" w:space="0" w:color="auto"/>
              <w:left w:val="single" w:sz="4" w:space="0" w:color="auto"/>
              <w:bottom w:val="single" w:sz="4" w:space="0" w:color="auto"/>
              <w:right w:val="single" w:sz="4" w:space="0" w:color="auto"/>
            </w:tcBorders>
            <w:vAlign w:val="center"/>
          </w:tcPr>
          <w:p w14:paraId="0F90A6DF" w14:textId="7D6FADFF" w:rsidR="009679EF" w:rsidRPr="00091FD4" w:rsidRDefault="009E3C9A" w:rsidP="004F2ABC">
            <w:pPr>
              <w:spacing w:line="276" w:lineRule="auto"/>
              <w:jc w:val="center"/>
              <w:rPr>
                <w:rFonts w:cs="Arial"/>
                <w:bCs/>
                <w:sz w:val="20"/>
                <w:szCs w:val="20"/>
                <w:lang w:eastAsia="en-US"/>
              </w:rPr>
            </w:pPr>
            <w:r>
              <w:rPr>
                <w:rFonts w:cs="Arial"/>
                <w:color w:val="000000"/>
                <w:sz w:val="22"/>
                <w:szCs w:val="22"/>
                <w:shd w:val="clear" w:color="auto" w:fill="FFFFFF"/>
              </w:rPr>
              <w:t>Applicants and grantees use and engage on the OCEAN Learning and Networking Platform to get peer support, and to find and share opportunities for support and training external to OCEAN</w:t>
            </w:r>
          </w:p>
        </w:tc>
        <w:tc>
          <w:tcPr>
            <w:tcW w:w="1039" w:type="dxa"/>
            <w:tcBorders>
              <w:top w:val="single" w:sz="4" w:space="0" w:color="auto"/>
              <w:left w:val="single" w:sz="4" w:space="0" w:color="auto"/>
              <w:bottom w:val="single" w:sz="4" w:space="0" w:color="auto"/>
              <w:right w:val="single" w:sz="4" w:space="0" w:color="auto"/>
            </w:tcBorders>
            <w:vAlign w:val="center"/>
          </w:tcPr>
          <w:p w14:paraId="3B5E7721" w14:textId="77777777" w:rsidR="009679EF" w:rsidRPr="00091FD4" w:rsidRDefault="009679EF" w:rsidP="004F2ABC">
            <w:pPr>
              <w:spacing w:line="276" w:lineRule="auto"/>
              <w:jc w:val="center"/>
              <w:rPr>
                <w:rFonts w:cs="Arial"/>
                <w:sz w:val="20"/>
                <w:szCs w:val="20"/>
                <w:lang w:eastAsia="en-US"/>
              </w:rPr>
            </w:pPr>
            <w:r w:rsidRPr="00091FD4">
              <w:rPr>
                <w:rFonts w:cs="Arial"/>
                <w:sz w:val="20"/>
                <w:szCs w:val="20"/>
                <w:lang w:eastAsia="en-US"/>
              </w:rPr>
              <w:t>0</w:t>
            </w:r>
          </w:p>
        </w:tc>
        <w:tc>
          <w:tcPr>
            <w:tcW w:w="1246" w:type="dxa"/>
            <w:tcBorders>
              <w:top w:val="single" w:sz="4" w:space="0" w:color="auto"/>
              <w:left w:val="single" w:sz="4" w:space="0" w:color="auto"/>
              <w:bottom w:val="single" w:sz="4" w:space="0" w:color="auto"/>
              <w:right w:val="single" w:sz="4" w:space="0" w:color="auto"/>
            </w:tcBorders>
            <w:vAlign w:val="center"/>
          </w:tcPr>
          <w:p w14:paraId="320CF6B8" w14:textId="77777777" w:rsidR="009679EF" w:rsidRPr="00091FD4" w:rsidRDefault="009679EF" w:rsidP="004F2ABC">
            <w:pPr>
              <w:spacing w:line="276" w:lineRule="auto"/>
              <w:jc w:val="center"/>
              <w:rPr>
                <w:rFonts w:cs="Arial"/>
                <w:sz w:val="20"/>
                <w:szCs w:val="20"/>
                <w:lang w:eastAsia="en-US"/>
              </w:rPr>
            </w:pPr>
            <w:r>
              <w:rPr>
                <w:rFonts w:cs="Arial"/>
                <w:sz w:val="20"/>
                <w:szCs w:val="20"/>
                <w:lang w:eastAsia="en-US"/>
              </w:rPr>
              <w:t>55</w:t>
            </w:r>
          </w:p>
        </w:tc>
        <w:tc>
          <w:tcPr>
            <w:tcW w:w="1222" w:type="dxa"/>
            <w:tcBorders>
              <w:top w:val="single" w:sz="4" w:space="0" w:color="auto"/>
              <w:left w:val="single" w:sz="4" w:space="0" w:color="auto"/>
              <w:bottom w:val="single" w:sz="4" w:space="0" w:color="auto"/>
              <w:right w:val="single" w:sz="4" w:space="0" w:color="auto"/>
            </w:tcBorders>
            <w:vAlign w:val="center"/>
          </w:tcPr>
          <w:p w14:paraId="3661C07E" w14:textId="4DAD950C" w:rsidR="009679EF" w:rsidRPr="00091FD4" w:rsidRDefault="009679EF" w:rsidP="004F2ABC">
            <w:pPr>
              <w:spacing w:line="276" w:lineRule="auto"/>
              <w:jc w:val="center"/>
              <w:rPr>
                <w:rFonts w:cs="Arial"/>
                <w:sz w:val="20"/>
                <w:szCs w:val="20"/>
                <w:lang w:eastAsia="en-US"/>
              </w:rPr>
            </w:pPr>
            <w:r>
              <w:rPr>
                <w:rFonts w:cs="Arial"/>
                <w:sz w:val="20"/>
                <w:szCs w:val="20"/>
                <w:lang w:eastAsia="en-US"/>
              </w:rPr>
              <w:t>55</w:t>
            </w:r>
          </w:p>
        </w:tc>
        <w:tc>
          <w:tcPr>
            <w:tcW w:w="3062" w:type="dxa"/>
            <w:tcBorders>
              <w:top w:val="single" w:sz="4" w:space="0" w:color="auto"/>
              <w:left w:val="single" w:sz="4" w:space="0" w:color="auto"/>
              <w:bottom w:val="single" w:sz="4" w:space="0" w:color="auto"/>
              <w:right w:val="single" w:sz="4" w:space="0" w:color="auto"/>
            </w:tcBorders>
            <w:vAlign w:val="center"/>
          </w:tcPr>
          <w:p w14:paraId="3E108303" w14:textId="77777777" w:rsidR="00435DA0" w:rsidRPr="00F90620" w:rsidRDefault="00435DA0" w:rsidP="004F2ABC">
            <w:pPr>
              <w:spacing w:line="276" w:lineRule="auto"/>
              <w:jc w:val="center"/>
              <w:rPr>
                <w:b/>
                <w:bCs/>
                <w:sz w:val="20"/>
                <w:szCs w:val="20"/>
              </w:rPr>
            </w:pPr>
            <w:r w:rsidRPr="00F90620">
              <w:rPr>
                <w:b/>
                <w:bCs/>
                <w:sz w:val="20"/>
                <w:szCs w:val="20"/>
              </w:rPr>
              <w:t>Overall: A – Met</w:t>
            </w:r>
          </w:p>
          <w:p w14:paraId="5F227ED5" w14:textId="7A6B6353" w:rsidR="009679EF" w:rsidRPr="00091FD4" w:rsidRDefault="00435DA0" w:rsidP="004F2ABC">
            <w:pPr>
              <w:spacing w:line="276" w:lineRule="auto"/>
              <w:jc w:val="center"/>
              <w:rPr>
                <w:rFonts w:cs="Arial"/>
                <w:sz w:val="20"/>
                <w:szCs w:val="20"/>
                <w:lang w:eastAsia="en-US"/>
              </w:rPr>
            </w:pPr>
            <w:r>
              <w:rPr>
                <w:sz w:val="20"/>
                <w:szCs w:val="20"/>
              </w:rPr>
              <w:t xml:space="preserve">OCEAN has been endorsed by the UN Ocean Decade and the OCEAN Grants Community group has been established on the UN Ocean Decade </w:t>
            </w:r>
            <w:r w:rsidR="00B3464B">
              <w:rPr>
                <w:sz w:val="20"/>
                <w:szCs w:val="20"/>
              </w:rPr>
              <w:t xml:space="preserve">Network with 55 members to date. </w:t>
            </w:r>
            <w:r w:rsidR="00763E45">
              <w:rPr>
                <w:sz w:val="20"/>
                <w:szCs w:val="20"/>
              </w:rPr>
              <w:t xml:space="preserve">This network will </w:t>
            </w:r>
            <w:r w:rsidR="002A7A1D">
              <w:rPr>
                <w:sz w:val="20"/>
                <w:szCs w:val="20"/>
              </w:rPr>
              <w:t xml:space="preserve">continue to be built </w:t>
            </w:r>
            <w:r w:rsidR="004E41EE">
              <w:rPr>
                <w:sz w:val="20"/>
                <w:szCs w:val="20"/>
              </w:rPr>
              <w:t xml:space="preserve">with a focus on </w:t>
            </w:r>
            <w:r w:rsidR="002A7A1D">
              <w:rPr>
                <w:sz w:val="20"/>
                <w:szCs w:val="20"/>
              </w:rPr>
              <w:t>creat</w:t>
            </w:r>
            <w:r w:rsidR="004E41EE">
              <w:rPr>
                <w:sz w:val="20"/>
                <w:szCs w:val="20"/>
              </w:rPr>
              <w:t>ing</w:t>
            </w:r>
            <w:r w:rsidR="002A7A1D">
              <w:rPr>
                <w:sz w:val="20"/>
                <w:szCs w:val="20"/>
              </w:rPr>
              <w:t xml:space="preserve"> </w:t>
            </w:r>
            <w:r w:rsidR="00150364">
              <w:rPr>
                <w:sz w:val="20"/>
                <w:szCs w:val="20"/>
              </w:rPr>
              <w:t>a</w:t>
            </w:r>
            <w:r w:rsidR="002A7A1D">
              <w:rPr>
                <w:sz w:val="20"/>
                <w:szCs w:val="20"/>
              </w:rPr>
              <w:t xml:space="preserve"> community with dedicated</w:t>
            </w:r>
            <w:r w:rsidR="00115893">
              <w:rPr>
                <w:sz w:val="20"/>
                <w:szCs w:val="20"/>
              </w:rPr>
              <w:t xml:space="preserve"> learning sessions for OCEAN grantees</w:t>
            </w:r>
            <w:r w:rsidR="004E41EE">
              <w:rPr>
                <w:sz w:val="20"/>
                <w:szCs w:val="20"/>
              </w:rPr>
              <w:t>.</w:t>
            </w:r>
          </w:p>
        </w:tc>
      </w:tr>
      <w:tr w:rsidR="009679EF" w:rsidRPr="00091FD4" w14:paraId="2908CF64" w14:textId="77777777" w:rsidTr="009679EF">
        <w:trPr>
          <w:trHeight w:val="567"/>
        </w:trPr>
        <w:tc>
          <w:tcPr>
            <w:tcW w:w="558" w:type="dxa"/>
            <w:tcBorders>
              <w:top w:val="single" w:sz="4" w:space="0" w:color="auto"/>
              <w:left w:val="single" w:sz="4" w:space="0" w:color="auto"/>
              <w:right w:val="single" w:sz="4" w:space="0" w:color="auto"/>
            </w:tcBorders>
            <w:vAlign w:val="center"/>
          </w:tcPr>
          <w:p w14:paraId="4E214D71" w14:textId="77777777" w:rsidR="009679EF" w:rsidRPr="00091FD4" w:rsidRDefault="009679EF" w:rsidP="004F2ABC">
            <w:pPr>
              <w:spacing w:line="276" w:lineRule="auto"/>
              <w:jc w:val="center"/>
              <w:rPr>
                <w:rFonts w:cs="Arial"/>
                <w:bCs/>
                <w:sz w:val="20"/>
                <w:szCs w:val="20"/>
                <w:lang w:eastAsia="en-US"/>
              </w:rPr>
            </w:pPr>
            <w:r>
              <w:rPr>
                <w:rFonts w:cs="Arial"/>
                <w:bCs/>
                <w:sz w:val="20"/>
                <w:szCs w:val="20"/>
                <w:lang w:eastAsia="en-US"/>
              </w:rPr>
              <w:t>3</w:t>
            </w:r>
            <w:r w:rsidRPr="00091FD4">
              <w:rPr>
                <w:rFonts w:cs="Arial"/>
                <w:bCs/>
                <w:sz w:val="20"/>
                <w:szCs w:val="20"/>
                <w:lang w:eastAsia="en-US"/>
              </w:rPr>
              <w:t>.2</w:t>
            </w:r>
          </w:p>
        </w:tc>
        <w:tc>
          <w:tcPr>
            <w:tcW w:w="3074" w:type="dxa"/>
            <w:tcBorders>
              <w:top w:val="single" w:sz="4" w:space="0" w:color="auto"/>
              <w:left w:val="single" w:sz="4" w:space="0" w:color="auto"/>
              <w:bottom w:val="single" w:sz="4" w:space="0" w:color="auto"/>
              <w:right w:val="single" w:sz="4" w:space="0" w:color="auto"/>
            </w:tcBorders>
            <w:vAlign w:val="center"/>
          </w:tcPr>
          <w:p w14:paraId="6EA4C662" w14:textId="77777777" w:rsidR="009679EF" w:rsidRPr="00091FD4" w:rsidRDefault="009679EF" w:rsidP="004F2ABC">
            <w:pPr>
              <w:spacing w:line="276" w:lineRule="auto"/>
              <w:jc w:val="center"/>
              <w:rPr>
                <w:rFonts w:cs="Arial"/>
                <w:bCs/>
                <w:sz w:val="20"/>
                <w:szCs w:val="20"/>
                <w:lang w:eastAsia="en-US"/>
              </w:rPr>
            </w:pPr>
            <w:r w:rsidRPr="00203FBC">
              <w:rPr>
                <w:rFonts w:cs="Arial"/>
                <w:bCs/>
                <w:sz w:val="20"/>
                <w:szCs w:val="20"/>
                <w:lang w:eastAsia="en-US"/>
              </w:rPr>
              <w:t>Processes are established to share OCEAN evidence and learnings with other existing Challenge Funds and Blue Planet Fund programmes</w:t>
            </w:r>
          </w:p>
        </w:tc>
        <w:tc>
          <w:tcPr>
            <w:tcW w:w="1039" w:type="dxa"/>
            <w:tcBorders>
              <w:top w:val="single" w:sz="4" w:space="0" w:color="auto"/>
              <w:left w:val="single" w:sz="4" w:space="0" w:color="auto"/>
              <w:bottom w:val="single" w:sz="4" w:space="0" w:color="auto"/>
              <w:right w:val="single" w:sz="4" w:space="0" w:color="auto"/>
            </w:tcBorders>
            <w:vAlign w:val="center"/>
          </w:tcPr>
          <w:p w14:paraId="425B91BE" w14:textId="77777777" w:rsidR="009679EF" w:rsidRPr="00091FD4" w:rsidRDefault="009679EF" w:rsidP="004F2ABC">
            <w:pPr>
              <w:spacing w:line="276" w:lineRule="auto"/>
              <w:jc w:val="center"/>
              <w:rPr>
                <w:rFonts w:cs="Arial"/>
                <w:sz w:val="20"/>
                <w:szCs w:val="20"/>
                <w:lang w:eastAsia="en-US"/>
              </w:rPr>
            </w:pPr>
            <w:r>
              <w:rPr>
                <w:rFonts w:cs="Arial"/>
                <w:sz w:val="20"/>
                <w:szCs w:val="20"/>
                <w:lang w:eastAsia="en-US"/>
              </w:rPr>
              <w:t>0</w:t>
            </w:r>
          </w:p>
        </w:tc>
        <w:tc>
          <w:tcPr>
            <w:tcW w:w="1246" w:type="dxa"/>
            <w:tcBorders>
              <w:top w:val="single" w:sz="4" w:space="0" w:color="auto"/>
              <w:left w:val="single" w:sz="4" w:space="0" w:color="auto"/>
              <w:bottom w:val="single" w:sz="4" w:space="0" w:color="auto"/>
              <w:right w:val="single" w:sz="4" w:space="0" w:color="auto"/>
            </w:tcBorders>
            <w:vAlign w:val="center"/>
          </w:tcPr>
          <w:p w14:paraId="4DF2EE7B" w14:textId="77777777" w:rsidR="009679EF" w:rsidRDefault="009679EF" w:rsidP="004F2ABC">
            <w:pPr>
              <w:spacing w:line="276" w:lineRule="auto"/>
              <w:jc w:val="center"/>
              <w:rPr>
                <w:rFonts w:cs="Arial"/>
                <w:sz w:val="20"/>
                <w:szCs w:val="20"/>
                <w:lang w:eastAsia="en-US"/>
              </w:rPr>
            </w:pPr>
            <w:r>
              <w:rPr>
                <w:rFonts w:cs="Arial"/>
                <w:sz w:val="20"/>
                <w:szCs w:val="20"/>
                <w:lang w:eastAsia="en-US"/>
              </w:rPr>
              <w:t>Processes: 6</w:t>
            </w:r>
          </w:p>
          <w:p w14:paraId="7BB3B0F5" w14:textId="77777777" w:rsidR="009679EF" w:rsidRPr="00091FD4" w:rsidRDefault="009679EF" w:rsidP="004F2ABC">
            <w:pPr>
              <w:spacing w:line="276" w:lineRule="auto"/>
              <w:jc w:val="center"/>
              <w:rPr>
                <w:rFonts w:cs="Arial"/>
                <w:sz w:val="20"/>
                <w:szCs w:val="20"/>
                <w:lang w:eastAsia="en-US"/>
              </w:rPr>
            </w:pPr>
            <w:r>
              <w:rPr>
                <w:rFonts w:cs="Arial"/>
                <w:sz w:val="20"/>
                <w:szCs w:val="20"/>
                <w:lang w:eastAsia="en-US"/>
              </w:rPr>
              <w:t>Evidence Pieces: 1</w:t>
            </w:r>
          </w:p>
        </w:tc>
        <w:tc>
          <w:tcPr>
            <w:tcW w:w="1222" w:type="dxa"/>
            <w:tcBorders>
              <w:top w:val="single" w:sz="4" w:space="0" w:color="auto"/>
              <w:left w:val="single" w:sz="4" w:space="0" w:color="auto"/>
              <w:bottom w:val="single" w:sz="4" w:space="0" w:color="auto"/>
              <w:right w:val="single" w:sz="4" w:space="0" w:color="auto"/>
            </w:tcBorders>
            <w:vAlign w:val="center"/>
          </w:tcPr>
          <w:p w14:paraId="01917FF2" w14:textId="7379A205" w:rsidR="009679EF" w:rsidRDefault="00AA4912" w:rsidP="004F2ABC">
            <w:pPr>
              <w:spacing w:line="276" w:lineRule="auto"/>
              <w:jc w:val="center"/>
              <w:rPr>
                <w:rFonts w:cs="Arial"/>
                <w:sz w:val="20"/>
                <w:szCs w:val="20"/>
                <w:lang w:eastAsia="en-US"/>
              </w:rPr>
            </w:pPr>
            <w:r>
              <w:rPr>
                <w:rFonts w:cs="Arial"/>
                <w:sz w:val="20"/>
                <w:szCs w:val="20"/>
                <w:lang w:eastAsia="en-US"/>
              </w:rPr>
              <w:t xml:space="preserve">Processes: </w:t>
            </w:r>
            <w:r w:rsidR="00303F36">
              <w:rPr>
                <w:rFonts w:cs="Arial"/>
                <w:sz w:val="20"/>
                <w:szCs w:val="20"/>
                <w:lang w:eastAsia="en-US"/>
              </w:rPr>
              <w:t>6</w:t>
            </w:r>
          </w:p>
          <w:p w14:paraId="3798A3C3" w14:textId="4120B314" w:rsidR="00AA4912" w:rsidRPr="00091FD4" w:rsidRDefault="00AA4912" w:rsidP="004F2ABC">
            <w:pPr>
              <w:spacing w:line="276" w:lineRule="auto"/>
              <w:jc w:val="center"/>
              <w:rPr>
                <w:rFonts w:cs="Arial"/>
                <w:sz w:val="20"/>
                <w:szCs w:val="20"/>
                <w:lang w:eastAsia="en-US"/>
              </w:rPr>
            </w:pPr>
            <w:r>
              <w:rPr>
                <w:rFonts w:cs="Arial"/>
                <w:sz w:val="20"/>
                <w:szCs w:val="20"/>
                <w:lang w:eastAsia="en-US"/>
              </w:rPr>
              <w:t xml:space="preserve">Evidence pieces: </w:t>
            </w:r>
            <w:r w:rsidR="00E028E0">
              <w:rPr>
                <w:rFonts w:cs="Arial"/>
                <w:sz w:val="20"/>
                <w:szCs w:val="20"/>
                <w:lang w:eastAsia="en-US"/>
              </w:rPr>
              <w:t>3</w:t>
            </w:r>
          </w:p>
        </w:tc>
        <w:tc>
          <w:tcPr>
            <w:tcW w:w="3062" w:type="dxa"/>
            <w:tcBorders>
              <w:top w:val="single" w:sz="4" w:space="0" w:color="auto"/>
              <w:left w:val="single" w:sz="4" w:space="0" w:color="auto"/>
              <w:bottom w:val="single" w:sz="4" w:space="0" w:color="auto"/>
              <w:right w:val="single" w:sz="4" w:space="0" w:color="auto"/>
            </w:tcBorders>
            <w:vAlign w:val="center"/>
          </w:tcPr>
          <w:p w14:paraId="356E2D9A" w14:textId="2339E45A" w:rsidR="00E028E0" w:rsidRPr="00F90620" w:rsidRDefault="00E028E0" w:rsidP="004F2ABC">
            <w:pPr>
              <w:spacing w:line="276" w:lineRule="auto"/>
              <w:jc w:val="center"/>
              <w:rPr>
                <w:b/>
                <w:bCs/>
                <w:sz w:val="20"/>
                <w:szCs w:val="20"/>
              </w:rPr>
            </w:pPr>
            <w:r w:rsidRPr="00F90620">
              <w:rPr>
                <w:b/>
                <w:bCs/>
                <w:sz w:val="20"/>
                <w:szCs w:val="20"/>
              </w:rPr>
              <w:t xml:space="preserve">Overall: </w:t>
            </w:r>
            <w:r w:rsidR="001C68C5">
              <w:rPr>
                <w:b/>
                <w:bCs/>
                <w:sz w:val="20"/>
                <w:szCs w:val="20"/>
              </w:rPr>
              <w:t>A - Met</w:t>
            </w:r>
          </w:p>
          <w:p w14:paraId="75CF33F2" w14:textId="058C6452" w:rsidR="009679EF" w:rsidRPr="00091FD4" w:rsidRDefault="00CC714D" w:rsidP="004F2ABC">
            <w:pPr>
              <w:spacing w:line="276" w:lineRule="auto"/>
              <w:jc w:val="center"/>
              <w:rPr>
                <w:rFonts w:cs="Arial"/>
                <w:sz w:val="20"/>
                <w:szCs w:val="20"/>
                <w:lang w:eastAsia="en-US"/>
              </w:rPr>
            </w:pPr>
            <w:r>
              <w:rPr>
                <w:sz w:val="20"/>
                <w:szCs w:val="20"/>
              </w:rPr>
              <w:t>7 knowledge sharing processes have been established</w:t>
            </w:r>
            <w:r w:rsidR="0072184F">
              <w:rPr>
                <w:sz w:val="20"/>
                <w:szCs w:val="20"/>
              </w:rPr>
              <w:t xml:space="preserve"> to date and 3 evidence pieces produced.</w:t>
            </w:r>
          </w:p>
        </w:tc>
      </w:tr>
      <w:tr w:rsidR="009679EF" w:rsidRPr="00091FD4" w14:paraId="01D4997D" w14:textId="77777777" w:rsidTr="009679EF">
        <w:trPr>
          <w:trHeight w:val="567"/>
        </w:trPr>
        <w:tc>
          <w:tcPr>
            <w:tcW w:w="558" w:type="dxa"/>
            <w:tcBorders>
              <w:left w:val="single" w:sz="4" w:space="0" w:color="auto"/>
              <w:bottom w:val="single" w:sz="4" w:space="0" w:color="auto"/>
              <w:right w:val="single" w:sz="4" w:space="0" w:color="auto"/>
            </w:tcBorders>
            <w:vAlign w:val="center"/>
          </w:tcPr>
          <w:p w14:paraId="5208E833" w14:textId="77777777" w:rsidR="009679EF" w:rsidRPr="00091FD4" w:rsidRDefault="009679EF" w:rsidP="004F2ABC">
            <w:pPr>
              <w:spacing w:line="276" w:lineRule="auto"/>
              <w:jc w:val="center"/>
              <w:rPr>
                <w:rFonts w:cs="Arial"/>
                <w:bCs/>
                <w:sz w:val="20"/>
                <w:szCs w:val="20"/>
                <w:lang w:eastAsia="en-US"/>
              </w:rPr>
            </w:pPr>
            <w:r>
              <w:rPr>
                <w:rFonts w:cs="Arial"/>
                <w:bCs/>
                <w:sz w:val="20"/>
                <w:szCs w:val="20"/>
                <w:lang w:eastAsia="en-US"/>
              </w:rPr>
              <w:t>3</w:t>
            </w:r>
            <w:r w:rsidRPr="00091FD4">
              <w:rPr>
                <w:rFonts w:cs="Arial"/>
                <w:bCs/>
                <w:sz w:val="20"/>
                <w:szCs w:val="20"/>
                <w:lang w:eastAsia="en-US"/>
              </w:rPr>
              <w:t>.3</w:t>
            </w:r>
          </w:p>
        </w:tc>
        <w:tc>
          <w:tcPr>
            <w:tcW w:w="3074" w:type="dxa"/>
            <w:tcBorders>
              <w:top w:val="single" w:sz="4" w:space="0" w:color="auto"/>
              <w:left w:val="single" w:sz="4" w:space="0" w:color="auto"/>
              <w:bottom w:val="single" w:sz="4" w:space="0" w:color="auto"/>
              <w:right w:val="single" w:sz="4" w:space="0" w:color="auto"/>
            </w:tcBorders>
            <w:vAlign w:val="center"/>
          </w:tcPr>
          <w:p w14:paraId="3AC0C132" w14:textId="77777777" w:rsidR="009679EF" w:rsidRPr="00091FD4" w:rsidRDefault="009679EF" w:rsidP="004F2ABC">
            <w:pPr>
              <w:spacing w:line="276" w:lineRule="auto"/>
              <w:jc w:val="center"/>
              <w:rPr>
                <w:rFonts w:cs="Arial"/>
                <w:bCs/>
                <w:sz w:val="20"/>
                <w:szCs w:val="20"/>
                <w:lang w:eastAsia="en-US"/>
              </w:rPr>
            </w:pPr>
            <w:r w:rsidRPr="00203FBC">
              <w:rPr>
                <w:rFonts w:cs="Arial"/>
                <w:bCs/>
                <w:sz w:val="20"/>
                <w:szCs w:val="20"/>
                <w:lang w:eastAsia="en-US"/>
              </w:rPr>
              <w:t>OCEAN projects produce and share accessible knowledge products related to marine environment and poverty reduction</w:t>
            </w:r>
          </w:p>
        </w:tc>
        <w:tc>
          <w:tcPr>
            <w:tcW w:w="1039" w:type="dxa"/>
            <w:tcBorders>
              <w:top w:val="single" w:sz="4" w:space="0" w:color="auto"/>
              <w:left w:val="single" w:sz="4" w:space="0" w:color="auto"/>
              <w:bottom w:val="single" w:sz="4" w:space="0" w:color="auto"/>
              <w:right w:val="single" w:sz="4" w:space="0" w:color="auto"/>
            </w:tcBorders>
            <w:vAlign w:val="center"/>
          </w:tcPr>
          <w:p w14:paraId="0FC07EBF" w14:textId="77777777" w:rsidR="009679EF" w:rsidRPr="00091FD4" w:rsidRDefault="009679EF" w:rsidP="004F2ABC">
            <w:pPr>
              <w:spacing w:line="276" w:lineRule="auto"/>
              <w:jc w:val="center"/>
              <w:rPr>
                <w:rFonts w:cs="Arial"/>
                <w:sz w:val="20"/>
                <w:szCs w:val="20"/>
                <w:lang w:eastAsia="en-US"/>
              </w:rPr>
            </w:pPr>
            <w:r w:rsidRPr="00091FD4">
              <w:rPr>
                <w:rFonts w:cs="Arial"/>
                <w:sz w:val="20"/>
                <w:szCs w:val="20"/>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tcPr>
          <w:p w14:paraId="66CB2839" w14:textId="77777777" w:rsidR="009679EF" w:rsidRPr="00091FD4" w:rsidRDefault="009679EF" w:rsidP="004F2ABC">
            <w:pPr>
              <w:spacing w:line="276" w:lineRule="auto"/>
              <w:jc w:val="center"/>
              <w:rPr>
                <w:rFonts w:cs="Arial"/>
                <w:sz w:val="20"/>
                <w:szCs w:val="20"/>
                <w:lang w:eastAsia="en-US"/>
              </w:rPr>
            </w:pPr>
            <w:r w:rsidRPr="00091FD4">
              <w:rPr>
                <w:rFonts w:cs="Arial"/>
                <w:sz w:val="20"/>
                <w:szCs w:val="20"/>
                <w:lang w:eastAsia="en-US"/>
              </w:rPr>
              <w:t>N/A</w:t>
            </w:r>
          </w:p>
        </w:tc>
        <w:tc>
          <w:tcPr>
            <w:tcW w:w="1222" w:type="dxa"/>
            <w:tcBorders>
              <w:top w:val="single" w:sz="4" w:space="0" w:color="auto"/>
              <w:left w:val="single" w:sz="4" w:space="0" w:color="auto"/>
              <w:bottom w:val="single" w:sz="4" w:space="0" w:color="auto"/>
              <w:right w:val="single" w:sz="4" w:space="0" w:color="auto"/>
            </w:tcBorders>
            <w:vAlign w:val="center"/>
          </w:tcPr>
          <w:p w14:paraId="1AD2ED73" w14:textId="77777777" w:rsidR="009679EF" w:rsidRPr="00091FD4" w:rsidRDefault="009679EF" w:rsidP="004F2ABC">
            <w:pPr>
              <w:spacing w:line="276" w:lineRule="auto"/>
              <w:jc w:val="center"/>
              <w:rPr>
                <w:rFonts w:cs="Arial"/>
                <w:sz w:val="20"/>
                <w:szCs w:val="20"/>
                <w:lang w:eastAsia="en-US"/>
              </w:rPr>
            </w:pPr>
            <w:r>
              <w:rPr>
                <w:rFonts w:cs="Arial"/>
                <w:sz w:val="20"/>
                <w:szCs w:val="20"/>
                <w:lang w:eastAsia="en-US"/>
              </w:rPr>
              <w:t>N/A</w:t>
            </w:r>
          </w:p>
        </w:tc>
        <w:tc>
          <w:tcPr>
            <w:tcW w:w="3062" w:type="dxa"/>
            <w:tcBorders>
              <w:top w:val="single" w:sz="4" w:space="0" w:color="auto"/>
              <w:left w:val="single" w:sz="4" w:space="0" w:color="auto"/>
              <w:bottom w:val="single" w:sz="4" w:space="0" w:color="auto"/>
              <w:right w:val="single" w:sz="4" w:space="0" w:color="auto"/>
            </w:tcBorders>
            <w:vAlign w:val="center"/>
          </w:tcPr>
          <w:p w14:paraId="28EC06FB" w14:textId="72065AD0" w:rsidR="009679EF" w:rsidRPr="00091FD4" w:rsidRDefault="001A15DB" w:rsidP="004F2ABC">
            <w:pPr>
              <w:spacing w:line="276" w:lineRule="auto"/>
              <w:jc w:val="center"/>
              <w:rPr>
                <w:rFonts w:cs="Arial"/>
                <w:sz w:val="20"/>
                <w:szCs w:val="20"/>
                <w:lang w:eastAsia="en-US"/>
              </w:rPr>
            </w:pPr>
            <w:r>
              <w:rPr>
                <w:sz w:val="20"/>
                <w:szCs w:val="20"/>
              </w:rPr>
              <w:t>No data until after project commencement (</w:t>
            </w:r>
            <w:r w:rsidR="0073338D">
              <w:rPr>
                <w:sz w:val="20"/>
                <w:szCs w:val="20"/>
              </w:rPr>
              <w:t>November</w:t>
            </w:r>
            <w:r>
              <w:rPr>
                <w:sz w:val="20"/>
                <w:szCs w:val="20"/>
              </w:rPr>
              <w:t xml:space="preserve"> 2024 onwards).</w:t>
            </w:r>
          </w:p>
        </w:tc>
      </w:tr>
    </w:tbl>
    <w:p w14:paraId="44792CA2" w14:textId="77777777" w:rsidR="00957C5B" w:rsidRDefault="00957C5B" w:rsidP="009021AD">
      <w:pPr>
        <w:spacing w:line="276" w:lineRule="auto"/>
        <w:jc w:val="both"/>
        <w:rPr>
          <w:rFonts w:cs="Arial"/>
          <w:sz w:val="22"/>
          <w:szCs w:val="22"/>
        </w:rPr>
      </w:pPr>
    </w:p>
    <w:p w14:paraId="1AC252E1" w14:textId="77777777" w:rsidR="00B95D39" w:rsidRPr="00B95D39" w:rsidRDefault="00B95D39" w:rsidP="009021AD">
      <w:pPr>
        <w:spacing w:line="276" w:lineRule="auto"/>
        <w:jc w:val="both"/>
        <w:rPr>
          <w:rFonts w:cs="Arial"/>
          <w:sz w:val="22"/>
          <w:szCs w:val="22"/>
        </w:rPr>
      </w:pPr>
    </w:p>
    <w:p w14:paraId="2AB6FCD2" w14:textId="3B8822B7" w:rsidR="006F3AE7" w:rsidRDefault="24F53659" w:rsidP="00456017">
      <w:pPr>
        <w:spacing w:after="160" w:line="276" w:lineRule="auto"/>
        <w:jc w:val="both"/>
        <w:rPr>
          <w:rFonts w:cs="Arial"/>
          <w:sz w:val="22"/>
          <w:szCs w:val="22"/>
        </w:rPr>
      </w:pPr>
      <w:r w:rsidRPr="2350498C">
        <w:rPr>
          <w:rFonts w:cs="Arial"/>
          <w:b/>
          <w:bCs/>
          <w:sz w:val="22"/>
          <w:szCs w:val="22"/>
        </w:rPr>
        <w:t xml:space="preserve">C1. </w:t>
      </w:r>
      <w:r w:rsidR="006F3AE7" w:rsidRPr="2350498C">
        <w:rPr>
          <w:rFonts w:cs="Arial"/>
          <w:b/>
          <w:bCs/>
          <w:sz w:val="22"/>
          <w:szCs w:val="22"/>
        </w:rPr>
        <w:t>Briefly describe the output</w:t>
      </w:r>
      <w:r w:rsidR="00EC3141" w:rsidRPr="2350498C">
        <w:rPr>
          <w:rFonts w:cs="Arial"/>
          <w:b/>
          <w:bCs/>
          <w:sz w:val="22"/>
          <w:szCs w:val="22"/>
        </w:rPr>
        <w:t>’s activities</w:t>
      </w:r>
      <w:r w:rsidR="006F3AE7" w:rsidRPr="2350498C">
        <w:rPr>
          <w:rFonts w:cs="Arial"/>
          <w:b/>
          <w:bCs/>
          <w:sz w:val="22"/>
          <w:szCs w:val="22"/>
        </w:rPr>
        <w:t xml:space="preserve"> and provide supporting narrative for the score.</w:t>
      </w:r>
      <w:r w:rsidR="00EC3141" w:rsidRPr="2350498C">
        <w:rPr>
          <w:rFonts w:cs="Arial"/>
          <w:b/>
          <w:bCs/>
          <w:sz w:val="22"/>
          <w:szCs w:val="22"/>
        </w:rPr>
        <w:t xml:space="preserve"> </w:t>
      </w:r>
      <w:r w:rsidR="00EC3141" w:rsidRPr="2350498C">
        <w:rPr>
          <w:rFonts w:cs="Arial"/>
          <w:sz w:val="22"/>
          <w:szCs w:val="22"/>
        </w:rPr>
        <w:t xml:space="preserve"> </w:t>
      </w:r>
    </w:p>
    <w:p w14:paraId="5219DAE4" w14:textId="19C5541F" w:rsidR="00F15E48" w:rsidRPr="00506B26" w:rsidRDefault="00506B26" w:rsidP="00506B26">
      <w:pPr>
        <w:spacing w:line="276" w:lineRule="auto"/>
        <w:jc w:val="both"/>
        <w:rPr>
          <w:b/>
          <w:bCs/>
          <w:i/>
          <w:color w:val="FF0000"/>
          <w:sz w:val="20"/>
          <w:szCs w:val="20"/>
        </w:rPr>
      </w:pPr>
      <w:r w:rsidRPr="00506B26">
        <w:rPr>
          <w:rFonts w:cs="Arial"/>
          <w:b/>
          <w:bCs/>
          <w:sz w:val="20"/>
          <w:szCs w:val="20"/>
        </w:rPr>
        <w:t>Output 1</w:t>
      </w:r>
      <w:r w:rsidR="00A84A6A">
        <w:rPr>
          <w:rFonts w:cs="Arial"/>
          <w:b/>
          <w:bCs/>
          <w:sz w:val="20"/>
          <w:szCs w:val="20"/>
        </w:rPr>
        <w:t xml:space="preserve">: </w:t>
      </w:r>
      <w:r w:rsidRPr="00506B26">
        <w:rPr>
          <w:b/>
          <w:bCs/>
          <w:sz w:val="20"/>
          <w:szCs w:val="20"/>
        </w:rPr>
        <w:t xml:space="preserve">Organisations in ODA eligible countries have access to funding to address marine environment and poverty reduction challenges at a </w:t>
      </w:r>
      <w:proofErr w:type="gramStart"/>
      <w:r w:rsidRPr="00506B26">
        <w:rPr>
          <w:b/>
          <w:bCs/>
          <w:sz w:val="20"/>
          <w:szCs w:val="20"/>
        </w:rPr>
        <w:t>local-level</w:t>
      </w:r>
      <w:proofErr w:type="gramEnd"/>
    </w:p>
    <w:p w14:paraId="353FE817" w14:textId="77777777" w:rsidR="00506B26" w:rsidRPr="00506B26" w:rsidRDefault="00506B26" w:rsidP="00506B26">
      <w:pPr>
        <w:spacing w:line="276" w:lineRule="auto"/>
        <w:jc w:val="both"/>
        <w:rPr>
          <w:bCs/>
          <w:i/>
          <w:color w:val="FF0000"/>
          <w:sz w:val="20"/>
          <w:szCs w:val="22"/>
        </w:rPr>
      </w:pPr>
    </w:p>
    <w:p w14:paraId="0FF93F97" w14:textId="304BB505" w:rsidR="00AB29B9" w:rsidRPr="00F15E48" w:rsidRDefault="00A943D5" w:rsidP="00F15E48">
      <w:pPr>
        <w:spacing w:after="160" w:line="276" w:lineRule="auto"/>
        <w:jc w:val="both"/>
        <w:rPr>
          <w:rFonts w:cs="Arial"/>
          <w:sz w:val="20"/>
          <w:szCs w:val="20"/>
        </w:rPr>
      </w:pPr>
      <w:r w:rsidRPr="00F15E48">
        <w:rPr>
          <w:rFonts w:cs="Arial"/>
          <w:sz w:val="20"/>
          <w:szCs w:val="20"/>
        </w:rPr>
        <w:t xml:space="preserve">Due to unforeseen delays </w:t>
      </w:r>
      <w:r w:rsidR="001C79F9" w:rsidRPr="00F15E48">
        <w:rPr>
          <w:rFonts w:cs="Arial"/>
          <w:sz w:val="20"/>
          <w:szCs w:val="20"/>
        </w:rPr>
        <w:t>in the approval of the OCEAN Business Case by Defra Ministers and HMT</w:t>
      </w:r>
      <w:r w:rsidR="00A16668" w:rsidRPr="00F15E48">
        <w:rPr>
          <w:rFonts w:cs="Arial"/>
          <w:sz w:val="20"/>
          <w:szCs w:val="20"/>
        </w:rPr>
        <w:t xml:space="preserve"> there was an </w:t>
      </w:r>
      <w:r w:rsidR="00C14273" w:rsidRPr="00F15E48">
        <w:rPr>
          <w:rFonts w:cs="Arial"/>
          <w:sz w:val="20"/>
          <w:szCs w:val="20"/>
        </w:rPr>
        <w:t>eight-week</w:t>
      </w:r>
      <w:r w:rsidR="00A16668" w:rsidRPr="00F15E48">
        <w:rPr>
          <w:rFonts w:cs="Arial"/>
          <w:sz w:val="20"/>
          <w:szCs w:val="20"/>
        </w:rPr>
        <w:t xml:space="preserve"> delay to awarding the </w:t>
      </w:r>
      <w:r w:rsidR="001D5270">
        <w:rPr>
          <w:rFonts w:cs="Arial"/>
          <w:sz w:val="20"/>
          <w:szCs w:val="20"/>
        </w:rPr>
        <w:t>GA</w:t>
      </w:r>
      <w:r w:rsidR="00A16668" w:rsidRPr="00F15E48">
        <w:rPr>
          <w:rFonts w:cs="Arial"/>
          <w:sz w:val="20"/>
          <w:szCs w:val="20"/>
        </w:rPr>
        <w:t xml:space="preserve"> contract. This resulted in a delay to launching the first call for proposals and subsequent award of projects</w:t>
      </w:r>
      <w:r w:rsidR="001D29D5" w:rsidRPr="00F15E48">
        <w:rPr>
          <w:rFonts w:cs="Arial"/>
          <w:sz w:val="20"/>
          <w:szCs w:val="20"/>
        </w:rPr>
        <w:t>, meaning that at the time of drafting this Annual Review</w:t>
      </w:r>
      <w:r w:rsidR="22A81858" w:rsidRPr="43BA1048">
        <w:rPr>
          <w:rFonts w:cs="Arial"/>
          <w:sz w:val="20"/>
          <w:szCs w:val="20"/>
        </w:rPr>
        <w:t>,</w:t>
      </w:r>
      <w:r w:rsidR="001D29D5" w:rsidRPr="00F15E48">
        <w:rPr>
          <w:rFonts w:cs="Arial"/>
          <w:sz w:val="20"/>
          <w:szCs w:val="20"/>
        </w:rPr>
        <w:t xml:space="preserve"> successful projects have not been </w:t>
      </w:r>
      <w:proofErr w:type="gramStart"/>
      <w:r w:rsidR="001D29D5" w:rsidRPr="00F15E48">
        <w:rPr>
          <w:rFonts w:cs="Arial"/>
          <w:sz w:val="20"/>
          <w:szCs w:val="20"/>
        </w:rPr>
        <w:t>awarded</w:t>
      </w:r>
      <w:proofErr w:type="gramEnd"/>
      <w:r w:rsidR="001D29D5" w:rsidRPr="00F15E48">
        <w:rPr>
          <w:rFonts w:cs="Arial"/>
          <w:sz w:val="20"/>
          <w:szCs w:val="20"/>
        </w:rPr>
        <w:t xml:space="preserve"> and no funding has been disbursed to grantees. </w:t>
      </w:r>
    </w:p>
    <w:p w14:paraId="2526FF39" w14:textId="0A946A67" w:rsidR="00A943D5" w:rsidRPr="00F15E48" w:rsidRDefault="00DA5AAA" w:rsidP="00F15E48">
      <w:pPr>
        <w:spacing w:after="160" w:line="276" w:lineRule="auto"/>
        <w:jc w:val="both"/>
        <w:rPr>
          <w:rFonts w:cs="Arial"/>
          <w:bCs/>
          <w:sz w:val="20"/>
          <w:szCs w:val="22"/>
        </w:rPr>
      </w:pPr>
      <w:r w:rsidRPr="00F15E48">
        <w:rPr>
          <w:rFonts w:cs="Arial"/>
          <w:bCs/>
          <w:sz w:val="20"/>
          <w:szCs w:val="22"/>
        </w:rPr>
        <w:t xml:space="preserve">We </w:t>
      </w:r>
      <w:r w:rsidR="00D84ADC" w:rsidRPr="00F15E48">
        <w:rPr>
          <w:rFonts w:cs="Arial"/>
          <w:bCs/>
          <w:sz w:val="20"/>
          <w:szCs w:val="22"/>
        </w:rPr>
        <w:t>received</w:t>
      </w:r>
      <w:r w:rsidRPr="00F15E48">
        <w:rPr>
          <w:rFonts w:cs="Arial"/>
          <w:bCs/>
          <w:sz w:val="20"/>
          <w:szCs w:val="22"/>
        </w:rPr>
        <w:t xml:space="preserve"> a high level of interest for our first call fo</w:t>
      </w:r>
      <w:r w:rsidR="00336774" w:rsidRPr="00F15E48">
        <w:rPr>
          <w:rFonts w:cs="Arial"/>
          <w:bCs/>
          <w:sz w:val="20"/>
          <w:szCs w:val="22"/>
        </w:rPr>
        <w:t>r proposals with 694 applications received for projects in over 100 countries.</w:t>
      </w:r>
      <w:r w:rsidR="00AB29B9" w:rsidRPr="00F15E48">
        <w:rPr>
          <w:rFonts w:cs="Arial"/>
          <w:bCs/>
          <w:sz w:val="20"/>
          <w:szCs w:val="22"/>
        </w:rPr>
        <w:t xml:space="preserve"> </w:t>
      </w:r>
      <w:r w:rsidR="003F7098" w:rsidRPr="00F15E48">
        <w:rPr>
          <w:rFonts w:cs="Arial"/>
          <w:bCs/>
          <w:sz w:val="20"/>
          <w:szCs w:val="22"/>
        </w:rPr>
        <w:t xml:space="preserve">We are on track to award </w:t>
      </w:r>
      <w:r w:rsidR="006F769C" w:rsidRPr="00F15E48">
        <w:rPr>
          <w:rFonts w:cs="Arial"/>
          <w:bCs/>
          <w:sz w:val="20"/>
          <w:szCs w:val="22"/>
        </w:rPr>
        <w:t>~£</w:t>
      </w:r>
      <w:r w:rsidR="00907491">
        <w:rPr>
          <w:rFonts w:cs="Arial"/>
          <w:bCs/>
          <w:sz w:val="20"/>
          <w:szCs w:val="22"/>
        </w:rPr>
        <w:t>2.7</w:t>
      </w:r>
      <w:r w:rsidR="001C0940" w:rsidRPr="00F15E48">
        <w:rPr>
          <w:rFonts w:cs="Arial"/>
          <w:bCs/>
          <w:sz w:val="20"/>
          <w:szCs w:val="22"/>
        </w:rPr>
        <w:t xml:space="preserve">million for this Financial Year in </w:t>
      </w:r>
      <w:r w:rsidR="00907491">
        <w:rPr>
          <w:rFonts w:cs="Arial"/>
          <w:bCs/>
          <w:sz w:val="20"/>
          <w:szCs w:val="22"/>
        </w:rPr>
        <w:t>November</w:t>
      </w:r>
      <w:r w:rsidR="008A56DE" w:rsidRPr="00F15E48">
        <w:rPr>
          <w:rFonts w:cs="Arial"/>
          <w:bCs/>
          <w:sz w:val="20"/>
          <w:szCs w:val="22"/>
        </w:rPr>
        <w:t xml:space="preserve"> 2024</w:t>
      </w:r>
      <w:r w:rsidR="00D746DF">
        <w:rPr>
          <w:rFonts w:cs="Arial"/>
          <w:bCs/>
          <w:sz w:val="20"/>
          <w:szCs w:val="22"/>
        </w:rPr>
        <w:t>.</w:t>
      </w:r>
    </w:p>
    <w:p w14:paraId="709A0105" w14:textId="187ADE64" w:rsidR="00E858D3" w:rsidRPr="00F15E48" w:rsidRDefault="00F15E48" w:rsidP="00F15E48">
      <w:pPr>
        <w:spacing w:after="160" w:line="276" w:lineRule="auto"/>
        <w:jc w:val="both"/>
        <w:rPr>
          <w:rFonts w:cs="Arial"/>
          <w:bCs/>
          <w:sz w:val="20"/>
          <w:szCs w:val="22"/>
        </w:rPr>
      </w:pPr>
      <w:r>
        <w:rPr>
          <w:rFonts w:cs="Arial"/>
          <w:bCs/>
          <w:sz w:val="20"/>
          <w:szCs w:val="22"/>
        </w:rPr>
        <w:t>Despite</w:t>
      </w:r>
      <w:r w:rsidR="007563F3" w:rsidRPr="00F15E48">
        <w:rPr>
          <w:rFonts w:cs="Arial"/>
          <w:bCs/>
          <w:sz w:val="20"/>
          <w:szCs w:val="22"/>
        </w:rPr>
        <w:t xml:space="preserve"> </w:t>
      </w:r>
      <w:r w:rsidR="00AB6372" w:rsidRPr="00F15E48">
        <w:rPr>
          <w:rFonts w:cs="Arial"/>
          <w:bCs/>
          <w:sz w:val="20"/>
          <w:szCs w:val="22"/>
        </w:rPr>
        <w:t>successful projects not yet being awarded we can confirm that</w:t>
      </w:r>
      <w:r w:rsidR="00E25A2C" w:rsidRPr="00F15E48">
        <w:rPr>
          <w:rFonts w:cs="Arial"/>
          <w:bCs/>
          <w:sz w:val="20"/>
          <w:szCs w:val="22"/>
        </w:rPr>
        <w:t xml:space="preserve"> </w:t>
      </w:r>
      <w:r w:rsidR="00B93D53">
        <w:rPr>
          <w:rFonts w:cs="Arial"/>
          <w:bCs/>
          <w:sz w:val="20"/>
          <w:szCs w:val="22"/>
        </w:rPr>
        <w:t xml:space="preserve">for Round 1 </w:t>
      </w:r>
      <w:r w:rsidR="00E25A2C" w:rsidRPr="00F15E48">
        <w:rPr>
          <w:rFonts w:cs="Arial"/>
          <w:bCs/>
          <w:sz w:val="20"/>
          <w:szCs w:val="22"/>
        </w:rPr>
        <w:t xml:space="preserve">100% of </w:t>
      </w:r>
      <w:r w:rsidR="00B93D53">
        <w:rPr>
          <w:rFonts w:cs="Arial"/>
          <w:bCs/>
          <w:sz w:val="20"/>
          <w:szCs w:val="22"/>
        </w:rPr>
        <w:t>the OCEAN</w:t>
      </w:r>
      <w:r w:rsidR="00E25A2C" w:rsidRPr="00F15E48">
        <w:rPr>
          <w:rFonts w:cs="Arial"/>
          <w:bCs/>
          <w:sz w:val="20"/>
          <w:szCs w:val="22"/>
        </w:rPr>
        <w:t xml:space="preserve"> Community Grants</w:t>
      </w:r>
      <w:r w:rsidR="00D651DF" w:rsidRPr="00F15E48">
        <w:rPr>
          <w:rFonts w:cs="Arial"/>
          <w:bCs/>
          <w:sz w:val="20"/>
          <w:szCs w:val="22"/>
        </w:rPr>
        <w:t xml:space="preserve"> funding</w:t>
      </w:r>
      <w:r w:rsidR="00E25A2C" w:rsidRPr="00F15E48">
        <w:rPr>
          <w:rFonts w:cs="Arial"/>
          <w:bCs/>
          <w:sz w:val="20"/>
          <w:szCs w:val="22"/>
        </w:rPr>
        <w:t xml:space="preserve"> will be </w:t>
      </w:r>
      <w:r w:rsidR="008006D6" w:rsidRPr="00F15E48">
        <w:rPr>
          <w:rFonts w:cs="Arial"/>
          <w:bCs/>
          <w:sz w:val="20"/>
          <w:szCs w:val="22"/>
        </w:rPr>
        <w:t xml:space="preserve">managed by local small-medium </w:t>
      </w:r>
      <w:r w:rsidR="007E690F" w:rsidRPr="00F15E48">
        <w:rPr>
          <w:rFonts w:cs="Arial"/>
          <w:bCs/>
          <w:sz w:val="20"/>
          <w:szCs w:val="22"/>
        </w:rPr>
        <w:t xml:space="preserve">sized </w:t>
      </w:r>
      <w:r w:rsidR="008006D6" w:rsidRPr="00F15E48">
        <w:rPr>
          <w:rFonts w:cs="Arial"/>
          <w:bCs/>
          <w:sz w:val="20"/>
          <w:szCs w:val="22"/>
        </w:rPr>
        <w:t xml:space="preserve">organisations as all </w:t>
      </w:r>
      <w:r w:rsidR="006E3962" w:rsidRPr="00F15E48">
        <w:rPr>
          <w:rFonts w:cs="Arial"/>
          <w:bCs/>
          <w:sz w:val="20"/>
          <w:szCs w:val="22"/>
        </w:rPr>
        <w:t>projects remaining in the assessment phase meet this requirement.</w:t>
      </w:r>
      <w:r w:rsidR="004A3C6A">
        <w:rPr>
          <w:rFonts w:cs="Arial"/>
          <w:bCs/>
          <w:sz w:val="20"/>
          <w:szCs w:val="22"/>
        </w:rPr>
        <w:t xml:space="preserve"> A target for Partnership Grants was not included for Round 1.</w:t>
      </w:r>
      <w:r w:rsidR="006E3962" w:rsidRPr="00F15E48">
        <w:rPr>
          <w:rFonts w:cs="Arial"/>
          <w:bCs/>
          <w:sz w:val="20"/>
          <w:szCs w:val="22"/>
        </w:rPr>
        <w:t xml:space="preserve"> We are now reviewing our Round 2 guidance to ensure that we have a proportional approach for our Partnership Grants</w:t>
      </w:r>
      <w:r w:rsidR="00752B76" w:rsidRPr="00F15E48">
        <w:rPr>
          <w:rFonts w:cs="Arial"/>
          <w:bCs/>
          <w:sz w:val="20"/>
          <w:szCs w:val="22"/>
        </w:rPr>
        <w:t xml:space="preserve"> to ensure </w:t>
      </w:r>
      <w:r w:rsidR="00C96844" w:rsidRPr="00F15E48">
        <w:rPr>
          <w:rFonts w:cs="Arial"/>
          <w:bCs/>
          <w:sz w:val="20"/>
          <w:szCs w:val="22"/>
        </w:rPr>
        <w:t>that there are suitable opportunities for</w:t>
      </w:r>
      <w:r w:rsidR="00752B76" w:rsidRPr="00F15E48">
        <w:rPr>
          <w:rFonts w:cs="Arial"/>
          <w:bCs/>
          <w:sz w:val="20"/>
          <w:szCs w:val="22"/>
        </w:rPr>
        <w:t xml:space="preserve"> </w:t>
      </w:r>
      <w:r w:rsidR="007E690F" w:rsidRPr="00F15E48">
        <w:rPr>
          <w:rFonts w:cs="Arial"/>
          <w:bCs/>
          <w:sz w:val="20"/>
          <w:szCs w:val="22"/>
        </w:rPr>
        <w:t xml:space="preserve">local small-medium sized organisations </w:t>
      </w:r>
      <w:r w:rsidR="00C96844" w:rsidRPr="00F15E48">
        <w:rPr>
          <w:rFonts w:cs="Arial"/>
          <w:bCs/>
          <w:sz w:val="20"/>
          <w:szCs w:val="22"/>
        </w:rPr>
        <w:t xml:space="preserve">to </w:t>
      </w:r>
      <w:r w:rsidR="005349EB">
        <w:rPr>
          <w:rFonts w:cs="Arial"/>
          <w:bCs/>
          <w:sz w:val="20"/>
          <w:szCs w:val="22"/>
        </w:rPr>
        <w:t>manage funding through both our Community and Partnership Grant pathways.</w:t>
      </w:r>
      <w:r w:rsidR="00C96844" w:rsidRPr="00F15E48">
        <w:rPr>
          <w:rFonts w:cs="Arial"/>
          <w:bCs/>
          <w:sz w:val="20"/>
          <w:szCs w:val="22"/>
        </w:rPr>
        <w:t xml:space="preserve"> </w:t>
      </w:r>
    </w:p>
    <w:p w14:paraId="0E03F16D" w14:textId="09C3AB20" w:rsidR="00651163" w:rsidRPr="00F15E48" w:rsidRDefault="00CC6AE7" w:rsidP="00F15E48">
      <w:pPr>
        <w:spacing w:after="160" w:line="276" w:lineRule="auto"/>
        <w:jc w:val="both"/>
        <w:rPr>
          <w:rFonts w:cs="Arial"/>
          <w:bCs/>
          <w:sz w:val="20"/>
          <w:szCs w:val="22"/>
        </w:rPr>
      </w:pPr>
      <w:r w:rsidRPr="00F15E48">
        <w:rPr>
          <w:sz w:val="20"/>
        </w:rPr>
        <w:t xml:space="preserve">Due to the forementioned delays in launching the first call for proposals successful projects have not yet been selected. We therefore cannot </w:t>
      </w:r>
      <w:r w:rsidR="00CF3192" w:rsidRPr="00F15E48">
        <w:rPr>
          <w:sz w:val="20"/>
        </w:rPr>
        <w:t xml:space="preserve">currently </w:t>
      </w:r>
      <w:r w:rsidRPr="00F15E48">
        <w:rPr>
          <w:sz w:val="20"/>
        </w:rPr>
        <w:t xml:space="preserve">confirm the proportion of grants led by organisations </w:t>
      </w:r>
      <w:r w:rsidRPr="00F15E48">
        <w:rPr>
          <w:sz w:val="20"/>
        </w:rPr>
        <w:lastRenderedPageBreak/>
        <w:t>registered in ODA eligible countries</w:t>
      </w:r>
      <w:r w:rsidR="00CF3192" w:rsidRPr="00F15E48">
        <w:rPr>
          <w:sz w:val="20"/>
        </w:rPr>
        <w:t>. Based on the data of applicant</w:t>
      </w:r>
      <w:r w:rsidR="007F6140" w:rsidRPr="00F15E48">
        <w:rPr>
          <w:sz w:val="20"/>
        </w:rPr>
        <w:t>s currently in the assessment phase we are on track for a</w:t>
      </w:r>
      <w:r w:rsidR="00FE0E54" w:rsidRPr="00F15E48">
        <w:rPr>
          <w:sz w:val="20"/>
        </w:rPr>
        <w:t xml:space="preserve">pproximately </w:t>
      </w:r>
      <w:r w:rsidR="007F6140" w:rsidRPr="00F15E48">
        <w:rPr>
          <w:sz w:val="20"/>
        </w:rPr>
        <w:t>90%</w:t>
      </w:r>
      <w:r w:rsidR="00FE0E54" w:rsidRPr="00F15E48">
        <w:rPr>
          <w:sz w:val="20"/>
        </w:rPr>
        <w:t xml:space="preserve"> of awarded grants to be led by organisations registered in ODA eligible countries. All Community Grants</w:t>
      </w:r>
      <w:r w:rsidR="00946785">
        <w:rPr>
          <w:sz w:val="20"/>
        </w:rPr>
        <w:t xml:space="preserve"> </w:t>
      </w:r>
      <w:r w:rsidR="00B738B8" w:rsidRPr="00F15E48">
        <w:rPr>
          <w:sz w:val="20"/>
        </w:rPr>
        <w:t>will be led by small-medium sized organisations</w:t>
      </w:r>
      <w:r w:rsidR="00FE0E94" w:rsidRPr="00F15E48">
        <w:rPr>
          <w:sz w:val="20"/>
        </w:rPr>
        <w:t xml:space="preserve"> based in ODA eligible countries. More than 50% of the Stage 2 Partnership Grant applications have their Lead Organisation headquartered in an ODA eligible country. </w:t>
      </w:r>
      <w:r w:rsidR="00244254" w:rsidRPr="00F15E48">
        <w:rPr>
          <w:rFonts w:cs="Arial"/>
          <w:bCs/>
          <w:sz w:val="20"/>
          <w:szCs w:val="22"/>
        </w:rPr>
        <w:t xml:space="preserve"> </w:t>
      </w:r>
    </w:p>
    <w:p w14:paraId="68248067" w14:textId="66274550" w:rsidR="00F15E48" w:rsidRPr="00A84A6A" w:rsidRDefault="00A84A6A" w:rsidP="00C81FB4">
      <w:pPr>
        <w:spacing w:after="160" w:line="276" w:lineRule="auto"/>
        <w:jc w:val="both"/>
        <w:rPr>
          <w:rFonts w:cs="Arial"/>
          <w:b/>
          <w:sz w:val="20"/>
          <w:szCs w:val="22"/>
        </w:rPr>
      </w:pPr>
      <w:r w:rsidRPr="00A84A6A">
        <w:rPr>
          <w:rFonts w:cs="Arial"/>
          <w:b/>
          <w:sz w:val="20"/>
          <w:szCs w:val="22"/>
        </w:rPr>
        <w:t xml:space="preserve">Output 2: </w:t>
      </w:r>
      <w:r w:rsidRPr="00A84A6A">
        <w:rPr>
          <w:rFonts w:cs="Arial"/>
          <w:b/>
          <w:sz w:val="20"/>
          <w:szCs w:val="20"/>
        </w:rPr>
        <w:t>Organisations and coastal communities in ODA eligible countries have access to guidance, training and support to build their capacity to address marine environment and poverty reduction challenges.</w:t>
      </w:r>
    </w:p>
    <w:p w14:paraId="7F4A0399" w14:textId="18E4B1CA" w:rsidR="00651163" w:rsidRDefault="00244254" w:rsidP="00C81FB4">
      <w:pPr>
        <w:spacing w:after="160" w:line="276" w:lineRule="auto"/>
        <w:jc w:val="both"/>
        <w:rPr>
          <w:rFonts w:cs="Arial"/>
          <w:sz w:val="20"/>
          <w:szCs w:val="20"/>
        </w:rPr>
      </w:pPr>
      <w:r w:rsidRPr="00651163">
        <w:rPr>
          <w:rFonts w:cs="Arial"/>
          <w:sz w:val="20"/>
          <w:szCs w:val="20"/>
        </w:rPr>
        <w:t xml:space="preserve">OCEAN delivered 22 training and information </w:t>
      </w:r>
      <w:r w:rsidRPr="375783EC">
        <w:rPr>
          <w:rFonts w:cs="Arial"/>
          <w:sz w:val="20"/>
          <w:szCs w:val="20"/>
        </w:rPr>
        <w:t>session</w:t>
      </w:r>
      <w:r w:rsidR="353F0736" w:rsidRPr="375783EC">
        <w:rPr>
          <w:rFonts w:cs="Arial"/>
          <w:sz w:val="20"/>
          <w:szCs w:val="20"/>
        </w:rPr>
        <w:t>s</w:t>
      </w:r>
      <w:r w:rsidRPr="00651163">
        <w:rPr>
          <w:rFonts w:cs="Arial"/>
          <w:sz w:val="20"/>
          <w:szCs w:val="20"/>
        </w:rPr>
        <w:t xml:space="preserve"> to more than 1800 attendees representing </w:t>
      </w:r>
      <w:r w:rsidR="00651163" w:rsidRPr="375783EC">
        <w:rPr>
          <w:rFonts w:cs="Arial"/>
          <w:sz w:val="20"/>
          <w:szCs w:val="20"/>
        </w:rPr>
        <w:t xml:space="preserve">    </w:t>
      </w:r>
      <w:r w:rsidRPr="00651163">
        <w:rPr>
          <w:rFonts w:cs="Arial"/>
          <w:sz w:val="20"/>
          <w:szCs w:val="20"/>
        </w:rPr>
        <w:t>more than 1000 organisations</w:t>
      </w:r>
      <w:r w:rsidR="000A3E50" w:rsidRPr="375783EC">
        <w:rPr>
          <w:rFonts w:cs="Arial"/>
          <w:sz w:val="20"/>
          <w:szCs w:val="20"/>
        </w:rPr>
        <w:t xml:space="preserve"> across </w:t>
      </w:r>
      <w:r w:rsidR="000D174F" w:rsidRPr="375783EC">
        <w:rPr>
          <w:rFonts w:cs="Arial"/>
          <w:sz w:val="20"/>
          <w:szCs w:val="20"/>
        </w:rPr>
        <w:t xml:space="preserve">over 100 countries. Sessions included question and answer sessions to ensure that applicants had the support that they needed for their application. </w:t>
      </w:r>
      <w:r w:rsidR="000C321E" w:rsidRPr="375783EC">
        <w:rPr>
          <w:rFonts w:cs="Arial"/>
          <w:sz w:val="20"/>
          <w:szCs w:val="20"/>
        </w:rPr>
        <w:t xml:space="preserve">Based on applicant feedback surveys 94% of respondents reported that the OCEAN training that they attended was relevant and useful. </w:t>
      </w:r>
    </w:p>
    <w:p w14:paraId="3DD634E3" w14:textId="19CD36E6" w:rsidR="00C2775C" w:rsidRPr="00651163" w:rsidRDefault="00C2775C" w:rsidP="00C81FB4">
      <w:pPr>
        <w:spacing w:after="160" w:line="276" w:lineRule="auto"/>
        <w:jc w:val="both"/>
        <w:rPr>
          <w:rFonts w:cs="Arial"/>
          <w:bCs/>
          <w:sz w:val="20"/>
          <w:szCs w:val="22"/>
        </w:rPr>
      </w:pPr>
      <w:r>
        <w:rPr>
          <w:rFonts w:cs="Arial"/>
          <w:bCs/>
          <w:sz w:val="20"/>
          <w:szCs w:val="22"/>
        </w:rPr>
        <w:t>OCEAN developed and published five guidance documents to support applicants to develop strong proposals. These included a detailed Guidance Note for Applicants, Flexi-Grant Guidance, Finance Guidance,</w:t>
      </w:r>
      <w:r w:rsidR="00222E29">
        <w:rPr>
          <w:rFonts w:cs="Arial"/>
          <w:bCs/>
          <w:sz w:val="20"/>
          <w:szCs w:val="22"/>
        </w:rPr>
        <w:t xml:space="preserve"> Partnership Grant M</w:t>
      </w:r>
      <w:r w:rsidR="002F00CC">
        <w:rPr>
          <w:rFonts w:cs="Arial"/>
          <w:bCs/>
          <w:sz w:val="20"/>
          <w:szCs w:val="22"/>
        </w:rPr>
        <w:t>onitoring Evaluation and Learning (MEL)</w:t>
      </w:r>
      <w:r w:rsidR="00222E29">
        <w:rPr>
          <w:rFonts w:cs="Arial"/>
          <w:bCs/>
          <w:sz w:val="20"/>
          <w:szCs w:val="22"/>
        </w:rPr>
        <w:t xml:space="preserve"> Guidance and Community Grant MEL Guidance. Based on applicant feedback surveys 98% of respondents reported that they</w:t>
      </w:r>
      <w:r w:rsidR="0075408C">
        <w:rPr>
          <w:rFonts w:cs="Arial"/>
          <w:bCs/>
          <w:sz w:val="20"/>
          <w:szCs w:val="22"/>
        </w:rPr>
        <w:t xml:space="preserve"> found the guidance relevant and useful to assist with completion of their application. </w:t>
      </w:r>
    </w:p>
    <w:p w14:paraId="2EE05F36" w14:textId="6AEFF566" w:rsidR="009E1FF5" w:rsidRDefault="00CF13E7" w:rsidP="00456017">
      <w:pPr>
        <w:spacing w:after="160" w:line="276" w:lineRule="auto"/>
        <w:jc w:val="both"/>
        <w:rPr>
          <w:rFonts w:cs="Arial"/>
          <w:bCs/>
          <w:sz w:val="20"/>
          <w:szCs w:val="22"/>
        </w:rPr>
      </w:pPr>
      <w:r>
        <w:rPr>
          <w:rFonts w:cs="Arial"/>
          <w:bCs/>
          <w:sz w:val="20"/>
          <w:szCs w:val="22"/>
        </w:rPr>
        <w:t xml:space="preserve">The </w:t>
      </w:r>
      <w:r w:rsidR="00C87763">
        <w:rPr>
          <w:rFonts w:cs="Arial"/>
          <w:bCs/>
          <w:sz w:val="20"/>
          <w:szCs w:val="22"/>
        </w:rPr>
        <w:t xml:space="preserve">online </w:t>
      </w:r>
      <w:r>
        <w:rPr>
          <w:rFonts w:cs="Arial"/>
          <w:bCs/>
          <w:sz w:val="20"/>
          <w:szCs w:val="22"/>
        </w:rPr>
        <w:t>OCEAN helpdesk also provided further support</w:t>
      </w:r>
      <w:r w:rsidR="00733622">
        <w:rPr>
          <w:rFonts w:cs="Arial"/>
          <w:bCs/>
          <w:sz w:val="20"/>
          <w:szCs w:val="22"/>
        </w:rPr>
        <w:t xml:space="preserve"> providing </w:t>
      </w:r>
      <w:r w:rsidR="003E1230">
        <w:rPr>
          <w:rFonts w:cs="Arial"/>
          <w:bCs/>
          <w:sz w:val="20"/>
          <w:szCs w:val="22"/>
        </w:rPr>
        <w:t xml:space="preserve">fast responses to a variety of queries. Based on applicant feedback surveys 75% of applicants reported that they used the helpdesk, with 90% </w:t>
      </w:r>
      <w:r w:rsidR="007D7DC9">
        <w:rPr>
          <w:rFonts w:cs="Arial"/>
          <w:bCs/>
          <w:sz w:val="20"/>
          <w:szCs w:val="22"/>
        </w:rPr>
        <w:t xml:space="preserve">finding </w:t>
      </w:r>
      <w:r w:rsidR="001A71D1">
        <w:rPr>
          <w:rFonts w:cs="Arial"/>
          <w:bCs/>
          <w:sz w:val="20"/>
          <w:szCs w:val="22"/>
        </w:rPr>
        <w:t xml:space="preserve">it useful or very useful. From February </w:t>
      </w:r>
      <w:r w:rsidR="00604EEB">
        <w:rPr>
          <w:rFonts w:cs="Arial"/>
          <w:bCs/>
          <w:sz w:val="20"/>
          <w:szCs w:val="22"/>
        </w:rPr>
        <w:t>to</w:t>
      </w:r>
      <w:r w:rsidR="001A71D1">
        <w:rPr>
          <w:rFonts w:cs="Arial"/>
          <w:bCs/>
          <w:sz w:val="20"/>
          <w:szCs w:val="22"/>
        </w:rPr>
        <w:t xml:space="preserve"> June 2024 the Helpdesk team resolved 1446 unique queries. </w:t>
      </w:r>
    </w:p>
    <w:p w14:paraId="07B85953" w14:textId="42BA744B" w:rsidR="004C737D" w:rsidRDefault="006B01BE" w:rsidP="00456017">
      <w:pPr>
        <w:spacing w:after="160" w:line="276" w:lineRule="auto"/>
        <w:jc w:val="both"/>
        <w:rPr>
          <w:rFonts w:cs="Arial"/>
          <w:bCs/>
          <w:sz w:val="20"/>
          <w:szCs w:val="22"/>
        </w:rPr>
      </w:pPr>
      <w:r>
        <w:rPr>
          <w:rFonts w:cs="Arial"/>
          <w:bCs/>
          <w:sz w:val="20"/>
          <w:szCs w:val="22"/>
        </w:rPr>
        <w:t>Capability and capacity building is a</w:t>
      </w:r>
      <w:r w:rsidR="0019378D">
        <w:rPr>
          <w:rFonts w:cs="Arial"/>
          <w:bCs/>
          <w:sz w:val="20"/>
          <w:szCs w:val="22"/>
        </w:rPr>
        <w:t xml:space="preserve"> selection and scoring criteria utilised by the OCEAN Expert Committee when assessing </w:t>
      </w:r>
      <w:r w:rsidR="00A22EAC">
        <w:rPr>
          <w:rFonts w:cs="Arial"/>
          <w:bCs/>
          <w:sz w:val="20"/>
          <w:szCs w:val="22"/>
        </w:rPr>
        <w:t>proposals. We therefore anticipate a high proportion of OCEAN projects will provide guidance, training and/or support to communities once</w:t>
      </w:r>
      <w:r w:rsidR="00446A07">
        <w:rPr>
          <w:rFonts w:cs="Arial"/>
          <w:bCs/>
          <w:sz w:val="20"/>
          <w:szCs w:val="22"/>
        </w:rPr>
        <w:t xml:space="preserve"> Round 1</w:t>
      </w:r>
      <w:r w:rsidR="00A22EAC">
        <w:rPr>
          <w:rFonts w:cs="Arial"/>
          <w:bCs/>
          <w:sz w:val="20"/>
          <w:szCs w:val="22"/>
        </w:rPr>
        <w:t xml:space="preserve"> </w:t>
      </w:r>
      <w:proofErr w:type="gramStart"/>
      <w:r w:rsidR="00446A07">
        <w:rPr>
          <w:rFonts w:cs="Arial"/>
          <w:bCs/>
          <w:sz w:val="20"/>
          <w:szCs w:val="22"/>
        </w:rPr>
        <w:t>projects</w:t>
      </w:r>
      <w:proofErr w:type="gramEnd"/>
      <w:r w:rsidR="00446A07">
        <w:rPr>
          <w:rFonts w:cs="Arial"/>
          <w:bCs/>
          <w:sz w:val="20"/>
          <w:szCs w:val="22"/>
        </w:rPr>
        <w:t xml:space="preserve"> commence from </w:t>
      </w:r>
      <w:r w:rsidR="00604EEB">
        <w:rPr>
          <w:rFonts w:cs="Arial"/>
          <w:bCs/>
          <w:sz w:val="20"/>
          <w:szCs w:val="22"/>
        </w:rPr>
        <w:t>November</w:t>
      </w:r>
      <w:r w:rsidR="00446A07">
        <w:rPr>
          <w:rFonts w:cs="Arial"/>
          <w:bCs/>
          <w:sz w:val="20"/>
          <w:szCs w:val="22"/>
        </w:rPr>
        <w:t xml:space="preserve"> 2024. </w:t>
      </w:r>
    </w:p>
    <w:p w14:paraId="38236A82" w14:textId="74852FA2" w:rsidR="00446A07" w:rsidRPr="00A84A6A" w:rsidRDefault="00A84A6A" w:rsidP="00456017">
      <w:pPr>
        <w:spacing w:after="160" w:line="276" w:lineRule="auto"/>
        <w:jc w:val="both"/>
        <w:rPr>
          <w:rFonts w:cs="Arial"/>
          <w:b/>
          <w:sz w:val="20"/>
          <w:szCs w:val="22"/>
        </w:rPr>
      </w:pPr>
      <w:r w:rsidRPr="00A84A6A">
        <w:rPr>
          <w:rFonts w:cs="Arial"/>
          <w:b/>
          <w:sz w:val="20"/>
          <w:szCs w:val="22"/>
        </w:rPr>
        <w:t xml:space="preserve">Output 3: </w:t>
      </w:r>
      <w:r w:rsidRPr="00A84A6A">
        <w:rPr>
          <w:rFonts w:cs="Arial"/>
          <w:b/>
          <w:sz w:val="20"/>
          <w:szCs w:val="20"/>
        </w:rPr>
        <w:t>Networks, partnerships and learning processes are established, supporting knowledge and evidence exchange to address marine environment and poverty reduction challenges</w:t>
      </w:r>
    </w:p>
    <w:p w14:paraId="6B672E17" w14:textId="7E359CF5" w:rsidR="00446A07" w:rsidRDefault="000A016D" w:rsidP="00456017">
      <w:pPr>
        <w:spacing w:after="160" w:line="276" w:lineRule="auto"/>
        <w:jc w:val="both"/>
        <w:rPr>
          <w:sz w:val="20"/>
          <w:szCs w:val="20"/>
        </w:rPr>
      </w:pPr>
      <w:r>
        <w:rPr>
          <w:rFonts w:cs="Arial"/>
          <w:bCs/>
          <w:sz w:val="20"/>
          <w:szCs w:val="22"/>
        </w:rPr>
        <w:t>This</w:t>
      </w:r>
      <w:r w:rsidR="00475702">
        <w:rPr>
          <w:rFonts w:cs="Arial"/>
          <w:bCs/>
          <w:sz w:val="20"/>
          <w:szCs w:val="22"/>
        </w:rPr>
        <w:t xml:space="preserve"> first</w:t>
      </w:r>
      <w:r w:rsidR="00C36828">
        <w:rPr>
          <w:rFonts w:cs="Arial"/>
          <w:bCs/>
          <w:sz w:val="20"/>
          <w:szCs w:val="22"/>
        </w:rPr>
        <w:t xml:space="preserve"> </w:t>
      </w:r>
      <w:r>
        <w:rPr>
          <w:rFonts w:cs="Arial"/>
          <w:bCs/>
          <w:sz w:val="20"/>
          <w:szCs w:val="22"/>
        </w:rPr>
        <w:t>year</w:t>
      </w:r>
      <w:r w:rsidR="00C234A6">
        <w:rPr>
          <w:rFonts w:cs="Arial"/>
          <w:bCs/>
          <w:sz w:val="20"/>
          <w:szCs w:val="22"/>
        </w:rPr>
        <w:t xml:space="preserve"> has focused on establishing netw</w:t>
      </w:r>
      <w:r w:rsidR="00D76CFF">
        <w:rPr>
          <w:rFonts w:cs="Arial"/>
          <w:bCs/>
          <w:sz w:val="20"/>
          <w:szCs w:val="22"/>
        </w:rPr>
        <w:t>orks, partnerships and learning processes</w:t>
      </w:r>
      <w:r w:rsidR="00475702">
        <w:rPr>
          <w:rFonts w:cs="Arial"/>
          <w:bCs/>
          <w:sz w:val="20"/>
          <w:szCs w:val="22"/>
        </w:rPr>
        <w:t>.</w:t>
      </w:r>
      <w:r>
        <w:rPr>
          <w:rFonts w:cs="Arial"/>
          <w:bCs/>
          <w:sz w:val="20"/>
          <w:szCs w:val="22"/>
        </w:rPr>
        <w:t xml:space="preserve"> </w:t>
      </w:r>
      <w:r w:rsidR="00475702">
        <w:rPr>
          <w:rFonts w:cs="Arial"/>
          <w:bCs/>
          <w:sz w:val="20"/>
          <w:szCs w:val="22"/>
        </w:rPr>
        <w:t xml:space="preserve">In the past year </w:t>
      </w:r>
      <w:r>
        <w:rPr>
          <w:rFonts w:cs="Arial"/>
          <w:bCs/>
          <w:sz w:val="20"/>
          <w:szCs w:val="22"/>
        </w:rPr>
        <w:t>OCEAN has been endorsed by the UN Ocean Decade, the OCEAN Grants Community group has been established on the UN Ocean Decade Network and 55 members have joined to date.</w:t>
      </w:r>
      <w:r w:rsidR="00475702">
        <w:rPr>
          <w:rFonts w:cs="Arial"/>
          <w:bCs/>
          <w:sz w:val="20"/>
          <w:szCs w:val="22"/>
        </w:rPr>
        <w:t xml:space="preserve"> </w:t>
      </w:r>
      <w:r w:rsidR="00475702">
        <w:rPr>
          <w:sz w:val="20"/>
          <w:szCs w:val="20"/>
        </w:rPr>
        <w:t>Th</w:t>
      </w:r>
      <w:r w:rsidR="00EB263E">
        <w:rPr>
          <w:sz w:val="20"/>
          <w:szCs w:val="20"/>
        </w:rPr>
        <w:t>ere is further work to be done on continuing to build the</w:t>
      </w:r>
      <w:r w:rsidR="00475702">
        <w:rPr>
          <w:sz w:val="20"/>
          <w:szCs w:val="20"/>
        </w:rPr>
        <w:t xml:space="preserve"> </w:t>
      </w:r>
      <w:r w:rsidR="00EB263E">
        <w:rPr>
          <w:sz w:val="20"/>
          <w:szCs w:val="20"/>
        </w:rPr>
        <w:t>OCEAN Grants Community Group</w:t>
      </w:r>
      <w:r w:rsidR="00475702">
        <w:rPr>
          <w:sz w:val="20"/>
          <w:szCs w:val="20"/>
        </w:rPr>
        <w:t xml:space="preserve"> with a focus on creating a community with dedicated learning sessions for OCEAN grantee</w:t>
      </w:r>
      <w:r w:rsidR="00876566">
        <w:rPr>
          <w:sz w:val="20"/>
          <w:szCs w:val="20"/>
        </w:rPr>
        <w:t xml:space="preserve">s and encouraging peer to peer networking. </w:t>
      </w:r>
    </w:p>
    <w:p w14:paraId="67C0F7DF" w14:textId="016CEF9C" w:rsidR="004E7646" w:rsidRDefault="006F50BC" w:rsidP="00456017">
      <w:pPr>
        <w:spacing w:after="160" w:line="276" w:lineRule="auto"/>
        <w:jc w:val="both"/>
        <w:rPr>
          <w:sz w:val="20"/>
          <w:szCs w:val="20"/>
        </w:rPr>
      </w:pPr>
      <w:proofErr w:type="gramStart"/>
      <w:r>
        <w:rPr>
          <w:sz w:val="20"/>
          <w:szCs w:val="20"/>
        </w:rPr>
        <w:t>A number of</w:t>
      </w:r>
      <w:proofErr w:type="gramEnd"/>
      <w:r w:rsidR="00E76018">
        <w:rPr>
          <w:sz w:val="20"/>
          <w:szCs w:val="20"/>
        </w:rPr>
        <w:t xml:space="preserve"> internal and external</w:t>
      </w:r>
      <w:r w:rsidR="00EB3F21">
        <w:rPr>
          <w:sz w:val="20"/>
          <w:szCs w:val="20"/>
        </w:rPr>
        <w:t xml:space="preserve"> learning processes have been established over the past year</w:t>
      </w:r>
      <w:r w:rsidR="00480955">
        <w:rPr>
          <w:sz w:val="20"/>
          <w:szCs w:val="20"/>
        </w:rPr>
        <w:t>, including</w:t>
      </w:r>
      <w:r w:rsidR="00AE6FBF">
        <w:rPr>
          <w:sz w:val="20"/>
          <w:szCs w:val="20"/>
        </w:rPr>
        <w:t xml:space="preserve"> the below in </w:t>
      </w:r>
      <w:r w:rsidR="00F30078">
        <w:rPr>
          <w:sz w:val="20"/>
          <w:szCs w:val="20"/>
        </w:rPr>
        <w:t>T</w:t>
      </w:r>
      <w:r w:rsidR="00AE6FBF">
        <w:rPr>
          <w:sz w:val="20"/>
          <w:szCs w:val="20"/>
        </w:rPr>
        <w:t xml:space="preserve">able </w:t>
      </w:r>
      <w:r w:rsidR="00F30078">
        <w:rPr>
          <w:sz w:val="20"/>
          <w:szCs w:val="20"/>
        </w:rPr>
        <w:t>1</w:t>
      </w:r>
      <w:r w:rsidR="00AE6FBF">
        <w:rPr>
          <w:sz w:val="20"/>
          <w:szCs w:val="20"/>
        </w:rPr>
        <w:t>.</w:t>
      </w:r>
    </w:p>
    <w:p w14:paraId="2CC02F8D" w14:textId="158EA6A9" w:rsidR="00AE6FBF" w:rsidRPr="00AE6FBF" w:rsidRDefault="00AE6FBF" w:rsidP="00456017">
      <w:pPr>
        <w:spacing w:after="160" w:line="276" w:lineRule="auto"/>
        <w:jc w:val="both"/>
        <w:rPr>
          <w:b/>
          <w:bCs/>
          <w:sz w:val="20"/>
          <w:szCs w:val="20"/>
        </w:rPr>
      </w:pPr>
      <w:r w:rsidRPr="00AE6FBF">
        <w:rPr>
          <w:b/>
          <w:bCs/>
          <w:sz w:val="20"/>
          <w:szCs w:val="20"/>
        </w:rPr>
        <w:t xml:space="preserve">Table </w:t>
      </w:r>
      <w:r w:rsidR="00F30078">
        <w:rPr>
          <w:b/>
          <w:bCs/>
          <w:sz w:val="20"/>
          <w:szCs w:val="20"/>
        </w:rPr>
        <w:t>1</w:t>
      </w:r>
      <w:r w:rsidRPr="00AE6FBF">
        <w:rPr>
          <w:b/>
          <w:bCs/>
          <w:sz w:val="20"/>
          <w:szCs w:val="20"/>
        </w:rPr>
        <w:t>: List of internal and external learning processes</w:t>
      </w:r>
    </w:p>
    <w:tbl>
      <w:tblPr>
        <w:tblStyle w:val="TableGrid"/>
        <w:tblW w:w="0" w:type="auto"/>
        <w:tblLook w:val="04A0" w:firstRow="1" w:lastRow="0" w:firstColumn="1" w:lastColumn="0" w:noHBand="0" w:noVBand="1"/>
      </w:tblPr>
      <w:tblGrid>
        <w:gridCol w:w="4508"/>
        <w:gridCol w:w="4508"/>
      </w:tblGrid>
      <w:tr w:rsidR="00E4790D" w14:paraId="73119A7E" w14:textId="77777777" w:rsidTr="00E4790D">
        <w:tc>
          <w:tcPr>
            <w:tcW w:w="4508" w:type="dxa"/>
          </w:tcPr>
          <w:p w14:paraId="74E66405" w14:textId="321DE4ED" w:rsidR="00E4790D" w:rsidRPr="00B5335E" w:rsidRDefault="00E4790D" w:rsidP="00456017">
            <w:pPr>
              <w:spacing w:after="160" w:line="276" w:lineRule="auto"/>
              <w:jc w:val="both"/>
              <w:rPr>
                <w:b/>
                <w:bCs/>
                <w:sz w:val="20"/>
                <w:szCs w:val="20"/>
              </w:rPr>
            </w:pPr>
            <w:r w:rsidRPr="00B5335E">
              <w:rPr>
                <w:b/>
                <w:bCs/>
                <w:sz w:val="20"/>
                <w:szCs w:val="20"/>
              </w:rPr>
              <w:t>Internal</w:t>
            </w:r>
          </w:p>
        </w:tc>
        <w:tc>
          <w:tcPr>
            <w:tcW w:w="4508" w:type="dxa"/>
          </w:tcPr>
          <w:p w14:paraId="4597FEAA" w14:textId="389DEC3E" w:rsidR="00E4790D" w:rsidRPr="00B5335E" w:rsidRDefault="00E4790D" w:rsidP="00456017">
            <w:pPr>
              <w:spacing w:after="160" w:line="276" w:lineRule="auto"/>
              <w:jc w:val="both"/>
              <w:rPr>
                <w:b/>
                <w:bCs/>
                <w:sz w:val="20"/>
                <w:szCs w:val="20"/>
              </w:rPr>
            </w:pPr>
            <w:r w:rsidRPr="00B5335E">
              <w:rPr>
                <w:b/>
                <w:bCs/>
                <w:sz w:val="20"/>
                <w:szCs w:val="20"/>
              </w:rPr>
              <w:t>External</w:t>
            </w:r>
          </w:p>
        </w:tc>
      </w:tr>
      <w:tr w:rsidR="00E4790D" w14:paraId="423945C3" w14:textId="77777777" w:rsidTr="00E4790D">
        <w:tc>
          <w:tcPr>
            <w:tcW w:w="4508" w:type="dxa"/>
          </w:tcPr>
          <w:p w14:paraId="0560D2B5" w14:textId="70713A28" w:rsidR="00E4790D" w:rsidRPr="00E4790D" w:rsidRDefault="00E4790D" w:rsidP="00E4790D">
            <w:pPr>
              <w:spacing w:after="160" w:line="276" w:lineRule="auto"/>
              <w:rPr>
                <w:rFonts w:cs="Arial"/>
                <w:sz w:val="20"/>
              </w:rPr>
            </w:pPr>
            <w:r w:rsidRPr="00E4790D">
              <w:rPr>
                <w:rFonts w:cs="Arial"/>
                <w:sz w:val="20"/>
              </w:rPr>
              <w:t>Communication &amp; Engagement Framework developed that outlines strategy for evidence and learning sharing</w:t>
            </w:r>
          </w:p>
        </w:tc>
        <w:tc>
          <w:tcPr>
            <w:tcW w:w="4508" w:type="dxa"/>
          </w:tcPr>
          <w:p w14:paraId="6E8011D7" w14:textId="6F55D541" w:rsidR="00E4790D" w:rsidRDefault="00E4790D" w:rsidP="00B5335E">
            <w:pPr>
              <w:spacing w:after="160" w:line="276" w:lineRule="auto"/>
              <w:rPr>
                <w:sz w:val="20"/>
                <w:szCs w:val="20"/>
              </w:rPr>
            </w:pPr>
            <w:r w:rsidRPr="00E4790D">
              <w:rPr>
                <w:rFonts w:cs="Arial"/>
                <w:sz w:val="20"/>
              </w:rPr>
              <w:t>Monthly meetings with Biodiversity Challenge Funds team established</w:t>
            </w:r>
          </w:p>
        </w:tc>
      </w:tr>
      <w:tr w:rsidR="00E4790D" w14:paraId="1E5EC6EF" w14:textId="77777777" w:rsidTr="00E4790D">
        <w:tc>
          <w:tcPr>
            <w:tcW w:w="4508" w:type="dxa"/>
          </w:tcPr>
          <w:p w14:paraId="0C8CAD17" w14:textId="483D847E" w:rsidR="00E4790D" w:rsidRPr="00E4790D" w:rsidRDefault="00E4790D" w:rsidP="00E4790D">
            <w:pPr>
              <w:spacing w:after="160" w:line="276" w:lineRule="auto"/>
              <w:rPr>
                <w:rFonts w:cs="Arial"/>
                <w:sz w:val="20"/>
              </w:rPr>
            </w:pPr>
            <w:r w:rsidRPr="00E4790D">
              <w:rPr>
                <w:rFonts w:cs="Arial"/>
                <w:sz w:val="20"/>
              </w:rPr>
              <w:t>MEL Framework that outlines strategy for generating evidence developed</w:t>
            </w:r>
          </w:p>
        </w:tc>
        <w:tc>
          <w:tcPr>
            <w:tcW w:w="4508" w:type="dxa"/>
          </w:tcPr>
          <w:p w14:paraId="0BD8FC96" w14:textId="10405BE2" w:rsidR="00E4790D" w:rsidRDefault="00E4790D" w:rsidP="00B5335E">
            <w:pPr>
              <w:rPr>
                <w:sz w:val="20"/>
                <w:szCs w:val="20"/>
              </w:rPr>
            </w:pPr>
            <w:r>
              <w:rPr>
                <w:sz w:val="20"/>
                <w:szCs w:val="20"/>
              </w:rPr>
              <w:t>Cro</w:t>
            </w:r>
            <w:r>
              <w:rPr>
                <w:rFonts w:cs="Arial"/>
                <w:sz w:val="20"/>
              </w:rPr>
              <w:t xml:space="preserve">ss-programme learning established between </w:t>
            </w:r>
            <w:r w:rsidR="00A712F0">
              <w:rPr>
                <w:rFonts w:cs="Arial"/>
                <w:sz w:val="20"/>
              </w:rPr>
              <w:t>Ocean Country Partnership Programme (</w:t>
            </w:r>
            <w:r>
              <w:rPr>
                <w:rFonts w:cs="Arial"/>
                <w:sz w:val="20"/>
              </w:rPr>
              <w:t>OCPP</w:t>
            </w:r>
            <w:r w:rsidR="00A712F0">
              <w:rPr>
                <w:rFonts w:cs="Arial"/>
                <w:sz w:val="20"/>
              </w:rPr>
              <w:t>)</w:t>
            </w:r>
            <w:r>
              <w:rPr>
                <w:rFonts w:cs="Arial"/>
                <w:sz w:val="20"/>
              </w:rPr>
              <w:t xml:space="preserve"> and OCEAN with </w:t>
            </w:r>
            <w:r w:rsidRPr="00BA2095">
              <w:rPr>
                <w:rFonts w:cs="Arial"/>
                <w:sz w:val="20"/>
                <w:szCs w:val="20"/>
              </w:rPr>
              <w:t xml:space="preserve">OCEAN MEL Director &amp; OCEAN Communications and Engagement Manager </w:t>
            </w:r>
            <w:r>
              <w:rPr>
                <w:rFonts w:cs="Arial"/>
                <w:sz w:val="20"/>
              </w:rPr>
              <w:t>working across both programmes</w:t>
            </w:r>
          </w:p>
        </w:tc>
      </w:tr>
      <w:tr w:rsidR="00E4790D" w14:paraId="29B14353" w14:textId="77777777" w:rsidTr="00E4790D">
        <w:tc>
          <w:tcPr>
            <w:tcW w:w="4508" w:type="dxa"/>
          </w:tcPr>
          <w:p w14:paraId="01A43392" w14:textId="4658E943" w:rsidR="00E4790D" w:rsidRPr="00E4790D" w:rsidRDefault="00E4790D" w:rsidP="00E4790D">
            <w:pPr>
              <w:spacing w:after="160" w:line="276" w:lineRule="auto"/>
              <w:rPr>
                <w:rFonts w:cs="Arial"/>
                <w:sz w:val="20"/>
              </w:rPr>
            </w:pPr>
            <w:r w:rsidRPr="00E4790D">
              <w:rPr>
                <w:rFonts w:cs="Arial"/>
                <w:sz w:val="20"/>
              </w:rPr>
              <w:lastRenderedPageBreak/>
              <w:t>Learning approach that outlines processes for learning at programme &amp; portfolio level developed</w:t>
            </w:r>
          </w:p>
        </w:tc>
        <w:tc>
          <w:tcPr>
            <w:tcW w:w="4508" w:type="dxa"/>
          </w:tcPr>
          <w:p w14:paraId="63BB5DC0" w14:textId="2F7DEAF1" w:rsidR="00E4790D" w:rsidRPr="00BA2095" w:rsidRDefault="00E4790D" w:rsidP="00E4790D">
            <w:pPr>
              <w:rPr>
                <w:rFonts w:cs="Arial"/>
                <w:sz w:val="20"/>
                <w:szCs w:val="20"/>
              </w:rPr>
            </w:pPr>
            <w:r w:rsidRPr="00BA2095">
              <w:rPr>
                <w:rFonts w:cs="Arial"/>
                <w:sz w:val="20"/>
                <w:szCs w:val="20"/>
              </w:rPr>
              <w:t xml:space="preserve">OCEAN MEL </w:t>
            </w:r>
            <w:r>
              <w:rPr>
                <w:rFonts w:cs="Arial"/>
                <w:sz w:val="20"/>
                <w:szCs w:val="20"/>
              </w:rPr>
              <w:t>team membership o</w:t>
            </w:r>
            <w:r w:rsidR="0023222A">
              <w:rPr>
                <w:rFonts w:cs="Arial"/>
                <w:sz w:val="20"/>
                <w:szCs w:val="20"/>
              </w:rPr>
              <w:t>f</w:t>
            </w:r>
            <w:r>
              <w:rPr>
                <w:rFonts w:cs="Arial"/>
                <w:sz w:val="20"/>
              </w:rPr>
              <w:t xml:space="preserve"> the</w:t>
            </w:r>
            <w:r w:rsidRPr="00BA2095">
              <w:rPr>
                <w:rFonts w:cs="Arial"/>
                <w:sz w:val="20"/>
                <w:szCs w:val="20"/>
              </w:rPr>
              <w:t xml:space="preserve"> Blue Planet Fund MEL Steering Group</w:t>
            </w:r>
            <w:r>
              <w:rPr>
                <w:rFonts w:cs="Arial"/>
                <w:sz w:val="20"/>
              </w:rPr>
              <w:t>.</w:t>
            </w:r>
          </w:p>
          <w:p w14:paraId="135B1E97" w14:textId="77777777" w:rsidR="00E4790D" w:rsidRDefault="00E4790D" w:rsidP="00456017">
            <w:pPr>
              <w:spacing w:after="160" w:line="276" w:lineRule="auto"/>
              <w:jc w:val="both"/>
              <w:rPr>
                <w:sz w:val="20"/>
                <w:szCs w:val="20"/>
              </w:rPr>
            </w:pPr>
          </w:p>
        </w:tc>
      </w:tr>
      <w:tr w:rsidR="00E4790D" w14:paraId="36F3A79D" w14:textId="77777777" w:rsidTr="00E4790D">
        <w:tc>
          <w:tcPr>
            <w:tcW w:w="4508" w:type="dxa"/>
          </w:tcPr>
          <w:p w14:paraId="01F0DE55" w14:textId="03B6EAEC" w:rsidR="00E4790D" w:rsidRPr="00E4790D" w:rsidRDefault="003E4B25" w:rsidP="00E4790D">
            <w:pPr>
              <w:spacing w:after="160" w:line="276" w:lineRule="auto"/>
              <w:rPr>
                <w:rFonts w:cs="Arial"/>
                <w:sz w:val="20"/>
              </w:rPr>
            </w:pPr>
            <w:r w:rsidRPr="003E4B25">
              <w:rPr>
                <w:rFonts w:cs="Arial"/>
                <w:sz w:val="20"/>
              </w:rPr>
              <w:t>Internal ‘Recommendations tracker’ created to continuously add feedback/suggestions from the team or from other stakeholders, which is reviewed monthly to decide on what to action or reject</w:t>
            </w:r>
          </w:p>
        </w:tc>
        <w:tc>
          <w:tcPr>
            <w:tcW w:w="4508" w:type="dxa"/>
          </w:tcPr>
          <w:p w14:paraId="0525A46D" w14:textId="0BB08236" w:rsidR="003E4B25" w:rsidRPr="003E4B25" w:rsidRDefault="003E4B25" w:rsidP="003E4B25">
            <w:pPr>
              <w:spacing w:after="160" w:line="276" w:lineRule="auto"/>
              <w:rPr>
                <w:rFonts w:cs="Arial"/>
                <w:sz w:val="20"/>
              </w:rPr>
            </w:pPr>
            <w:r w:rsidRPr="003E4B25">
              <w:rPr>
                <w:rFonts w:cs="Arial"/>
                <w:sz w:val="20"/>
              </w:rPr>
              <w:t xml:space="preserve">OCEAN Expert Committee Strategy </w:t>
            </w:r>
            <w:r w:rsidR="000E4786">
              <w:rPr>
                <w:rFonts w:cs="Arial"/>
                <w:sz w:val="20"/>
              </w:rPr>
              <w:t>D</w:t>
            </w:r>
            <w:r w:rsidRPr="003E4B25">
              <w:rPr>
                <w:rFonts w:cs="Arial"/>
                <w:sz w:val="20"/>
              </w:rPr>
              <w:t>ay established to share evidence and learnings at the end of the application round</w:t>
            </w:r>
          </w:p>
          <w:p w14:paraId="108E1CCD" w14:textId="77777777" w:rsidR="00E4790D" w:rsidRDefault="00E4790D" w:rsidP="00456017">
            <w:pPr>
              <w:spacing w:after="160" w:line="276" w:lineRule="auto"/>
              <w:jc w:val="both"/>
              <w:rPr>
                <w:sz w:val="20"/>
                <w:szCs w:val="20"/>
              </w:rPr>
            </w:pPr>
          </w:p>
        </w:tc>
      </w:tr>
      <w:tr w:rsidR="003E4B25" w14:paraId="4B88783B" w14:textId="77777777" w:rsidTr="00E4790D">
        <w:tc>
          <w:tcPr>
            <w:tcW w:w="4508" w:type="dxa"/>
          </w:tcPr>
          <w:p w14:paraId="32DB4C13" w14:textId="2AC5DF58" w:rsidR="003E4B25" w:rsidRPr="00E4790D" w:rsidRDefault="003E4B25" w:rsidP="00E4790D">
            <w:pPr>
              <w:spacing w:after="160" w:line="276" w:lineRule="auto"/>
              <w:rPr>
                <w:rFonts w:cs="Arial"/>
                <w:sz w:val="20"/>
              </w:rPr>
            </w:pPr>
            <w:r w:rsidRPr="003E4B25">
              <w:rPr>
                <w:rFonts w:cs="Arial"/>
                <w:sz w:val="20"/>
              </w:rPr>
              <w:t>Monthly Information Management Meetings established to review monthly dashboard data on applications, communications and engagement.</w:t>
            </w:r>
          </w:p>
        </w:tc>
        <w:tc>
          <w:tcPr>
            <w:tcW w:w="4508" w:type="dxa"/>
          </w:tcPr>
          <w:p w14:paraId="2202411B" w14:textId="61E44041" w:rsidR="003E4B25" w:rsidRPr="003E4B25" w:rsidRDefault="007156D9" w:rsidP="003E4B25">
            <w:pPr>
              <w:spacing w:after="160" w:line="276" w:lineRule="auto"/>
              <w:rPr>
                <w:rFonts w:cs="Arial"/>
                <w:sz w:val="20"/>
              </w:rPr>
            </w:pPr>
            <w:r>
              <w:rPr>
                <w:rFonts w:cs="Arial"/>
                <w:sz w:val="20"/>
              </w:rPr>
              <w:t xml:space="preserve">Quarterly </w:t>
            </w:r>
            <w:r w:rsidR="003E4B25">
              <w:rPr>
                <w:rFonts w:cs="Arial"/>
                <w:sz w:val="20"/>
              </w:rPr>
              <w:t xml:space="preserve">meetings with </w:t>
            </w:r>
            <w:r w:rsidR="00DE6F3D">
              <w:rPr>
                <w:rFonts w:cs="Arial"/>
                <w:sz w:val="20"/>
              </w:rPr>
              <w:t>Global Centre on Biodiversity for Climate (</w:t>
            </w:r>
            <w:r w:rsidR="003E4B25">
              <w:rPr>
                <w:rFonts w:cs="Arial"/>
                <w:sz w:val="20"/>
              </w:rPr>
              <w:t>GCBC</w:t>
            </w:r>
            <w:r w:rsidR="00DE6F3D">
              <w:rPr>
                <w:rFonts w:cs="Arial"/>
                <w:sz w:val="20"/>
              </w:rPr>
              <w:t>)</w:t>
            </w:r>
            <w:r w:rsidR="003E4B25">
              <w:rPr>
                <w:rFonts w:cs="Arial"/>
                <w:sz w:val="20"/>
              </w:rPr>
              <w:t xml:space="preserve"> team established</w:t>
            </w:r>
          </w:p>
        </w:tc>
      </w:tr>
      <w:tr w:rsidR="003E4B25" w14:paraId="3DEA1E0B" w14:textId="77777777" w:rsidTr="00E4790D">
        <w:tc>
          <w:tcPr>
            <w:tcW w:w="4508" w:type="dxa"/>
          </w:tcPr>
          <w:p w14:paraId="1C0D7560" w14:textId="4C3B8C25" w:rsidR="003E4B25" w:rsidRPr="003E4B25" w:rsidRDefault="003E4B25" w:rsidP="003E4B25">
            <w:pPr>
              <w:spacing w:after="160" w:line="276" w:lineRule="auto"/>
              <w:rPr>
                <w:rFonts w:cs="Arial"/>
                <w:sz w:val="20"/>
              </w:rPr>
            </w:pPr>
            <w:r w:rsidRPr="003E4B25">
              <w:rPr>
                <w:rFonts w:cs="Arial"/>
                <w:sz w:val="20"/>
              </w:rPr>
              <w:t>Learning and reflections sessions embedded into quarterly meetings and post-application rounds</w:t>
            </w:r>
          </w:p>
        </w:tc>
        <w:tc>
          <w:tcPr>
            <w:tcW w:w="4508" w:type="dxa"/>
          </w:tcPr>
          <w:p w14:paraId="4B5CB074" w14:textId="2151C912" w:rsidR="003E4B25" w:rsidRPr="003E4B25" w:rsidRDefault="003E4B25" w:rsidP="003E4B25">
            <w:pPr>
              <w:spacing w:after="160" w:line="276" w:lineRule="auto"/>
              <w:rPr>
                <w:rFonts w:cs="Arial"/>
                <w:sz w:val="20"/>
              </w:rPr>
            </w:pPr>
            <w:r w:rsidRPr="003E4B25">
              <w:rPr>
                <w:rFonts w:cs="Arial"/>
                <w:sz w:val="20"/>
              </w:rPr>
              <w:t xml:space="preserve">OCEAN </w:t>
            </w:r>
            <w:r w:rsidR="00B5335E">
              <w:rPr>
                <w:rFonts w:cs="Arial"/>
                <w:sz w:val="20"/>
              </w:rPr>
              <w:t>membership of the</w:t>
            </w:r>
            <w:r w:rsidRPr="003E4B25">
              <w:rPr>
                <w:rFonts w:cs="Arial"/>
                <w:sz w:val="20"/>
              </w:rPr>
              <w:t xml:space="preserve"> Conservation Leadership Community of Practice</w:t>
            </w:r>
          </w:p>
        </w:tc>
      </w:tr>
    </w:tbl>
    <w:p w14:paraId="38DAC2C2" w14:textId="3394668E" w:rsidR="00A412F5" w:rsidRDefault="00A412F5" w:rsidP="00B5335E">
      <w:pPr>
        <w:spacing w:after="160" w:line="276" w:lineRule="auto"/>
        <w:rPr>
          <w:rFonts w:cs="Arial"/>
          <w:sz w:val="20"/>
        </w:rPr>
      </w:pPr>
    </w:p>
    <w:p w14:paraId="2BD5766E" w14:textId="6043CAAB" w:rsidR="006411F0" w:rsidRDefault="00100B77" w:rsidP="00B5335E">
      <w:pPr>
        <w:spacing w:after="160" w:line="276" w:lineRule="auto"/>
        <w:rPr>
          <w:rFonts w:cs="Arial"/>
          <w:sz w:val="20"/>
        </w:rPr>
      </w:pPr>
      <w:r>
        <w:rPr>
          <w:rFonts w:cs="Arial"/>
          <w:sz w:val="20"/>
        </w:rPr>
        <w:t>T</w:t>
      </w:r>
      <w:r w:rsidR="00EF153D">
        <w:rPr>
          <w:rFonts w:cs="Arial"/>
          <w:sz w:val="20"/>
        </w:rPr>
        <w:t>his year three evidence pieces have been produced that can be shared with other existing HMG Challenge Funds and Blue Planet Fund programmes. These are:</w:t>
      </w:r>
    </w:p>
    <w:p w14:paraId="05B6BB75" w14:textId="3CF3D047" w:rsidR="00EF153D" w:rsidRDefault="00EF153D" w:rsidP="00AD1823">
      <w:pPr>
        <w:pStyle w:val="ListParagraph"/>
        <w:numPr>
          <w:ilvl w:val="0"/>
          <w:numId w:val="13"/>
        </w:numPr>
        <w:spacing w:after="160" w:line="276" w:lineRule="auto"/>
        <w:rPr>
          <w:rFonts w:cs="Arial"/>
          <w:sz w:val="20"/>
        </w:rPr>
      </w:pPr>
      <w:r>
        <w:rPr>
          <w:rFonts w:cs="Arial"/>
          <w:sz w:val="20"/>
        </w:rPr>
        <w:t>Community and Grants Stakeholder Engagement: A review of the enablers and barriers to accessing funds</w:t>
      </w:r>
    </w:p>
    <w:p w14:paraId="7C3C85E1" w14:textId="403A2979" w:rsidR="00EF153D" w:rsidRDefault="00EF153D" w:rsidP="00AD1823">
      <w:pPr>
        <w:pStyle w:val="ListParagraph"/>
        <w:numPr>
          <w:ilvl w:val="0"/>
          <w:numId w:val="13"/>
        </w:numPr>
        <w:spacing w:after="160" w:line="276" w:lineRule="auto"/>
        <w:rPr>
          <w:rFonts w:cs="Arial"/>
          <w:sz w:val="20"/>
        </w:rPr>
      </w:pPr>
      <w:r>
        <w:rPr>
          <w:rFonts w:cs="Arial"/>
          <w:sz w:val="20"/>
        </w:rPr>
        <w:t>Review of Eligibility Criteria at Round 1: Analysis of eligibility, compliance and recommendations</w:t>
      </w:r>
    </w:p>
    <w:p w14:paraId="054CF063" w14:textId="63C70590" w:rsidR="00EF153D" w:rsidRPr="00EF153D" w:rsidRDefault="00EF153D" w:rsidP="00AD1823">
      <w:pPr>
        <w:pStyle w:val="ListParagraph"/>
        <w:numPr>
          <w:ilvl w:val="0"/>
          <w:numId w:val="13"/>
        </w:numPr>
        <w:spacing w:after="160" w:line="276" w:lineRule="auto"/>
        <w:rPr>
          <w:rFonts w:cs="Arial"/>
          <w:sz w:val="20"/>
        </w:rPr>
      </w:pPr>
      <w:r>
        <w:rPr>
          <w:rFonts w:cs="Arial"/>
          <w:sz w:val="20"/>
        </w:rPr>
        <w:t>OCEAN Round 1 Reflections</w:t>
      </w:r>
    </w:p>
    <w:p w14:paraId="407C946E" w14:textId="77777777" w:rsidR="005D3954" w:rsidRPr="00A73B10" w:rsidRDefault="005D3954" w:rsidP="00456017">
      <w:pPr>
        <w:spacing w:after="160" w:line="276" w:lineRule="auto"/>
        <w:jc w:val="both"/>
        <w:rPr>
          <w:rFonts w:cs="Arial"/>
          <w:bCs/>
          <w:sz w:val="20"/>
          <w:szCs w:val="22"/>
        </w:rPr>
      </w:pPr>
    </w:p>
    <w:p w14:paraId="08F84E31" w14:textId="26746AB0" w:rsidR="006F3AE7" w:rsidRDefault="69F79B9E" w:rsidP="008900DC">
      <w:pPr>
        <w:spacing w:after="160" w:line="276" w:lineRule="auto"/>
        <w:jc w:val="both"/>
        <w:rPr>
          <w:rFonts w:cs="Arial"/>
          <w:sz w:val="20"/>
          <w:szCs w:val="20"/>
        </w:rPr>
      </w:pPr>
      <w:r w:rsidRPr="2350498C">
        <w:rPr>
          <w:b/>
          <w:bCs/>
          <w:sz w:val="22"/>
          <w:szCs w:val="22"/>
        </w:rPr>
        <w:t xml:space="preserve">C2. </w:t>
      </w:r>
      <w:r w:rsidR="006F3AE7" w:rsidRPr="2350498C">
        <w:rPr>
          <w:b/>
          <w:bCs/>
          <w:sz w:val="22"/>
          <w:szCs w:val="22"/>
        </w:rPr>
        <w:t>Describe any changes</w:t>
      </w:r>
      <w:r w:rsidR="00EC3141" w:rsidRPr="2350498C">
        <w:rPr>
          <w:b/>
          <w:bCs/>
          <w:sz w:val="22"/>
          <w:szCs w:val="22"/>
        </w:rPr>
        <w:t xml:space="preserve"> to</w:t>
      </w:r>
      <w:r w:rsidR="006F3AE7" w:rsidRPr="2350498C">
        <w:rPr>
          <w:b/>
          <w:bCs/>
          <w:sz w:val="22"/>
          <w:szCs w:val="22"/>
        </w:rPr>
        <w:t xml:space="preserve"> this output</w:t>
      </w:r>
      <w:r w:rsidR="00EC3141" w:rsidRPr="2350498C">
        <w:rPr>
          <w:b/>
          <w:bCs/>
          <w:sz w:val="22"/>
          <w:szCs w:val="22"/>
        </w:rPr>
        <w:t xml:space="preserve"> during the past year</w:t>
      </w:r>
      <w:r w:rsidR="006F3AE7" w:rsidRPr="2350498C">
        <w:rPr>
          <w:b/>
          <w:bCs/>
          <w:sz w:val="22"/>
          <w:szCs w:val="22"/>
        </w:rPr>
        <w:t xml:space="preserve">, and any planned changes </w:t>
      </w:r>
      <w:proofErr w:type="gramStart"/>
      <w:r w:rsidR="006F3AE7" w:rsidRPr="2350498C">
        <w:rPr>
          <w:b/>
          <w:bCs/>
          <w:sz w:val="22"/>
          <w:szCs w:val="22"/>
        </w:rPr>
        <w:t>as a result of</w:t>
      </w:r>
      <w:proofErr w:type="gramEnd"/>
      <w:r w:rsidR="006F3AE7" w:rsidRPr="2350498C">
        <w:rPr>
          <w:b/>
          <w:bCs/>
          <w:sz w:val="22"/>
          <w:szCs w:val="22"/>
        </w:rPr>
        <w:t xml:space="preserve"> this review.</w:t>
      </w:r>
      <w:r w:rsidR="008900DC">
        <w:rPr>
          <w:rFonts w:cs="Arial"/>
          <w:sz w:val="20"/>
          <w:szCs w:val="20"/>
        </w:rPr>
        <w:t xml:space="preserve"> </w:t>
      </w:r>
    </w:p>
    <w:p w14:paraId="7EE96F22" w14:textId="0B5FD9BD" w:rsidR="00345D4E" w:rsidRDefault="00345D4E" w:rsidP="00456017">
      <w:pPr>
        <w:spacing w:after="160" w:line="276" w:lineRule="auto"/>
        <w:jc w:val="both"/>
        <w:rPr>
          <w:rFonts w:cs="Arial"/>
          <w:sz w:val="20"/>
          <w:szCs w:val="20"/>
        </w:rPr>
      </w:pPr>
      <w:r>
        <w:rPr>
          <w:rFonts w:cs="Arial"/>
          <w:sz w:val="20"/>
          <w:szCs w:val="20"/>
        </w:rPr>
        <w:t xml:space="preserve">An exercise was undertaken to update the OCEAN </w:t>
      </w:r>
      <w:proofErr w:type="spellStart"/>
      <w:r w:rsidR="00C535DB">
        <w:rPr>
          <w:rFonts w:cs="Arial"/>
          <w:sz w:val="20"/>
          <w:szCs w:val="20"/>
        </w:rPr>
        <w:t>l</w:t>
      </w:r>
      <w:r>
        <w:rPr>
          <w:rFonts w:cs="Arial"/>
          <w:sz w:val="20"/>
          <w:szCs w:val="20"/>
        </w:rPr>
        <w:t>ogframe</w:t>
      </w:r>
      <w:proofErr w:type="spellEnd"/>
      <w:r>
        <w:rPr>
          <w:rFonts w:cs="Arial"/>
          <w:sz w:val="20"/>
          <w:szCs w:val="20"/>
        </w:rPr>
        <w:t xml:space="preserve">, to bring the </w:t>
      </w:r>
      <w:r w:rsidR="0012315F">
        <w:rPr>
          <w:rFonts w:cs="Arial"/>
          <w:sz w:val="20"/>
          <w:szCs w:val="20"/>
        </w:rPr>
        <w:t>outcome and impact</w:t>
      </w:r>
      <w:r>
        <w:rPr>
          <w:rFonts w:cs="Arial"/>
          <w:sz w:val="20"/>
          <w:szCs w:val="20"/>
        </w:rPr>
        <w:t xml:space="preserve"> indicators in line with the </w:t>
      </w:r>
      <w:r w:rsidR="00F24B10">
        <w:rPr>
          <w:rFonts w:cs="Arial"/>
          <w:sz w:val="20"/>
          <w:szCs w:val="20"/>
        </w:rPr>
        <w:t xml:space="preserve">Theory of Change, and with the </w:t>
      </w:r>
      <w:r w:rsidR="000C28CA">
        <w:rPr>
          <w:rFonts w:cs="Arial"/>
          <w:sz w:val="20"/>
          <w:szCs w:val="20"/>
        </w:rPr>
        <w:t>outputs that were achievable in the first 12 months of the programme</w:t>
      </w:r>
      <w:r w:rsidR="009807FB">
        <w:rPr>
          <w:rFonts w:cs="Arial"/>
          <w:sz w:val="20"/>
          <w:szCs w:val="20"/>
        </w:rPr>
        <w:t>. Given the fact that OCEAN projects would not be up and running until after the first year</w:t>
      </w:r>
      <w:r w:rsidR="00C61AA5">
        <w:rPr>
          <w:rFonts w:cs="Arial"/>
          <w:sz w:val="20"/>
          <w:szCs w:val="20"/>
        </w:rPr>
        <w:t xml:space="preserve"> (and the successful grantees would not be confirmed by this stage)</w:t>
      </w:r>
      <w:r w:rsidR="009807FB">
        <w:rPr>
          <w:rFonts w:cs="Arial"/>
          <w:sz w:val="20"/>
          <w:szCs w:val="20"/>
        </w:rPr>
        <w:t>,</w:t>
      </w:r>
      <w:r w:rsidR="0012633E">
        <w:rPr>
          <w:rFonts w:cs="Arial"/>
          <w:sz w:val="20"/>
          <w:szCs w:val="20"/>
        </w:rPr>
        <w:t xml:space="preserve"> </w:t>
      </w:r>
      <w:r w:rsidR="00A87629">
        <w:rPr>
          <w:rFonts w:cs="Arial"/>
          <w:sz w:val="20"/>
          <w:szCs w:val="20"/>
        </w:rPr>
        <w:t xml:space="preserve">a </w:t>
      </w:r>
      <w:proofErr w:type="spellStart"/>
      <w:r w:rsidR="00C3734A">
        <w:rPr>
          <w:rFonts w:cs="Arial"/>
          <w:sz w:val="20"/>
          <w:szCs w:val="20"/>
        </w:rPr>
        <w:t>l</w:t>
      </w:r>
      <w:r w:rsidR="00A87629">
        <w:rPr>
          <w:rFonts w:cs="Arial"/>
          <w:sz w:val="20"/>
          <w:szCs w:val="20"/>
        </w:rPr>
        <w:t>ogframe</w:t>
      </w:r>
      <w:proofErr w:type="spellEnd"/>
      <w:r w:rsidR="00A87629">
        <w:rPr>
          <w:rFonts w:cs="Arial"/>
          <w:sz w:val="20"/>
          <w:szCs w:val="20"/>
        </w:rPr>
        <w:t xml:space="preserve"> with output indicators focused more on process </w:t>
      </w:r>
      <w:r w:rsidR="006451CC">
        <w:rPr>
          <w:rFonts w:cs="Arial"/>
          <w:sz w:val="20"/>
          <w:szCs w:val="20"/>
        </w:rPr>
        <w:t>rather</w:t>
      </w:r>
      <w:r w:rsidR="00A87629">
        <w:rPr>
          <w:rFonts w:cs="Arial"/>
          <w:sz w:val="20"/>
          <w:szCs w:val="20"/>
        </w:rPr>
        <w:t xml:space="preserve"> than impact evaluation was more </w:t>
      </w:r>
      <w:r w:rsidR="0059734E">
        <w:rPr>
          <w:rFonts w:cs="Arial"/>
          <w:sz w:val="20"/>
          <w:szCs w:val="20"/>
        </w:rPr>
        <w:t>relevant for this Annual Review.</w:t>
      </w:r>
      <w:r w:rsidR="009F53E3">
        <w:rPr>
          <w:rFonts w:cs="Arial"/>
          <w:sz w:val="20"/>
          <w:szCs w:val="20"/>
        </w:rPr>
        <w:t xml:space="preserve"> </w:t>
      </w:r>
      <w:r w:rsidR="00822611">
        <w:rPr>
          <w:rFonts w:cs="Arial"/>
          <w:sz w:val="20"/>
          <w:szCs w:val="20"/>
        </w:rPr>
        <w:t>The review was led by Defra’s BPF MEL team, and was supported by the</w:t>
      </w:r>
      <w:r w:rsidR="006B6949">
        <w:rPr>
          <w:rFonts w:cs="Arial"/>
          <w:sz w:val="20"/>
          <w:szCs w:val="20"/>
        </w:rPr>
        <w:t xml:space="preserve"> OCEAN Policy team and the G</w:t>
      </w:r>
      <w:r w:rsidR="001D5270">
        <w:rPr>
          <w:rFonts w:cs="Arial"/>
          <w:sz w:val="20"/>
          <w:szCs w:val="20"/>
        </w:rPr>
        <w:t>A</w:t>
      </w:r>
      <w:r w:rsidR="006B6949">
        <w:rPr>
          <w:rFonts w:cs="Arial"/>
          <w:sz w:val="20"/>
          <w:szCs w:val="20"/>
        </w:rPr>
        <w:t>.</w:t>
      </w:r>
      <w:r w:rsidR="00D468A9">
        <w:rPr>
          <w:rFonts w:cs="Arial"/>
          <w:sz w:val="20"/>
          <w:szCs w:val="20"/>
        </w:rPr>
        <w:t xml:space="preserve"> </w:t>
      </w:r>
      <w:r w:rsidR="009C5E7C">
        <w:rPr>
          <w:rFonts w:cs="Arial"/>
          <w:sz w:val="20"/>
          <w:szCs w:val="20"/>
        </w:rPr>
        <w:t xml:space="preserve">Changes to the </w:t>
      </w:r>
      <w:proofErr w:type="spellStart"/>
      <w:r w:rsidR="009C5E7C">
        <w:rPr>
          <w:rFonts w:cs="Arial"/>
          <w:sz w:val="20"/>
          <w:szCs w:val="20"/>
        </w:rPr>
        <w:t>logframe</w:t>
      </w:r>
      <w:proofErr w:type="spellEnd"/>
      <w:r w:rsidR="00801D55">
        <w:rPr>
          <w:rFonts w:cs="Arial"/>
          <w:sz w:val="20"/>
          <w:szCs w:val="20"/>
        </w:rPr>
        <w:t xml:space="preserve"> were workshopped</w:t>
      </w:r>
      <w:r w:rsidR="00F62CF4">
        <w:rPr>
          <w:rFonts w:cs="Arial"/>
          <w:sz w:val="20"/>
          <w:szCs w:val="20"/>
        </w:rPr>
        <w:t xml:space="preserve"> in person and online</w:t>
      </w:r>
      <w:r w:rsidR="00742C89">
        <w:rPr>
          <w:rFonts w:cs="Arial"/>
          <w:sz w:val="20"/>
          <w:szCs w:val="20"/>
        </w:rPr>
        <w:t xml:space="preserve">, </w:t>
      </w:r>
      <w:r w:rsidR="0000192A">
        <w:rPr>
          <w:rFonts w:cs="Arial"/>
          <w:sz w:val="20"/>
          <w:szCs w:val="20"/>
        </w:rPr>
        <w:t xml:space="preserve">and discussed with colleagues in Defra’s ODA Hub, before being signed off by the OCEAN SRO. </w:t>
      </w:r>
      <w:r w:rsidR="00633B94">
        <w:rPr>
          <w:rFonts w:cs="Arial"/>
          <w:sz w:val="20"/>
          <w:szCs w:val="20"/>
        </w:rPr>
        <w:t xml:space="preserve">The final </w:t>
      </w:r>
      <w:r w:rsidR="001B2983">
        <w:rPr>
          <w:rFonts w:cs="Arial"/>
          <w:sz w:val="20"/>
          <w:szCs w:val="20"/>
        </w:rPr>
        <w:t>version of the</w:t>
      </w:r>
      <w:r w:rsidR="00633B94">
        <w:rPr>
          <w:rFonts w:cs="Arial"/>
          <w:sz w:val="20"/>
          <w:szCs w:val="20"/>
        </w:rPr>
        <w:t xml:space="preserve"> </w:t>
      </w:r>
      <w:proofErr w:type="spellStart"/>
      <w:r w:rsidR="00C3734A">
        <w:rPr>
          <w:rFonts w:cs="Arial"/>
          <w:sz w:val="20"/>
          <w:szCs w:val="20"/>
        </w:rPr>
        <w:t>l</w:t>
      </w:r>
      <w:r w:rsidR="00633B94">
        <w:rPr>
          <w:rFonts w:cs="Arial"/>
          <w:sz w:val="20"/>
          <w:szCs w:val="20"/>
        </w:rPr>
        <w:t>ogframe</w:t>
      </w:r>
      <w:proofErr w:type="spellEnd"/>
      <w:r w:rsidR="00633B94">
        <w:rPr>
          <w:rFonts w:cs="Arial"/>
          <w:sz w:val="20"/>
          <w:szCs w:val="20"/>
        </w:rPr>
        <w:t xml:space="preserve"> was signed off in </w:t>
      </w:r>
      <w:r w:rsidR="003D1F15">
        <w:rPr>
          <w:rFonts w:cs="Arial"/>
          <w:sz w:val="20"/>
          <w:szCs w:val="20"/>
        </w:rPr>
        <w:t>May 2024</w:t>
      </w:r>
      <w:r w:rsidR="004B0A3E">
        <w:rPr>
          <w:rFonts w:cs="Arial"/>
          <w:sz w:val="20"/>
          <w:szCs w:val="20"/>
        </w:rPr>
        <w:t>.</w:t>
      </w:r>
      <w:r w:rsidR="001B2983">
        <w:rPr>
          <w:rFonts w:cs="Arial"/>
          <w:sz w:val="20"/>
          <w:szCs w:val="20"/>
        </w:rPr>
        <w:t xml:space="preserve"> For the next refresh of the </w:t>
      </w:r>
      <w:proofErr w:type="spellStart"/>
      <w:r w:rsidR="00C3734A">
        <w:rPr>
          <w:rFonts w:cs="Arial"/>
          <w:sz w:val="20"/>
          <w:szCs w:val="20"/>
        </w:rPr>
        <w:t>l</w:t>
      </w:r>
      <w:r w:rsidR="001B2983">
        <w:rPr>
          <w:rFonts w:cs="Arial"/>
          <w:sz w:val="20"/>
          <w:szCs w:val="20"/>
        </w:rPr>
        <w:t>ogframe</w:t>
      </w:r>
      <w:proofErr w:type="spellEnd"/>
      <w:r w:rsidR="001B2983">
        <w:rPr>
          <w:rFonts w:cs="Arial"/>
          <w:sz w:val="20"/>
          <w:szCs w:val="20"/>
        </w:rPr>
        <w:t>, we will ensure that this is signed off at least six months before the next Annual Review, as recommended.</w:t>
      </w:r>
      <w:r w:rsidR="00626D22">
        <w:rPr>
          <w:rFonts w:cs="Arial"/>
          <w:sz w:val="20"/>
          <w:szCs w:val="20"/>
        </w:rPr>
        <w:t xml:space="preserve"> This refresh will be supported by the Independent Evaluator</w:t>
      </w:r>
      <w:r w:rsidR="00DC2147">
        <w:rPr>
          <w:rFonts w:cs="Arial"/>
          <w:sz w:val="20"/>
          <w:szCs w:val="20"/>
        </w:rPr>
        <w:t xml:space="preserve"> (IE)</w:t>
      </w:r>
      <w:r w:rsidR="00200EF6">
        <w:rPr>
          <w:rFonts w:cs="Arial"/>
          <w:sz w:val="20"/>
          <w:szCs w:val="20"/>
        </w:rPr>
        <w:t>, who will offer a new perspective to the suggested indicators for the second year of the programme.</w:t>
      </w:r>
    </w:p>
    <w:p w14:paraId="521891BC" w14:textId="134D837C" w:rsidR="00C9269A" w:rsidRDefault="00C9269A" w:rsidP="00456017">
      <w:pPr>
        <w:spacing w:after="160" w:line="276" w:lineRule="auto"/>
        <w:jc w:val="both"/>
        <w:rPr>
          <w:rFonts w:cs="Arial"/>
          <w:sz w:val="20"/>
          <w:szCs w:val="20"/>
        </w:rPr>
      </w:pPr>
      <w:r>
        <w:rPr>
          <w:rFonts w:cs="Arial"/>
          <w:sz w:val="20"/>
          <w:szCs w:val="20"/>
        </w:rPr>
        <w:t xml:space="preserve">The bullet points below summarise the changes to the outputs, considering </w:t>
      </w:r>
      <w:r w:rsidR="007C7CFA">
        <w:rPr>
          <w:rFonts w:cs="Arial"/>
          <w:sz w:val="20"/>
          <w:szCs w:val="20"/>
        </w:rPr>
        <w:t>these are</w:t>
      </w:r>
      <w:r>
        <w:rPr>
          <w:rFonts w:cs="Arial"/>
          <w:sz w:val="20"/>
          <w:szCs w:val="20"/>
        </w:rPr>
        <w:t xml:space="preserve"> most relevant for this Annual Review.</w:t>
      </w:r>
    </w:p>
    <w:p w14:paraId="16ACBEFF" w14:textId="0B6356F9" w:rsidR="000846B5" w:rsidRDefault="000846B5" w:rsidP="00456017">
      <w:pPr>
        <w:spacing w:after="160" w:line="276" w:lineRule="auto"/>
        <w:jc w:val="both"/>
        <w:rPr>
          <w:rFonts w:cs="Arial"/>
          <w:b/>
          <w:bCs/>
          <w:sz w:val="20"/>
          <w:szCs w:val="20"/>
        </w:rPr>
      </w:pPr>
      <w:r>
        <w:rPr>
          <w:rFonts w:cs="Arial"/>
          <w:b/>
          <w:bCs/>
          <w:sz w:val="20"/>
          <w:szCs w:val="20"/>
        </w:rPr>
        <w:t>Output 1:</w:t>
      </w:r>
    </w:p>
    <w:p w14:paraId="506F409E" w14:textId="5A537A27" w:rsidR="00945BAB" w:rsidRDefault="00945BAB" w:rsidP="00456017">
      <w:pPr>
        <w:spacing w:after="160" w:line="276" w:lineRule="auto"/>
        <w:jc w:val="both"/>
        <w:rPr>
          <w:rFonts w:cs="Arial"/>
          <w:i/>
          <w:iCs/>
          <w:sz w:val="20"/>
          <w:szCs w:val="20"/>
        </w:rPr>
      </w:pPr>
      <w:r>
        <w:rPr>
          <w:rFonts w:cs="Arial"/>
          <w:i/>
          <w:iCs/>
          <w:sz w:val="20"/>
          <w:szCs w:val="20"/>
        </w:rPr>
        <w:t>Original indicators:</w:t>
      </w:r>
    </w:p>
    <w:p w14:paraId="5ADFB8C5" w14:textId="70CB45B8" w:rsidR="000846B5" w:rsidRPr="00945BAB" w:rsidRDefault="00740ECF" w:rsidP="00AD1823">
      <w:pPr>
        <w:pStyle w:val="ListParagraph"/>
        <w:numPr>
          <w:ilvl w:val="0"/>
          <w:numId w:val="32"/>
        </w:numPr>
        <w:spacing w:after="160" w:line="276" w:lineRule="auto"/>
        <w:jc w:val="both"/>
        <w:rPr>
          <w:rFonts w:cs="Arial"/>
          <w:sz w:val="20"/>
        </w:rPr>
      </w:pPr>
      <w:r>
        <w:rPr>
          <w:rFonts w:cs="Arial"/>
          <w:sz w:val="20"/>
        </w:rPr>
        <w:t xml:space="preserve">1.1: </w:t>
      </w:r>
      <w:r w:rsidRPr="00740ECF">
        <w:rPr>
          <w:rFonts w:cs="Arial"/>
          <w:sz w:val="20"/>
        </w:rPr>
        <w:t>Proportion of small grants going directly to recipient country-based organisations (%)</w:t>
      </w:r>
    </w:p>
    <w:p w14:paraId="16E9A2FF" w14:textId="05D7E93D" w:rsidR="00740ECF" w:rsidRDefault="00740ECF" w:rsidP="00AD1823">
      <w:pPr>
        <w:pStyle w:val="ListParagraph"/>
        <w:numPr>
          <w:ilvl w:val="0"/>
          <w:numId w:val="32"/>
        </w:numPr>
        <w:spacing w:after="160" w:line="276" w:lineRule="auto"/>
        <w:jc w:val="both"/>
        <w:rPr>
          <w:rFonts w:cs="Arial"/>
          <w:sz w:val="20"/>
        </w:rPr>
      </w:pPr>
      <w:r>
        <w:rPr>
          <w:rFonts w:cs="Arial"/>
          <w:sz w:val="20"/>
        </w:rPr>
        <w:t>1.2:</w:t>
      </w:r>
      <w:r w:rsidR="00B93D1B">
        <w:rPr>
          <w:rFonts w:cs="Arial"/>
          <w:sz w:val="20"/>
        </w:rPr>
        <w:t xml:space="preserve"> </w:t>
      </w:r>
      <w:r w:rsidR="00B93D1B" w:rsidRPr="00B93D1B">
        <w:rPr>
          <w:rFonts w:cs="Arial"/>
          <w:sz w:val="20"/>
        </w:rPr>
        <w:t>Proportion of large grants co-led/managed with country-based organisations (%)</w:t>
      </w:r>
    </w:p>
    <w:p w14:paraId="026FC313" w14:textId="6FFAF5A7" w:rsidR="00B93D1B" w:rsidRPr="00945BAB" w:rsidRDefault="00B93D1B" w:rsidP="00AD1823">
      <w:pPr>
        <w:pStyle w:val="ListParagraph"/>
        <w:numPr>
          <w:ilvl w:val="0"/>
          <w:numId w:val="32"/>
        </w:numPr>
        <w:spacing w:after="160" w:line="276" w:lineRule="auto"/>
        <w:jc w:val="both"/>
        <w:rPr>
          <w:rFonts w:cs="Arial"/>
          <w:sz w:val="20"/>
        </w:rPr>
      </w:pPr>
      <w:r>
        <w:rPr>
          <w:rFonts w:cs="Arial"/>
          <w:sz w:val="20"/>
        </w:rPr>
        <w:t xml:space="preserve">1.3: </w:t>
      </w:r>
      <w:r w:rsidR="003A0755" w:rsidRPr="003A0755">
        <w:rPr>
          <w:rFonts w:cs="Arial"/>
          <w:sz w:val="20"/>
        </w:rPr>
        <w:t>Number of organisations supported by technical assistance</w:t>
      </w:r>
    </w:p>
    <w:p w14:paraId="19E7D21B" w14:textId="0E4973DF" w:rsidR="003A0755" w:rsidRDefault="003A0755" w:rsidP="00AD1823">
      <w:pPr>
        <w:pStyle w:val="ListParagraph"/>
        <w:numPr>
          <w:ilvl w:val="0"/>
          <w:numId w:val="32"/>
        </w:numPr>
        <w:spacing w:after="160" w:line="276" w:lineRule="auto"/>
        <w:jc w:val="both"/>
        <w:rPr>
          <w:rFonts w:cs="Arial"/>
          <w:sz w:val="20"/>
        </w:rPr>
      </w:pPr>
      <w:r>
        <w:rPr>
          <w:rFonts w:cs="Arial"/>
          <w:sz w:val="20"/>
        </w:rPr>
        <w:t>1.4: Number of high-quality applications received</w:t>
      </w:r>
    </w:p>
    <w:p w14:paraId="104310F8" w14:textId="1894391F" w:rsidR="003A0755" w:rsidRDefault="003A0755" w:rsidP="003A0755">
      <w:pPr>
        <w:spacing w:after="160" w:line="276" w:lineRule="auto"/>
        <w:jc w:val="both"/>
        <w:rPr>
          <w:rFonts w:cs="Arial"/>
          <w:i/>
          <w:iCs/>
          <w:sz w:val="20"/>
        </w:rPr>
      </w:pPr>
      <w:r>
        <w:rPr>
          <w:rFonts w:cs="Arial"/>
          <w:i/>
          <w:iCs/>
          <w:sz w:val="20"/>
        </w:rPr>
        <w:t>Updated indicators:</w:t>
      </w:r>
    </w:p>
    <w:p w14:paraId="479F75F1" w14:textId="76A68107" w:rsidR="003A0755" w:rsidRDefault="008A5329" w:rsidP="00AD1823">
      <w:pPr>
        <w:pStyle w:val="ListParagraph"/>
        <w:numPr>
          <w:ilvl w:val="0"/>
          <w:numId w:val="31"/>
        </w:numPr>
        <w:spacing w:after="160" w:line="276" w:lineRule="auto"/>
        <w:jc w:val="both"/>
        <w:rPr>
          <w:rFonts w:cs="Arial"/>
          <w:sz w:val="20"/>
        </w:rPr>
      </w:pPr>
      <w:r>
        <w:rPr>
          <w:rFonts w:cs="Arial"/>
          <w:sz w:val="20"/>
        </w:rPr>
        <w:lastRenderedPageBreak/>
        <w:t xml:space="preserve">1.1: </w:t>
      </w:r>
      <w:r w:rsidRPr="008A5329">
        <w:rPr>
          <w:rFonts w:cs="Arial"/>
          <w:sz w:val="20"/>
        </w:rPr>
        <w:t>Volume of funding awarded: OCEAN commits £60m in grant funding to organisations working at a local level</w:t>
      </w:r>
    </w:p>
    <w:p w14:paraId="00B36387" w14:textId="77777777" w:rsidR="00500E75" w:rsidRDefault="008A5329" w:rsidP="00AD1823">
      <w:pPr>
        <w:pStyle w:val="ListParagraph"/>
        <w:numPr>
          <w:ilvl w:val="0"/>
          <w:numId w:val="31"/>
        </w:numPr>
        <w:spacing w:after="160" w:line="276" w:lineRule="auto"/>
        <w:jc w:val="both"/>
        <w:rPr>
          <w:rFonts w:cs="Arial"/>
          <w:sz w:val="20"/>
        </w:rPr>
      </w:pPr>
      <w:r w:rsidRPr="00500E75">
        <w:rPr>
          <w:rFonts w:cs="Arial"/>
          <w:sz w:val="20"/>
        </w:rPr>
        <w:t>1.2</w:t>
      </w:r>
      <w:r w:rsidR="00D0316C" w:rsidRPr="00500E75">
        <w:rPr>
          <w:rFonts w:cs="Arial"/>
          <w:sz w:val="20"/>
        </w:rPr>
        <w:t xml:space="preserve">: </w:t>
      </w:r>
      <w:r w:rsidR="00500E75" w:rsidRPr="00500E75">
        <w:rPr>
          <w:rFonts w:cs="Arial"/>
          <w:sz w:val="20"/>
        </w:rPr>
        <w:t xml:space="preserve">Volume of funding managed by local organisations: Local organisations receive OCEAN funds either by directly receiving a grant, or through managing a portion of the budget when partnering with a Lead organisation </w:t>
      </w:r>
    </w:p>
    <w:p w14:paraId="3DC2D65D" w14:textId="3B9FA1AF" w:rsidR="008A5329" w:rsidRDefault="00D0316C" w:rsidP="00AD1823">
      <w:pPr>
        <w:pStyle w:val="ListParagraph"/>
        <w:numPr>
          <w:ilvl w:val="1"/>
          <w:numId w:val="14"/>
        </w:numPr>
        <w:spacing w:after="160" w:line="276" w:lineRule="auto"/>
        <w:jc w:val="both"/>
        <w:rPr>
          <w:rFonts w:cs="Arial"/>
          <w:sz w:val="20"/>
        </w:rPr>
      </w:pPr>
      <w:r>
        <w:rPr>
          <w:rFonts w:cs="Arial"/>
          <w:sz w:val="20"/>
        </w:rPr>
        <w:t>a</w:t>
      </w:r>
      <w:r w:rsidR="008A5329">
        <w:rPr>
          <w:rFonts w:cs="Arial"/>
          <w:sz w:val="20"/>
        </w:rPr>
        <w:t xml:space="preserve">: </w:t>
      </w:r>
      <w:r w:rsidR="003A4B34" w:rsidRPr="003A4B34">
        <w:rPr>
          <w:rFonts w:cs="Arial"/>
          <w:sz w:val="20"/>
        </w:rPr>
        <w:t>Proportion of funds committed that are managed by small-medium organisations</w:t>
      </w:r>
    </w:p>
    <w:p w14:paraId="2425BF29" w14:textId="60E0C011" w:rsidR="003A4B34" w:rsidRDefault="003A4B34" w:rsidP="00AD1823">
      <w:pPr>
        <w:pStyle w:val="ListParagraph"/>
        <w:numPr>
          <w:ilvl w:val="1"/>
          <w:numId w:val="14"/>
        </w:numPr>
        <w:spacing w:after="160" w:line="276" w:lineRule="auto"/>
        <w:jc w:val="both"/>
        <w:rPr>
          <w:rFonts w:cs="Arial"/>
          <w:sz w:val="20"/>
        </w:rPr>
      </w:pPr>
      <w:r>
        <w:rPr>
          <w:rFonts w:cs="Arial"/>
          <w:sz w:val="20"/>
        </w:rPr>
        <w:t xml:space="preserve">b: </w:t>
      </w:r>
      <w:r w:rsidR="00451213" w:rsidRPr="00451213">
        <w:rPr>
          <w:rFonts w:cs="Arial"/>
          <w:sz w:val="20"/>
        </w:rPr>
        <w:t>Proportion of grants led by organisations registered in ODA eligible countries</w:t>
      </w:r>
    </w:p>
    <w:p w14:paraId="06FA4601" w14:textId="764E1E16" w:rsidR="003A0755" w:rsidRPr="003A0755" w:rsidRDefault="003A0755" w:rsidP="003A0755">
      <w:pPr>
        <w:spacing w:after="160" w:line="276" w:lineRule="auto"/>
        <w:jc w:val="both"/>
        <w:rPr>
          <w:rFonts w:cs="Arial"/>
          <w:b/>
          <w:bCs/>
          <w:sz w:val="20"/>
        </w:rPr>
      </w:pPr>
      <w:r w:rsidRPr="003A0755">
        <w:rPr>
          <w:rFonts w:cs="Arial"/>
          <w:b/>
          <w:bCs/>
          <w:sz w:val="20"/>
        </w:rPr>
        <w:t xml:space="preserve">Output </w:t>
      </w:r>
      <w:r>
        <w:rPr>
          <w:rFonts w:cs="Arial"/>
          <w:b/>
          <w:bCs/>
          <w:sz w:val="20"/>
        </w:rPr>
        <w:t>2</w:t>
      </w:r>
      <w:r w:rsidRPr="003A0755">
        <w:rPr>
          <w:rFonts w:cs="Arial"/>
          <w:b/>
          <w:bCs/>
          <w:sz w:val="20"/>
        </w:rPr>
        <w:t>:</w:t>
      </w:r>
    </w:p>
    <w:p w14:paraId="4A5C460A" w14:textId="77777777" w:rsidR="003A0755" w:rsidRPr="003A0755" w:rsidRDefault="003A0755" w:rsidP="003A0755">
      <w:pPr>
        <w:spacing w:after="160" w:line="276" w:lineRule="auto"/>
        <w:jc w:val="both"/>
        <w:rPr>
          <w:rFonts w:cs="Arial"/>
          <w:i/>
          <w:iCs/>
          <w:sz w:val="20"/>
        </w:rPr>
      </w:pPr>
      <w:r w:rsidRPr="003A0755">
        <w:rPr>
          <w:rFonts w:cs="Arial"/>
          <w:i/>
          <w:iCs/>
          <w:sz w:val="20"/>
        </w:rPr>
        <w:t>Original indicators:</w:t>
      </w:r>
    </w:p>
    <w:p w14:paraId="7DB0F863" w14:textId="77777777" w:rsidR="00081759" w:rsidRDefault="003A0755" w:rsidP="00AD1823">
      <w:pPr>
        <w:numPr>
          <w:ilvl w:val="0"/>
          <w:numId w:val="30"/>
        </w:numPr>
        <w:spacing w:line="276" w:lineRule="auto"/>
        <w:jc w:val="both"/>
        <w:rPr>
          <w:rFonts w:cs="Arial"/>
          <w:sz w:val="20"/>
        </w:rPr>
      </w:pPr>
      <w:r w:rsidRPr="00081759">
        <w:rPr>
          <w:rFonts w:cs="Arial"/>
          <w:sz w:val="20"/>
        </w:rPr>
        <w:t>2</w:t>
      </w:r>
      <w:r w:rsidRPr="003A0755">
        <w:rPr>
          <w:rFonts w:cs="Arial"/>
          <w:sz w:val="20"/>
        </w:rPr>
        <w:t xml:space="preserve">.1: </w:t>
      </w:r>
      <w:r w:rsidR="00081759" w:rsidRPr="00081759">
        <w:rPr>
          <w:rFonts w:cs="Arial"/>
          <w:sz w:val="20"/>
        </w:rPr>
        <w:t>Proportion of grants that focus on changing policies, strategies or regulations that impacts on marine issues (disaggregated by small and large grants) (%)</w:t>
      </w:r>
    </w:p>
    <w:p w14:paraId="20AD5D20" w14:textId="0CED66A8" w:rsidR="00C61AA5" w:rsidRDefault="003A0755" w:rsidP="00AD1823">
      <w:pPr>
        <w:numPr>
          <w:ilvl w:val="0"/>
          <w:numId w:val="30"/>
        </w:numPr>
        <w:spacing w:after="160" w:line="276" w:lineRule="auto"/>
        <w:jc w:val="both"/>
        <w:rPr>
          <w:rFonts w:cs="Arial"/>
          <w:sz w:val="20"/>
        </w:rPr>
      </w:pPr>
      <w:r w:rsidRPr="00C61AA5">
        <w:rPr>
          <w:rFonts w:cs="Arial"/>
          <w:sz w:val="20"/>
        </w:rPr>
        <w:t>2</w:t>
      </w:r>
      <w:r w:rsidRPr="003A0755">
        <w:rPr>
          <w:rFonts w:cs="Arial"/>
          <w:sz w:val="20"/>
        </w:rPr>
        <w:t xml:space="preserve">.2: </w:t>
      </w:r>
      <w:r w:rsidR="00C61AA5" w:rsidRPr="00C61AA5">
        <w:rPr>
          <w:rFonts w:cs="Arial"/>
          <w:sz w:val="20"/>
        </w:rPr>
        <w:t>Proportion of grants that directly focus on marine issues that affect marginalised and vulnerable communities (disaggregated by small and large grants) (%</w:t>
      </w:r>
      <w:r w:rsidR="00C61AA5">
        <w:rPr>
          <w:rFonts w:cs="Arial"/>
          <w:sz w:val="20"/>
        </w:rPr>
        <w:t>)</w:t>
      </w:r>
    </w:p>
    <w:p w14:paraId="1B18154C" w14:textId="77777777" w:rsidR="003A0755" w:rsidRPr="003A0755" w:rsidRDefault="003A0755" w:rsidP="003A0755">
      <w:pPr>
        <w:spacing w:after="160" w:line="276" w:lineRule="auto"/>
        <w:jc w:val="both"/>
        <w:rPr>
          <w:rFonts w:cs="Arial"/>
          <w:i/>
          <w:iCs/>
          <w:sz w:val="20"/>
        </w:rPr>
      </w:pPr>
      <w:r w:rsidRPr="003A0755">
        <w:rPr>
          <w:rFonts w:cs="Arial"/>
          <w:i/>
          <w:iCs/>
          <w:sz w:val="20"/>
        </w:rPr>
        <w:t>Updated indicators:</w:t>
      </w:r>
    </w:p>
    <w:p w14:paraId="2BF5B8BC" w14:textId="77777777" w:rsidR="00571A44" w:rsidRDefault="00451213" w:rsidP="00AD1823">
      <w:pPr>
        <w:numPr>
          <w:ilvl w:val="0"/>
          <w:numId w:val="29"/>
        </w:numPr>
        <w:spacing w:line="276" w:lineRule="auto"/>
        <w:jc w:val="both"/>
        <w:rPr>
          <w:rFonts w:cs="Arial"/>
          <w:sz w:val="20"/>
        </w:rPr>
      </w:pPr>
      <w:r w:rsidRPr="00571A44">
        <w:rPr>
          <w:rFonts w:cs="Arial"/>
          <w:sz w:val="20"/>
        </w:rPr>
        <w:t>2.1</w:t>
      </w:r>
      <w:r w:rsidR="00D0316C" w:rsidRPr="00571A44">
        <w:rPr>
          <w:rFonts w:cs="Arial"/>
          <w:sz w:val="20"/>
        </w:rPr>
        <w:t xml:space="preserve">: </w:t>
      </w:r>
      <w:r w:rsidR="00571A44" w:rsidRPr="00571A44">
        <w:rPr>
          <w:rFonts w:cs="Arial"/>
          <w:sz w:val="20"/>
        </w:rPr>
        <w:t>Applicants and grantees use OCEAN training and guidance to build their capacity to apply, design projects and effectively manage projects</w:t>
      </w:r>
    </w:p>
    <w:p w14:paraId="05F5B88A" w14:textId="097B16FE" w:rsidR="003A0755" w:rsidRPr="003A0755" w:rsidRDefault="00D0316C" w:rsidP="00AD1823">
      <w:pPr>
        <w:numPr>
          <w:ilvl w:val="1"/>
          <w:numId w:val="29"/>
        </w:numPr>
        <w:spacing w:line="276" w:lineRule="auto"/>
        <w:jc w:val="both"/>
        <w:rPr>
          <w:rFonts w:cs="Arial"/>
          <w:sz w:val="20"/>
        </w:rPr>
      </w:pPr>
      <w:r w:rsidRPr="00571A44">
        <w:rPr>
          <w:rFonts w:cs="Arial"/>
          <w:sz w:val="20"/>
        </w:rPr>
        <w:t xml:space="preserve">a: </w:t>
      </w:r>
      <w:r w:rsidR="008E2CF7" w:rsidRPr="008E2CF7">
        <w:rPr>
          <w:rFonts w:cs="Arial"/>
          <w:sz w:val="20"/>
        </w:rPr>
        <w:t>Number of applicants and grantees attending OCEAN training</w:t>
      </w:r>
      <w:r w:rsidR="00792597" w:rsidRPr="00571A44">
        <w:rPr>
          <w:rFonts w:cs="Arial"/>
          <w:sz w:val="20"/>
        </w:rPr>
        <w:t xml:space="preserve"> </w:t>
      </w:r>
    </w:p>
    <w:p w14:paraId="6E4EC775" w14:textId="57B7B1C9" w:rsidR="003A0755" w:rsidRDefault="00451213" w:rsidP="00AD1823">
      <w:pPr>
        <w:numPr>
          <w:ilvl w:val="1"/>
          <w:numId w:val="29"/>
        </w:numPr>
        <w:spacing w:line="276" w:lineRule="auto"/>
        <w:jc w:val="both"/>
        <w:rPr>
          <w:rFonts w:cs="Arial"/>
          <w:sz w:val="20"/>
        </w:rPr>
      </w:pPr>
      <w:r>
        <w:rPr>
          <w:rFonts w:cs="Arial"/>
          <w:sz w:val="20"/>
        </w:rPr>
        <w:t>b:</w:t>
      </w:r>
      <w:r w:rsidR="00D67884">
        <w:rPr>
          <w:rFonts w:cs="Arial"/>
          <w:sz w:val="20"/>
        </w:rPr>
        <w:t xml:space="preserve"> </w:t>
      </w:r>
      <w:r w:rsidR="00975163" w:rsidRPr="00975163">
        <w:rPr>
          <w:rFonts w:cs="Arial"/>
          <w:sz w:val="20"/>
        </w:rPr>
        <w:t>Number of applicants and grantees using OCEAN guidance</w:t>
      </w:r>
    </w:p>
    <w:p w14:paraId="10E2A9E4" w14:textId="3E3ABE60" w:rsidR="0003041C" w:rsidRPr="0003041C" w:rsidRDefault="00362774" w:rsidP="00AD1823">
      <w:pPr>
        <w:numPr>
          <w:ilvl w:val="0"/>
          <w:numId w:val="29"/>
        </w:numPr>
        <w:spacing w:line="276" w:lineRule="auto"/>
        <w:jc w:val="both"/>
        <w:rPr>
          <w:rFonts w:cs="Arial"/>
          <w:sz w:val="20"/>
        </w:rPr>
      </w:pPr>
      <w:r>
        <w:rPr>
          <w:rFonts w:cs="Arial"/>
          <w:sz w:val="20"/>
        </w:rPr>
        <w:t>2.2</w:t>
      </w:r>
      <w:r w:rsidR="0003041C" w:rsidRPr="0003041C">
        <w:rPr>
          <w:rFonts w:cs="Arial"/>
          <w:sz w:val="20"/>
        </w:rPr>
        <w:t>: Applicants and Grantees report that OCEAN training and guidance was relevant and useful</w:t>
      </w:r>
    </w:p>
    <w:p w14:paraId="629C4134" w14:textId="77777777" w:rsidR="0003041C" w:rsidRPr="0003041C" w:rsidRDefault="0003041C" w:rsidP="00AD1823">
      <w:pPr>
        <w:numPr>
          <w:ilvl w:val="1"/>
          <w:numId w:val="29"/>
        </w:numPr>
        <w:spacing w:line="276" w:lineRule="auto"/>
        <w:jc w:val="both"/>
        <w:rPr>
          <w:rFonts w:cs="Arial"/>
          <w:sz w:val="20"/>
        </w:rPr>
      </w:pPr>
      <w:r w:rsidRPr="0003041C">
        <w:rPr>
          <w:rFonts w:cs="Arial"/>
          <w:sz w:val="20"/>
        </w:rPr>
        <w:t xml:space="preserve">a: Proportion reporting that training and support is relevant and useful. </w:t>
      </w:r>
    </w:p>
    <w:p w14:paraId="1F7E5CA2" w14:textId="77777777" w:rsidR="0003041C" w:rsidRPr="0003041C" w:rsidRDefault="0003041C" w:rsidP="00AD1823">
      <w:pPr>
        <w:numPr>
          <w:ilvl w:val="1"/>
          <w:numId w:val="29"/>
        </w:numPr>
        <w:spacing w:line="276" w:lineRule="auto"/>
        <w:jc w:val="both"/>
        <w:rPr>
          <w:rFonts w:cs="Arial"/>
          <w:sz w:val="20"/>
        </w:rPr>
      </w:pPr>
      <w:r w:rsidRPr="0003041C">
        <w:rPr>
          <w:rFonts w:cs="Arial"/>
          <w:sz w:val="20"/>
        </w:rPr>
        <w:t>b: Proportion reporting that OCEAN guidance is relevant and useful</w:t>
      </w:r>
    </w:p>
    <w:p w14:paraId="296AEB49" w14:textId="1A2AFA64" w:rsidR="003A0755" w:rsidRPr="003A0755" w:rsidRDefault="008C65EE" w:rsidP="00AD1823">
      <w:pPr>
        <w:numPr>
          <w:ilvl w:val="0"/>
          <w:numId w:val="29"/>
        </w:numPr>
        <w:spacing w:after="160" w:line="276" w:lineRule="auto"/>
        <w:jc w:val="both"/>
        <w:rPr>
          <w:rFonts w:cs="Arial"/>
          <w:sz w:val="20"/>
        </w:rPr>
      </w:pPr>
      <w:r>
        <w:rPr>
          <w:rFonts w:cs="Arial"/>
          <w:sz w:val="20"/>
        </w:rPr>
        <w:t>2.3:</w:t>
      </w:r>
      <w:r w:rsidR="00E15A46">
        <w:rPr>
          <w:rFonts w:cs="Arial"/>
          <w:sz w:val="20"/>
        </w:rPr>
        <w:t xml:space="preserve"> </w:t>
      </w:r>
      <w:r w:rsidR="00E15A46" w:rsidRPr="00E15A46">
        <w:rPr>
          <w:rFonts w:cs="Arial"/>
          <w:sz w:val="20"/>
        </w:rPr>
        <w:t>Proportion of OCEAN projects that provide guidance, training and/or support services to communities</w:t>
      </w:r>
    </w:p>
    <w:p w14:paraId="57292021" w14:textId="49AFDD59" w:rsidR="003A0755" w:rsidRPr="003A0755" w:rsidRDefault="003A0755" w:rsidP="003A0755">
      <w:pPr>
        <w:spacing w:after="160" w:line="276" w:lineRule="auto"/>
        <w:jc w:val="both"/>
        <w:rPr>
          <w:rFonts w:cs="Arial"/>
          <w:b/>
          <w:bCs/>
          <w:sz w:val="20"/>
        </w:rPr>
      </w:pPr>
      <w:r w:rsidRPr="003A0755">
        <w:rPr>
          <w:rFonts w:cs="Arial"/>
          <w:b/>
          <w:bCs/>
          <w:sz w:val="20"/>
        </w:rPr>
        <w:t xml:space="preserve">Output </w:t>
      </w:r>
      <w:r>
        <w:rPr>
          <w:rFonts w:cs="Arial"/>
          <w:b/>
          <w:bCs/>
          <w:sz w:val="20"/>
        </w:rPr>
        <w:t>3</w:t>
      </w:r>
      <w:r w:rsidRPr="003A0755">
        <w:rPr>
          <w:rFonts w:cs="Arial"/>
          <w:b/>
          <w:bCs/>
          <w:sz w:val="20"/>
        </w:rPr>
        <w:t>:</w:t>
      </w:r>
    </w:p>
    <w:p w14:paraId="5FC26ADA" w14:textId="77777777" w:rsidR="003A0755" w:rsidRPr="003A0755" w:rsidRDefault="003A0755" w:rsidP="003A0755">
      <w:pPr>
        <w:spacing w:after="160" w:line="276" w:lineRule="auto"/>
        <w:jc w:val="both"/>
        <w:rPr>
          <w:rFonts w:cs="Arial"/>
          <w:i/>
          <w:iCs/>
          <w:sz w:val="20"/>
        </w:rPr>
      </w:pPr>
      <w:r w:rsidRPr="003A0755">
        <w:rPr>
          <w:rFonts w:cs="Arial"/>
          <w:i/>
          <w:iCs/>
          <w:sz w:val="20"/>
        </w:rPr>
        <w:t>Original indicators:</w:t>
      </w:r>
    </w:p>
    <w:p w14:paraId="408A175E" w14:textId="31D4A9DF" w:rsidR="003A0755" w:rsidRPr="003A0755" w:rsidRDefault="00CD1767" w:rsidP="00AD1823">
      <w:pPr>
        <w:numPr>
          <w:ilvl w:val="0"/>
          <w:numId w:val="28"/>
        </w:numPr>
        <w:spacing w:line="276" w:lineRule="auto"/>
        <w:jc w:val="both"/>
        <w:rPr>
          <w:rFonts w:cs="Arial"/>
          <w:sz w:val="20"/>
        </w:rPr>
      </w:pPr>
      <w:r>
        <w:rPr>
          <w:rFonts w:cs="Arial"/>
          <w:sz w:val="20"/>
        </w:rPr>
        <w:t>3</w:t>
      </w:r>
      <w:r w:rsidR="003A0755" w:rsidRPr="003A0755">
        <w:rPr>
          <w:rFonts w:cs="Arial"/>
          <w:sz w:val="20"/>
        </w:rPr>
        <w:t xml:space="preserve">.1: </w:t>
      </w:r>
      <w:r w:rsidRPr="00CD1767">
        <w:rPr>
          <w:rFonts w:cs="Arial"/>
          <w:sz w:val="20"/>
        </w:rPr>
        <w:t xml:space="preserve">Number of workshops on effective delivery in line with ODA objectives (forecasting and budgets; </w:t>
      </w:r>
      <w:proofErr w:type="spellStart"/>
      <w:r w:rsidRPr="00CD1767">
        <w:rPr>
          <w:rFonts w:cs="Arial"/>
          <w:sz w:val="20"/>
        </w:rPr>
        <w:t>logframe</w:t>
      </w:r>
      <w:proofErr w:type="spellEnd"/>
      <w:r w:rsidRPr="00CD1767">
        <w:rPr>
          <w:rFonts w:cs="Arial"/>
          <w:sz w:val="20"/>
        </w:rPr>
        <w:t xml:space="preserve"> development; fraud &amp; risk monitoring and assessment)</w:t>
      </w:r>
    </w:p>
    <w:p w14:paraId="0CAF59C0" w14:textId="1FACCE0D" w:rsidR="003A0755" w:rsidRPr="003A0755" w:rsidRDefault="00CD1767" w:rsidP="00AD1823">
      <w:pPr>
        <w:numPr>
          <w:ilvl w:val="0"/>
          <w:numId w:val="28"/>
        </w:numPr>
        <w:spacing w:after="160" w:line="276" w:lineRule="auto"/>
        <w:jc w:val="both"/>
        <w:rPr>
          <w:rFonts w:cs="Arial"/>
          <w:sz w:val="20"/>
        </w:rPr>
      </w:pPr>
      <w:r>
        <w:rPr>
          <w:rFonts w:cs="Arial"/>
          <w:sz w:val="20"/>
        </w:rPr>
        <w:t>3</w:t>
      </w:r>
      <w:r w:rsidR="003A0755" w:rsidRPr="003A0755">
        <w:rPr>
          <w:rFonts w:cs="Arial"/>
          <w:sz w:val="20"/>
        </w:rPr>
        <w:t xml:space="preserve">.2: </w:t>
      </w:r>
      <w:r w:rsidR="00252BDC" w:rsidRPr="00252BDC">
        <w:rPr>
          <w:rFonts w:cs="Arial"/>
          <w:sz w:val="20"/>
        </w:rPr>
        <w:t xml:space="preserve">Number of organisations with improved capability and capacity </w:t>
      </w:r>
      <w:proofErr w:type="gramStart"/>
      <w:r w:rsidR="00252BDC" w:rsidRPr="00252BDC">
        <w:rPr>
          <w:rFonts w:cs="Arial"/>
          <w:sz w:val="20"/>
        </w:rPr>
        <w:t>as a result of</w:t>
      </w:r>
      <w:proofErr w:type="gramEnd"/>
      <w:r w:rsidR="00252BDC" w:rsidRPr="00252BDC">
        <w:rPr>
          <w:rFonts w:cs="Arial"/>
          <w:sz w:val="20"/>
        </w:rPr>
        <w:t xml:space="preserve"> project (disaggregated by local and national) (#)</w:t>
      </w:r>
    </w:p>
    <w:p w14:paraId="3C70127D" w14:textId="77777777" w:rsidR="003A0755" w:rsidRPr="003A0755" w:rsidRDefault="003A0755" w:rsidP="003A0755">
      <w:pPr>
        <w:spacing w:after="160" w:line="276" w:lineRule="auto"/>
        <w:jc w:val="both"/>
        <w:rPr>
          <w:rFonts w:cs="Arial"/>
          <w:i/>
          <w:iCs/>
          <w:sz w:val="20"/>
        </w:rPr>
      </w:pPr>
      <w:r w:rsidRPr="003A0755">
        <w:rPr>
          <w:rFonts w:cs="Arial"/>
          <w:i/>
          <w:iCs/>
          <w:sz w:val="20"/>
        </w:rPr>
        <w:t>Updated indicators:</w:t>
      </w:r>
    </w:p>
    <w:p w14:paraId="32820E04" w14:textId="3B07C750" w:rsidR="003A0755" w:rsidRPr="003A0755" w:rsidRDefault="007E0DA1" w:rsidP="00AD1823">
      <w:pPr>
        <w:numPr>
          <w:ilvl w:val="0"/>
          <w:numId w:val="27"/>
        </w:numPr>
        <w:spacing w:line="276" w:lineRule="auto"/>
        <w:jc w:val="both"/>
        <w:rPr>
          <w:rFonts w:cs="Arial"/>
          <w:sz w:val="20"/>
        </w:rPr>
      </w:pPr>
      <w:r>
        <w:rPr>
          <w:rFonts w:cs="Arial"/>
          <w:sz w:val="20"/>
        </w:rPr>
        <w:t xml:space="preserve">3.1: </w:t>
      </w:r>
      <w:r w:rsidRPr="007E0DA1">
        <w:rPr>
          <w:rFonts w:cs="Arial"/>
          <w:sz w:val="20"/>
        </w:rPr>
        <w:t>Applicants and grantees use and engage on the OCEAN Learning and Networking Platform to get peer support, and to find and share opportunities for support and training external to OCEAN</w:t>
      </w:r>
    </w:p>
    <w:p w14:paraId="311C8251" w14:textId="45C98A76" w:rsidR="003A0755" w:rsidRPr="003A0755" w:rsidRDefault="007E0DA1" w:rsidP="00AD1823">
      <w:pPr>
        <w:numPr>
          <w:ilvl w:val="0"/>
          <w:numId w:val="27"/>
        </w:numPr>
        <w:spacing w:line="276" w:lineRule="auto"/>
        <w:jc w:val="both"/>
        <w:rPr>
          <w:rFonts w:cs="Arial"/>
          <w:sz w:val="20"/>
        </w:rPr>
      </w:pPr>
      <w:r>
        <w:rPr>
          <w:rFonts w:cs="Arial"/>
          <w:sz w:val="20"/>
        </w:rPr>
        <w:t xml:space="preserve">3.2: </w:t>
      </w:r>
      <w:r w:rsidR="000A63E1" w:rsidRPr="000A63E1">
        <w:rPr>
          <w:rFonts w:cs="Arial"/>
          <w:sz w:val="20"/>
        </w:rPr>
        <w:t>Processes are established to share OCEAN evidence and learnings with other existing Challenge Funds and Blue Planet Fund programmes</w:t>
      </w:r>
    </w:p>
    <w:p w14:paraId="34D35BB9" w14:textId="75242B47" w:rsidR="003A0755" w:rsidRPr="003A0755" w:rsidRDefault="000A63E1" w:rsidP="00AD1823">
      <w:pPr>
        <w:numPr>
          <w:ilvl w:val="0"/>
          <w:numId w:val="27"/>
        </w:numPr>
        <w:spacing w:after="160" w:line="276" w:lineRule="auto"/>
        <w:jc w:val="both"/>
        <w:rPr>
          <w:rFonts w:cs="Arial"/>
          <w:sz w:val="20"/>
        </w:rPr>
      </w:pPr>
      <w:r>
        <w:rPr>
          <w:rFonts w:cs="Arial"/>
          <w:sz w:val="20"/>
        </w:rPr>
        <w:t xml:space="preserve">3.3: </w:t>
      </w:r>
      <w:r w:rsidR="002A682B" w:rsidRPr="002A682B">
        <w:rPr>
          <w:rFonts w:cs="Arial"/>
          <w:sz w:val="20"/>
        </w:rPr>
        <w:t>OCEAN projects produce and share accessible knowledge products related to marine environment and poverty reduction</w:t>
      </w:r>
    </w:p>
    <w:p w14:paraId="11D5C3EB" w14:textId="77777777" w:rsidR="00793FCF" w:rsidRPr="00793FCF" w:rsidRDefault="00793FCF" w:rsidP="00793FCF">
      <w:pPr>
        <w:jc w:val="both"/>
        <w:rPr>
          <w:rFonts w:cs="Arial"/>
          <w:b/>
          <w:bCs/>
          <w:sz w:val="22"/>
          <w:szCs w:val="22"/>
        </w:rPr>
      </w:pPr>
      <w:r w:rsidRPr="00793FCF">
        <w:rPr>
          <w:rFonts w:cs="Arial"/>
          <w:b/>
          <w:bCs/>
          <w:sz w:val="22"/>
          <w:szCs w:val="22"/>
        </w:rPr>
        <w:t xml:space="preserve">C3. Progress on recommendations from the previous AR (if completed), lessons learned this year and recommendations for the year ahead </w:t>
      </w:r>
    </w:p>
    <w:p w14:paraId="50C9C8BD" w14:textId="77777777" w:rsidR="00793FCF" w:rsidRDefault="00793FCF" w:rsidP="00793FCF">
      <w:pPr>
        <w:tabs>
          <w:tab w:val="left" w:pos="8352"/>
        </w:tabs>
        <w:jc w:val="both"/>
        <w:rPr>
          <w:rFonts w:cs="Arial"/>
          <w:bCs/>
          <w:sz w:val="22"/>
          <w:szCs w:val="22"/>
        </w:rPr>
      </w:pPr>
    </w:p>
    <w:p w14:paraId="1ADF2032" w14:textId="15C6441F" w:rsidR="005300D2" w:rsidRDefault="00793FCF" w:rsidP="00793FCF">
      <w:pPr>
        <w:rPr>
          <w:sz w:val="20"/>
          <w:szCs w:val="20"/>
        </w:rPr>
      </w:pPr>
      <w:r w:rsidRPr="41710D79">
        <w:rPr>
          <w:sz w:val="20"/>
          <w:szCs w:val="20"/>
        </w:rPr>
        <w:t xml:space="preserve">This is the first Annual Review for </w:t>
      </w:r>
      <w:proofErr w:type="gramStart"/>
      <w:r w:rsidRPr="41710D79">
        <w:rPr>
          <w:sz w:val="20"/>
          <w:szCs w:val="20"/>
        </w:rPr>
        <w:t>OCEAN</w:t>
      </w:r>
      <w:proofErr w:type="gramEnd"/>
      <w:r w:rsidRPr="41710D79">
        <w:rPr>
          <w:sz w:val="20"/>
          <w:szCs w:val="20"/>
        </w:rPr>
        <w:t xml:space="preserve"> and no previous recommendations have been made for the programme’s delivery. </w:t>
      </w:r>
      <w:r w:rsidR="006B3CE7">
        <w:rPr>
          <w:sz w:val="20"/>
          <w:szCs w:val="20"/>
        </w:rPr>
        <w:t xml:space="preserve">Key lessons learned and recommendations from year 1 are detailed in section A3. </w:t>
      </w:r>
      <w:r w:rsidR="00512A15">
        <w:rPr>
          <w:sz w:val="20"/>
          <w:szCs w:val="20"/>
        </w:rPr>
        <w:t xml:space="preserve">These lessons are </w:t>
      </w:r>
      <w:r w:rsidR="00E37F6A">
        <w:rPr>
          <w:sz w:val="20"/>
          <w:szCs w:val="20"/>
        </w:rPr>
        <w:t>summarised by the output which they relate to below</w:t>
      </w:r>
      <w:r w:rsidR="00510A10">
        <w:rPr>
          <w:sz w:val="20"/>
          <w:szCs w:val="20"/>
        </w:rPr>
        <w:t xml:space="preserve"> </w:t>
      </w:r>
      <w:r w:rsidR="008B6EBD">
        <w:rPr>
          <w:sz w:val="20"/>
          <w:szCs w:val="20"/>
        </w:rPr>
        <w:t>alongside a progress update</w:t>
      </w:r>
      <w:r w:rsidR="0003645E">
        <w:rPr>
          <w:sz w:val="20"/>
          <w:szCs w:val="20"/>
        </w:rPr>
        <w:t xml:space="preserve"> below in </w:t>
      </w:r>
      <w:r w:rsidR="00F30078">
        <w:rPr>
          <w:sz w:val="20"/>
          <w:szCs w:val="20"/>
        </w:rPr>
        <w:t>Table 2</w:t>
      </w:r>
      <w:r w:rsidR="0003645E">
        <w:rPr>
          <w:sz w:val="20"/>
          <w:szCs w:val="20"/>
        </w:rPr>
        <w:t xml:space="preserve">. </w:t>
      </w:r>
    </w:p>
    <w:p w14:paraId="1E3AB7A3" w14:textId="77777777" w:rsidR="002F00CC" w:rsidRDefault="002F00CC" w:rsidP="00793FCF">
      <w:pPr>
        <w:rPr>
          <w:sz w:val="20"/>
          <w:szCs w:val="20"/>
        </w:rPr>
      </w:pPr>
    </w:p>
    <w:p w14:paraId="17FA8E17" w14:textId="77777777" w:rsidR="002F00CC" w:rsidRDefault="002F00CC" w:rsidP="00793FCF">
      <w:pPr>
        <w:rPr>
          <w:sz w:val="20"/>
          <w:szCs w:val="20"/>
        </w:rPr>
      </w:pPr>
    </w:p>
    <w:p w14:paraId="157F52E8" w14:textId="77777777" w:rsidR="002F00CC" w:rsidRDefault="002F00CC" w:rsidP="00793FCF">
      <w:pPr>
        <w:rPr>
          <w:sz w:val="20"/>
          <w:szCs w:val="20"/>
        </w:rPr>
      </w:pPr>
    </w:p>
    <w:p w14:paraId="197ECB05" w14:textId="77777777" w:rsidR="002F00CC" w:rsidRDefault="002F00CC" w:rsidP="00793FCF">
      <w:pPr>
        <w:rPr>
          <w:sz w:val="20"/>
          <w:szCs w:val="20"/>
        </w:rPr>
      </w:pPr>
    </w:p>
    <w:p w14:paraId="04FA6798" w14:textId="77777777" w:rsidR="002F00CC" w:rsidRDefault="002F00CC" w:rsidP="00793FCF">
      <w:pPr>
        <w:rPr>
          <w:sz w:val="20"/>
          <w:szCs w:val="20"/>
        </w:rPr>
      </w:pPr>
    </w:p>
    <w:p w14:paraId="5876CA3C" w14:textId="77777777" w:rsidR="002F00CC" w:rsidRDefault="002F00CC" w:rsidP="00793FCF">
      <w:pPr>
        <w:rPr>
          <w:sz w:val="20"/>
          <w:szCs w:val="20"/>
        </w:rPr>
      </w:pPr>
    </w:p>
    <w:p w14:paraId="5545EE8D" w14:textId="77777777" w:rsidR="00AD00FA" w:rsidRDefault="00AD00FA" w:rsidP="00793FCF">
      <w:pPr>
        <w:rPr>
          <w:sz w:val="20"/>
          <w:szCs w:val="20"/>
        </w:rPr>
      </w:pPr>
    </w:p>
    <w:p w14:paraId="719F9E5B" w14:textId="55EEB6CE" w:rsidR="008B6EBD" w:rsidRPr="0003645E" w:rsidRDefault="00AD00FA" w:rsidP="00793FCF">
      <w:pPr>
        <w:rPr>
          <w:b/>
          <w:bCs/>
          <w:sz w:val="20"/>
          <w:szCs w:val="20"/>
        </w:rPr>
      </w:pPr>
      <w:r w:rsidRPr="0003645E">
        <w:rPr>
          <w:b/>
          <w:bCs/>
          <w:sz w:val="20"/>
          <w:szCs w:val="20"/>
        </w:rPr>
        <w:lastRenderedPageBreak/>
        <w:t xml:space="preserve">Table </w:t>
      </w:r>
      <w:r w:rsidR="00F30078" w:rsidRPr="1E792553">
        <w:rPr>
          <w:b/>
          <w:bCs/>
          <w:sz w:val="20"/>
          <w:szCs w:val="20"/>
        </w:rPr>
        <w:t>2</w:t>
      </w:r>
      <w:r w:rsidRPr="0003645E">
        <w:rPr>
          <w:b/>
          <w:bCs/>
          <w:sz w:val="20"/>
          <w:szCs w:val="20"/>
        </w:rPr>
        <w:t xml:space="preserve">: Summary of </w:t>
      </w:r>
      <w:r w:rsidR="0003645E" w:rsidRPr="0003645E">
        <w:rPr>
          <w:b/>
          <w:bCs/>
          <w:sz w:val="20"/>
          <w:szCs w:val="20"/>
        </w:rPr>
        <w:t xml:space="preserve">lessons learned and recommendations by output </w:t>
      </w:r>
    </w:p>
    <w:p w14:paraId="2A984544" w14:textId="77777777" w:rsidR="00DC2147" w:rsidRPr="0003645E" w:rsidRDefault="00DC2147" w:rsidP="00793FCF">
      <w:pPr>
        <w:rPr>
          <w:b/>
          <w:bCs/>
          <w:sz w:val="20"/>
          <w:szCs w:val="20"/>
        </w:rPr>
      </w:pPr>
    </w:p>
    <w:tbl>
      <w:tblPr>
        <w:tblStyle w:val="TableGrid"/>
        <w:tblW w:w="0" w:type="auto"/>
        <w:tblLook w:val="04A0" w:firstRow="1" w:lastRow="0" w:firstColumn="1" w:lastColumn="0" w:noHBand="0" w:noVBand="1"/>
      </w:tblPr>
      <w:tblGrid>
        <w:gridCol w:w="3005"/>
        <w:gridCol w:w="3005"/>
        <w:gridCol w:w="3006"/>
      </w:tblGrid>
      <w:tr w:rsidR="0035572C" w14:paraId="07E2977D" w14:textId="77777777" w:rsidTr="0035572C">
        <w:tc>
          <w:tcPr>
            <w:tcW w:w="3005" w:type="dxa"/>
          </w:tcPr>
          <w:p w14:paraId="6CC281D2" w14:textId="4297D62E" w:rsidR="0035572C" w:rsidRPr="006829C1" w:rsidRDefault="006829C1" w:rsidP="00793FCF">
            <w:pPr>
              <w:rPr>
                <w:b/>
                <w:bCs/>
                <w:sz w:val="20"/>
                <w:szCs w:val="20"/>
              </w:rPr>
            </w:pPr>
            <w:r w:rsidRPr="006829C1">
              <w:rPr>
                <w:b/>
                <w:bCs/>
                <w:sz w:val="20"/>
                <w:szCs w:val="20"/>
              </w:rPr>
              <w:t>Lesson</w:t>
            </w:r>
          </w:p>
        </w:tc>
        <w:tc>
          <w:tcPr>
            <w:tcW w:w="3005" w:type="dxa"/>
          </w:tcPr>
          <w:p w14:paraId="7CFB3C50" w14:textId="1619E886" w:rsidR="0035572C" w:rsidRPr="006829C1" w:rsidRDefault="006829C1" w:rsidP="00793FCF">
            <w:pPr>
              <w:rPr>
                <w:b/>
                <w:bCs/>
                <w:sz w:val="20"/>
                <w:szCs w:val="20"/>
              </w:rPr>
            </w:pPr>
            <w:r w:rsidRPr="006829C1">
              <w:rPr>
                <w:b/>
                <w:bCs/>
                <w:sz w:val="20"/>
                <w:szCs w:val="20"/>
              </w:rPr>
              <w:t>Recommendation</w:t>
            </w:r>
          </w:p>
        </w:tc>
        <w:tc>
          <w:tcPr>
            <w:tcW w:w="3006" w:type="dxa"/>
          </w:tcPr>
          <w:p w14:paraId="4D45BFF9" w14:textId="265C4344" w:rsidR="0035572C" w:rsidRPr="006829C1" w:rsidRDefault="006829C1" w:rsidP="00793FCF">
            <w:pPr>
              <w:rPr>
                <w:b/>
                <w:bCs/>
                <w:sz w:val="20"/>
                <w:szCs w:val="20"/>
              </w:rPr>
            </w:pPr>
            <w:r w:rsidRPr="006829C1">
              <w:rPr>
                <w:b/>
                <w:bCs/>
                <w:sz w:val="20"/>
                <w:szCs w:val="20"/>
              </w:rPr>
              <w:t>Progress Update</w:t>
            </w:r>
          </w:p>
        </w:tc>
      </w:tr>
      <w:tr w:rsidR="006829C1" w14:paraId="2C15A7EE" w14:textId="77777777">
        <w:tc>
          <w:tcPr>
            <w:tcW w:w="9016" w:type="dxa"/>
            <w:gridSpan w:val="3"/>
          </w:tcPr>
          <w:p w14:paraId="422BF9A9" w14:textId="76966E5F" w:rsidR="006829C1" w:rsidRPr="006829C1" w:rsidRDefault="006829C1" w:rsidP="00D93CE5">
            <w:pPr>
              <w:rPr>
                <w:b/>
                <w:bCs/>
                <w:sz w:val="20"/>
                <w:szCs w:val="20"/>
              </w:rPr>
            </w:pPr>
            <w:r w:rsidRPr="006829C1">
              <w:rPr>
                <w:b/>
                <w:bCs/>
                <w:sz w:val="20"/>
                <w:szCs w:val="20"/>
              </w:rPr>
              <w:t>Output 1</w:t>
            </w:r>
          </w:p>
        </w:tc>
      </w:tr>
      <w:tr w:rsidR="0035572C" w14:paraId="4F83D5BA" w14:textId="77777777" w:rsidTr="0035572C">
        <w:tc>
          <w:tcPr>
            <w:tcW w:w="3005" w:type="dxa"/>
          </w:tcPr>
          <w:p w14:paraId="55D81FA4" w14:textId="2BEEB82E" w:rsidR="0035572C" w:rsidRDefault="007D21B5" w:rsidP="00793FCF">
            <w:pPr>
              <w:rPr>
                <w:sz w:val="20"/>
                <w:szCs w:val="20"/>
              </w:rPr>
            </w:pPr>
            <w:r>
              <w:rPr>
                <w:sz w:val="20"/>
                <w:szCs w:val="20"/>
              </w:rPr>
              <w:t xml:space="preserve">Inadequate </w:t>
            </w:r>
            <w:r w:rsidR="00A96D54">
              <w:rPr>
                <w:sz w:val="20"/>
                <w:szCs w:val="20"/>
              </w:rPr>
              <w:t>weighting</w:t>
            </w:r>
            <w:r w:rsidR="006D545C">
              <w:rPr>
                <w:sz w:val="20"/>
                <w:szCs w:val="20"/>
              </w:rPr>
              <w:t xml:space="preserve"> and clarity</w:t>
            </w:r>
            <w:r w:rsidR="00A96D54">
              <w:rPr>
                <w:sz w:val="20"/>
                <w:szCs w:val="20"/>
              </w:rPr>
              <w:t xml:space="preserve"> of UMIC criteria leads to inconsistent scoring by Expert Committee.</w:t>
            </w:r>
          </w:p>
        </w:tc>
        <w:tc>
          <w:tcPr>
            <w:tcW w:w="3005" w:type="dxa"/>
          </w:tcPr>
          <w:p w14:paraId="5F42A9AC" w14:textId="63199330" w:rsidR="0035572C" w:rsidRDefault="0043276D" w:rsidP="00793FCF">
            <w:pPr>
              <w:rPr>
                <w:sz w:val="20"/>
                <w:szCs w:val="20"/>
              </w:rPr>
            </w:pPr>
            <w:r>
              <w:rPr>
                <w:sz w:val="20"/>
                <w:szCs w:val="20"/>
              </w:rPr>
              <w:t>Develop</w:t>
            </w:r>
            <w:r w:rsidR="00366C10">
              <w:rPr>
                <w:sz w:val="20"/>
                <w:szCs w:val="20"/>
              </w:rPr>
              <w:t xml:space="preserve"> clearer UMIC guidance for Expert Committee ahead of Round 2. </w:t>
            </w:r>
          </w:p>
        </w:tc>
        <w:tc>
          <w:tcPr>
            <w:tcW w:w="3006" w:type="dxa"/>
          </w:tcPr>
          <w:p w14:paraId="1B74162F" w14:textId="10FB8661" w:rsidR="0035572C" w:rsidRDefault="00792820" w:rsidP="00793FCF">
            <w:pPr>
              <w:rPr>
                <w:sz w:val="20"/>
                <w:szCs w:val="20"/>
              </w:rPr>
            </w:pPr>
            <w:r>
              <w:rPr>
                <w:sz w:val="20"/>
                <w:szCs w:val="20"/>
              </w:rPr>
              <w:t>Revised guidance is currently being drafted ahead of the launch of the second calls for proposals.</w:t>
            </w:r>
          </w:p>
        </w:tc>
      </w:tr>
      <w:tr w:rsidR="0035572C" w14:paraId="4EF8A4CB" w14:textId="77777777" w:rsidTr="0035572C">
        <w:tc>
          <w:tcPr>
            <w:tcW w:w="3005" w:type="dxa"/>
          </w:tcPr>
          <w:p w14:paraId="0FAB1372" w14:textId="26F61B0D" w:rsidR="0035572C" w:rsidRDefault="00BF5F81" w:rsidP="00793FCF">
            <w:pPr>
              <w:rPr>
                <w:sz w:val="20"/>
                <w:szCs w:val="20"/>
              </w:rPr>
            </w:pPr>
            <w:r>
              <w:rPr>
                <w:sz w:val="20"/>
                <w:szCs w:val="20"/>
              </w:rPr>
              <w:t>Insufficient Expert Committee resource due to large number of OCEAN applications.</w:t>
            </w:r>
          </w:p>
        </w:tc>
        <w:tc>
          <w:tcPr>
            <w:tcW w:w="3005" w:type="dxa"/>
          </w:tcPr>
          <w:p w14:paraId="3115ABD8" w14:textId="3C1C06D2" w:rsidR="0035572C" w:rsidRDefault="001A0F07" w:rsidP="00793FCF">
            <w:pPr>
              <w:rPr>
                <w:sz w:val="20"/>
                <w:szCs w:val="20"/>
              </w:rPr>
            </w:pPr>
            <w:r>
              <w:rPr>
                <w:sz w:val="20"/>
                <w:szCs w:val="20"/>
              </w:rPr>
              <w:t xml:space="preserve">Increase number of Expert Committee members </w:t>
            </w:r>
            <w:r w:rsidR="000E440A">
              <w:rPr>
                <w:sz w:val="20"/>
                <w:szCs w:val="20"/>
              </w:rPr>
              <w:t xml:space="preserve">particularly those with international development expertise </w:t>
            </w:r>
            <w:r>
              <w:rPr>
                <w:sz w:val="20"/>
                <w:szCs w:val="20"/>
              </w:rPr>
              <w:t xml:space="preserve">ahead of second call for proposals. </w:t>
            </w:r>
          </w:p>
        </w:tc>
        <w:tc>
          <w:tcPr>
            <w:tcW w:w="3006" w:type="dxa"/>
          </w:tcPr>
          <w:p w14:paraId="276E567C" w14:textId="24DF26EB" w:rsidR="0035572C" w:rsidRDefault="001A0F07" w:rsidP="00793FCF">
            <w:pPr>
              <w:rPr>
                <w:sz w:val="20"/>
                <w:szCs w:val="20"/>
              </w:rPr>
            </w:pPr>
            <w:r>
              <w:rPr>
                <w:sz w:val="20"/>
                <w:szCs w:val="20"/>
              </w:rPr>
              <w:t xml:space="preserve">The recruitment process is currently underway for the addition of </w:t>
            </w:r>
            <w:r w:rsidR="00F462F6">
              <w:rPr>
                <w:sz w:val="20"/>
                <w:szCs w:val="20"/>
              </w:rPr>
              <w:t>at least five</w:t>
            </w:r>
            <w:r>
              <w:rPr>
                <w:sz w:val="20"/>
                <w:szCs w:val="20"/>
              </w:rPr>
              <w:t xml:space="preserve"> new Expert Committee members.</w:t>
            </w:r>
          </w:p>
        </w:tc>
      </w:tr>
      <w:tr w:rsidR="0035572C" w14:paraId="30EDED2C" w14:textId="77777777" w:rsidTr="0035572C">
        <w:tc>
          <w:tcPr>
            <w:tcW w:w="3005" w:type="dxa"/>
          </w:tcPr>
          <w:p w14:paraId="33D6E01B" w14:textId="7B1D5EE3" w:rsidR="0035572C" w:rsidRDefault="00BB3843" w:rsidP="00793FCF">
            <w:pPr>
              <w:rPr>
                <w:sz w:val="20"/>
                <w:szCs w:val="20"/>
              </w:rPr>
            </w:pPr>
            <w:r>
              <w:rPr>
                <w:sz w:val="20"/>
                <w:szCs w:val="20"/>
              </w:rPr>
              <w:t>Limited in-country/regional engagement undertaken due to constrained timelines.</w:t>
            </w:r>
          </w:p>
        </w:tc>
        <w:tc>
          <w:tcPr>
            <w:tcW w:w="3005" w:type="dxa"/>
          </w:tcPr>
          <w:p w14:paraId="556035E9" w14:textId="3CCCA603" w:rsidR="0035572C" w:rsidRDefault="00A05FC5" w:rsidP="00793FCF">
            <w:pPr>
              <w:rPr>
                <w:sz w:val="20"/>
                <w:szCs w:val="20"/>
              </w:rPr>
            </w:pPr>
            <w:r>
              <w:rPr>
                <w:sz w:val="20"/>
                <w:szCs w:val="20"/>
              </w:rPr>
              <w:t>Enhance level of in-country/regional engagement</w:t>
            </w:r>
            <w:r w:rsidR="000E440A">
              <w:rPr>
                <w:sz w:val="20"/>
                <w:szCs w:val="20"/>
              </w:rPr>
              <w:t xml:space="preserve"> with targeted engagement in Western Africa and SIDS</w:t>
            </w:r>
            <w:r>
              <w:rPr>
                <w:sz w:val="20"/>
                <w:szCs w:val="20"/>
              </w:rPr>
              <w:t xml:space="preserve"> ahead of and during Round 2.</w:t>
            </w:r>
          </w:p>
        </w:tc>
        <w:tc>
          <w:tcPr>
            <w:tcW w:w="3006" w:type="dxa"/>
          </w:tcPr>
          <w:p w14:paraId="67011E22" w14:textId="04020C82" w:rsidR="0035572C" w:rsidRDefault="008966BF" w:rsidP="00793FCF">
            <w:pPr>
              <w:rPr>
                <w:sz w:val="20"/>
                <w:szCs w:val="20"/>
              </w:rPr>
            </w:pPr>
            <w:r>
              <w:rPr>
                <w:sz w:val="20"/>
                <w:szCs w:val="20"/>
              </w:rPr>
              <w:t xml:space="preserve">A Round 2 engagement plan is currently being created </w:t>
            </w:r>
            <w:r w:rsidR="00DC77A0">
              <w:rPr>
                <w:sz w:val="20"/>
                <w:szCs w:val="20"/>
              </w:rPr>
              <w:t xml:space="preserve">including </w:t>
            </w:r>
            <w:proofErr w:type="gramStart"/>
            <w:r w:rsidR="00DC77A0">
              <w:rPr>
                <w:sz w:val="20"/>
                <w:szCs w:val="20"/>
              </w:rPr>
              <w:t>a number of</w:t>
            </w:r>
            <w:proofErr w:type="gramEnd"/>
            <w:r w:rsidR="00DC77A0">
              <w:rPr>
                <w:sz w:val="20"/>
                <w:szCs w:val="20"/>
              </w:rPr>
              <w:t xml:space="preserve"> in-country/regional targeted workshops. </w:t>
            </w:r>
            <w:r>
              <w:rPr>
                <w:sz w:val="20"/>
                <w:szCs w:val="20"/>
              </w:rPr>
              <w:t xml:space="preserve"> </w:t>
            </w:r>
          </w:p>
        </w:tc>
      </w:tr>
      <w:tr w:rsidR="008D33E4" w14:paraId="3B091505" w14:textId="77777777">
        <w:tc>
          <w:tcPr>
            <w:tcW w:w="9016" w:type="dxa"/>
            <w:gridSpan w:val="3"/>
          </w:tcPr>
          <w:p w14:paraId="33937555" w14:textId="0B11BBD5" w:rsidR="008D33E4" w:rsidRPr="008D33E4" w:rsidRDefault="008D33E4" w:rsidP="00793FCF">
            <w:pPr>
              <w:rPr>
                <w:b/>
                <w:bCs/>
                <w:sz w:val="20"/>
                <w:szCs w:val="20"/>
              </w:rPr>
            </w:pPr>
            <w:r w:rsidRPr="008D33E4">
              <w:rPr>
                <w:b/>
                <w:bCs/>
                <w:sz w:val="20"/>
                <w:szCs w:val="20"/>
              </w:rPr>
              <w:t>Output 2</w:t>
            </w:r>
          </w:p>
        </w:tc>
      </w:tr>
      <w:tr w:rsidR="0035572C" w14:paraId="1FAD6AA3" w14:textId="77777777" w:rsidTr="0035572C">
        <w:tc>
          <w:tcPr>
            <w:tcW w:w="3005" w:type="dxa"/>
          </w:tcPr>
          <w:p w14:paraId="6678442B" w14:textId="5394FE60" w:rsidR="0035572C" w:rsidRDefault="001C0535" w:rsidP="00793FCF">
            <w:pPr>
              <w:rPr>
                <w:sz w:val="20"/>
                <w:szCs w:val="20"/>
              </w:rPr>
            </w:pPr>
            <w:r>
              <w:rPr>
                <w:sz w:val="20"/>
                <w:szCs w:val="20"/>
              </w:rPr>
              <w:t>Common mistakes made by applicants due to complexity of OCEAN guidance.</w:t>
            </w:r>
          </w:p>
        </w:tc>
        <w:tc>
          <w:tcPr>
            <w:tcW w:w="3005" w:type="dxa"/>
          </w:tcPr>
          <w:p w14:paraId="2EDC2048" w14:textId="5A72BF57" w:rsidR="0035572C" w:rsidRDefault="00C56068" w:rsidP="00793FCF">
            <w:pPr>
              <w:rPr>
                <w:sz w:val="20"/>
                <w:szCs w:val="20"/>
              </w:rPr>
            </w:pPr>
            <w:r>
              <w:rPr>
                <w:sz w:val="20"/>
                <w:szCs w:val="20"/>
              </w:rPr>
              <w:t>Publish short-form guidance to make clear essential eligibility and application requirements ahead of Round 2.</w:t>
            </w:r>
          </w:p>
        </w:tc>
        <w:tc>
          <w:tcPr>
            <w:tcW w:w="3006" w:type="dxa"/>
          </w:tcPr>
          <w:p w14:paraId="4DCF2AE5" w14:textId="58F63AF0" w:rsidR="0035572C" w:rsidRDefault="00C56068" w:rsidP="00793FCF">
            <w:pPr>
              <w:rPr>
                <w:sz w:val="20"/>
                <w:szCs w:val="20"/>
              </w:rPr>
            </w:pPr>
            <w:r>
              <w:rPr>
                <w:sz w:val="20"/>
                <w:szCs w:val="20"/>
              </w:rPr>
              <w:t>Short-form guidance has been drafted and is currently being cleared by key stakeholders.</w:t>
            </w:r>
          </w:p>
        </w:tc>
      </w:tr>
      <w:tr w:rsidR="0035572C" w14:paraId="54AD9E6C" w14:textId="77777777" w:rsidTr="0035572C">
        <w:tc>
          <w:tcPr>
            <w:tcW w:w="3005" w:type="dxa"/>
          </w:tcPr>
          <w:p w14:paraId="5AE0A1B7" w14:textId="156BE143" w:rsidR="0035572C" w:rsidRDefault="00E848F0" w:rsidP="00E848F0">
            <w:pPr>
              <w:jc w:val="center"/>
              <w:rPr>
                <w:sz w:val="20"/>
                <w:szCs w:val="20"/>
              </w:rPr>
            </w:pPr>
            <w:r>
              <w:rPr>
                <w:sz w:val="20"/>
                <w:szCs w:val="20"/>
              </w:rPr>
              <w:t xml:space="preserve">Lack of </w:t>
            </w:r>
            <w:r w:rsidR="00C27F05">
              <w:rPr>
                <w:sz w:val="20"/>
                <w:szCs w:val="20"/>
              </w:rPr>
              <w:t>clear messaging to</w:t>
            </w:r>
            <w:r>
              <w:rPr>
                <w:sz w:val="20"/>
                <w:szCs w:val="20"/>
              </w:rPr>
              <w:t xml:space="preserve"> FCDO colleagues </w:t>
            </w:r>
            <w:r w:rsidR="00E56C40">
              <w:rPr>
                <w:sz w:val="20"/>
                <w:szCs w:val="20"/>
              </w:rPr>
              <w:t xml:space="preserve">regarding their role and </w:t>
            </w:r>
            <w:r w:rsidR="00C27F05">
              <w:rPr>
                <w:sz w:val="20"/>
                <w:szCs w:val="20"/>
              </w:rPr>
              <w:t xml:space="preserve">desired </w:t>
            </w:r>
            <w:r w:rsidR="00E56C40">
              <w:rPr>
                <w:sz w:val="20"/>
                <w:szCs w:val="20"/>
              </w:rPr>
              <w:t>involvement in OCEAN.</w:t>
            </w:r>
          </w:p>
        </w:tc>
        <w:tc>
          <w:tcPr>
            <w:tcW w:w="3005" w:type="dxa"/>
          </w:tcPr>
          <w:p w14:paraId="76A8D3A7" w14:textId="6A09B9C0" w:rsidR="0035572C" w:rsidRDefault="00C27F05" w:rsidP="00793FCF">
            <w:pPr>
              <w:rPr>
                <w:sz w:val="20"/>
                <w:szCs w:val="20"/>
              </w:rPr>
            </w:pPr>
            <w:r>
              <w:rPr>
                <w:sz w:val="20"/>
                <w:szCs w:val="20"/>
              </w:rPr>
              <w:t>Further development of OCEAN-FCDO engagement strategy ahead of Round 2.</w:t>
            </w:r>
          </w:p>
        </w:tc>
        <w:tc>
          <w:tcPr>
            <w:tcW w:w="3006" w:type="dxa"/>
          </w:tcPr>
          <w:p w14:paraId="45CC9645" w14:textId="3449816E" w:rsidR="0035572C" w:rsidRDefault="00337BAD" w:rsidP="00793FCF">
            <w:pPr>
              <w:rPr>
                <w:sz w:val="20"/>
                <w:szCs w:val="20"/>
              </w:rPr>
            </w:pPr>
            <w:r>
              <w:rPr>
                <w:sz w:val="20"/>
                <w:szCs w:val="20"/>
              </w:rPr>
              <w:t>The OCEAN-FCDO engagement strategy has been revised and shared with FCDO colleagues. A</w:t>
            </w:r>
            <w:r w:rsidR="00FF2106">
              <w:rPr>
                <w:sz w:val="20"/>
                <w:szCs w:val="20"/>
              </w:rPr>
              <w:t>n OCEAN engagement webinar was held with FCDO colleagues in August 2024 to provide further clarity.</w:t>
            </w:r>
          </w:p>
        </w:tc>
      </w:tr>
      <w:tr w:rsidR="00FF2106" w14:paraId="54608F3C" w14:textId="77777777" w:rsidTr="0035572C">
        <w:tc>
          <w:tcPr>
            <w:tcW w:w="3005" w:type="dxa"/>
          </w:tcPr>
          <w:p w14:paraId="10F17A32" w14:textId="2A846AFC" w:rsidR="00FF2106" w:rsidRDefault="00397E89" w:rsidP="00E848F0">
            <w:pPr>
              <w:jc w:val="center"/>
              <w:rPr>
                <w:sz w:val="20"/>
                <w:szCs w:val="20"/>
              </w:rPr>
            </w:pPr>
            <w:r>
              <w:rPr>
                <w:sz w:val="20"/>
                <w:szCs w:val="20"/>
              </w:rPr>
              <w:t xml:space="preserve">Need for continued guidance and support to applicants </w:t>
            </w:r>
            <w:r w:rsidR="00E772C5">
              <w:rPr>
                <w:sz w:val="20"/>
                <w:szCs w:val="20"/>
              </w:rPr>
              <w:t>beyond the application stage.</w:t>
            </w:r>
          </w:p>
        </w:tc>
        <w:tc>
          <w:tcPr>
            <w:tcW w:w="3005" w:type="dxa"/>
          </w:tcPr>
          <w:p w14:paraId="1AE98A16" w14:textId="0AF6E218" w:rsidR="00FF2106" w:rsidRDefault="00E772C5" w:rsidP="00793FCF">
            <w:pPr>
              <w:rPr>
                <w:sz w:val="20"/>
                <w:szCs w:val="20"/>
              </w:rPr>
            </w:pPr>
            <w:r>
              <w:rPr>
                <w:sz w:val="20"/>
                <w:szCs w:val="20"/>
              </w:rPr>
              <w:t>Offer quarterly learning sessions to support grantee capacity development and facilitate network</w:t>
            </w:r>
            <w:r w:rsidR="00394D96">
              <w:rPr>
                <w:sz w:val="20"/>
                <w:szCs w:val="20"/>
              </w:rPr>
              <w:t>ing</w:t>
            </w:r>
            <w:r>
              <w:rPr>
                <w:sz w:val="20"/>
                <w:szCs w:val="20"/>
              </w:rPr>
              <w:t xml:space="preserve"> and peer to peer learning.</w:t>
            </w:r>
          </w:p>
        </w:tc>
        <w:tc>
          <w:tcPr>
            <w:tcW w:w="3006" w:type="dxa"/>
          </w:tcPr>
          <w:p w14:paraId="0C633122" w14:textId="32247BB5" w:rsidR="00FF2106" w:rsidRDefault="0098123F" w:rsidP="00793FCF">
            <w:pPr>
              <w:rPr>
                <w:sz w:val="20"/>
                <w:szCs w:val="20"/>
              </w:rPr>
            </w:pPr>
            <w:r>
              <w:rPr>
                <w:sz w:val="20"/>
                <w:szCs w:val="20"/>
              </w:rPr>
              <w:t xml:space="preserve">Plan for quarterly learning sessions is currently in development. </w:t>
            </w:r>
            <w:r w:rsidR="00394D96">
              <w:rPr>
                <w:sz w:val="20"/>
                <w:szCs w:val="20"/>
              </w:rPr>
              <w:t>Plan established to f</w:t>
            </w:r>
            <w:r w:rsidR="00BD1B46">
              <w:rPr>
                <w:sz w:val="20"/>
                <w:szCs w:val="20"/>
              </w:rPr>
              <w:t xml:space="preserve">urther </w:t>
            </w:r>
            <w:r w:rsidR="00394D96">
              <w:rPr>
                <w:sz w:val="20"/>
                <w:szCs w:val="20"/>
              </w:rPr>
              <w:t xml:space="preserve">develop </w:t>
            </w:r>
            <w:r w:rsidR="00BD1B46">
              <w:rPr>
                <w:sz w:val="20"/>
                <w:szCs w:val="20"/>
              </w:rPr>
              <w:t>the OCEAN Community on the UN Ocean Decade Network to facilitate netwo</w:t>
            </w:r>
            <w:r w:rsidR="00394D96">
              <w:rPr>
                <w:sz w:val="20"/>
                <w:szCs w:val="20"/>
              </w:rPr>
              <w:t>rking and peer to peer learning.</w:t>
            </w:r>
          </w:p>
        </w:tc>
      </w:tr>
      <w:tr w:rsidR="004B2B82" w14:paraId="12A618B5" w14:textId="77777777">
        <w:tc>
          <w:tcPr>
            <w:tcW w:w="9016" w:type="dxa"/>
            <w:gridSpan w:val="3"/>
          </w:tcPr>
          <w:p w14:paraId="7A11A9A5" w14:textId="092D6C08" w:rsidR="004B2B82" w:rsidRPr="001C02BC" w:rsidRDefault="004B2B82" w:rsidP="00793FCF">
            <w:pPr>
              <w:rPr>
                <w:b/>
                <w:bCs/>
                <w:sz w:val="20"/>
                <w:szCs w:val="20"/>
              </w:rPr>
            </w:pPr>
            <w:r w:rsidRPr="001C02BC">
              <w:rPr>
                <w:b/>
                <w:bCs/>
                <w:sz w:val="20"/>
                <w:szCs w:val="20"/>
              </w:rPr>
              <w:t>Output 3</w:t>
            </w:r>
          </w:p>
        </w:tc>
      </w:tr>
      <w:tr w:rsidR="004B2B82" w14:paraId="5EF135A2" w14:textId="77777777" w:rsidTr="0035572C">
        <w:tc>
          <w:tcPr>
            <w:tcW w:w="3005" w:type="dxa"/>
          </w:tcPr>
          <w:p w14:paraId="763049BF" w14:textId="327552FB" w:rsidR="004B2B82" w:rsidRDefault="00E75188" w:rsidP="00E848F0">
            <w:pPr>
              <w:jc w:val="center"/>
              <w:rPr>
                <w:sz w:val="20"/>
                <w:szCs w:val="20"/>
              </w:rPr>
            </w:pPr>
            <w:r>
              <w:rPr>
                <w:sz w:val="20"/>
                <w:szCs w:val="20"/>
              </w:rPr>
              <w:t>Limited additional engagement activities undertaken with growth of the UN Ocean Decade Network put on hold.</w:t>
            </w:r>
          </w:p>
        </w:tc>
        <w:tc>
          <w:tcPr>
            <w:tcW w:w="3005" w:type="dxa"/>
          </w:tcPr>
          <w:p w14:paraId="358A23C4" w14:textId="3B239355" w:rsidR="004B2B82" w:rsidRDefault="00DA49F8" w:rsidP="00793FCF">
            <w:pPr>
              <w:rPr>
                <w:sz w:val="20"/>
                <w:szCs w:val="20"/>
              </w:rPr>
            </w:pPr>
            <w:r>
              <w:rPr>
                <w:sz w:val="20"/>
                <w:szCs w:val="20"/>
              </w:rPr>
              <w:t>Undertake further engagement activities and grow membership and value of OCEAN Community on UN Ocean Decade Network.</w:t>
            </w:r>
          </w:p>
        </w:tc>
        <w:tc>
          <w:tcPr>
            <w:tcW w:w="3006" w:type="dxa"/>
          </w:tcPr>
          <w:p w14:paraId="0F8AE7F4" w14:textId="60AAE1AE" w:rsidR="004B2B82" w:rsidRDefault="00D31E04" w:rsidP="00793FCF">
            <w:pPr>
              <w:rPr>
                <w:sz w:val="20"/>
                <w:szCs w:val="20"/>
              </w:rPr>
            </w:pPr>
            <w:r>
              <w:rPr>
                <w:sz w:val="20"/>
                <w:szCs w:val="20"/>
              </w:rPr>
              <w:t>Plan established to further develop the OCEAN Community on the UN Ocean Decade Network to facilitate networking and peer to peer learning.</w:t>
            </w:r>
          </w:p>
        </w:tc>
      </w:tr>
      <w:tr w:rsidR="004B2B82" w14:paraId="4D23E4F5" w14:textId="77777777" w:rsidTr="0035572C">
        <w:tc>
          <w:tcPr>
            <w:tcW w:w="3005" w:type="dxa"/>
          </w:tcPr>
          <w:p w14:paraId="309A094B" w14:textId="0CE014A6" w:rsidR="004B2B82" w:rsidRDefault="00D30BA6" w:rsidP="00E848F0">
            <w:pPr>
              <w:jc w:val="center"/>
              <w:rPr>
                <w:sz w:val="20"/>
                <w:szCs w:val="20"/>
              </w:rPr>
            </w:pPr>
            <w:r>
              <w:rPr>
                <w:sz w:val="20"/>
                <w:szCs w:val="20"/>
              </w:rPr>
              <w:t xml:space="preserve">Need to standardise </w:t>
            </w:r>
            <w:r w:rsidR="0046143E">
              <w:rPr>
                <w:sz w:val="20"/>
                <w:szCs w:val="20"/>
              </w:rPr>
              <w:t>reporting requirements to achieve consistent and accurate aggregation of results.</w:t>
            </w:r>
          </w:p>
        </w:tc>
        <w:tc>
          <w:tcPr>
            <w:tcW w:w="3005" w:type="dxa"/>
          </w:tcPr>
          <w:p w14:paraId="206358CA" w14:textId="2A057DFC" w:rsidR="004B2B82" w:rsidRDefault="0046143E" w:rsidP="00793FCF">
            <w:pPr>
              <w:rPr>
                <w:sz w:val="20"/>
                <w:szCs w:val="20"/>
              </w:rPr>
            </w:pPr>
            <w:r>
              <w:rPr>
                <w:sz w:val="20"/>
                <w:szCs w:val="20"/>
              </w:rPr>
              <w:t>Develop and pilot OCEAN Standard Indicators with first cohort of grantees.</w:t>
            </w:r>
          </w:p>
        </w:tc>
        <w:tc>
          <w:tcPr>
            <w:tcW w:w="3006" w:type="dxa"/>
          </w:tcPr>
          <w:p w14:paraId="1E520F5B" w14:textId="723EBE54" w:rsidR="004B2B82" w:rsidRDefault="004959E1" w:rsidP="00793FCF">
            <w:pPr>
              <w:rPr>
                <w:sz w:val="20"/>
                <w:szCs w:val="20"/>
              </w:rPr>
            </w:pPr>
            <w:r>
              <w:rPr>
                <w:sz w:val="20"/>
                <w:szCs w:val="20"/>
              </w:rPr>
              <w:t xml:space="preserve">Standard Indicators </w:t>
            </w:r>
            <w:r w:rsidR="00036757">
              <w:rPr>
                <w:sz w:val="20"/>
                <w:szCs w:val="20"/>
              </w:rPr>
              <w:t>are currently being finalised</w:t>
            </w:r>
            <w:r>
              <w:rPr>
                <w:sz w:val="20"/>
                <w:szCs w:val="20"/>
              </w:rPr>
              <w:t xml:space="preserve"> and will be piloted from </w:t>
            </w:r>
            <w:r w:rsidR="00626974">
              <w:rPr>
                <w:sz w:val="20"/>
                <w:szCs w:val="20"/>
              </w:rPr>
              <w:t>November</w:t>
            </w:r>
            <w:r>
              <w:rPr>
                <w:sz w:val="20"/>
                <w:szCs w:val="20"/>
              </w:rPr>
              <w:t xml:space="preserve"> 2024.</w:t>
            </w:r>
          </w:p>
        </w:tc>
      </w:tr>
      <w:tr w:rsidR="00850806" w14:paraId="519BD840" w14:textId="77777777">
        <w:tc>
          <w:tcPr>
            <w:tcW w:w="9016" w:type="dxa"/>
            <w:gridSpan w:val="3"/>
          </w:tcPr>
          <w:p w14:paraId="31602C9A" w14:textId="76804FA7" w:rsidR="00850806" w:rsidRPr="00850806" w:rsidRDefault="00850806" w:rsidP="00793FCF">
            <w:pPr>
              <w:rPr>
                <w:b/>
                <w:bCs/>
                <w:sz w:val="20"/>
                <w:szCs w:val="20"/>
              </w:rPr>
            </w:pPr>
            <w:r w:rsidRPr="00850806">
              <w:rPr>
                <w:b/>
                <w:bCs/>
                <w:sz w:val="20"/>
                <w:szCs w:val="20"/>
              </w:rPr>
              <w:t>Crosscutting</w:t>
            </w:r>
          </w:p>
        </w:tc>
      </w:tr>
      <w:tr w:rsidR="00850806" w14:paraId="220B51E4" w14:textId="77777777" w:rsidTr="0035572C">
        <w:tc>
          <w:tcPr>
            <w:tcW w:w="3005" w:type="dxa"/>
          </w:tcPr>
          <w:p w14:paraId="62492E73" w14:textId="64074D67" w:rsidR="00850806" w:rsidRDefault="00236EC2" w:rsidP="00D45E68">
            <w:pPr>
              <w:rPr>
                <w:sz w:val="20"/>
                <w:szCs w:val="20"/>
              </w:rPr>
            </w:pPr>
            <w:r>
              <w:rPr>
                <w:sz w:val="20"/>
                <w:szCs w:val="20"/>
              </w:rPr>
              <w:t>Need to ensure close strategic links and sharing of lessons learned with Defra’s Challenge Funds and other relevant programmes.</w:t>
            </w:r>
          </w:p>
        </w:tc>
        <w:tc>
          <w:tcPr>
            <w:tcW w:w="3005" w:type="dxa"/>
          </w:tcPr>
          <w:p w14:paraId="2C87D7FB" w14:textId="4D76BE23" w:rsidR="00850806" w:rsidRDefault="00236EC2" w:rsidP="00793FCF">
            <w:pPr>
              <w:rPr>
                <w:sz w:val="20"/>
                <w:szCs w:val="20"/>
              </w:rPr>
            </w:pPr>
            <w:r>
              <w:rPr>
                <w:sz w:val="20"/>
                <w:szCs w:val="20"/>
              </w:rPr>
              <w:t xml:space="preserve">Implement additional meetings and focused workshops to support </w:t>
            </w:r>
            <w:r w:rsidR="00C4178A">
              <w:rPr>
                <w:sz w:val="20"/>
                <w:szCs w:val="20"/>
              </w:rPr>
              <w:t>sharing of lessons-learned and ensure a coherent strategy. Representative from the Biodiversity Challenge Funds to sit on OCEAN Programme Board.</w:t>
            </w:r>
          </w:p>
        </w:tc>
        <w:tc>
          <w:tcPr>
            <w:tcW w:w="3006" w:type="dxa"/>
          </w:tcPr>
          <w:p w14:paraId="727588BB" w14:textId="49F7FF09" w:rsidR="00850806" w:rsidRDefault="00997DA1" w:rsidP="00793FCF">
            <w:pPr>
              <w:rPr>
                <w:sz w:val="20"/>
                <w:szCs w:val="20"/>
              </w:rPr>
            </w:pPr>
            <w:r>
              <w:rPr>
                <w:sz w:val="20"/>
                <w:szCs w:val="20"/>
              </w:rPr>
              <w:t>Plans for a focused workshop are currently in development with the Biodiversity Challenge Funds team. Additional regular meetings with key programmes have been established.</w:t>
            </w:r>
            <w:r w:rsidR="00D2041F">
              <w:rPr>
                <w:sz w:val="20"/>
                <w:szCs w:val="20"/>
              </w:rPr>
              <w:t xml:space="preserve"> Biodiversity Challenge Funds representative has agreed to sit on OCEAN Programme Board.</w:t>
            </w:r>
          </w:p>
        </w:tc>
      </w:tr>
      <w:tr w:rsidR="00850806" w14:paraId="47BD2BDA" w14:textId="77777777" w:rsidTr="0035572C">
        <w:tc>
          <w:tcPr>
            <w:tcW w:w="3005" w:type="dxa"/>
          </w:tcPr>
          <w:p w14:paraId="6694C4A4" w14:textId="4B3830A7" w:rsidR="00850806" w:rsidRDefault="002E09D0" w:rsidP="00E848F0">
            <w:pPr>
              <w:jc w:val="center"/>
              <w:rPr>
                <w:sz w:val="20"/>
                <w:szCs w:val="20"/>
              </w:rPr>
            </w:pPr>
            <w:r>
              <w:rPr>
                <w:sz w:val="20"/>
                <w:szCs w:val="20"/>
              </w:rPr>
              <w:lastRenderedPageBreak/>
              <w:t>OCEAN must ensure that the programme enhances and complements the Blue Planet Fund portfolio and wider Defra ODA portfoli</w:t>
            </w:r>
            <w:r w:rsidR="009E6882">
              <w:rPr>
                <w:sz w:val="20"/>
                <w:szCs w:val="20"/>
              </w:rPr>
              <w:t xml:space="preserve">o and has wider strategic impact than each of </w:t>
            </w:r>
            <w:proofErr w:type="spellStart"/>
            <w:proofErr w:type="gramStart"/>
            <w:r w:rsidR="009E6882">
              <w:rPr>
                <w:sz w:val="20"/>
                <w:szCs w:val="20"/>
              </w:rPr>
              <w:t>it’s</w:t>
            </w:r>
            <w:proofErr w:type="spellEnd"/>
            <w:proofErr w:type="gramEnd"/>
            <w:r w:rsidR="009E6882">
              <w:rPr>
                <w:sz w:val="20"/>
                <w:szCs w:val="20"/>
              </w:rPr>
              <w:t xml:space="preserve"> individual projects.</w:t>
            </w:r>
          </w:p>
        </w:tc>
        <w:tc>
          <w:tcPr>
            <w:tcW w:w="3005" w:type="dxa"/>
          </w:tcPr>
          <w:p w14:paraId="7448A649" w14:textId="242EE059" w:rsidR="00850806" w:rsidRDefault="002E09D0" w:rsidP="00793FCF">
            <w:pPr>
              <w:rPr>
                <w:sz w:val="20"/>
                <w:szCs w:val="20"/>
              </w:rPr>
            </w:pPr>
            <w:r>
              <w:rPr>
                <w:sz w:val="20"/>
                <w:szCs w:val="20"/>
              </w:rPr>
              <w:t>Establish</w:t>
            </w:r>
            <w:r w:rsidR="009E6882">
              <w:rPr>
                <w:sz w:val="20"/>
                <w:szCs w:val="20"/>
              </w:rPr>
              <w:t xml:space="preserve"> the</w:t>
            </w:r>
            <w:r>
              <w:rPr>
                <w:sz w:val="20"/>
                <w:szCs w:val="20"/>
              </w:rPr>
              <w:t xml:space="preserve"> OCEAN Programme Board</w:t>
            </w:r>
            <w:r w:rsidR="00EA3A6B">
              <w:rPr>
                <w:sz w:val="20"/>
                <w:szCs w:val="20"/>
              </w:rPr>
              <w:t xml:space="preserve"> who will agree how OCEAN will enhance and complement existing portfolios</w:t>
            </w:r>
            <w:r w:rsidR="00FB3817">
              <w:rPr>
                <w:sz w:val="20"/>
                <w:szCs w:val="20"/>
              </w:rPr>
              <w:t xml:space="preserve"> and ensure strategic impact.</w:t>
            </w:r>
          </w:p>
        </w:tc>
        <w:tc>
          <w:tcPr>
            <w:tcW w:w="3006" w:type="dxa"/>
          </w:tcPr>
          <w:p w14:paraId="22202F24" w14:textId="07B3BB5A" w:rsidR="00850806" w:rsidRDefault="00EA3A6B" w:rsidP="00793FCF">
            <w:pPr>
              <w:rPr>
                <w:sz w:val="20"/>
                <w:szCs w:val="20"/>
              </w:rPr>
            </w:pPr>
            <w:r>
              <w:rPr>
                <w:sz w:val="20"/>
                <w:szCs w:val="20"/>
              </w:rPr>
              <w:t xml:space="preserve">OCEAN Programme Board membership and Terms of Reference </w:t>
            </w:r>
            <w:proofErr w:type="gramStart"/>
            <w:r>
              <w:rPr>
                <w:sz w:val="20"/>
                <w:szCs w:val="20"/>
              </w:rPr>
              <w:t>agreed</w:t>
            </w:r>
            <w:proofErr w:type="gramEnd"/>
            <w:r>
              <w:rPr>
                <w:sz w:val="20"/>
                <w:szCs w:val="20"/>
              </w:rPr>
              <w:t xml:space="preserve"> and first meeting scheduled for </w:t>
            </w:r>
            <w:r w:rsidR="00626974">
              <w:rPr>
                <w:sz w:val="20"/>
                <w:szCs w:val="20"/>
              </w:rPr>
              <w:t>October</w:t>
            </w:r>
            <w:r>
              <w:rPr>
                <w:sz w:val="20"/>
                <w:szCs w:val="20"/>
              </w:rPr>
              <w:t xml:space="preserve"> 2024.</w:t>
            </w:r>
          </w:p>
        </w:tc>
      </w:tr>
      <w:tr w:rsidR="004C2555" w14:paraId="7BD1D564" w14:textId="77777777" w:rsidTr="0035572C">
        <w:tc>
          <w:tcPr>
            <w:tcW w:w="3005" w:type="dxa"/>
          </w:tcPr>
          <w:p w14:paraId="7EAC0AA7" w14:textId="23AF7E7C" w:rsidR="004C2555" w:rsidRDefault="00F3194E" w:rsidP="00E848F0">
            <w:pPr>
              <w:jc w:val="center"/>
              <w:rPr>
                <w:sz w:val="20"/>
                <w:szCs w:val="20"/>
              </w:rPr>
            </w:pPr>
            <w:r>
              <w:rPr>
                <w:sz w:val="20"/>
                <w:szCs w:val="20"/>
              </w:rPr>
              <w:t xml:space="preserve">Increase ambition of the OCEAN GESI approach for Round 2 and beyond. </w:t>
            </w:r>
          </w:p>
        </w:tc>
        <w:tc>
          <w:tcPr>
            <w:tcW w:w="3005" w:type="dxa"/>
          </w:tcPr>
          <w:p w14:paraId="2921A460" w14:textId="41F64894" w:rsidR="004C2555" w:rsidRDefault="00F3194E" w:rsidP="00793FCF">
            <w:pPr>
              <w:rPr>
                <w:sz w:val="20"/>
                <w:szCs w:val="20"/>
              </w:rPr>
            </w:pPr>
            <w:r>
              <w:rPr>
                <w:sz w:val="20"/>
                <w:szCs w:val="20"/>
              </w:rPr>
              <w:t>Undertake engagement with experts to refine key documents, explore inclusion of disability and assess feasibility of GESI-focused funding window. Addition of GESI Expert to the GA team.</w:t>
            </w:r>
          </w:p>
        </w:tc>
        <w:tc>
          <w:tcPr>
            <w:tcW w:w="3006" w:type="dxa"/>
          </w:tcPr>
          <w:p w14:paraId="0AABCC86" w14:textId="01F5A6E8" w:rsidR="004C2555" w:rsidRDefault="00AD6053" w:rsidP="00793FCF">
            <w:pPr>
              <w:rPr>
                <w:sz w:val="20"/>
                <w:szCs w:val="20"/>
              </w:rPr>
            </w:pPr>
            <w:r>
              <w:rPr>
                <w:sz w:val="20"/>
                <w:szCs w:val="20"/>
              </w:rPr>
              <w:t>Engagement with experts is underway with documents and approach scheduled to be finalised by December 2024. GA GESI Expert</w:t>
            </w:r>
            <w:r w:rsidR="00866070">
              <w:rPr>
                <w:sz w:val="20"/>
                <w:szCs w:val="20"/>
              </w:rPr>
              <w:t xml:space="preserve"> to be onboarded from November 2024. </w:t>
            </w:r>
          </w:p>
        </w:tc>
      </w:tr>
    </w:tbl>
    <w:p w14:paraId="0523C919" w14:textId="77777777" w:rsidR="00E37F6A" w:rsidRDefault="00E37F6A" w:rsidP="00793FCF">
      <w:pPr>
        <w:rPr>
          <w:sz w:val="20"/>
          <w:szCs w:val="20"/>
        </w:rPr>
      </w:pPr>
    </w:p>
    <w:p w14:paraId="7C527A5D" w14:textId="4CC7F567" w:rsidR="00E37F6A" w:rsidRDefault="00172AF7" w:rsidP="00793FCF">
      <w:pPr>
        <w:rPr>
          <w:sz w:val="20"/>
          <w:szCs w:val="20"/>
        </w:rPr>
      </w:pPr>
      <w:r>
        <w:rPr>
          <w:sz w:val="20"/>
          <w:szCs w:val="20"/>
        </w:rPr>
        <w:t>These</w:t>
      </w:r>
      <w:r w:rsidR="00EA3A6B">
        <w:rPr>
          <w:sz w:val="20"/>
          <w:szCs w:val="20"/>
        </w:rPr>
        <w:t xml:space="preserve"> lessons and recommendations</w:t>
      </w:r>
      <w:r>
        <w:rPr>
          <w:sz w:val="20"/>
          <w:szCs w:val="20"/>
        </w:rPr>
        <w:t xml:space="preserve"> were identified during brainstorming sessions</w:t>
      </w:r>
      <w:r w:rsidR="00131962">
        <w:rPr>
          <w:sz w:val="20"/>
          <w:szCs w:val="20"/>
        </w:rPr>
        <w:t xml:space="preserve"> with key stakeholders</w:t>
      </w:r>
      <w:r>
        <w:rPr>
          <w:sz w:val="20"/>
          <w:szCs w:val="20"/>
        </w:rPr>
        <w:t xml:space="preserve"> and since embedded into </w:t>
      </w:r>
      <w:r w:rsidR="00131962">
        <w:rPr>
          <w:sz w:val="20"/>
          <w:szCs w:val="20"/>
        </w:rPr>
        <w:t>the OCEAN delivery plan,</w:t>
      </w:r>
      <w:r w:rsidR="00373620">
        <w:rPr>
          <w:sz w:val="20"/>
          <w:szCs w:val="20"/>
        </w:rPr>
        <w:t xml:space="preserve"> MEL strategy, Comms strategy and other key documents. </w:t>
      </w:r>
      <w:r w:rsidR="00510A10">
        <w:rPr>
          <w:sz w:val="20"/>
          <w:szCs w:val="20"/>
        </w:rPr>
        <w:t>Defra will continue to take action to strengthen</w:t>
      </w:r>
      <w:r w:rsidR="00A426F7">
        <w:rPr>
          <w:sz w:val="20"/>
          <w:szCs w:val="20"/>
        </w:rPr>
        <w:t xml:space="preserve"> OCEAN’s delivery based on </w:t>
      </w:r>
      <w:r w:rsidR="00BB69AF">
        <w:rPr>
          <w:sz w:val="20"/>
          <w:szCs w:val="20"/>
        </w:rPr>
        <w:t xml:space="preserve">key learnings generated through OCEAN’s continued delivery as well </w:t>
      </w:r>
      <w:r w:rsidR="008B6EBD">
        <w:rPr>
          <w:sz w:val="20"/>
          <w:szCs w:val="20"/>
        </w:rPr>
        <w:t>other feedback mechanisms such as ICAI findings</w:t>
      </w:r>
      <w:r w:rsidR="00BB69AF">
        <w:rPr>
          <w:sz w:val="20"/>
          <w:szCs w:val="20"/>
        </w:rPr>
        <w:t>.</w:t>
      </w:r>
    </w:p>
    <w:p w14:paraId="1C1B23F4" w14:textId="07CC2AAE" w:rsidR="00FF3395" w:rsidRDefault="00FF3395" w:rsidP="00793FCF">
      <w:pPr>
        <w:rPr>
          <w:sz w:val="20"/>
        </w:rPr>
      </w:pPr>
    </w:p>
    <w:p w14:paraId="59D9191D" w14:textId="3D8707A8" w:rsidR="00456017" w:rsidRDefault="00866070" w:rsidP="00866070">
      <w:pPr>
        <w:spacing w:after="160" w:line="259" w:lineRule="auto"/>
        <w:rPr>
          <w:sz w:val="20"/>
          <w:szCs w:val="22"/>
        </w:rPr>
      </w:pPr>
      <w:r>
        <w:rPr>
          <w:sz w:val="20"/>
          <w:szCs w:val="22"/>
        </w:rPr>
        <w:br w:type="page"/>
      </w:r>
    </w:p>
    <w:p w14:paraId="272C4998" w14:textId="5DBE6F9E" w:rsidR="006F3AE7" w:rsidRPr="00F70DBE" w:rsidRDefault="006F3AE7" w:rsidP="009021AD">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rPr>
          <w:rFonts w:cs="Arial"/>
          <w:bCs/>
          <w:sz w:val="20"/>
          <w:szCs w:val="20"/>
        </w:rPr>
      </w:pPr>
      <w:r>
        <w:rPr>
          <w:rFonts w:cs="Arial"/>
          <w:b/>
          <w:bCs/>
          <w:sz w:val="28"/>
          <w:szCs w:val="22"/>
        </w:rPr>
        <w:lastRenderedPageBreak/>
        <w:t>D</w:t>
      </w:r>
      <w:r w:rsidRPr="00F70DBE">
        <w:rPr>
          <w:rFonts w:cs="Arial"/>
          <w:b/>
          <w:bCs/>
          <w:sz w:val="28"/>
          <w:szCs w:val="22"/>
        </w:rPr>
        <w:t xml:space="preserve">: RISK </w:t>
      </w:r>
    </w:p>
    <w:p w14:paraId="778B24D0" w14:textId="77777777" w:rsidR="006F3AE7" w:rsidRDefault="006F3AE7" w:rsidP="009021AD">
      <w:pPr>
        <w:spacing w:line="276" w:lineRule="auto"/>
        <w:rPr>
          <w:b/>
          <w:bCs/>
          <w:sz w:val="22"/>
          <w:szCs w:val="22"/>
        </w:rPr>
      </w:pPr>
    </w:p>
    <w:p w14:paraId="062DABA4" w14:textId="6DCCDF08" w:rsidR="006F3AE7" w:rsidRDefault="006F3AE7" w:rsidP="00456017">
      <w:pPr>
        <w:spacing w:after="160" w:line="276" w:lineRule="auto"/>
        <w:jc w:val="both"/>
        <w:rPr>
          <w:rFonts w:cs="Arial"/>
          <w:sz w:val="20"/>
          <w:szCs w:val="20"/>
        </w:rPr>
      </w:pPr>
      <w:r w:rsidRPr="0FDC525B">
        <w:rPr>
          <w:b/>
          <w:bCs/>
          <w:sz w:val="22"/>
          <w:szCs w:val="22"/>
        </w:rPr>
        <w:t xml:space="preserve">Overview of </w:t>
      </w:r>
      <w:r w:rsidR="00CB4A3C" w:rsidRPr="0FDC525B">
        <w:rPr>
          <w:b/>
          <w:bCs/>
          <w:sz w:val="22"/>
          <w:szCs w:val="22"/>
        </w:rPr>
        <w:t>risk management</w:t>
      </w:r>
      <w:r w:rsidRPr="0FDC525B">
        <w:rPr>
          <w:rFonts w:cs="Arial"/>
          <w:sz w:val="22"/>
          <w:szCs w:val="22"/>
        </w:rPr>
        <w:t xml:space="preserve"> </w:t>
      </w:r>
    </w:p>
    <w:p w14:paraId="4AA0D65F" w14:textId="77777777" w:rsidR="00FD76D9" w:rsidRDefault="001E5CB6" w:rsidP="0261E2E0">
      <w:pPr>
        <w:jc w:val="both"/>
        <w:rPr>
          <w:rFonts w:cs="Arial"/>
          <w:sz w:val="20"/>
          <w:szCs w:val="20"/>
        </w:rPr>
      </w:pPr>
      <w:r w:rsidRPr="491FFF0A">
        <w:rPr>
          <w:rFonts w:cs="Arial"/>
          <w:sz w:val="20"/>
          <w:szCs w:val="20"/>
        </w:rPr>
        <w:t xml:space="preserve">Due to the delays in grant spend and </w:t>
      </w:r>
      <w:r w:rsidR="003C0371" w:rsidRPr="491FFF0A">
        <w:rPr>
          <w:rFonts w:cs="Arial"/>
          <w:sz w:val="20"/>
          <w:szCs w:val="20"/>
        </w:rPr>
        <w:t>other factors</w:t>
      </w:r>
      <w:r w:rsidR="00A33A85" w:rsidRPr="491FFF0A">
        <w:rPr>
          <w:rFonts w:cs="Arial"/>
          <w:sz w:val="20"/>
          <w:szCs w:val="20"/>
        </w:rPr>
        <w:t xml:space="preserve"> such as the likelihood of managing many small grants</w:t>
      </w:r>
      <w:r w:rsidR="00515173" w:rsidRPr="491FFF0A">
        <w:rPr>
          <w:rFonts w:cs="Arial"/>
          <w:sz w:val="20"/>
          <w:szCs w:val="20"/>
        </w:rPr>
        <w:t xml:space="preserve"> across </w:t>
      </w:r>
      <w:r w:rsidR="001838B6" w:rsidRPr="491FFF0A">
        <w:rPr>
          <w:rFonts w:cs="Arial"/>
          <w:sz w:val="20"/>
          <w:szCs w:val="20"/>
        </w:rPr>
        <w:t>multiple geographical areas t</w:t>
      </w:r>
      <w:r w:rsidR="003037C6" w:rsidRPr="491FFF0A">
        <w:rPr>
          <w:rFonts w:cs="Arial"/>
          <w:sz w:val="20"/>
          <w:szCs w:val="20"/>
        </w:rPr>
        <w:t>he overall risk rating of OCEAN is</w:t>
      </w:r>
      <w:r w:rsidR="003037C6" w:rsidRPr="491FFF0A">
        <w:rPr>
          <w:rFonts w:cs="Arial"/>
          <w:b/>
          <w:bCs/>
          <w:sz w:val="20"/>
          <w:szCs w:val="20"/>
        </w:rPr>
        <w:t xml:space="preserve"> </w:t>
      </w:r>
      <w:r w:rsidR="00E72DD6" w:rsidRPr="491FFF0A">
        <w:rPr>
          <w:rFonts w:cs="Arial"/>
          <w:b/>
          <w:bCs/>
          <w:sz w:val="20"/>
          <w:szCs w:val="20"/>
        </w:rPr>
        <w:t>high</w:t>
      </w:r>
      <w:r w:rsidR="003037C6" w:rsidRPr="491FFF0A">
        <w:rPr>
          <w:rFonts w:cs="Arial"/>
          <w:sz w:val="20"/>
          <w:szCs w:val="20"/>
        </w:rPr>
        <w:t xml:space="preserve">. </w:t>
      </w:r>
      <w:r w:rsidR="00E72DD6" w:rsidRPr="491FFF0A">
        <w:rPr>
          <w:rFonts w:cs="Arial"/>
          <w:sz w:val="20"/>
          <w:szCs w:val="20"/>
        </w:rPr>
        <w:t>However t</w:t>
      </w:r>
      <w:r w:rsidR="003037C6" w:rsidRPr="491FFF0A">
        <w:rPr>
          <w:rFonts w:cs="Arial"/>
          <w:sz w:val="20"/>
          <w:szCs w:val="20"/>
        </w:rPr>
        <w:t xml:space="preserve">he programme has </w:t>
      </w:r>
      <w:r w:rsidR="00E72DD6" w:rsidRPr="491FFF0A">
        <w:rPr>
          <w:rFonts w:cs="Arial"/>
          <w:sz w:val="20"/>
          <w:szCs w:val="20"/>
        </w:rPr>
        <w:t>satisfactorily</w:t>
      </w:r>
      <w:r w:rsidR="003037C6" w:rsidRPr="491FFF0A">
        <w:rPr>
          <w:rFonts w:cs="Arial"/>
          <w:sz w:val="20"/>
          <w:szCs w:val="20"/>
        </w:rPr>
        <w:t xml:space="preserve"> operated within risk appetite for each category throughout year 1. </w:t>
      </w:r>
    </w:p>
    <w:p w14:paraId="7975929F" w14:textId="77777777" w:rsidR="00FD76D9" w:rsidRDefault="00FD76D9" w:rsidP="0261E2E0">
      <w:pPr>
        <w:jc w:val="both"/>
        <w:rPr>
          <w:rFonts w:cs="Arial"/>
          <w:sz w:val="20"/>
          <w:szCs w:val="20"/>
        </w:rPr>
      </w:pPr>
    </w:p>
    <w:p w14:paraId="51A79F4D" w14:textId="77777777" w:rsidR="00EF62B4" w:rsidRDefault="003037C6" w:rsidP="0261E2E0">
      <w:pPr>
        <w:jc w:val="both"/>
        <w:rPr>
          <w:rFonts w:cs="Arial"/>
          <w:sz w:val="20"/>
          <w:szCs w:val="20"/>
        </w:rPr>
      </w:pPr>
      <w:r w:rsidRPr="2B74AF1E">
        <w:rPr>
          <w:rFonts w:cs="Arial"/>
          <w:sz w:val="20"/>
          <w:szCs w:val="20"/>
        </w:rPr>
        <w:t>Defra and</w:t>
      </w:r>
      <w:r w:rsidR="00F62005" w:rsidRPr="2B74AF1E">
        <w:rPr>
          <w:rFonts w:cs="Arial"/>
          <w:sz w:val="20"/>
          <w:szCs w:val="20"/>
        </w:rPr>
        <w:t xml:space="preserve"> the</w:t>
      </w:r>
      <w:r w:rsidRPr="2B74AF1E">
        <w:rPr>
          <w:rFonts w:cs="Arial"/>
          <w:sz w:val="20"/>
          <w:szCs w:val="20"/>
        </w:rPr>
        <w:t xml:space="preserve"> </w:t>
      </w:r>
      <w:r w:rsidR="004C520A" w:rsidRPr="2B74AF1E">
        <w:rPr>
          <w:rFonts w:cs="Arial"/>
          <w:sz w:val="20"/>
          <w:szCs w:val="20"/>
        </w:rPr>
        <w:t xml:space="preserve">OCEAN </w:t>
      </w:r>
      <w:r w:rsidR="001D5270" w:rsidRPr="2B74AF1E">
        <w:rPr>
          <w:rFonts w:cs="Arial"/>
          <w:sz w:val="20"/>
          <w:szCs w:val="20"/>
        </w:rPr>
        <w:t>GA</w:t>
      </w:r>
      <w:r w:rsidR="004C520A" w:rsidRPr="2B74AF1E">
        <w:rPr>
          <w:rFonts w:cs="Arial"/>
          <w:sz w:val="20"/>
          <w:szCs w:val="20"/>
        </w:rPr>
        <w:t xml:space="preserve"> </w:t>
      </w:r>
      <w:r w:rsidRPr="2B74AF1E">
        <w:rPr>
          <w:rFonts w:cs="Arial"/>
          <w:sz w:val="20"/>
          <w:szCs w:val="20"/>
        </w:rPr>
        <w:t>NIRAS held monthly risk register</w:t>
      </w:r>
      <w:r>
        <w:rPr>
          <w:rFonts w:cs="Arial"/>
          <w:sz w:val="20"/>
          <w:szCs w:val="20"/>
        </w:rPr>
        <w:t xml:space="preserve"> </w:t>
      </w:r>
      <w:r w:rsidR="009F7492">
        <w:rPr>
          <w:rFonts w:cs="Arial"/>
          <w:sz w:val="20"/>
          <w:szCs w:val="20"/>
        </w:rPr>
        <w:t>and fraud</w:t>
      </w:r>
      <w:r w:rsidR="00BC13FD">
        <w:rPr>
          <w:rFonts w:cs="Arial"/>
          <w:sz w:val="20"/>
          <w:szCs w:val="20"/>
        </w:rPr>
        <w:t xml:space="preserve"> assessment</w:t>
      </w:r>
      <w:r w:rsidRPr="2B74AF1E">
        <w:rPr>
          <w:rFonts w:cs="Arial"/>
          <w:sz w:val="20"/>
          <w:szCs w:val="20"/>
        </w:rPr>
        <w:t xml:space="preserve"> review meetings</w:t>
      </w:r>
      <w:r w:rsidR="000C1B60" w:rsidRPr="2B74AF1E">
        <w:rPr>
          <w:rFonts w:cs="Arial"/>
          <w:sz w:val="20"/>
          <w:szCs w:val="20"/>
        </w:rPr>
        <w:t xml:space="preserve"> and</w:t>
      </w:r>
      <w:r>
        <w:rPr>
          <w:rFonts w:cs="Arial"/>
          <w:sz w:val="20"/>
          <w:szCs w:val="20"/>
        </w:rPr>
        <w:t xml:space="preserve"> </w:t>
      </w:r>
      <w:r w:rsidRPr="2B74AF1E">
        <w:rPr>
          <w:rFonts w:cs="Arial"/>
          <w:sz w:val="20"/>
          <w:szCs w:val="20"/>
        </w:rPr>
        <w:t xml:space="preserve">identified and raised new risks and issues through </w:t>
      </w:r>
      <w:r w:rsidR="00851DD6">
        <w:rPr>
          <w:rFonts w:cs="Arial"/>
          <w:sz w:val="20"/>
          <w:szCs w:val="20"/>
        </w:rPr>
        <w:t>an</w:t>
      </w:r>
      <w:r w:rsidRPr="2B74AF1E">
        <w:rPr>
          <w:rFonts w:cs="Arial"/>
          <w:sz w:val="20"/>
          <w:szCs w:val="20"/>
        </w:rPr>
        <w:t xml:space="preserve"> action log in</w:t>
      </w:r>
      <w:r>
        <w:rPr>
          <w:rFonts w:cs="Arial"/>
          <w:sz w:val="20"/>
          <w:szCs w:val="20"/>
        </w:rPr>
        <w:t xml:space="preserve"> </w:t>
      </w:r>
      <w:r w:rsidR="00851DD6">
        <w:rPr>
          <w:rFonts w:cs="Arial"/>
          <w:sz w:val="20"/>
          <w:szCs w:val="20"/>
        </w:rPr>
        <w:t>weekly,</w:t>
      </w:r>
      <w:r w:rsidRPr="2B74AF1E">
        <w:rPr>
          <w:rFonts w:cs="Arial"/>
          <w:sz w:val="20"/>
          <w:szCs w:val="20"/>
        </w:rPr>
        <w:t xml:space="preserve"> fortnightly and monthly operational programme meetings</w:t>
      </w:r>
      <w:r w:rsidR="00851DD6">
        <w:rPr>
          <w:rFonts w:cs="Arial"/>
          <w:sz w:val="20"/>
          <w:szCs w:val="20"/>
        </w:rPr>
        <w:t>.</w:t>
      </w:r>
      <w:r w:rsidRPr="2B74AF1E">
        <w:rPr>
          <w:rFonts w:cs="Arial"/>
          <w:sz w:val="20"/>
          <w:szCs w:val="20"/>
        </w:rPr>
        <w:t xml:space="preserve"> </w:t>
      </w:r>
      <w:r w:rsidR="00712566">
        <w:rPr>
          <w:rFonts w:cs="Arial"/>
          <w:sz w:val="20"/>
          <w:szCs w:val="20"/>
        </w:rPr>
        <w:t xml:space="preserve">Any </w:t>
      </w:r>
      <w:r>
        <w:rPr>
          <w:rFonts w:cs="Arial"/>
          <w:sz w:val="20"/>
          <w:szCs w:val="20"/>
        </w:rPr>
        <w:t>key</w:t>
      </w:r>
      <w:r w:rsidRPr="2B74AF1E">
        <w:rPr>
          <w:rFonts w:cs="Arial"/>
          <w:sz w:val="20"/>
          <w:szCs w:val="20"/>
        </w:rPr>
        <w:t xml:space="preserve"> risks and issues</w:t>
      </w:r>
      <w:r>
        <w:rPr>
          <w:rFonts w:cs="Arial"/>
          <w:sz w:val="20"/>
          <w:szCs w:val="20"/>
        </w:rPr>
        <w:t xml:space="preserve"> </w:t>
      </w:r>
      <w:r w:rsidR="00712566">
        <w:rPr>
          <w:rFonts w:cs="Arial"/>
          <w:sz w:val="20"/>
          <w:szCs w:val="20"/>
        </w:rPr>
        <w:t xml:space="preserve">were </w:t>
      </w:r>
      <w:r w:rsidR="00ED2FEC">
        <w:rPr>
          <w:rFonts w:cs="Arial"/>
          <w:sz w:val="20"/>
          <w:szCs w:val="20"/>
        </w:rPr>
        <w:t xml:space="preserve">immediately </w:t>
      </w:r>
      <w:r w:rsidR="00712566">
        <w:rPr>
          <w:rFonts w:cs="Arial"/>
          <w:sz w:val="20"/>
          <w:szCs w:val="20"/>
        </w:rPr>
        <w:t>escalated</w:t>
      </w:r>
      <w:r w:rsidRPr="2B74AF1E">
        <w:rPr>
          <w:rFonts w:cs="Arial"/>
          <w:sz w:val="20"/>
          <w:szCs w:val="20"/>
        </w:rPr>
        <w:t xml:space="preserve"> to the OCEAN SRO</w:t>
      </w:r>
      <w:r>
        <w:rPr>
          <w:rFonts w:cs="Arial"/>
          <w:sz w:val="20"/>
          <w:szCs w:val="20"/>
        </w:rPr>
        <w:t xml:space="preserve"> </w:t>
      </w:r>
      <w:r w:rsidR="000C1B60">
        <w:rPr>
          <w:rFonts w:cs="Arial"/>
          <w:sz w:val="20"/>
          <w:szCs w:val="20"/>
        </w:rPr>
        <w:t xml:space="preserve">and </w:t>
      </w:r>
      <w:r w:rsidR="00BB5D6E">
        <w:rPr>
          <w:rFonts w:cs="Arial"/>
          <w:sz w:val="20"/>
          <w:szCs w:val="20"/>
        </w:rPr>
        <w:t>documented</w:t>
      </w:r>
      <w:r w:rsidRPr="2B74AF1E">
        <w:rPr>
          <w:rFonts w:cs="Arial"/>
          <w:sz w:val="20"/>
          <w:szCs w:val="20"/>
        </w:rPr>
        <w:t xml:space="preserve"> through monthly Programme Management Meetings throughout year 1. Defra also ensured OCEAN proactively engaged with FCDO Posts </w:t>
      </w:r>
      <w:r w:rsidR="00CB50BA" w:rsidRPr="2B74AF1E">
        <w:rPr>
          <w:rFonts w:cs="Arial"/>
          <w:sz w:val="20"/>
          <w:szCs w:val="20"/>
        </w:rPr>
        <w:t>throughout</w:t>
      </w:r>
      <w:r w:rsidRPr="2B74AF1E">
        <w:rPr>
          <w:rFonts w:cs="Arial"/>
          <w:sz w:val="20"/>
          <w:szCs w:val="20"/>
        </w:rPr>
        <w:t xml:space="preserve"> delivery. All identified risks</w:t>
      </w:r>
      <w:r>
        <w:rPr>
          <w:rFonts w:cs="Arial"/>
          <w:sz w:val="20"/>
          <w:szCs w:val="20"/>
        </w:rPr>
        <w:t xml:space="preserve"> </w:t>
      </w:r>
      <w:r w:rsidR="00BC13FD">
        <w:rPr>
          <w:rFonts w:cs="Arial"/>
          <w:sz w:val="20"/>
          <w:szCs w:val="20"/>
        </w:rPr>
        <w:t>(including fraud)</w:t>
      </w:r>
      <w:r w:rsidRPr="2B74AF1E">
        <w:rPr>
          <w:rFonts w:cs="Arial"/>
          <w:sz w:val="20"/>
          <w:szCs w:val="20"/>
        </w:rPr>
        <w:t xml:space="preserve"> have mitigation measures in place and a named risk owner in the risk register which is </w:t>
      </w:r>
      <w:r w:rsidR="00C810CE">
        <w:rPr>
          <w:rFonts w:cs="Arial"/>
          <w:sz w:val="20"/>
          <w:szCs w:val="20"/>
        </w:rPr>
        <w:t xml:space="preserve">reviewed </w:t>
      </w:r>
      <w:r w:rsidR="00670F39">
        <w:rPr>
          <w:rFonts w:cs="Arial"/>
          <w:sz w:val="20"/>
          <w:szCs w:val="20"/>
        </w:rPr>
        <w:t xml:space="preserve">and updated </w:t>
      </w:r>
      <w:r w:rsidR="00C810CE">
        <w:rPr>
          <w:rFonts w:cs="Arial"/>
          <w:sz w:val="20"/>
          <w:szCs w:val="20"/>
        </w:rPr>
        <w:t xml:space="preserve">during </w:t>
      </w:r>
      <w:r w:rsidR="00670F39">
        <w:rPr>
          <w:rFonts w:cs="Arial"/>
          <w:sz w:val="20"/>
          <w:szCs w:val="20"/>
        </w:rPr>
        <w:t xml:space="preserve">the </w:t>
      </w:r>
      <w:r w:rsidR="00C810CE">
        <w:rPr>
          <w:rFonts w:cs="Arial"/>
          <w:sz w:val="20"/>
          <w:szCs w:val="20"/>
        </w:rPr>
        <w:t>monthly</w:t>
      </w:r>
      <w:r w:rsidR="00670F39">
        <w:rPr>
          <w:rFonts w:cs="Arial"/>
          <w:sz w:val="20"/>
          <w:szCs w:val="20"/>
        </w:rPr>
        <w:t xml:space="preserve"> risk register</w:t>
      </w:r>
      <w:r w:rsidR="005D2B23">
        <w:rPr>
          <w:rFonts w:cs="Arial"/>
          <w:sz w:val="20"/>
          <w:szCs w:val="20"/>
        </w:rPr>
        <w:t xml:space="preserve"> and fraud </w:t>
      </w:r>
      <w:r w:rsidR="00FD76D9">
        <w:rPr>
          <w:rFonts w:cs="Arial"/>
          <w:sz w:val="20"/>
          <w:szCs w:val="20"/>
        </w:rPr>
        <w:t>assessment review</w:t>
      </w:r>
      <w:r w:rsidR="005D2B23">
        <w:rPr>
          <w:rFonts w:cs="Arial"/>
          <w:sz w:val="20"/>
          <w:szCs w:val="20"/>
        </w:rPr>
        <w:t xml:space="preserve"> </w:t>
      </w:r>
      <w:r w:rsidR="00820E37">
        <w:rPr>
          <w:rFonts w:cs="Arial"/>
          <w:sz w:val="20"/>
          <w:szCs w:val="20"/>
        </w:rPr>
        <w:t>meeting</w:t>
      </w:r>
      <w:r w:rsidRPr="2B74AF1E">
        <w:rPr>
          <w:rFonts w:cs="Arial"/>
          <w:sz w:val="20"/>
          <w:szCs w:val="20"/>
        </w:rPr>
        <w:t>.</w:t>
      </w:r>
    </w:p>
    <w:p w14:paraId="11201B12" w14:textId="77777777" w:rsidR="00EF62B4" w:rsidRDefault="00EF62B4" w:rsidP="0261E2E0">
      <w:pPr>
        <w:jc w:val="both"/>
        <w:rPr>
          <w:rFonts w:cs="Arial"/>
          <w:sz w:val="20"/>
          <w:szCs w:val="20"/>
        </w:rPr>
      </w:pPr>
    </w:p>
    <w:p w14:paraId="04E9A0C9" w14:textId="17BB4A86" w:rsidR="00F02418" w:rsidRDefault="003037C6" w:rsidP="003037C6">
      <w:pPr>
        <w:jc w:val="both"/>
        <w:rPr>
          <w:rFonts w:cs="Arial"/>
          <w:sz w:val="20"/>
          <w:szCs w:val="20"/>
        </w:rPr>
      </w:pPr>
      <w:r w:rsidRPr="2B74AF1E">
        <w:rPr>
          <w:rFonts w:cs="Arial"/>
          <w:sz w:val="20"/>
          <w:szCs w:val="20"/>
        </w:rPr>
        <w:t xml:space="preserve">Key risks that were monitored and mitigated by Defra during year 1 are presented in </w:t>
      </w:r>
      <w:r w:rsidR="00FD76D9">
        <w:rPr>
          <w:rFonts w:cs="Arial"/>
          <w:sz w:val="20"/>
          <w:szCs w:val="20"/>
        </w:rPr>
        <w:t>Table 3</w:t>
      </w:r>
      <w:r w:rsidRPr="2B74AF1E">
        <w:rPr>
          <w:rFonts w:cs="Arial"/>
          <w:sz w:val="20"/>
          <w:szCs w:val="20"/>
        </w:rPr>
        <w:t>. Additionally, Defra hold quarterly risk deep dives with FCDO to review the cross-HMG BPF Risk Register ahead of each cross-HMG BPF senior strategic board meeting.</w:t>
      </w:r>
    </w:p>
    <w:p w14:paraId="1E892AC3" w14:textId="77777777" w:rsidR="00F767AC" w:rsidRDefault="00F767AC" w:rsidP="003037C6">
      <w:pPr>
        <w:jc w:val="both"/>
        <w:rPr>
          <w:rFonts w:cs="Arial"/>
          <w:sz w:val="20"/>
        </w:rPr>
      </w:pPr>
    </w:p>
    <w:p w14:paraId="66FDEE3B" w14:textId="4BB55CB1" w:rsidR="00E174D2" w:rsidRDefault="00E174D2" w:rsidP="003037C6">
      <w:pPr>
        <w:jc w:val="both"/>
        <w:rPr>
          <w:rFonts w:cs="Arial"/>
          <w:b/>
          <w:sz w:val="20"/>
          <w:szCs w:val="20"/>
        </w:rPr>
      </w:pPr>
      <w:r w:rsidRPr="57451A97">
        <w:rPr>
          <w:rFonts w:cs="Arial"/>
          <w:b/>
          <w:sz w:val="20"/>
          <w:szCs w:val="20"/>
        </w:rPr>
        <w:t xml:space="preserve">Table </w:t>
      </w:r>
      <w:r w:rsidR="00FD76D9" w:rsidRPr="57451A97">
        <w:rPr>
          <w:rFonts w:cs="Arial"/>
          <w:b/>
          <w:bCs/>
          <w:sz w:val="20"/>
          <w:szCs w:val="20"/>
        </w:rPr>
        <w:t>3</w:t>
      </w:r>
      <w:r w:rsidRPr="57451A97">
        <w:rPr>
          <w:rFonts w:cs="Arial"/>
          <w:b/>
          <w:sz w:val="20"/>
          <w:szCs w:val="20"/>
        </w:rPr>
        <w:t>: Year 1 Key OCEAN Risks</w:t>
      </w:r>
    </w:p>
    <w:p w14:paraId="60D80FEE" w14:textId="77777777" w:rsidR="008B2833" w:rsidRPr="00E174D2" w:rsidRDefault="008B2833" w:rsidP="003037C6">
      <w:pPr>
        <w:jc w:val="both"/>
        <w:rPr>
          <w:rFonts w:cs="Arial"/>
          <w:b/>
          <w:bCs/>
          <w:sz w:val="20"/>
        </w:rPr>
      </w:pPr>
    </w:p>
    <w:tbl>
      <w:tblPr>
        <w:tblStyle w:val="List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41"/>
        <w:gridCol w:w="430"/>
        <w:gridCol w:w="429"/>
        <w:gridCol w:w="429"/>
        <w:gridCol w:w="4112"/>
        <w:gridCol w:w="475"/>
      </w:tblGrid>
      <w:tr w:rsidR="006124AD" w14:paraId="14251B06" w14:textId="77777777" w:rsidTr="00792608">
        <w:trPr>
          <w:cnfStyle w:val="100000000000" w:firstRow="1" w:lastRow="0" w:firstColumn="0" w:lastColumn="0" w:oddVBand="0" w:evenVBand="0" w:oddHBand="0" w:evenHBand="0" w:firstRowFirstColumn="0" w:firstRowLastColumn="0" w:lastRowFirstColumn="0" w:lastRowLastColumn="0"/>
          <w:cantSplit/>
          <w:trHeight w:val="1558"/>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4472C4" w:themeFill="accent1"/>
            <w:textDirection w:val="btLr"/>
          </w:tcPr>
          <w:p w14:paraId="7998B541" w14:textId="367194CA" w:rsidR="006124AD" w:rsidRPr="00FB776D" w:rsidRDefault="006124AD" w:rsidP="00792608">
            <w:pPr>
              <w:spacing w:line="276" w:lineRule="auto"/>
              <w:ind w:left="113" w:right="113"/>
              <w:jc w:val="center"/>
              <w:rPr>
                <w:rFonts w:eastAsia="Arial" w:cs="Arial"/>
                <w:color w:val="FFFFFF" w:themeColor="background1"/>
                <w:sz w:val="18"/>
                <w:szCs w:val="18"/>
              </w:rPr>
            </w:pPr>
            <w:r>
              <w:rPr>
                <w:rFonts w:eastAsia="Arial" w:cs="Arial"/>
                <w:color w:val="FFFFFF" w:themeColor="background1"/>
                <w:sz w:val="18"/>
                <w:szCs w:val="18"/>
              </w:rPr>
              <w:t>Risk Type</w:t>
            </w:r>
          </w:p>
        </w:tc>
        <w:tc>
          <w:tcPr>
            <w:tcW w:w="2441" w:type="dxa"/>
            <w:shd w:val="clear" w:color="auto" w:fill="4472C4" w:themeFill="accent1"/>
          </w:tcPr>
          <w:p w14:paraId="421A15D0" w14:textId="1741F026" w:rsidR="006124AD" w:rsidRPr="00FB776D" w:rsidRDefault="006124AD" w:rsidP="008B2833">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FB776D">
              <w:rPr>
                <w:rFonts w:eastAsia="Arial" w:cs="Arial"/>
                <w:color w:val="FFFFFF" w:themeColor="background1"/>
                <w:sz w:val="18"/>
                <w:szCs w:val="18"/>
              </w:rPr>
              <w:t>Risk Description</w:t>
            </w:r>
          </w:p>
        </w:tc>
        <w:tc>
          <w:tcPr>
            <w:tcW w:w="430" w:type="dxa"/>
            <w:shd w:val="clear" w:color="auto" w:fill="4472C4" w:themeFill="accent1"/>
            <w:textDirection w:val="btLr"/>
          </w:tcPr>
          <w:p w14:paraId="7A1E5C87" w14:textId="7EF1E4A2" w:rsidR="006124AD" w:rsidRPr="00FB776D" w:rsidRDefault="00237A3F" w:rsidP="008B2833">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Pr>
                <w:rFonts w:eastAsia="Arial" w:cs="Arial"/>
                <w:color w:val="FFFFFF" w:themeColor="background1"/>
                <w:sz w:val="18"/>
                <w:szCs w:val="18"/>
              </w:rPr>
              <w:t>Impact</w:t>
            </w:r>
          </w:p>
        </w:tc>
        <w:tc>
          <w:tcPr>
            <w:tcW w:w="429" w:type="dxa"/>
            <w:shd w:val="clear" w:color="auto" w:fill="4472C4" w:themeFill="accent1"/>
            <w:textDirection w:val="btLr"/>
          </w:tcPr>
          <w:p w14:paraId="7DF425F9" w14:textId="334A436A" w:rsidR="006124AD" w:rsidRPr="00FB776D" w:rsidRDefault="00237A3F" w:rsidP="008B2833">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Pr>
                <w:rFonts w:eastAsia="Arial" w:cs="Arial"/>
                <w:color w:val="FFFFFF" w:themeColor="background1"/>
                <w:sz w:val="18"/>
                <w:szCs w:val="18"/>
              </w:rPr>
              <w:t>Probability</w:t>
            </w:r>
            <w:r w:rsidR="009C6A09">
              <w:rPr>
                <w:rStyle w:val="FootnoteReference"/>
                <w:rFonts w:eastAsia="Arial" w:cs="Arial"/>
                <w:color w:val="FFFFFF" w:themeColor="background1"/>
                <w:sz w:val="18"/>
                <w:szCs w:val="18"/>
              </w:rPr>
              <w:footnoteReference w:id="3"/>
            </w:r>
          </w:p>
        </w:tc>
        <w:tc>
          <w:tcPr>
            <w:tcW w:w="429" w:type="dxa"/>
            <w:shd w:val="clear" w:color="auto" w:fill="4472C4" w:themeFill="accent1"/>
            <w:textDirection w:val="btLr"/>
          </w:tcPr>
          <w:p w14:paraId="7DC39D68" w14:textId="0DB899E2" w:rsidR="006124AD" w:rsidRPr="00FB776D" w:rsidRDefault="006124AD" w:rsidP="008B2833">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FB776D">
              <w:rPr>
                <w:rFonts w:eastAsia="Arial" w:cs="Arial"/>
                <w:color w:val="FFFFFF" w:themeColor="background1"/>
                <w:sz w:val="18"/>
                <w:szCs w:val="18"/>
              </w:rPr>
              <w:t>Gross Risk</w:t>
            </w:r>
          </w:p>
        </w:tc>
        <w:tc>
          <w:tcPr>
            <w:tcW w:w="4112" w:type="dxa"/>
            <w:shd w:val="clear" w:color="auto" w:fill="4472C4" w:themeFill="accent1"/>
          </w:tcPr>
          <w:p w14:paraId="547A9E9C" w14:textId="77777777" w:rsidR="006124AD" w:rsidRPr="00FB776D" w:rsidRDefault="006124AD" w:rsidP="008B2833">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FB776D">
              <w:rPr>
                <w:rFonts w:eastAsia="Arial" w:cs="Arial"/>
                <w:color w:val="FFFFFF" w:themeColor="background1"/>
                <w:sz w:val="18"/>
                <w:szCs w:val="18"/>
              </w:rPr>
              <w:t>Mitigations</w:t>
            </w:r>
          </w:p>
        </w:tc>
        <w:tc>
          <w:tcPr>
            <w:tcW w:w="475" w:type="dxa"/>
            <w:shd w:val="clear" w:color="auto" w:fill="4472C4" w:themeFill="accent1"/>
            <w:textDirection w:val="btLr"/>
          </w:tcPr>
          <w:p w14:paraId="7F239C03" w14:textId="77777777" w:rsidR="006124AD" w:rsidRPr="00FB776D" w:rsidRDefault="006124AD" w:rsidP="00306C50">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FB776D">
              <w:rPr>
                <w:rFonts w:eastAsia="Arial" w:cs="Arial"/>
                <w:color w:val="FFFFFF" w:themeColor="background1"/>
                <w:sz w:val="18"/>
                <w:szCs w:val="18"/>
              </w:rPr>
              <w:t>Residual Risk</w:t>
            </w:r>
          </w:p>
        </w:tc>
      </w:tr>
      <w:tr w:rsidR="001C5F0C" w14:paraId="61B89E4A" w14:textId="77777777" w:rsidTr="4804E42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07A63DB7" w14:textId="1953A4FD" w:rsidR="006124AD" w:rsidRPr="00D927F1" w:rsidRDefault="006124AD" w:rsidP="00631F35">
            <w:pPr>
              <w:spacing w:line="276" w:lineRule="auto"/>
              <w:ind w:left="113" w:right="113"/>
              <w:jc w:val="center"/>
              <w:rPr>
                <w:rFonts w:eastAsia="Arial" w:cs="Arial"/>
                <w:b w:val="0"/>
                <w:bCs w:val="0"/>
                <w:color w:val="000000" w:themeColor="text1"/>
                <w:sz w:val="16"/>
                <w:szCs w:val="16"/>
              </w:rPr>
            </w:pPr>
            <w:r w:rsidRPr="00D927F1">
              <w:rPr>
                <w:rFonts w:eastAsia="Arial" w:cs="Arial"/>
                <w:b w:val="0"/>
                <w:bCs w:val="0"/>
                <w:color w:val="000000" w:themeColor="text1"/>
                <w:sz w:val="16"/>
                <w:szCs w:val="16"/>
              </w:rPr>
              <w:t>Financial</w:t>
            </w:r>
          </w:p>
        </w:tc>
        <w:tc>
          <w:tcPr>
            <w:tcW w:w="2441" w:type="dxa"/>
          </w:tcPr>
          <w:p w14:paraId="6E8A7970" w14:textId="0E0ADB98" w:rsidR="006124AD" w:rsidRPr="00D927F1" w:rsidRDefault="006124AD" w:rsidP="000E193B">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D927F1">
              <w:rPr>
                <w:rFonts w:eastAsia="Arial" w:cs="Arial"/>
                <w:color w:val="000000" w:themeColor="text1"/>
                <w:sz w:val="16"/>
                <w:szCs w:val="16"/>
              </w:rPr>
              <w:t>OCEAN might under or overspend in a given financial year</w:t>
            </w:r>
            <w:r>
              <w:rPr>
                <w:rFonts w:eastAsia="Arial" w:cs="Arial"/>
                <w:color w:val="000000" w:themeColor="text1"/>
                <w:sz w:val="16"/>
                <w:szCs w:val="16"/>
              </w:rPr>
              <w:t xml:space="preserve"> due to d</w:t>
            </w:r>
            <w:r w:rsidRPr="00D927F1">
              <w:rPr>
                <w:rFonts w:eastAsia="Arial" w:cs="Arial"/>
                <w:color w:val="000000" w:themeColor="text1"/>
                <w:sz w:val="16"/>
                <w:szCs w:val="16"/>
              </w:rPr>
              <w:t>ifficultly in accurately forecasting when projects will need to receive funding</w:t>
            </w:r>
            <w:r>
              <w:rPr>
                <w:rFonts w:eastAsia="Arial" w:cs="Arial"/>
                <w:color w:val="000000" w:themeColor="text1"/>
                <w:sz w:val="16"/>
                <w:szCs w:val="16"/>
              </w:rPr>
              <w:t>. Could</w:t>
            </w:r>
            <w:r w:rsidRPr="00D927F1">
              <w:rPr>
                <w:rFonts w:eastAsia="Arial" w:cs="Arial"/>
                <w:color w:val="000000" w:themeColor="text1"/>
                <w:sz w:val="16"/>
                <w:szCs w:val="16"/>
              </w:rPr>
              <w:t xml:space="preserve"> result in unexpected under/overspend in Defra’s ODA budget for a given financial year.</w:t>
            </w:r>
          </w:p>
        </w:tc>
        <w:tc>
          <w:tcPr>
            <w:tcW w:w="430" w:type="dxa"/>
            <w:shd w:val="clear" w:color="auto" w:fill="FFC000" w:themeFill="accent4"/>
            <w:textDirection w:val="btLr"/>
          </w:tcPr>
          <w:p w14:paraId="2A103D80" w14:textId="4E8E34F0" w:rsidR="006124AD" w:rsidRDefault="008B2833"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5433725B" w14:textId="0DAE3640" w:rsidR="006124AD" w:rsidRDefault="008B2833"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0000"/>
            <w:textDirection w:val="btLr"/>
          </w:tcPr>
          <w:p w14:paraId="5161A9BC" w14:textId="2BB4DA9D" w:rsidR="006124AD" w:rsidRPr="00D927F1" w:rsidRDefault="006124AD"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157F9026" w14:textId="6C0F2CC5" w:rsidR="006124AD" w:rsidRPr="00BC502F" w:rsidRDefault="004C0F6C" w:rsidP="00BC50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w:t>
            </w:r>
            <w:r w:rsidR="00DF7303">
              <w:rPr>
                <w:rFonts w:eastAsia="Arial" w:cs="Arial"/>
                <w:color w:val="000000" w:themeColor="text1"/>
                <w:sz w:val="16"/>
                <w:szCs w:val="16"/>
              </w:rPr>
              <w:t xml:space="preserve"> </w:t>
            </w:r>
            <w:r w:rsidR="00B566B6">
              <w:rPr>
                <w:rFonts w:eastAsia="Arial" w:cs="Arial"/>
                <w:color w:val="000000" w:themeColor="text1"/>
                <w:sz w:val="16"/>
                <w:szCs w:val="16"/>
              </w:rPr>
              <w:t>will</w:t>
            </w:r>
            <w:r w:rsidR="005038CE">
              <w:rPr>
                <w:rFonts w:eastAsia="Arial" w:cs="Arial"/>
                <w:color w:val="000000" w:themeColor="text1"/>
                <w:sz w:val="16"/>
                <w:szCs w:val="16"/>
              </w:rPr>
              <w:t xml:space="preserve"> oversee</w:t>
            </w:r>
            <w:r w:rsidR="006C45F8">
              <w:rPr>
                <w:rFonts w:eastAsia="Arial" w:cs="Arial"/>
                <w:color w:val="000000" w:themeColor="text1"/>
                <w:sz w:val="16"/>
                <w:szCs w:val="16"/>
              </w:rPr>
              <w:t xml:space="preserve"> and manage </w:t>
            </w:r>
            <w:r w:rsidR="006124AD" w:rsidRPr="00BC502F">
              <w:rPr>
                <w:rFonts w:eastAsia="Arial" w:cs="Arial"/>
                <w:color w:val="000000" w:themeColor="text1"/>
                <w:sz w:val="16"/>
                <w:szCs w:val="16"/>
              </w:rPr>
              <w:t xml:space="preserve">NIRAS </w:t>
            </w:r>
            <w:r w:rsidR="003D2965">
              <w:rPr>
                <w:rFonts w:eastAsia="Arial" w:cs="Arial"/>
                <w:color w:val="000000" w:themeColor="text1"/>
                <w:sz w:val="16"/>
                <w:szCs w:val="16"/>
              </w:rPr>
              <w:t>to</w:t>
            </w:r>
            <w:r w:rsidR="005038CE">
              <w:rPr>
                <w:rFonts w:eastAsia="Arial" w:cs="Arial"/>
                <w:color w:val="000000" w:themeColor="text1"/>
                <w:sz w:val="16"/>
                <w:szCs w:val="16"/>
              </w:rPr>
              <w:t xml:space="preserve"> </w:t>
            </w:r>
            <w:r w:rsidR="00DF7303">
              <w:rPr>
                <w:rFonts w:eastAsia="Arial" w:cs="Arial"/>
                <w:color w:val="000000" w:themeColor="text1"/>
                <w:sz w:val="16"/>
                <w:szCs w:val="16"/>
              </w:rPr>
              <w:t>ensure</w:t>
            </w:r>
            <w:r w:rsidR="005038CE">
              <w:rPr>
                <w:rFonts w:eastAsia="Arial" w:cs="Arial"/>
                <w:color w:val="000000" w:themeColor="text1"/>
                <w:sz w:val="16"/>
                <w:szCs w:val="16"/>
              </w:rPr>
              <w:t xml:space="preserve"> </w:t>
            </w:r>
            <w:r w:rsidR="00A47D3C">
              <w:rPr>
                <w:rFonts w:eastAsia="Arial" w:cs="Arial"/>
                <w:color w:val="000000" w:themeColor="text1"/>
                <w:sz w:val="16"/>
                <w:szCs w:val="16"/>
              </w:rPr>
              <w:t>they</w:t>
            </w:r>
            <w:r w:rsidR="006124AD" w:rsidRPr="00BC502F">
              <w:rPr>
                <w:rFonts w:eastAsia="Arial" w:cs="Arial"/>
                <w:color w:val="000000" w:themeColor="text1"/>
                <w:sz w:val="16"/>
                <w:szCs w:val="16"/>
              </w:rPr>
              <w:t xml:space="preserve"> continually monitor, and track programme administration &amp; project spend, providing updates monthly</w:t>
            </w:r>
            <w:r w:rsidR="006124AD">
              <w:rPr>
                <w:rFonts w:eastAsia="Arial" w:cs="Arial"/>
                <w:color w:val="000000" w:themeColor="text1"/>
                <w:sz w:val="16"/>
                <w:szCs w:val="16"/>
              </w:rPr>
              <w:t xml:space="preserve">. </w:t>
            </w:r>
            <w:r w:rsidR="001940D0">
              <w:rPr>
                <w:rFonts w:eastAsia="Arial" w:cs="Arial"/>
                <w:color w:val="000000" w:themeColor="text1"/>
                <w:sz w:val="16"/>
                <w:szCs w:val="16"/>
              </w:rPr>
              <w:t xml:space="preserve">Defra to ensure </w:t>
            </w:r>
            <w:r w:rsidR="006124AD" w:rsidRPr="00BC502F">
              <w:rPr>
                <w:rFonts w:eastAsia="Arial" w:cs="Arial"/>
                <w:color w:val="000000" w:themeColor="text1"/>
                <w:sz w:val="16"/>
                <w:szCs w:val="16"/>
              </w:rPr>
              <w:t>NIRAS provide expertise to prospective projects during the application stage, and to successful projects once they are in place, to assist them in completing and updating accurate spending forecasts.</w:t>
            </w:r>
          </w:p>
          <w:p w14:paraId="2AB96871" w14:textId="1487D751" w:rsidR="006124AD" w:rsidRPr="00D927F1" w:rsidRDefault="006124AD" w:rsidP="00BC50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BC502F">
              <w:rPr>
                <w:rFonts w:eastAsia="Arial" w:cs="Arial"/>
                <w:color w:val="000000" w:themeColor="text1"/>
                <w:sz w:val="16"/>
                <w:szCs w:val="16"/>
              </w:rPr>
              <w:t xml:space="preserve">Defra will manage the programme through its diverse portfolio, balancing </w:t>
            </w:r>
            <w:r>
              <w:rPr>
                <w:rFonts w:eastAsia="Arial" w:cs="Arial"/>
                <w:color w:val="000000" w:themeColor="text1"/>
                <w:sz w:val="16"/>
                <w:szCs w:val="16"/>
              </w:rPr>
              <w:t>any</w:t>
            </w:r>
            <w:r w:rsidRPr="00BC502F">
              <w:rPr>
                <w:rFonts w:eastAsia="Arial" w:cs="Arial"/>
                <w:color w:val="000000" w:themeColor="text1"/>
                <w:sz w:val="16"/>
                <w:szCs w:val="16"/>
              </w:rPr>
              <w:t xml:space="preserve"> underspend by increasing spend in other programmes that can absorb more funding to undertake additional activities for greater impact, as well as using adaptive programming to identify activities that are working particularly well/poorly and adjust programming accordingly to make sure funding going to the right places, and opportunities for scale up are identified.</w:t>
            </w:r>
          </w:p>
        </w:tc>
        <w:tc>
          <w:tcPr>
            <w:tcW w:w="475" w:type="dxa"/>
            <w:shd w:val="clear" w:color="auto" w:fill="FFC000" w:themeFill="accent4"/>
            <w:textDirection w:val="btLr"/>
          </w:tcPr>
          <w:p w14:paraId="25E8740B" w14:textId="2A741BB4" w:rsidR="006124AD" w:rsidRPr="00D927F1" w:rsidRDefault="006124AD" w:rsidP="000F2BCA">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r>
      <w:tr w:rsidR="009F302F" w14:paraId="37995704" w14:textId="77777777" w:rsidTr="4804E424">
        <w:trPr>
          <w:cantSplit/>
          <w:trHeight w:val="1018"/>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3739E365" w14:textId="0F90FFD5" w:rsidR="009F302F" w:rsidRDefault="009F302F" w:rsidP="00472B17">
            <w:pPr>
              <w:spacing w:line="276" w:lineRule="auto"/>
              <w:ind w:left="113" w:right="113"/>
              <w:jc w:val="center"/>
              <w:rPr>
                <w:rFonts w:eastAsia="Arial" w:cs="Arial"/>
                <w:color w:val="000000" w:themeColor="text1"/>
                <w:sz w:val="16"/>
                <w:szCs w:val="16"/>
              </w:rPr>
            </w:pPr>
            <w:r>
              <w:rPr>
                <w:rFonts w:eastAsia="Arial" w:cs="Arial"/>
                <w:color w:val="000000" w:themeColor="text1"/>
                <w:sz w:val="16"/>
                <w:szCs w:val="16"/>
              </w:rPr>
              <w:lastRenderedPageBreak/>
              <w:t>Operations</w:t>
            </w:r>
          </w:p>
        </w:tc>
        <w:tc>
          <w:tcPr>
            <w:tcW w:w="2441" w:type="dxa"/>
          </w:tcPr>
          <w:p w14:paraId="42D576AD" w14:textId="4D1A5EBA" w:rsidR="009F302F" w:rsidRPr="0061357A" w:rsidRDefault="008B2465" w:rsidP="008B2465">
            <w:pPr>
              <w:spacing w:line="276"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8B2465">
              <w:rPr>
                <w:rFonts w:eastAsia="Arial" w:cs="Arial"/>
                <w:color w:val="000000" w:themeColor="text1"/>
                <w:sz w:val="16"/>
                <w:szCs w:val="16"/>
              </w:rPr>
              <w:t xml:space="preserve">OCEAN does not receive </w:t>
            </w:r>
            <w:proofErr w:type="gramStart"/>
            <w:r w:rsidRPr="008B2465">
              <w:rPr>
                <w:rFonts w:eastAsia="Arial" w:cs="Arial"/>
                <w:color w:val="000000" w:themeColor="text1"/>
                <w:sz w:val="16"/>
                <w:szCs w:val="16"/>
              </w:rPr>
              <w:t>sufficient number of</w:t>
            </w:r>
            <w:proofErr w:type="gramEnd"/>
            <w:r w:rsidRPr="008B2465">
              <w:rPr>
                <w:rFonts w:eastAsia="Arial" w:cs="Arial"/>
                <w:color w:val="000000" w:themeColor="text1"/>
                <w:sz w:val="16"/>
                <w:szCs w:val="16"/>
              </w:rPr>
              <w:t xml:space="preserve"> high-quality application</w:t>
            </w:r>
            <w:r>
              <w:rPr>
                <w:rFonts w:eastAsia="Arial" w:cs="Arial"/>
                <w:color w:val="000000" w:themeColor="text1"/>
                <w:sz w:val="16"/>
                <w:szCs w:val="16"/>
              </w:rPr>
              <w:t>s. Due to</w:t>
            </w:r>
            <w:r w:rsidRPr="008B2465">
              <w:rPr>
                <w:rFonts w:eastAsia="Arial" w:cs="Arial"/>
                <w:color w:val="000000" w:themeColor="text1"/>
                <w:sz w:val="16"/>
                <w:szCs w:val="16"/>
              </w:rPr>
              <w:t xml:space="preserve"> </w:t>
            </w:r>
            <w:r>
              <w:rPr>
                <w:rFonts w:eastAsia="Arial" w:cs="Arial"/>
                <w:color w:val="000000" w:themeColor="text1"/>
                <w:sz w:val="16"/>
                <w:szCs w:val="16"/>
              </w:rPr>
              <w:t>i</w:t>
            </w:r>
            <w:r w:rsidRPr="008B2465">
              <w:rPr>
                <w:rFonts w:eastAsia="Arial" w:cs="Arial"/>
                <w:color w:val="000000" w:themeColor="text1"/>
                <w:sz w:val="16"/>
                <w:szCs w:val="16"/>
              </w:rPr>
              <w:t>nsufficient promotion of the fund, or factors that make applying to it less appealing, such as an overly complex application process</w:t>
            </w:r>
            <w:proofErr w:type="gramStart"/>
            <w:r w:rsidRPr="008B2465">
              <w:rPr>
                <w:rFonts w:eastAsia="Arial" w:cs="Arial"/>
                <w:color w:val="000000" w:themeColor="text1"/>
                <w:sz w:val="16"/>
                <w:szCs w:val="16"/>
              </w:rPr>
              <w:t>, .</w:t>
            </w:r>
            <w:proofErr w:type="gramEnd"/>
            <w:r w:rsidRPr="008B2465">
              <w:rPr>
                <w:rFonts w:eastAsia="Arial" w:cs="Arial"/>
                <w:color w:val="000000" w:themeColor="text1"/>
                <w:sz w:val="16"/>
                <w:szCs w:val="16"/>
              </w:rPr>
              <w:t xml:space="preserve"> This would result in the fund being unable to deliver to the required standards and level of ambition. </w:t>
            </w:r>
          </w:p>
        </w:tc>
        <w:tc>
          <w:tcPr>
            <w:tcW w:w="430" w:type="dxa"/>
            <w:shd w:val="clear" w:color="auto" w:fill="FFC000" w:themeFill="accent4"/>
            <w:textDirection w:val="btLr"/>
          </w:tcPr>
          <w:p w14:paraId="1236B4A6" w14:textId="38F421BF" w:rsidR="009F302F" w:rsidRDefault="006112D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C000" w:themeFill="accent4"/>
            <w:textDirection w:val="btLr"/>
          </w:tcPr>
          <w:p w14:paraId="57BD0A10" w14:textId="406BBAB6" w:rsidR="009F302F" w:rsidRDefault="006112D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C000" w:themeFill="accent4"/>
            <w:textDirection w:val="btLr"/>
          </w:tcPr>
          <w:p w14:paraId="0A37E5C7" w14:textId="0941EC0B" w:rsidR="009F302F" w:rsidRDefault="006112D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112" w:type="dxa"/>
          </w:tcPr>
          <w:p w14:paraId="26240000" w14:textId="12C53FEF" w:rsidR="00C46B82" w:rsidRPr="00C46B82" w:rsidRDefault="00A47D3C" w:rsidP="00C46B82">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will ensure </w:t>
            </w:r>
            <w:r w:rsidR="00C46B82" w:rsidRPr="00C46B82">
              <w:rPr>
                <w:rFonts w:eastAsia="Arial" w:cs="Arial"/>
                <w:color w:val="000000" w:themeColor="text1"/>
                <w:sz w:val="16"/>
                <w:szCs w:val="16"/>
              </w:rPr>
              <w:t>NIRAS will promot</w:t>
            </w:r>
            <w:r>
              <w:rPr>
                <w:rFonts w:eastAsia="Arial" w:cs="Arial"/>
                <w:color w:val="000000" w:themeColor="text1"/>
                <w:sz w:val="16"/>
                <w:szCs w:val="16"/>
              </w:rPr>
              <w:t>e</w:t>
            </w:r>
            <w:r w:rsidR="00C46B82" w:rsidRPr="00C46B82">
              <w:rPr>
                <w:rFonts w:eastAsia="Arial" w:cs="Arial"/>
                <w:color w:val="000000" w:themeColor="text1"/>
                <w:sz w:val="16"/>
                <w:szCs w:val="16"/>
              </w:rPr>
              <w:t xml:space="preserve"> the fund, have knowledge and contacts in the ODA field and will be able to effectively promote the fund to high quality potential applicants. </w:t>
            </w:r>
          </w:p>
          <w:p w14:paraId="4E20C35C" w14:textId="18D2CC29" w:rsidR="00C46B82" w:rsidRPr="00C46B82" w:rsidRDefault="00C46B82" w:rsidP="00C46B82">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C46B82">
              <w:rPr>
                <w:rFonts w:eastAsia="Arial" w:cs="Arial"/>
                <w:color w:val="000000" w:themeColor="text1"/>
                <w:sz w:val="16"/>
                <w:szCs w:val="16"/>
              </w:rPr>
              <w:t>Members of the expert committee</w:t>
            </w:r>
            <w:r w:rsidR="008F3D67">
              <w:rPr>
                <w:rFonts w:eastAsia="Arial" w:cs="Arial"/>
                <w:color w:val="000000" w:themeColor="text1"/>
                <w:sz w:val="16"/>
                <w:szCs w:val="16"/>
              </w:rPr>
              <w:t xml:space="preserve"> and HMG Posts</w:t>
            </w:r>
            <w:r w:rsidRPr="00C46B82">
              <w:rPr>
                <w:rFonts w:eastAsia="Arial" w:cs="Arial"/>
                <w:color w:val="000000" w:themeColor="text1"/>
                <w:sz w:val="16"/>
                <w:szCs w:val="16"/>
              </w:rPr>
              <w:t xml:space="preserve"> will also be </w:t>
            </w:r>
            <w:r w:rsidR="008F3D67">
              <w:rPr>
                <w:rFonts w:eastAsia="Arial" w:cs="Arial"/>
                <w:color w:val="000000" w:themeColor="text1"/>
                <w:sz w:val="16"/>
                <w:szCs w:val="16"/>
              </w:rPr>
              <w:t>supported</w:t>
            </w:r>
            <w:r w:rsidR="001D7936">
              <w:rPr>
                <w:rFonts w:eastAsia="Arial" w:cs="Arial"/>
                <w:color w:val="000000" w:themeColor="text1"/>
                <w:sz w:val="16"/>
                <w:szCs w:val="16"/>
              </w:rPr>
              <w:t xml:space="preserve"> and encouraged</w:t>
            </w:r>
            <w:r w:rsidRPr="00C46B82">
              <w:rPr>
                <w:rFonts w:eastAsia="Arial" w:cs="Arial"/>
                <w:color w:val="000000" w:themeColor="text1"/>
                <w:sz w:val="16"/>
                <w:szCs w:val="16"/>
              </w:rPr>
              <w:t xml:space="preserve"> to promote the fund to organisations that they are aware of and that would align with the BPF’s outcomes.</w:t>
            </w:r>
          </w:p>
          <w:p w14:paraId="59F38593" w14:textId="28B71755" w:rsidR="00C46B82" w:rsidRPr="00C46B82" w:rsidRDefault="00C46B82" w:rsidP="00C46B82">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C46B82">
              <w:rPr>
                <w:rFonts w:eastAsia="Arial" w:cs="Arial"/>
                <w:color w:val="000000" w:themeColor="text1"/>
                <w:sz w:val="16"/>
                <w:szCs w:val="16"/>
              </w:rPr>
              <w:t xml:space="preserve">The application process, including the forms and amount of information required, will draw on learning from existing funds, such as the Darwin Initiative, to ensure the process is less time consuming and as streamlined as possible. </w:t>
            </w:r>
          </w:p>
          <w:p w14:paraId="6E583A7B" w14:textId="795014A4" w:rsidR="00C46B82" w:rsidRPr="00C46B82" w:rsidRDefault="00C46B82" w:rsidP="00C46B82">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C46B82">
              <w:rPr>
                <w:rFonts w:eastAsia="Arial" w:cs="Arial"/>
                <w:color w:val="000000" w:themeColor="text1"/>
                <w:sz w:val="16"/>
                <w:szCs w:val="16"/>
              </w:rPr>
              <w:t>Defra will establish a process of continual learning, amending aspects of the scheme to encourage more applications and/or higher quality applications in future years.</w:t>
            </w:r>
          </w:p>
          <w:p w14:paraId="1D76AE3B" w14:textId="4605C4A8" w:rsidR="009F302F" w:rsidRPr="000E193B" w:rsidRDefault="00022194" w:rsidP="00C46B82">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will work closely </w:t>
            </w:r>
            <w:r w:rsidR="00C46B82" w:rsidRPr="00C46B82">
              <w:rPr>
                <w:rFonts w:eastAsia="Arial" w:cs="Arial"/>
                <w:color w:val="000000" w:themeColor="text1"/>
                <w:sz w:val="16"/>
                <w:szCs w:val="16"/>
              </w:rPr>
              <w:t xml:space="preserve">with </w:t>
            </w:r>
            <w:r w:rsidR="00E648FA">
              <w:rPr>
                <w:rFonts w:eastAsia="Arial" w:cs="Arial"/>
                <w:color w:val="000000" w:themeColor="text1"/>
                <w:sz w:val="16"/>
                <w:szCs w:val="16"/>
              </w:rPr>
              <w:t xml:space="preserve">BPF </w:t>
            </w:r>
            <w:r w:rsidR="00C46B82" w:rsidRPr="00C46B82">
              <w:rPr>
                <w:rFonts w:eastAsia="Arial" w:cs="Arial"/>
                <w:color w:val="000000" w:themeColor="text1"/>
                <w:sz w:val="16"/>
                <w:szCs w:val="16"/>
              </w:rPr>
              <w:t>regional advisors</w:t>
            </w:r>
            <w:r w:rsidR="00C46B82">
              <w:rPr>
                <w:rFonts w:eastAsia="Arial" w:cs="Arial"/>
                <w:color w:val="000000" w:themeColor="text1"/>
                <w:sz w:val="16"/>
                <w:szCs w:val="16"/>
              </w:rPr>
              <w:t xml:space="preserve"> and HMG Posts</w:t>
            </w:r>
            <w:r w:rsidR="00C46B82" w:rsidRPr="00C46B82">
              <w:rPr>
                <w:rFonts w:eastAsia="Arial" w:cs="Arial"/>
                <w:color w:val="000000" w:themeColor="text1"/>
                <w:sz w:val="16"/>
                <w:szCs w:val="16"/>
              </w:rPr>
              <w:t xml:space="preserve"> to promote programme</w:t>
            </w:r>
            <w:r w:rsidR="00E648FA">
              <w:rPr>
                <w:rFonts w:eastAsia="Arial" w:cs="Arial"/>
                <w:color w:val="000000" w:themeColor="text1"/>
                <w:sz w:val="16"/>
                <w:szCs w:val="16"/>
              </w:rPr>
              <w:t xml:space="preserve"> </w:t>
            </w:r>
            <w:r w:rsidR="00C46B82" w:rsidRPr="00C46B82">
              <w:rPr>
                <w:rFonts w:eastAsia="Arial" w:cs="Arial"/>
                <w:color w:val="000000" w:themeColor="text1"/>
                <w:sz w:val="16"/>
                <w:szCs w:val="16"/>
              </w:rPr>
              <w:t>and explain process to ensure as few barriers to entry as possible</w:t>
            </w:r>
            <w:r w:rsidR="00E648FA">
              <w:rPr>
                <w:rFonts w:eastAsia="Arial" w:cs="Arial"/>
                <w:color w:val="000000" w:themeColor="text1"/>
                <w:sz w:val="16"/>
                <w:szCs w:val="16"/>
              </w:rPr>
              <w:t>.</w:t>
            </w:r>
          </w:p>
        </w:tc>
        <w:tc>
          <w:tcPr>
            <w:tcW w:w="475" w:type="dxa"/>
            <w:shd w:val="clear" w:color="auto" w:fill="00B050"/>
            <w:textDirection w:val="btLr"/>
          </w:tcPr>
          <w:p w14:paraId="6D06C3FB" w14:textId="41B03713" w:rsidR="009F302F" w:rsidRDefault="00E0211E" w:rsidP="000F2BCA">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Low</w:t>
            </w:r>
          </w:p>
        </w:tc>
      </w:tr>
      <w:tr w:rsidR="009F302F" w14:paraId="34F6CB37" w14:textId="77777777" w:rsidTr="4804E424">
        <w:trPr>
          <w:cnfStyle w:val="000000100000" w:firstRow="0" w:lastRow="0" w:firstColumn="0" w:lastColumn="0" w:oddVBand="0" w:evenVBand="0" w:oddHBand="1" w:evenHBand="0" w:firstRowFirstColumn="0" w:firstRowLastColumn="0" w:lastRowFirstColumn="0" w:lastRowLastColumn="0"/>
          <w:cantSplit/>
          <w:trHeight w:val="1018"/>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682DAA4D" w14:textId="3856A23D" w:rsidR="009F302F" w:rsidRPr="00472B17" w:rsidRDefault="009F302F" w:rsidP="00472B17">
            <w:pPr>
              <w:spacing w:line="276" w:lineRule="auto"/>
              <w:ind w:left="113" w:right="113"/>
              <w:jc w:val="center"/>
              <w:rPr>
                <w:rFonts w:eastAsia="Arial" w:cs="Arial"/>
                <w:color w:val="000000" w:themeColor="text1"/>
                <w:sz w:val="16"/>
                <w:szCs w:val="16"/>
              </w:rPr>
            </w:pPr>
          </w:p>
        </w:tc>
        <w:tc>
          <w:tcPr>
            <w:tcW w:w="2441" w:type="dxa"/>
          </w:tcPr>
          <w:p w14:paraId="029D63FD" w14:textId="00778E26" w:rsidR="009F302F" w:rsidRPr="00D927F1" w:rsidRDefault="009F302F" w:rsidP="000E193B">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61357A">
              <w:rPr>
                <w:rFonts w:eastAsia="Arial" w:cs="Arial"/>
                <w:color w:val="000000" w:themeColor="text1"/>
                <w:sz w:val="16"/>
                <w:szCs w:val="16"/>
              </w:rPr>
              <w:t>O</w:t>
            </w:r>
            <w:r>
              <w:rPr>
                <w:rFonts w:eastAsia="Arial" w:cs="Arial"/>
                <w:color w:val="000000" w:themeColor="text1"/>
                <w:sz w:val="16"/>
                <w:szCs w:val="16"/>
              </w:rPr>
              <w:t>CEAN</w:t>
            </w:r>
            <w:r w:rsidRPr="0061357A">
              <w:rPr>
                <w:rFonts w:eastAsia="Arial" w:cs="Arial"/>
                <w:color w:val="000000" w:themeColor="text1"/>
                <w:sz w:val="16"/>
                <w:szCs w:val="16"/>
              </w:rPr>
              <w:t xml:space="preserve"> Expert Committee does</w:t>
            </w:r>
            <w:r>
              <w:rPr>
                <w:rFonts w:eastAsia="Arial" w:cs="Arial"/>
                <w:color w:val="000000" w:themeColor="text1"/>
                <w:sz w:val="16"/>
                <w:szCs w:val="16"/>
              </w:rPr>
              <w:t xml:space="preserve"> </w:t>
            </w:r>
            <w:r w:rsidRPr="0061357A">
              <w:rPr>
                <w:rFonts w:eastAsia="Arial" w:cs="Arial"/>
                <w:color w:val="000000" w:themeColor="text1"/>
                <w:sz w:val="16"/>
                <w:szCs w:val="16"/>
              </w:rPr>
              <w:t>not successfully meet</w:t>
            </w:r>
            <w:r>
              <w:rPr>
                <w:rFonts w:eastAsia="Arial" w:cs="Arial"/>
                <w:color w:val="000000" w:themeColor="text1"/>
                <w:sz w:val="16"/>
                <w:szCs w:val="16"/>
              </w:rPr>
              <w:t xml:space="preserve"> </w:t>
            </w:r>
            <w:r w:rsidRPr="0061357A">
              <w:rPr>
                <w:rFonts w:eastAsia="Arial" w:cs="Arial"/>
                <w:color w:val="000000" w:themeColor="text1"/>
                <w:sz w:val="16"/>
                <w:szCs w:val="16"/>
              </w:rPr>
              <w:t>deadlines</w:t>
            </w:r>
            <w:r>
              <w:rPr>
                <w:rFonts w:eastAsia="Arial" w:cs="Arial"/>
                <w:color w:val="000000" w:themeColor="text1"/>
                <w:sz w:val="16"/>
                <w:szCs w:val="16"/>
              </w:rPr>
              <w:t>. Due to</w:t>
            </w:r>
            <w:r w:rsidRPr="0061357A">
              <w:rPr>
                <w:rFonts w:eastAsia="Arial" w:cs="Arial"/>
                <w:color w:val="000000" w:themeColor="text1"/>
                <w:sz w:val="16"/>
                <w:szCs w:val="16"/>
              </w:rPr>
              <w:t xml:space="preserve"> a high n</w:t>
            </w:r>
            <w:r>
              <w:rPr>
                <w:rFonts w:eastAsia="Arial" w:cs="Arial"/>
                <w:color w:val="000000" w:themeColor="text1"/>
                <w:sz w:val="16"/>
                <w:szCs w:val="16"/>
              </w:rPr>
              <w:t>umber</w:t>
            </w:r>
            <w:r w:rsidRPr="0061357A">
              <w:rPr>
                <w:rFonts w:eastAsia="Arial" w:cs="Arial"/>
                <w:color w:val="000000" w:themeColor="text1"/>
                <w:sz w:val="16"/>
                <w:szCs w:val="16"/>
              </w:rPr>
              <w:t xml:space="preserve"> of applications significantly</w:t>
            </w:r>
            <w:r>
              <w:rPr>
                <w:rFonts w:eastAsia="Arial" w:cs="Arial"/>
                <w:color w:val="000000" w:themeColor="text1"/>
                <w:sz w:val="16"/>
                <w:szCs w:val="16"/>
              </w:rPr>
              <w:t xml:space="preserve"> </w:t>
            </w:r>
            <w:r w:rsidRPr="0061357A">
              <w:rPr>
                <w:rFonts w:eastAsia="Arial" w:cs="Arial"/>
                <w:color w:val="000000" w:themeColor="text1"/>
                <w:sz w:val="16"/>
                <w:szCs w:val="16"/>
              </w:rPr>
              <w:t>increasing the workload for the committee (this has cascading impacts on the Annual Application Round timetable and</w:t>
            </w:r>
            <w:r>
              <w:rPr>
                <w:rFonts w:eastAsia="Arial" w:cs="Arial"/>
                <w:color w:val="000000" w:themeColor="text1"/>
                <w:sz w:val="16"/>
                <w:szCs w:val="16"/>
              </w:rPr>
              <w:t xml:space="preserve"> </w:t>
            </w:r>
            <w:r w:rsidRPr="0061357A">
              <w:rPr>
                <w:rFonts w:eastAsia="Arial" w:cs="Arial"/>
                <w:color w:val="000000" w:themeColor="text1"/>
                <w:sz w:val="16"/>
                <w:szCs w:val="16"/>
              </w:rPr>
              <w:t>implementing the process on time).</w:t>
            </w:r>
          </w:p>
        </w:tc>
        <w:tc>
          <w:tcPr>
            <w:tcW w:w="430" w:type="dxa"/>
            <w:shd w:val="clear" w:color="auto" w:fill="FF0000"/>
            <w:textDirection w:val="btLr"/>
          </w:tcPr>
          <w:p w14:paraId="04BF1D54" w14:textId="7E98313C"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C000" w:themeFill="accent4"/>
            <w:textDirection w:val="btLr"/>
          </w:tcPr>
          <w:p w14:paraId="2DDA396E" w14:textId="60A6849D"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6B1191FC" w14:textId="3D2E21FA" w:rsidR="009F302F" w:rsidRPr="00D927F1"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3F2B1073" w14:textId="449669FA" w:rsidR="009F302F" w:rsidRPr="000E193B" w:rsidRDefault="003453D9"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t>
            </w:r>
            <w:r w:rsidR="009F302F">
              <w:rPr>
                <w:rFonts w:eastAsia="Arial" w:cs="Arial"/>
                <w:color w:val="000000" w:themeColor="text1"/>
                <w:sz w:val="16"/>
                <w:szCs w:val="16"/>
              </w:rPr>
              <w:t>will</w:t>
            </w:r>
            <w:r>
              <w:rPr>
                <w:rFonts w:eastAsia="Arial" w:cs="Arial"/>
                <w:color w:val="000000" w:themeColor="text1"/>
                <w:sz w:val="16"/>
                <w:szCs w:val="16"/>
              </w:rPr>
              <w:t xml:space="preserve"> ensure NIRAS</w:t>
            </w:r>
            <w:r w:rsidR="009F302F" w:rsidRPr="000E193B">
              <w:rPr>
                <w:rFonts w:eastAsia="Arial" w:cs="Arial"/>
                <w:color w:val="000000" w:themeColor="text1"/>
                <w:sz w:val="16"/>
                <w:szCs w:val="16"/>
              </w:rPr>
              <w:t xml:space="preserve"> support </w:t>
            </w:r>
            <w:r w:rsidR="009F302F">
              <w:rPr>
                <w:rFonts w:eastAsia="Arial" w:cs="Arial"/>
                <w:color w:val="000000" w:themeColor="text1"/>
                <w:sz w:val="16"/>
                <w:szCs w:val="16"/>
              </w:rPr>
              <w:t xml:space="preserve">management of </w:t>
            </w:r>
            <w:r w:rsidR="009F302F" w:rsidRPr="000E193B">
              <w:rPr>
                <w:rFonts w:eastAsia="Arial" w:cs="Arial"/>
                <w:color w:val="000000" w:themeColor="text1"/>
                <w:sz w:val="16"/>
                <w:szCs w:val="16"/>
              </w:rPr>
              <w:t>high application number via eligibility and compliance checks process.</w:t>
            </w:r>
          </w:p>
          <w:p w14:paraId="7222F02E" w14:textId="6A52C874" w:rsidR="009F302F" w:rsidRPr="000E193B" w:rsidRDefault="003453D9"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will ensure </w:t>
            </w:r>
            <w:r w:rsidR="009F302F" w:rsidRPr="000E193B">
              <w:rPr>
                <w:rFonts w:eastAsia="Arial" w:cs="Arial"/>
                <w:color w:val="000000" w:themeColor="text1"/>
                <w:sz w:val="16"/>
                <w:szCs w:val="16"/>
              </w:rPr>
              <w:t>NIRAS clearly communicate anticipated workload to the Expert Committee during induction webinars.</w:t>
            </w:r>
          </w:p>
          <w:p w14:paraId="4164FDD6" w14:textId="4045D1D8" w:rsidR="009F302F" w:rsidRPr="000E193B" w:rsidRDefault="007364A4"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will ensure </w:t>
            </w:r>
            <w:r w:rsidR="009F302F" w:rsidRPr="000E193B">
              <w:rPr>
                <w:rFonts w:eastAsia="Arial" w:cs="Arial"/>
                <w:color w:val="000000" w:themeColor="text1"/>
                <w:sz w:val="16"/>
                <w:szCs w:val="16"/>
              </w:rPr>
              <w:t xml:space="preserve">NIRAS </w:t>
            </w:r>
            <w:r w:rsidR="009F302F">
              <w:rPr>
                <w:rFonts w:eastAsia="Arial" w:cs="Arial"/>
                <w:color w:val="000000" w:themeColor="text1"/>
                <w:sz w:val="16"/>
                <w:szCs w:val="16"/>
              </w:rPr>
              <w:t>will</w:t>
            </w:r>
            <w:r w:rsidR="009F302F" w:rsidRPr="000E193B">
              <w:rPr>
                <w:rFonts w:eastAsia="Arial" w:cs="Arial"/>
                <w:color w:val="000000" w:themeColor="text1"/>
                <w:sz w:val="16"/>
                <w:szCs w:val="16"/>
              </w:rPr>
              <w:t xml:space="preserve"> maintain frequent communication with the Expert Committee during assessment period to understand progress and highlight any potential issues as early as possible</w:t>
            </w:r>
            <w:r w:rsidR="009F302F">
              <w:rPr>
                <w:rFonts w:eastAsia="Arial" w:cs="Arial"/>
                <w:color w:val="000000" w:themeColor="text1"/>
                <w:sz w:val="16"/>
                <w:szCs w:val="16"/>
              </w:rPr>
              <w:t xml:space="preserve"> to Defra.</w:t>
            </w:r>
          </w:p>
          <w:p w14:paraId="5A6ACE96" w14:textId="0253B3F6" w:rsidR="009F302F" w:rsidRPr="000E193B" w:rsidRDefault="00E76FAB"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w:t>
            </w:r>
            <w:r w:rsidR="008055BE">
              <w:rPr>
                <w:rFonts w:eastAsia="Arial" w:cs="Arial"/>
                <w:color w:val="000000" w:themeColor="text1"/>
                <w:sz w:val="16"/>
                <w:szCs w:val="16"/>
              </w:rPr>
              <w:t>will work with NIRAS</w:t>
            </w:r>
            <w:r w:rsidR="009F302F" w:rsidRPr="000E193B">
              <w:rPr>
                <w:rFonts w:eastAsia="Arial" w:cs="Arial"/>
                <w:color w:val="000000" w:themeColor="text1"/>
                <w:sz w:val="16"/>
                <w:szCs w:val="16"/>
              </w:rPr>
              <w:t xml:space="preserve"> to reflect on output and performance of the Expert Committee and identify whether further recruitment is required to manage workload at future Rounds.</w:t>
            </w:r>
          </w:p>
          <w:p w14:paraId="4E843425" w14:textId="18C4BC4B" w:rsidR="009F302F" w:rsidRPr="000E193B" w:rsidRDefault="008055BE"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w:t>
            </w:r>
            <w:r w:rsidR="009F302F" w:rsidRPr="000E193B">
              <w:rPr>
                <w:rFonts w:eastAsia="Arial" w:cs="Arial"/>
                <w:color w:val="000000" w:themeColor="text1"/>
                <w:sz w:val="16"/>
                <w:szCs w:val="16"/>
              </w:rPr>
              <w:t xml:space="preserve"> to identify reserve / back-up members to offer surge support</w:t>
            </w:r>
            <w:r w:rsidR="009F302F">
              <w:rPr>
                <w:rFonts w:eastAsia="Arial" w:cs="Arial"/>
                <w:color w:val="000000" w:themeColor="text1"/>
                <w:sz w:val="16"/>
                <w:szCs w:val="16"/>
              </w:rPr>
              <w:t xml:space="preserve"> where needed from B</w:t>
            </w:r>
            <w:r w:rsidR="006B2BE4">
              <w:rPr>
                <w:rFonts w:eastAsia="Arial" w:cs="Arial"/>
                <w:color w:val="000000" w:themeColor="text1"/>
                <w:sz w:val="16"/>
                <w:szCs w:val="16"/>
              </w:rPr>
              <w:t>iodiversity Challenge Funds</w:t>
            </w:r>
            <w:r w:rsidR="009F302F">
              <w:rPr>
                <w:rFonts w:eastAsia="Arial" w:cs="Arial"/>
                <w:color w:val="000000" w:themeColor="text1"/>
                <w:sz w:val="16"/>
                <w:szCs w:val="16"/>
              </w:rPr>
              <w:t xml:space="preserve"> Expert Committee</w:t>
            </w:r>
            <w:r w:rsidR="009F302F" w:rsidRPr="000E193B">
              <w:rPr>
                <w:rFonts w:eastAsia="Arial" w:cs="Arial"/>
                <w:color w:val="000000" w:themeColor="text1"/>
                <w:sz w:val="16"/>
                <w:szCs w:val="16"/>
              </w:rPr>
              <w:t>.</w:t>
            </w:r>
          </w:p>
          <w:p w14:paraId="1C1A6FC8" w14:textId="4342823A" w:rsidR="009F302F" w:rsidRPr="00D927F1" w:rsidRDefault="006008AB" w:rsidP="00EC66A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to instruct </w:t>
            </w:r>
            <w:r w:rsidR="009F302F" w:rsidRPr="000E193B">
              <w:rPr>
                <w:rFonts w:eastAsia="Arial" w:cs="Arial"/>
                <w:color w:val="000000" w:themeColor="text1"/>
                <w:sz w:val="16"/>
                <w:szCs w:val="16"/>
              </w:rPr>
              <w:t>NIRAS to discuss with other committee members to take on additional applications to support other members</w:t>
            </w:r>
            <w:r w:rsidR="009F302F">
              <w:rPr>
                <w:rFonts w:eastAsia="Arial" w:cs="Arial"/>
                <w:color w:val="000000" w:themeColor="text1"/>
                <w:sz w:val="16"/>
                <w:szCs w:val="16"/>
              </w:rPr>
              <w:t xml:space="preserve"> and r</w:t>
            </w:r>
            <w:r w:rsidR="009F302F" w:rsidRPr="000E193B">
              <w:rPr>
                <w:rFonts w:eastAsia="Arial" w:cs="Arial"/>
                <w:color w:val="000000" w:themeColor="text1"/>
                <w:sz w:val="16"/>
                <w:szCs w:val="16"/>
              </w:rPr>
              <w:t xml:space="preserve">eview </w:t>
            </w:r>
            <w:proofErr w:type="gramStart"/>
            <w:r w:rsidR="009F302F" w:rsidRPr="000E193B">
              <w:rPr>
                <w:rFonts w:eastAsia="Arial" w:cs="Arial"/>
                <w:color w:val="000000" w:themeColor="text1"/>
                <w:sz w:val="16"/>
                <w:szCs w:val="16"/>
              </w:rPr>
              <w:t>time period</w:t>
            </w:r>
            <w:proofErr w:type="gramEnd"/>
            <w:r w:rsidR="009F302F" w:rsidRPr="000E193B">
              <w:rPr>
                <w:rFonts w:eastAsia="Arial" w:cs="Arial"/>
                <w:color w:val="000000" w:themeColor="text1"/>
                <w:sz w:val="16"/>
                <w:szCs w:val="16"/>
              </w:rPr>
              <w:t xml:space="preserve"> for evaluation and determine if it should be extended.</w:t>
            </w:r>
          </w:p>
        </w:tc>
        <w:tc>
          <w:tcPr>
            <w:tcW w:w="475" w:type="dxa"/>
            <w:shd w:val="clear" w:color="auto" w:fill="00B050"/>
            <w:textDirection w:val="btLr"/>
          </w:tcPr>
          <w:p w14:paraId="3D3F002E" w14:textId="36203791" w:rsidR="009F302F" w:rsidRPr="00D927F1" w:rsidRDefault="009F302F" w:rsidP="000F2BCA">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Low</w:t>
            </w:r>
          </w:p>
        </w:tc>
      </w:tr>
      <w:tr w:rsidR="009F302F" w14:paraId="36FA774D" w14:textId="77777777" w:rsidTr="4804E424">
        <w:trPr>
          <w:cantSplit/>
          <w:trHeight w:val="1018"/>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6E58778A" w14:textId="77777777" w:rsidR="009F302F" w:rsidRDefault="009F302F" w:rsidP="00631F35">
            <w:pPr>
              <w:spacing w:line="276" w:lineRule="auto"/>
              <w:ind w:left="113" w:right="113"/>
              <w:jc w:val="center"/>
              <w:rPr>
                <w:rFonts w:eastAsia="Arial" w:cs="Arial"/>
                <w:color w:val="000000" w:themeColor="text1"/>
                <w:sz w:val="16"/>
                <w:szCs w:val="16"/>
              </w:rPr>
            </w:pPr>
          </w:p>
        </w:tc>
        <w:tc>
          <w:tcPr>
            <w:tcW w:w="2441" w:type="dxa"/>
          </w:tcPr>
          <w:p w14:paraId="52EEED3B" w14:textId="173CEF0A" w:rsidR="009F302F" w:rsidRDefault="009F302F" w:rsidP="000A03C5">
            <w:pPr>
              <w:spacing w:line="276"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T</w:t>
            </w:r>
            <w:r w:rsidRPr="000A03C5">
              <w:rPr>
                <w:rFonts w:eastAsia="Arial" w:cs="Arial"/>
                <w:color w:val="000000" w:themeColor="text1"/>
                <w:sz w:val="16"/>
                <w:szCs w:val="16"/>
              </w:rPr>
              <w:t>he structure of the Community Grants Window results in disproportionate requirements and processes</w:t>
            </w:r>
            <w:r>
              <w:rPr>
                <w:rFonts w:eastAsia="Arial" w:cs="Arial"/>
                <w:color w:val="000000" w:themeColor="text1"/>
                <w:sz w:val="16"/>
                <w:szCs w:val="16"/>
              </w:rPr>
              <w:t>.</w:t>
            </w:r>
            <w:r w:rsidRPr="000A03C5">
              <w:rPr>
                <w:rFonts w:eastAsia="Arial" w:cs="Arial"/>
                <w:color w:val="000000" w:themeColor="text1"/>
                <w:sz w:val="16"/>
                <w:szCs w:val="16"/>
              </w:rPr>
              <w:t xml:space="preserve"> </w:t>
            </w:r>
            <w:r>
              <w:rPr>
                <w:rFonts w:eastAsia="Arial" w:cs="Arial"/>
                <w:color w:val="000000" w:themeColor="text1"/>
                <w:sz w:val="16"/>
                <w:szCs w:val="16"/>
              </w:rPr>
              <w:t xml:space="preserve">Due to </w:t>
            </w:r>
            <w:r w:rsidRPr="000A03C5">
              <w:rPr>
                <w:rFonts w:eastAsia="Arial" w:cs="Arial"/>
                <w:color w:val="000000" w:themeColor="text1"/>
                <w:sz w:val="16"/>
                <w:szCs w:val="16"/>
              </w:rPr>
              <w:t>the level of support required for applications at either end of the window's budget limits (e.g., £10k vs £250k).</w:t>
            </w:r>
          </w:p>
        </w:tc>
        <w:tc>
          <w:tcPr>
            <w:tcW w:w="430" w:type="dxa"/>
            <w:shd w:val="clear" w:color="auto" w:fill="FF0000"/>
            <w:textDirection w:val="btLr"/>
          </w:tcPr>
          <w:p w14:paraId="2966D777" w14:textId="59321150" w:rsidR="009F302F" w:rsidRDefault="009F302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C000" w:themeFill="accent4"/>
            <w:textDirection w:val="btLr"/>
          </w:tcPr>
          <w:p w14:paraId="48C98F31" w14:textId="3A778225" w:rsidR="009F302F" w:rsidRDefault="009F302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330FD344" w14:textId="3BEB3128" w:rsidR="009F302F" w:rsidRDefault="009F302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6D3466E0" w14:textId="2A9AB405" w:rsidR="009F302F" w:rsidRPr="00431499" w:rsidRDefault="006008AB" w:rsidP="00431499">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w:t>
            </w:r>
            <w:r w:rsidR="009F302F" w:rsidRPr="00431499">
              <w:rPr>
                <w:rFonts w:eastAsia="Arial" w:cs="Arial"/>
                <w:color w:val="000000" w:themeColor="text1"/>
                <w:sz w:val="16"/>
                <w:szCs w:val="16"/>
              </w:rPr>
              <w:t xml:space="preserve"> will ensure application, compliance and reporting processes are streamlined and appropriate for the size of the organisation / project being funded. </w:t>
            </w:r>
          </w:p>
          <w:p w14:paraId="0128A196" w14:textId="38891D75" w:rsidR="009F302F" w:rsidRDefault="00BD5961" w:rsidP="00431499">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 to ensure NIRAS</w:t>
            </w:r>
            <w:r w:rsidR="009F302F" w:rsidRPr="00431499">
              <w:rPr>
                <w:rFonts w:eastAsia="Arial" w:cs="Arial"/>
                <w:color w:val="000000" w:themeColor="text1"/>
                <w:sz w:val="16"/>
                <w:szCs w:val="16"/>
              </w:rPr>
              <w:t xml:space="preserve"> provide different processes for above and below £100k threshold.</w:t>
            </w:r>
            <w:r w:rsidR="009F302F">
              <w:rPr>
                <w:rFonts w:eastAsia="Arial" w:cs="Arial"/>
                <w:color w:val="000000" w:themeColor="text1"/>
                <w:sz w:val="16"/>
                <w:szCs w:val="16"/>
              </w:rPr>
              <w:t xml:space="preserve"> </w:t>
            </w:r>
            <w:r w:rsidR="009F302F" w:rsidRPr="00431499">
              <w:rPr>
                <w:rFonts w:eastAsia="Arial" w:cs="Arial"/>
                <w:color w:val="000000" w:themeColor="text1"/>
                <w:sz w:val="16"/>
                <w:szCs w:val="16"/>
              </w:rPr>
              <w:t xml:space="preserve">Defra to review outcome of Round 1 and </w:t>
            </w:r>
            <w:r w:rsidR="00D12705">
              <w:rPr>
                <w:rFonts w:eastAsia="Arial" w:cs="Arial"/>
                <w:color w:val="000000" w:themeColor="text1"/>
                <w:sz w:val="16"/>
                <w:szCs w:val="16"/>
              </w:rPr>
              <w:t xml:space="preserve">instruct NIRAS to </w:t>
            </w:r>
            <w:r w:rsidR="009F302F" w:rsidRPr="00431499">
              <w:rPr>
                <w:rFonts w:eastAsia="Arial" w:cs="Arial"/>
                <w:color w:val="000000" w:themeColor="text1"/>
                <w:sz w:val="16"/>
                <w:szCs w:val="16"/>
              </w:rPr>
              <w:t>further develop application processes and fund design ahead of Round</w:t>
            </w:r>
            <w:r w:rsidR="009F302F">
              <w:rPr>
                <w:rFonts w:eastAsia="Arial" w:cs="Arial"/>
                <w:color w:val="000000" w:themeColor="text1"/>
                <w:sz w:val="16"/>
                <w:szCs w:val="16"/>
              </w:rPr>
              <w:t xml:space="preserve"> 2.</w:t>
            </w:r>
          </w:p>
        </w:tc>
        <w:tc>
          <w:tcPr>
            <w:tcW w:w="475" w:type="dxa"/>
            <w:shd w:val="clear" w:color="auto" w:fill="00B050"/>
            <w:textDirection w:val="btLr"/>
          </w:tcPr>
          <w:p w14:paraId="0ECBAEB8" w14:textId="6642467B" w:rsidR="009F302F" w:rsidRDefault="009F302F"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Low</w:t>
            </w:r>
          </w:p>
        </w:tc>
      </w:tr>
      <w:tr w:rsidR="009F302F" w14:paraId="4C86D98E" w14:textId="77777777" w:rsidTr="4804E424">
        <w:trPr>
          <w:cnfStyle w:val="000000100000" w:firstRow="0" w:lastRow="0" w:firstColumn="0" w:lastColumn="0" w:oddVBand="0" w:evenVBand="0" w:oddHBand="1" w:evenHBand="0" w:firstRowFirstColumn="0" w:firstRowLastColumn="0" w:lastRowFirstColumn="0" w:lastRowLastColumn="0"/>
          <w:cantSplit/>
          <w:trHeight w:val="1018"/>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10D94975" w14:textId="44EBFC0C" w:rsidR="009F302F" w:rsidRDefault="009F302F" w:rsidP="00631F35">
            <w:pPr>
              <w:spacing w:line="276" w:lineRule="auto"/>
              <w:ind w:left="113" w:right="113"/>
              <w:jc w:val="center"/>
              <w:rPr>
                <w:rFonts w:eastAsia="Arial" w:cs="Arial"/>
                <w:color w:val="000000" w:themeColor="text1"/>
                <w:sz w:val="16"/>
                <w:szCs w:val="16"/>
              </w:rPr>
            </w:pPr>
          </w:p>
        </w:tc>
        <w:tc>
          <w:tcPr>
            <w:tcW w:w="2441" w:type="dxa"/>
          </w:tcPr>
          <w:p w14:paraId="7AE3CE63" w14:textId="3760F4A7" w:rsidR="009F302F" w:rsidRPr="0061357A" w:rsidRDefault="009F302F" w:rsidP="00031B56">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OCEAN </w:t>
            </w:r>
            <w:r w:rsidRPr="00031B56">
              <w:rPr>
                <w:rFonts w:eastAsia="Arial" w:cs="Arial"/>
                <w:color w:val="000000" w:themeColor="text1"/>
                <w:sz w:val="16"/>
                <w:szCs w:val="16"/>
              </w:rPr>
              <w:t>encounter</w:t>
            </w:r>
            <w:r>
              <w:rPr>
                <w:rFonts w:eastAsia="Arial" w:cs="Arial"/>
                <w:color w:val="000000" w:themeColor="text1"/>
                <w:sz w:val="16"/>
                <w:szCs w:val="16"/>
              </w:rPr>
              <w:t>s</w:t>
            </w:r>
            <w:r w:rsidRPr="00031B56">
              <w:rPr>
                <w:rFonts w:eastAsia="Arial" w:cs="Arial"/>
                <w:color w:val="000000" w:themeColor="text1"/>
                <w:sz w:val="16"/>
                <w:szCs w:val="16"/>
              </w:rPr>
              <w:t xml:space="preserve"> delays or programme failure </w:t>
            </w:r>
            <w:r>
              <w:rPr>
                <w:rFonts w:eastAsia="Arial" w:cs="Arial"/>
                <w:color w:val="000000" w:themeColor="text1"/>
                <w:sz w:val="16"/>
                <w:szCs w:val="16"/>
              </w:rPr>
              <w:t>du</w:t>
            </w:r>
            <w:r w:rsidRPr="00031B56">
              <w:rPr>
                <w:rFonts w:eastAsia="Arial" w:cs="Arial"/>
                <w:color w:val="000000" w:themeColor="text1"/>
                <w:sz w:val="16"/>
                <w:szCs w:val="16"/>
              </w:rPr>
              <w:t xml:space="preserve">e to Defra recruitment freeze; key staff departures and potential impacts </w:t>
            </w:r>
            <w:r>
              <w:rPr>
                <w:rFonts w:eastAsia="Arial" w:cs="Arial"/>
                <w:color w:val="000000" w:themeColor="text1"/>
                <w:sz w:val="16"/>
                <w:szCs w:val="16"/>
              </w:rPr>
              <w:t>of w</w:t>
            </w:r>
            <w:r w:rsidRPr="00031B56">
              <w:rPr>
                <w:rFonts w:eastAsia="Arial" w:cs="Arial"/>
                <w:color w:val="000000" w:themeColor="text1"/>
                <w:sz w:val="16"/>
                <w:szCs w:val="16"/>
              </w:rPr>
              <w:t xml:space="preserve">ider </w:t>
            </w:r>
            <w:r>
              <w:rPr>
                <w:rFonts w:eastAsia="Arial" w:cs="Arial"/>
                <w:color w:val="000000" w:themeColor="text1"/>
                <w:sz w:val="16"/>
                <w:szCs w:val="16"/>
              </w:rPr>
              <w:t>t</w:t>
            </w:r>
            <w:r w:rsidRPr="00031B56">
              <w:rPr>
                <w:rFonts w:eastAsia="Arial" w:cs="Arial"/>
                <w:color w:val="000000" w:themeColor="text1"/>
                <w:sz w:val="16"/>
                <w:szCs w:val="16"/>
              </w:rPr>
              <w:t>eam pressures across BPF fund.</w:t>
            </w:r>
          </w:p>
        </w:tc>
        <w:tc>
          <w:tcPr>
            <w:tcW w:w="430" w:type="dxa"/>
            <w:shd w:val="clear" w:color="auto" w:fill="FFC000" w:themeFill="accent4"/>
            <w:textDirection w:val="btLr"/>
          </w:tcPr>
          <w:p w14:paraId="7C13A59E" w14:textId="0DBE7B03"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47E764E7" w14:textId="08B157FD"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0000"/>
            <w:textDirection w:val="btLr"/>
          </w:tcPr>
          <w:p w14:paraId="1071B7B6" w14:textId="3C5FF283"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75A16B73" w14:textId="3153E627" w:rsidR="009F302F" w:rsidRPr="000E193B" w:rsidRDefault="009F302F" w:rsidP="004B70F1">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 to e</w:t>
            </w:r>
            <w:r w:rsidRPr="004B70F1">
              <w:rPr>
                <w:rFonts w:eastAsia="Arial" w:cs="Arial"/>
                <w:color w:val="000000" w:themeColor="text1"/>
                <w:sz w:val="16"/>
                <w:szCs w:val="16"/>
              </w:rPr>
              <w:t>nsure that any departing staff prepare relevant handover documents to remaining staff to cover duties</w:t>
            </w:r>
            <w:r>
              <w:rPr>
                <w:rFonts w:eastAsia="Arial" w:cs="Arial"/>
                <w:color w:val="000000" w:themeColor="text1"/>
                <w:sz w:val="16"/>
                <w:szCs w:val="16"/>
              </w:rPr>
              <w:t>. Defra to s</w:t>
            </w:r>
            <w:r w:rsidRPr="004B70F1">
              <w:rPr>
                <w:rFonts w:eastAsia="Arial" w:cs="Arial"/>
                <w:color w:val="000000" w:themeColor="text1"/>
                <w:sz w:val="16"/>
                <w:szCs w:val="16"/>
              </w:rPr>
              <w:t>chedule meetings with departing staff to explain the finer details of any duties being handed over</w:t>
            </w:r>
            <w:r>
              <w:rPr>
                <w:rFonts w:eastAsia="Arial" w:cs="Arial"/>
                <w:color w:val="000000" w:themeColor="text1"/>
                <w:sz w:val="16"/>
                <w:szCs w:val="16"/>
              </w:rPr>
              <w:t xml:space="preserve">. </w:t>
            </w:r>
            <w:r w:rsidRPr="004B70F1">
              <w:rPr>
                <w:rFonts w:eastAsia="Arial" w:cs="Arial"/>
                <w:color w:val="000000" w:themeColor="text1"/>
                <w:sz w:val="16"/>
                <w:szCs w:val="16"/>
              </w:rPr>
              <w:t>Organise regular weekly catch up sessions so team can inform and give greater detail of their wider duties, sharing knowledge.</w:t>
            </w:r>
            <w:r>
              <w:rPr>
                <w:rFonts w:eastAsia="Arial" w:cs="Arial"/>
                <w:color w:val="000000" w:themeColor="text1"/>
                <w:sz w:val="16"/>
                <w:szCs w:val="16"/>
              </w:rPr>
              <w:t xml:space="preserve"> </w:t>
            </w:r>
            <w:r w:rsidRPr="004B70F1">
              <w:rPr>
                <w:rFonts w:eastAsia="Arial" w:cs="Arial"/>
                <w:color w:val="000000" w:themeColor="text1"/>
                <w:sz w:val="16"/>
                <w:szCs w:val="16"/>
              </w:rPr>
              <w:t>Where possible, have multiple team</w:t>
            </w:r>
            <w:r>
              <w:rPr>
                <w:rFonts w:eastAsia="Arial" w:cs="Arial"/>
                <w:color w:val="000000" w:themeColor="text1"/>
                <w:sz w:val="16"/>
                <w:szCs w:val="16"/>
              </w:rPr>
              <w:t xml:space="preserve"> colleagues</w:t>
            </w:r>
            <w:r w:rsidRPr="004B70F1">
              <w:rPr>
                <w:rFonts w:eastAsia="Arial" w:cs="Arial"/>
                <w:color w:val="000000" w:themeColor="text1"/>
                <w:sz w:val="16"/>
                <w:szCs w:val="16"/>
              </w:rPr>
              <w:t xml:space="preserve"> assist on workstreams </w:t>
            </w:r>
            <w:proofErr w:type="gramStart"/>
            <w:r w:rsidRPr="004B70F1">
              <w:rPr>
                <w:rFonts w:eastAsia="Arial" w:cs="Arial"/>
                <w:color w:val="000000" w:themeColor="text1"/>
                <w:sz w:val="16"/>
                <w:szCs w:val="16"/>
              </w:rPr>
              <w:t>in order to</w:t>
            </w:r>
            <w:proofErr w:type="gramEnd"/>
            <w:r w:rsidRPr="004B70F1">
              <w:rPr>
                <w:rFonts w:eastAsia="Arial" w:cs="Arial"/>
                <w:color w:val="000000" w:themeColor="text1"/>
                <w:sz w:val="16"/>
                <w:szCs w:val="16"/>
              </w:rPr>
              <w:t xml:space="preserve"> build working knowledge of different aspects of the programme.</w:t>
            </w:r>
          </w:p>
        </w:tc>
        <w:tc>
          <w:tcPr>
            <w:tcW w:w="475" w:type="dxa"/>
            <w:shd w:val="clear" w:color="auto" w:fill="00B050"/>
            <w:textDirection w:val="btLr"/>
          </w:tcPr>
          <w:p w14:paraId="4CA40CAB" w14:textId="7EA862CF" w:rsidR="009F302F" w:rsidRDefault="009F302F"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Low</w:t>
            </w:r>
          </w:p>
        </w:tc>
      </w:tr>
      <w:tr w:rsidR="00AF5E67" w14:paraId="1C1935BD" w14:textId="77777777" w:rsidTr="00315F18">
        <w:trPr>
          <w:cantSplit/>
          <w:trHeight w:val="1018"/>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5AECCB47" w14:textId="31C0E2A4" w:rsidR="00AF5E67" w:rsidRDefault="00315F18" w:rsidP="00631F35">
            <w:pPr>
              <w:spacing w:line="276" w:lineRule="auto"/>
              <w:ind w:left="113" w:right="113"/>
              <w:jc w:val="center"/>
              <w:rPr>
                <w:rFonts w:eastAsia="Arial" w:cs="Arial"/>
                <w:color w:val="000000" w:themeColor="text1"/>
                <w:sz w:val="16"/>
                <w:szCs w:val="16"/>
              </w:rPr>
            </w:pPr>
            <w:r>
              <w:rPr>
                <w:rFonts w:eastAsia="Arial" w:cs="Arial"/>
                <w:color w:val="000000" w:themeColor="text1"/>
                <w:sz w:val="16"/>
                <w:szCs w:val="16"/>
              </w:rPr>
              <w:lastRenderedPageBreak/>
              <w:t>Strategic</w:t>
            </w:r>
          </w:p>
        </w:tc>
        <w:tc>
          <w:tcPr>
            <w:tcW w:w="2441" w:type="dxa"/>
          </w:tcPr>
          <w:p w14:paraId="493F4CF7" w14:textId="768E515C" w:rsidR="00AF5E67" w:rsidRPr="00D159E3" w:rsidRDefault="00AF5E67" w:rsidP="00AF5E67">
            <w:pPr>
              <w:spacing w:line="276"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T</w:t>
            </w:r>
            <w:r w:rsidRPr="00AF5E67">
              <w:rPr>
                <w:rFonts w:eastAsia="Arial" w:cs="Arial"/>
                <w:color w:val="000000" w:themeColor="text1"/>
                <w:sz w:val="16"/>
                <w:szCs w:val="16"/>
              </w:rPr>
              <w:t>he delivery model will be challenging to deliver</w:t>
            </w:r>
            <w:r>
              <w:rPr>
                <w:rFonts w:eastAsia="Arial" w:cs="Arial"/>
                <w:color w:val="000000" w:themeColor="text1"/>
                <w:sz w:val="16"/>
                <w:szCs w:val="16"/>
              </w:rPr>
              <w:t xml:space="preserve">. </w:t>
            </w:r>
            <w:r w:rsidRPr="00AF5E67">
              <w:rPr>
                <w:rFonts w:eastAsia="Arial" w:cs="Arial"/>
                <w:color w:val="000000" w:themeColor="text1"/>
                <w:sz w:val="16"/>
                <w:szCs w:val="16"/>
              </w:rPr>
              <w:t>D</w:t>
            </w:r>
            <w:r>
              <w:rPr>
                <w:rFonts w:eastAsia="Arial" w:cs="Arial"/>
                <w:color w:val="000000" w:themeColor="text1"/>
                <w:sz w:val="16"/>
                <w:szCs w:val="16"/>
              </w:rPr>
              <w:t>ue</w:t>
            </w:r>
            <w:r w:rsidRPr="00AF5E67">
              <w:rPr>
                <w:rFonts w:eastAsia="Arial" w:cs="Arial"/>
                <w:color w:val="000000" w:themeColor="text1"/>
                <w:sz w:val="16"/>
                <w:szCs w:val="16"/>
              </w:rPr>
              <w:t xml:space="preserve"> </w:t>
            </w:r>
            <w:r>
              <w:rPr>
                <w:rFonts w:eastAsia="Arial" w:cs="Arial"/>
                <w:color w:val="000000" w:themeColor="text1"/>
                <w:sz w:val="16"/>
                <w:szCs w:val="16"/>
              </w:rPr>
              <w:t>to</w:t>
            </w:r>
            <w:r w:rsidRPr="00AF5E67">
              <w:rPr>
                <w:rFonts w:eastAsia="Arial" w:cs="Arial"/>
                <w:color w:val="000000" w:themeColor="text1"/>
                <w:sz w:val="16"/>
                <w:szCs w:val="16"/>
              </w:rPr>
              <w:t xml:space="preserve"> </w:t>
            </w:r>
            <w:r>
              <w:rPr>
                <w:rFonts w:eastAsia="Arial" w:cs="Arial"/>
                <w:color w:val="000000" w:themeColor="text1"/>
                <w:sz w:val="16"/>
                <w:szCs w:val="16"/>
              </w:rPr>
              <w:t>l</w:t>
            </w:r>
            <w:r w:rsidRPr="00AF5E67">
              <w:rPr>
                <w:rFonts w:eastAsia="Arial" w:cs="Arial"/>
                <w:color w:val="000000" w:themeColor="text1"/>
                <w:sz w:val="16"/>
                <w:szCs w:val="16"/>
              </w:rPr>
              <w:t xml:space="preserve">ack of staff overseas which might result in a lack of capacity for engaging with every eligible country with projects;  </w:t>
            </w:r>
          </w:p>
        </w:tc>
        <w:tc>
          <w:tcPr>
            <w:tcW w:w="430" w:type="dxa"/>
            <w:shd w:val="clear" w:color="auto" w:fill="FF0000"/>
            <w:textDirection w:val="btLr"/>
          </w:tcPr>
          <w:p w14:paraId="1C788855" w14:textId="43172C39" w:rsidR="00AF5E67" w:rsidRDefault="00616CE5"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C000" w:themeFill="accent4"/>
            <w:textDirection w:val="btLr"/>
          </w:tcPr>
          <w:p w14:paraId="5712EE3C" w14:textId="67754880" w:rsidR="00AF5E67" w:rsidRDefault="0008247C"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0C4A46F9" w14:textId="6D9DC79A" w:rsidR="00AF5E67" w:rsidRDefault="007076E3"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0F3A27E3" w14:textId="5BC1A50C" w:rsidR="0017270D" w:rsidRPr="00CB7131" w:rsidRDefault="0017270D" w:rsidP="00B45607">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CB7131">
              <w:rPr>
                <w:rFonts w:eastAsia="Arial" w:cs="Arial"/>
                <w:color w:val="000000" w:themeColor="text1"/>
                <w:sz w:val="16"/>
                <w:szCs w:val="16"/>
              </w:rPr>
              <w:t>Four regional advisors are recruited in-country by the BPF</w:t>
            </w:r>
            <w:r w:rsidR="00C7479F" w:rsidRPr="00CB7131">
              <w:rPr>
                <w:rFonts w:eastAsia="Arial" w:cs="Arial"/>
                <w:color w:val="000000" w:themeColor="text1"/>
                <w:sz w:val="16"/>
                <w:szCs w:val="16"/>
              </w:rPr>
              <w:t xml:space="preserve"> </w:t>
            </w:r>
            <w:r w:rsidR="00375287" w:rsidRPr="00CB7131">
              <w:rPr>
                <w:rFonts w:eastAsia="Arial" w:cs="Arial"/>
                <w:color w:val="000000" w:themeColor="text1"/>
                <w:sz w:val="16"/>
                <w:szCs w:val="16"/>
              </w:rPr>
              <w:t xml:space="preserve">to </w:t>
            </w:r>
            <w:r w:rsidR="00C7479F" w:rsidRPr="00CB7131">
              <w:rPr>
                <w:rFonts w:eastAsia="Arial" w:cs="Arial"/>
                <w:color w:val="000000" w:themeColor="text1"/>
                <w:sz w:val="16"/>
                <w:szCs w:val="16"/>
              </w:rPr>
              <w:t>provid</w:t>
            </w:r>
            <w:r w:rsidR="00375287" w:rsidRPr="00CB7131">
              <w:rPr>
                <w:rFonts w:eastAsia="Arial" w:cs="Arial"/>
                <w:color w:val="000000" w:themeColor="text1"/>
                <w:sz w:val="16"/>
                <w:szCs w:val="16"/>
              </w:rPr>
              <w:t>e</w:t>
            </w:r>
            <w:r w:rsidRPr="00CB7131">
              <w:rPr>
                <w:rFonts w:eastAsia="Arial" w:cs="Arial"/>
                <w:color w:val="000000" w:themeColor="text1"/>
                <w:sz w:val="16"/>
                <w:szCs w:val="16"/>
              </w:rPr>
              <w:t xml:space="preserve"> a critical role in galvanising delivery, establishing and utilising their regional networks to coordinate programming and push for BPF objectives.</w:t>
            </w:r>
          </w:p>
          <w:p w14:paraId="4518DF45" w14:textId="7C56285F" w:rsidR="0017270D" w:rsidRPr="00931CBA" w:rsidRDefault="00D12705" w:rsidP="00B45607">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 xml:space="preserve">Defra to ensure </w:t>
            </w:r>
            <w:r w:rsidR="0017270D" w:rsidRPr="00CB7131">
              <w:rPr>
                <w:rFonts w:eastAsia="Arial" w:cs="Arial"/>
                <w:color w:val="000000" w:themeColor="text1"/>
                <w:sz w:val="16"/>
                <w:szCs w:val="16"/>
              </w:rPr>
              <w:t xml:space="preserve">NIRAS </w:t>
            </w:r>
            <w:r>
              <w:rPr>
                <w:rFonts w:eastAsia="Arial" w:cs="Arial"/>
                <w:color w:val="000000" w:themeColor="text1"/>
                <w:sz w:val="16"/>
                <w:szCs w:val="16"/>
              </w:rPr>
              <w:t>have a</w:t>
            </w:r>
            <w:r w:rsidR="0017270D" w:rsidRPr="00CB7131">
              <w:rPr>
                <w:rFonts w:eastAsia="Arial" w:cs="Arial"/>
                <w:color w:val="000000" w:themeColor="text1"/>
                <w:sz w:val="16"/>
                <w:szCs w:val="16"/>
              </w:rPr>
              <w:t xml:space="preserve"> strategic engagement framework</w:t>
            </w:r>
            <w:r w:rsidR="00734653">
              <w:rPr>
                <w:rFonts w:eastAsia="Arial" w:cs="Arial"/>
                <w:color w:val="000000" w:themeColor="text1"/>
                <w:sz w:val="16"/>
                <w:szCs w:val="16"/>
              </w:rPr>
              <w:t xml:space="preserve"> in place</w:t>
            </w:r>
            <w:r w:rsidR="0017270D" w:rsidRPr="00CB7131">
              <w:rPr>
                <w:rFonts w:eastAsia="Arial" w:cs="Arial"/>
                <w:color w:val="000000" w:themeColor="text1"/>
                <w:sz w:val="16"/>
                <w:szCs w:val="16"/>
              </w:rPr>
              <w:t xml:space="preserve"> to detail </w:t>
            </w:r>
            <w:r w:rsidR="0017270D" w:rsidRPr="00931CBA">
              <w:rPr>
                <w:rFonts w:eastAsia="Arial" w:cs="Arial"/>
                <w:color w:val="000000" w:themeColor="text1"/>
                <w:sz w:val="16"/>
                <w:szCs w:val="16"/>
              </w:rPr>
              <w:t>approach to ensuring global engagement with the programme. In</w:t>
            </w:r>
            <w:r w:rsidR="00CB7131" w:rsidRPr="00931CBA">
              <w:rPr>
                <w:rFonts w:eastAsia="Arial" w:cs="Arial"/>
                <w:color w:val="000000" w:themeColor="text1"/>
                <w:sz w:val="16"/>
                <w:szCs w:val="16"/>
              </w:rPr>
              <w:t xml:space="preserve"> </w:t>
            </w:r>
            <w:r w:rsidR="0017270D" w:rsidRPr="00931CBA">
              <w:rPr>
                <w:rFonts w:eastAsia="Arial" w:cs="Arial"/>
                <w:color w:val="000000" w:themeColor="text1"/>
                <w:sz w:val="16"/>
                <w:szCs w:val="16"/>
              </w:rPr>
              <w:t>country coverage to be supported through NIRAS Global offices and other connected networks. There is a challenge to have this in every country, but NRIAS and Defra to develop a streamlined process for implementing in-</w:t>
            </w:r>
            <w:r w:rsidR="00931CBA" w:rsidRPr="00931CBA">
              <w:rPr>
                <w:rFonts w:eastAsia="Arial" w:cs="Arial"/>
                <w:color w:val="000000" w:themeColor="text1"/>
                <w:sz w:val="16"/>
                <w:szCs w:val="16"/>
              </w:rPr>
              <w:t>country</w:t>
            </w:r>
            <w:r w:rsidR="0017270D" w:rsidRPr="00931CBA">
              <w:rPr>
                <w:rFonts w:eastAsia="Arial" w:cs="Arial"/>
                <w:color w:val="000000" w:themeColor="text1"/>
                <w:sz w:val="16"/>
                <w:szCs w:val="16"/>
              </w:rPr>
              <w:t xml:space="preserve"> activities through working with FCDO Post and national </w:t>
            </w:r>
            <w:r w:rsidR="00931CBA" w:rsidRPr="00931CBA">
              <w:rPr>
                <w:rFonts w:eastAsia="Arial" w:cs="Arial"/>
                <w:color w:val="000000" w:themeColor="text1"/>
                <w:sz w:val="16"/>
                <w:szCs w:val="16"/>
              </w:rPr>
              <w:t>Governments</w:t>
            </w:r>
            <w:r w:rsidR="0017270D" w:rsidRPr="00931CBA">
              <w:rPr>
                <w:rFonts w:eastAsia="Arial" w:cs="Arial"/>
                <w:color w:val="000000" w:themeColor="text1"/>
                <w:sz w:val="16"/>
                <w:szCs w:val="16"/>
              </w:rPr>
              <w:t>.</w:t>
            </w:r>
          </w:p>
          <w:p w14:paraId="18916366" w14:textId="7EF346B8" w:rsidR="00AF5E67" w:rsidRPr="003246B7" w:rsidRDefault="0017270D" w:rsidP="00B45607">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0F5EB4">
              <w:rPr>
                <w:rFonts w:eastAsia="Arial" w:cs="Arial"/>
                <w:color w:val="000000" w:themeColor="text1"/>
                <w:sz w:val="16"/>
                <w:szCs w:val="16"/>
              </w:rPr>
              <w:t xml:space="preserve">System will be established to monitor 5-10% of projects each year via an in-country visit, rather than a requirement to visit all projects. </w:t>
            </w:r>
            <w:r w:rsidR="00B978F4">
              <w:rPr>
                <w:rFonts w:eastAsia="Arial" w:cs="Arial"/>
                <w:color w:val="000000" w:themeColor="text1"/>
                <w:sz w:val="16"/>
                <w:szCs w:val="16"/>
              </w:rPr>
              <w:t>NIRAS</w:t>
            </w:r>
            <w:r w:rsidRPr="000F5EB4">
              <w:rPr>
                <w:rFonts w:eastAsia="Arial" w:cs="Arial"/>
                <w:color w:val="000000" w:themeColor="text1"/>
                <w:sz w:val="16"/>
                <w:szCs w:val="16"/>
              </w:rPr>
              <w:t xml:space="preserve"> to communicate upfront to projects that the</w:t>
            </w:r>
            <w:r w:rsidR="00857B91" w:rsidRPr="000F5EB4">
              <w:rPr>
                <w:rFonts w:eastAsia="Arial" w:cs="Arial"/>
                <w:color w:val="000000" w:themeColor="text1"/>
                <w:sz w:val="16"/>
                <w:szCs w:val="16"/>
              </w:rPr>
              <w:t>y</w:t>
            </w:r>
            <w:r w:rsidRPr="000F5EB4">
              <w:rPr>
                <w:rFonts w:eastAsia="Arial" w:cs="Arial"/>
                <w:color w:val="000000" w:themeColor="text1"/>
                <w:sz w:val="16"/>
                <w:szCs w:val="16"/>
              </w:rPr>
              <w:t xml:space="preserve"> will be </w:t>
            </w:r>
            <w:r w:rsidR="00FB29BC">
              <w:rPr>
                <w:rFonts w:eastAsia="Arial" w:cs="Arial"/>
                <w:color w:val="000000" w:themeColor="text1"/>
                <w:sz w:val="16"/>
                <w:szCs w:val="16"/>
              </w:rPr>
              <w:t xml:space="preserve">potentially </w:t>
            </w:r>
            <w:r w:rsidRPr="000F5EB4">
              <w:rPr>
                <w:rFonts w:eastAsia="Arial" w:cs="Arial"/>
                <w:color w:val="000000" w:themeColor="text1"/>
                <w:sz w:val="16"/>
                <w:szCs w:val="16"/>
              </w:rPr>
              <w:t>subject to localised monitoring</w:t>
            </w:r>
            <w:r w:rsidR="000F5EB4">
              <w:rPr>
                <w:rFonts w:eastAsia="Arial" w:cs="Arial"/>
                <w:color w:val="000000" w:themeColor="text1"/>
                <w:sz w:val="16"/>
                <w:szCs w:val="16"/>
              </w:rPr>
              <w:t xml:space="preserve"> from Defra, NIRAS and </w:t>
            </w:r>
            <w:r w:rsidR="00B978F4">
              <w:rPr>
                <w:rFonts w:eastAsia="Arial" w:cs="Arial"/>
                <w:color w:val="000000" w:themeColor="text1"/>
                <w:sz w:val="16"/>
                <w:szCs w:val="16"/>
              </w:rPr>
              <w:t>external Indep</w:t>
            </w:r>
            <w:r w:rsidR="00FB29BC">
              <w:rPr>
                <w:rFonts w:eastAsia="Arial" w:cs="Arial"/>
                <w:color w:val="000000" w:themeColor="text1"/>
                <w:sz w:val="16"/>
                <w:szCs w:val="16"/>
              </w:rPr>
              <w:t>endent Evaluator</w:t>
            </w:r>
            <w:r w:rsidRPr="000F5EB4">
              <w:rPr>
                <w:rFonts w:eastAsia="Arial" w:cs="Arial"/>
                <w:color w:val="000000" w:themeColor="text1"/>
                <w:sz w:val="16"/>
                <w:szCs w:val="16"/>
              </w:rPr>
              <w:t>.</w:t>
            </w:r>
          </w:p>
        </w:tc>
        <w:tc>
          <w:tcPr>
            <w:tcW w:w="475" w:type="dxa"/>
            <w:shd w:val="clear" w:color="auto" w:fill="FFC000" w:themeFill="accent4"/>
            <w:textDirection w:val="btLr"/>
          </w:tcPr>
          <w:p w14:paraId="1C9F0896" w14:textId="1F93368F" w:rsidR="00AF5E67" w:rsidRDefault="007076E3"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r>
      <w:tr w:rsidR="00D159E3" w14:paraId="5EE25339" w14:textId="77777777" w:rsidTr="4804E42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extDirection w:val="btLr"/>
          </w:tcPr>
          <w:p w14:paraId="7F0B62E8" w14:textId="35A69490" w:rsidR="00D159E3" w:rsidRDefault="00D159E3" w:rsidP="00631F35">
            <w:pPr>
              <w:spacing w:line="276" w:lineRule="auto"/>
              <w:ind w:left="113" w:right="113"/>
              <w:jc w:val="center"/>
              <w:rPr>
                <w:rFonts w:eastAsia="Arial" w:cs="Arial"/>
                <w:b w:val="0"/>
                <w:bCs w:val="0"/>
                <w:color w:val="000000" w:themeColor="text1"/>
                <w:sz w:val="16"/>
                <w:szCs w:val="16"/>
              </w:rPr>
            </w:pPr>
            <w:r>
              <w:rPr>
                <w:rFonts w:eastAsia="Arial" w:cs="Arial"/>
                <w:b w:val="0"/>
                <w:bCs w:val="0"/>
                <w:color w:val="000000" w:themeColor="text1"/>
                <w:sz w:val="16"/>
                <w:szCs w:val="16"/>
              </w:rPr>
              <w:t>Safeguarding</w:t>
            </w:r>
          </w:p>
        </w:tc>
        <w:tc>
          <w:tcPr>
            <w:tcW w:w="2441" w:type="dxa"/>
          </w:tcPr>
          <w:p w14:paraId="72DE5A9F" w14:textId="221D5277" w:rsidR="00D159E3" w:rsidRDefault="00D159E3" w:rsidP="009F1C5A">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D159E3">
              <w:rPr>
                <w:rFonts w:eastAsia="Arial" w:cs="Arial"/>
                <w:color w:val="000000" w:themeColor="text1"/>
                <w:sz w:val="16"/>
                <w:szCs w:val="16"/>
              </w:rPr>
              <w:t xml:space="preserve">Safeguarding issues arise that necessitate a pause, delay or cancellation of the programme. Due to programme/partner staff doing harm or not reporting incidences of sexual exploitation, abuse, harassment or bullying </w:t>
            </w:r>
            <w:r w:rsidR="005312CB">
              <w:rPr>
                <w:rFonts w:eastAsia="Arial" w:cs="Arial"/>
                <w:color w:val="000000" w:themeColor="text1"/>
                <w:sz w:val="16"/>
                <w:szCs w:val="16"/>
              </w:rPr>
              <w:t>may occur, causing irreparable</w:t>
            </w:r>
            <w:r w:rsidR="00626003">
              <w:rPr>
                <w:rFonts w:eastAsia="Arial" w:cs="Arial"/>
                <w:color w:val="000000" w:themeColor="text1"/>
                <w:sz w:val="16"/>
                <w:szCs w:val="16"/>
              </w:rPr>
              <w:t xml:space="preserve"> harm and misalignment with the principles that underpin the programme. This may also result in damage to the UK’s reputation.</w:t>
            </w:r>
          </w:p>
        </w:tc>
        <w:tc>
          <w:tcPr>
            <w:tcW w:w="430" w:type="dxa"/>
            <w:shd w:val="clear" w:color="auto" w:fill="FF0000"/>
            <w:textDirection w:val="btLr"/>
          </w:tcPr>
          <w:p w14:paraId="5747836A" w14:textId="28902106" w:rsidR="00D159E3" w:rsidRDefault="0080012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C000" w:themeFill="accent4"/>
            <w:textDirection w:val="btLr"/>
          </w:tcPr>
          <w:p w14:paraId="6D896ADF" w14:textId="342590DC" w:rsidR="00D159E3" w:rsidRDefault="0080012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4BD5E665" w14:textId="366629C6" w:rsidR="00D159E3" w:rsidRDefault="0080012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67F4946B" w14:textId="31ED7679" w:rsidR="00D159E3" w:rsidRPr="00B64E12" w:rsidRDefault="003246B7" w:rsidP="00B45607">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35200A">
              <w:rPr>
                <w:rFonts w:eastAsia="Arial" w:cs="Arial"/>
                <w:color w:val="000000" w:themeColor="text1"/>
                <w:sz w:val="16"/>
                <w:szCs w:val="16"/>
              </w:rPr>
              <w:t xml:space="preserve">Defra will </w:t>
            </w:r>
            <w:r w:rsidR="00734653" w:rsidRPr="0035200A">
              <w:rPr>
                <w:rFonts w:eastAsia="Arial" w:cs="Arial"/>
                <w:color w:val="000000" w:themeColor="text1"/>
                <w:sz w:val="16"/>
                <w:szCs w:val="16"/>
              </w:rPr>
              <w:t>instruct</w:t>
            </w:r>
            <w:r w:rsidRPr="0035200A">
              <w:rPr>
                <w:rFonts w:eastAsia="Arial" w:cs="Arial"/>
                <w:color w:val="000000" w:themeColor="text1"/>
                <w:sz w:val="16"/>
                <w:szCs w:val="16"/>
              </w:rPr>
              <w:t xml:space="preserve"> NIRAS </w:t>
            </w:r>
            <w:r w:rsidR="00734653" w:rsidRPr="0035200A">
              <w:rPr>
                <w:rFonts w:eastAsia="Arial" w:cs="Arial"/>
                <w:color w:val="000000" w:themeColor="text1"/>
                <w:sz w:val="16"/>
                <w:szCs w:val="16"/>
              </w:rPr>
              <w:t>to</w:t>
            </w:r>
            <w:r w:rsidRPr="0035200A">
              <w:rPr>
                <w:rFonts w:eastAsia="Arial" w:cs="Arial"/>
                <w:color w:val="000000" w:themeColor="text1"/>
                <w:sz w:val="16"/>
                <w:szCs w:val="16"/>
              </w:rPr>
              <w:t xml:space="preserve"> ensure close oversight and due diligence of activities across portfolio will be undertaken. Delivery partners must have a robust safeguarding policy in place or be willing to develop one as part of project award agreement including systems to enable reporting and support whistle-blowers. </w:t>
            </w:r>
            <w:proofErr w:type="gramStart"/>
            <w:r w:rsidR="0089006E" w:rsidRPr="0035200A">
              <w:rPr>
                <w:rFonts w:eastAsia="Arial" w:cs="Arial"/>
                <w:color w:val="000000" w:themeColor="text1"/>
                <w:sz w:val="16"/>
                <w:szCs w:val="16"/>
              </w:rPr>
              <w:t>Defra</w:t>
            </w:r>
            <w:r w:rsidR="00750A09" w:rsidRPr="0035200A">
              <w:rPr>
                <w:rFonts w:eastAsia="Arial" w:cs="Arial"/>
                <w:color w:val="000000" w:themeColor="text1"/>
                <w:sz w:val="16"/>
                <w:szCs w:val="16"/>
              </w:rPr>
              <w:t>,</w:t>
            </w:r>
            <w:proofErr w:type="gramEnd"/>
            <w:r w:rsidR="00734653" w:rsidRPr="0035200A">
              <w:rPr>
                <w:rFonts w:eastAsia="Arial" w:cs="Arial"/>
                <w:color w:val="000000" w:themeColor="text1"/>
                <w:sz w:val="16"/>
                <w:szCs w:val="16"/>
              </w:rPr>
              <w:t xml:space="preserve"> will instruct</w:t>
            </w:r>
            <w:r w:rsidR="005D3BD2" w:rsidRPr="0035200A">
              <w:rPr>
                <w:rFonts w:eastAsia="Arial" w:cs="Arial"/>
                <w:color w:val="000000" w:themeColor="text1"/>
                <w:sz w:val="16"/>
                <w:szCs w:val="16"/>
              </w:rPr>
              <w:t xml:space="preserve"> </w:t>
            </w:r>
            <w:r w:rsidR="00750A09" w:rsidRPr="0035200A">
              <w:rPr>
                <w:rFonts w:eastAsia="Arial" w:cs="Arial"/>
                <w:color w:val="000000" w:themeColor="text1"/>
                <w:sz w:val="16"/>
                <w:szCs w:val="16"/>
              </w:rPr>
              <w:t>NIRAS</w:t>
            </w:r>
            <w:r w:rsidR="00D0459A" w:rsidRPr="0035200A">
              <w:rPr>
                <w:rFonts w:cs="Arial"/>
                <w:color w:val="000000"/>
                <w:sz w:val="16"/>
                <w:szCs w:val="16"/>
                <w:shd w:val="clear" w:color="auto" w:fill="FFFFFF"/>
              </w:rPr>
              <w:t xml:space="preserve"> </w:t>
            </w:r>
            <w:r w:rsidR="00734653" w:rsidRPr="0035200A">
              <w:rPr>
                <w:rFonts w:cs="Arial"/>
                <w:color w:val="000000"/>
                <w:sz w:val="16"/>
                <w:szCs w:val="16"/>
                <w:shd w:val="clear" w:color="auto" w:fill="FFFFFF"/>
              </w:rPr>
              <w:t>to</w:t>
            </w:r>
            <w:r w:rsidR="003817EB" w:rsidRPr="0035200A">
              <w:rPr>
                <w:rFonts w:cs="Arial"/>
                <w:color w:val="000000"/>
                <w:sz w:val="16"/>
                <w:szCs w:val="16"/>
                <w:shd w:val="clear" w:color="auto" w:fill="FFFFFF"/>
              </w:rPr>
              <w:t xml:space="preserve"> ensure </w:t>
            </w:r>
            <w:r w:rsidR="00DB506A" w:rsidRPr="0035200A">
              <w:rPr>
                <w:rFonts w:cs="Arial"/>
                <w:color w:val="000000"/>
                <w:sz w:val="16"/>
                <w:szCs w:val="16"/>
                <w:shd w:val="clear" w:color="auto" w:fill="FFFFFF"/>
              </w:rPr>
              <w:t xml:space="preserve">safeguarding </w:t>
            </w:r>
            <w:r w:rsidR="00812C2F" w:rsidRPr="0035200A">
              <w:rPr>
                <w:rFonts w:cs="Arial"/>
                <w:color w:val="000000"/>
                <w:sz w:val="16"/>
                <w:szCs w:val="16"/>
                <w:shd w:val="clear" w:color="auto" w:fill="FFFFFF"/>
              </w:rPr>
              <w:t>workshops</w:t>
            </w:r>
            <w:r w:rsidR="00DB506A" w:rsidRPr="0035200A">
              <w:rPr>
                <w:rFonts w:cs="Arial"/>
                <w:color w:val="000000"/>
                <w:sz w:val="16"/>
                <w:szCs w:val="16"/>
                <w:shd w:val="clear" w:color="auto" w:fill="FFFFFF"/>
              </w:rPr>
              <w:t>,</w:t>
            </w:r>
            <w:r w:rsidR="003817EB" w:rsidRPr="0035200A">
              <w:rPr>
                <w:rFonts w:cs="Arial"/>
                <w:color w:val="000000"/>
                <w:sz w:val="16"/>
                <w:szCs w:val="16"/>
                <w:shd w:val="clear" w:color="auto" w:fill="FFFFFF"/>
              </w:rPr>
              <w:t xml:space="preserve"> training</w:t>
            </w:r>
            <w:r w:rsidR="00DB506A" w:rsidRPr="0035200A">
              <w:rPr>
                <w:rFonts w:cs="Arial"/>
                <w:color w:val="000000"/>
                <w:sz w:val="16"/>
                <w:szCs w:val="16"/>
                <w:shd w:val="clear" w:color="auto" w:fill="FFFFFF"/>
              </w:rPr>
              <w:t>, support</w:t>
            </w:r>
            <w:r w:rsidR="003817EB" w:rsidRPr="0035200A">
              <w:rPr>
                <w:rFonts w:cs="Arial"/>
                <w:color w:val="000000"/>
                <w:sz w:val="16"/>
                <w:szCs w:val="16"/>
                <w:shd w:val="clear" w:color="auto" w:fill="FFFFFF"/>
              </w:rPr>
              <w:t xml:space="preserve"> and advice</w:t>
            </w:r>
            <w:r w:rsidR="00812C2F" w:rsidRPr="0035200A">
              <w:rPr>
                <w:rFonts w:cs="Arial"/>
                <w:color w:val="000000"/>
                <w:sz w:val="16"/>
                <w:szCs w:val="16"/>
                <w:shd w:val="clear" w:color="auto" w:fill="FFFFFF"/>
              </w:rPr>
              <w:t xml:space="preserve"> </w:t>
            </w:r>
            <w:r w:rsidR="00DB506A" w:rsidRPr="0035200A">
              <w:rPr>
                <w:rFonts w:cs="Arial"/>
                <w:color w:val="000000"/>
                <w:sz w:val="16"/>
                <w:szCs w:val="16"/>
                <w:shd w:val="clear" w:color="auto" w:fill="FFFFFF"/>
              </w:rPr>
              <w:t>are</w:t>
            </w:r>
            <w:r w:rsidR="00812C2F" w:rsidRPr="0035200A">
              <w:rPr>
                <w:rFonts w:cs="Arial"/>
                <w:color w:val="000000"/>
                <w:sz w:val="16"/>
                <w:szCs w:val="16"/>
                <w:shd w:val="clear" w:color="auto" w:fill="FFFFFF"/>
              </w:rPr>
              <w:t xml:space="preserve"> provided</w:t>
            </w:r>
            <w:r w:rsidR="003817EB" w:rsidRPr="0035200A">
              <w:rPr>
                <w:rFonts w:cs="Arial"/>
                <w:color w:val="000000"/>
                <w:sz w:val="16"/>
                <w:szCs w:val="16"/>
                <w:shd w:val="clear" w:color="auto" w:fill="FFFFFF"/>
              </w:rPr>
              <w:t xml:space="preserve"> to applicants and delivery partners</w:t>
            </w:r>
            <w:r w:rsidR="00ED4EAB" w:rsidRPr="0035200A">
              <w:rPr>
                <w:rFonts w:cs="Arial"/>
                <w:color w:val="000000"/>
                <w:sz w:val="16"/>
                <w:szCs w:val="16"/>
                <w:shd w:val="clear" w:color="auto" w:fill="FFFFFF"/>
              </w:rPr>
              <w:t>.</w:t>
            </w:r>
            <w:r w:rsidR="00ED4EAB">
              <w:rPr>
                <w:rFonts w:cs="Arial"/>
                <w:color w:val="000000"/>
                <w:sz w:val="16"/>
                <w:szCs w:val="16"/>
                <w:shd w:val="clear" w:color="auto" w:fill="FFFFFF"/>
              </w:rPr>
              <w:t xml:space="preserve"> </w:t>
            </w:r>
          </w:p>
        </w:tc>
        <w:tc>
          <w:tcPr>
            <w:tcW w:w="475" w:type="dxa"/>
            <w:shd w:val="clear" w:color="auto" w:fill="FFC000" w:themeFill="accent4"/>
            <w:textDirection w:val="btLr"/>
          </w:tcPr>
          <w:p w14:paraId="2CEEC402" w14:textId="5350B6D1" w:rsidR="00D159E3" w:rsidRDefault="004F34B4"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r>
      <w:tr w:rsidR="00B925DC" w14:paraId="31875542" w14:textId="77777777" w:rsidTr="4804E424">
        <w:trPr>
          <w:cantSplit/>
          <w:trHeight w:val="1018"/>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0CA60D9E" w14:textId="40905277" w:rsidR="00B925DC" w:rsidRPr="00D927F1" w:rsidRDefault="00B925DC" w:rsidP="00631F35">
            <w:pPr>
              <w:spacing w:line="276" w:lineRule="auto"/>
              <w:ind w:left="113" w:right="113"/>
              <w:jc w:val="center"/>
              <w:rPr>
                <w:rFonts w:eastAsia="Arial" w:cs="Arial"/>
                <w:color w:val="000000" w:themeColor="text1"/>
                <w:sz w:val="16"/>
                <w:szCs w:val="16"/>
              </w:rPr>
            </w:pPr>
            <w:r>
              <w:rPr>
                <w:rFonts w:eastAsia="Arial" w:cs="Arial"/>
                <w:color w:val="000000" w:themeColor="text1"/>
                <w:sz w:val="16"/>
                <w:szCs w:val="16"/>
              </w:rPr>
              <w:t>Reputational</w:t>
            </w:r>
          </w:p>
        </w:tc>
        <w:tc>
          <w:tcPr>
            <w:tcW w:w="2441" w:type="dxa"/>
          </w:tcPr>
          <w:p w14:paraId="75506E43" w14:textId="73560659" w:rsidR="00B925DC" w:rsidRPr="00D927F1" w:rsidRDefault="00B925DC" w:rsidP="009F1C5A">
            <w:pPr>
              <w:spacing w:line="276"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T</w:t>
            </w:r>
            <w:r w:rsidRPr="009F1C5A">
              <w:rPr>
                <w:rFonts w:eastAsia="Arial" w:cs="Arial"/>
                <w:color w:val="000000" w:themeColor="text1"/>
                <w:sz w:val="16"/>
                <w:szCs w:val="16"/>
              </w:rPr>
              <w:t>he reputation of Defra/HMG is brought into disrepute and the programme causes harm.</w:t>
            </w:r>
            <w:r>
              <w:rPr>
                <w:rFonts w:eastAsia="Arial" w:cs="Arial"/>
                <w:color w:val="000000" w:themeColor="text1"/>
                <w:sz w:val="16"/>
                <w:szCs w:val="16"/>
              </w:rPr>
              <w:t xml:space="preserve"> Due to</w:t>
            </w:r>
            <w:r w:rsidRPr="009F1C5A">
              <w:rPr>
                <w:rFonts w:eastAsia="Arial" w:cs="Arial"/>
                <w:color w:val="000000" w:themeColor="text1"/>
                <w:sz w:val="16"/>
                <w:szCs w:val="16"/>
              </w:rPr>
              <w:t xml:space="preserve"> Insufficient due diligence checks, monitoring and reporting, resulting in interventions of local delivery partners going wrong and remaining undetected, causing harm, or delivery partners act in a way which might result in reputational harm to HMG. </w:t>
            </w:r>
          </w:p>
        </w:tc>
        <w:tc>
          <w:tcPr>
            <w:tcW w:w="430" w:type="dxa"/>
            <w:shd w:val="clear" w:color="auto" w:fill="FF0000"/>
            <w:textDirection w:val="btLr"/>
          </w:tcPr>
          <w:p w14:paraId="19B4DEFA" w14:textId="434AD555" w:rsidR="00B925DC" w:rsidRDefault="00B925DC"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29" w:type="dxa"/>
            <w:shd w:val="clear" w:color="auto" w:fill="FFC000" w:themeFill="accent4"/>
            <w:textDirection w:val="btLr"/>
          </w:tcPr>
          <w:p w14:paraId="557AED63" w14:textId="0B178527" w:rsidR="00B925DC" w:rsidRDefault="00B925DC"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0000"/>
            <w:textDirection w:val="btLr"/>
          </w:tcPr>
          <w:p w14:paraId="29A2FC7F" w14:textId="7317072B" w:rsidR="00B925DC" w:rsidRPr="00D927F1" w:rsidRDefault="00B925DC"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High</w:t>
            </w:r>
          </w:p>
        </w:tc>
        <w:tc>
          <w:tcPr>
            <w:tcW w:w="4112" w:type="dxa"/>
          </w:tcPr>
          <w:p w14:paraId="563C019A" w14:textId="10458325" w:rsidR="00B925DC" w:rsidRPr="00B64E12" w:rsidRDefault="00734653" w:rsidP="00B45607">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w:t>
            </w:r>
            <w:r w:rsidR="00B925DC" w:rsidRPr="00B64E12">
              <w:rPr>
                <w:rFonts w:eastAsia="Arial" w:cs="Arial"/>
                <w:color w:val="000000" w:themeColor="text1"/>
                <w:sz w:val="16"/>
                <w:szCs w:val="16"/>
              </w:rPr>
              <w:t xml:space="preserve"> will ensure all delivery partners are competitively selected against rigorous due diligence technical and financial criteria.</w:t>
            </w:r>
            <w:r w:rsidR="00B925DC">
              <w:rPr>
                <w:rFonts w:eastAsia="Arial" w:cs="Arial"/>
                <w:color w:val="000000" w:themeColor="text1"/>
                <w:sz w:val="16"/>
                <w:szCs w:val="16"/>
              </w:rPr>
              <w:t xml:space="preserve"> </w:t>
            </w:r>
            <w:r w:rsidR="00B925DC" w:rsidRPr="00B64E12">
              <w:rPr>
                <w:rFonts w:eastAsia="Arial" w:cs="Arial"/>
                <w:color w:val="000000" w:themeColor="text1"/>
                <w:sz w:val="16"/>
                <w:szCs w:val="16"/>
              </w:rPr>
              <w:t>Expert Committee will undertake independent assessments to ensure projects meet delivery, quality and strategic objectives.</w:t>
            </w:r>
            <w:r w:rsidR="00B925DC">
              <w:rPr>
                <w:rFonts w:eastAsia="Arial" w:cs="Arial"/>
                <w:color w:val="000000" w:themeColor="text1"/>
                <w:sz w:val="16"/>
                <w:szCs w:val="16"/>
              </w:rPr>
              <w:t xml:space="preserve"> </w:t>
            </w:r>
            <w:r w:rsidR="00B925DC" w:rsidRPr="00BC0C63">
              <w:rPr>
                <w:rFonts w:eastAsia="Arial" w:cs="Arial"/>
                <w:color w:val="000000" w:themeColor="text1"/>
                <w:sz w:val="16"/>
                <w:szCs w:val="16"/>
              </w:rPr>
              <w:t xml:space="preserve">Defra will seek input from HMG Posts to review project applications in their host country that have been shortlisted and recommended for funding by Expert Committee. </w:t>
            </w:r>
            <w:r w:rsidR="00B925DC" w:rsidRPr="00B64E12">
              <w:rPr>
                <w:rFonts w:eastAsia="Arial" w:cs="Arial"/>
                <w:color w:val="000000" w:themeColor="text1"/>
                <w:sz w:val="16"/>
                <w:szCs w:val="16"/>
              </w:rPr>
              <w:t xml:space="preserve">Defra's </w:t>
            </w:r>
            <w:r w:rsidR="00B925DC">
              <w:rPr>
                <w:rFonts w:eastAsia="Arial" w:cs="Arial"/>
                <w:color w:val="000000" w:themeColor="text1"/>
                <w:sz w:val="16"/>
                <w:szCs w:val="16"/>
              </w:rPr>
              <w:t>OCEAN Programme</w:t>
            </w:r>
            <w:r w:rsidR="00B925DC" w:rsidRPr="00B64E12">
              <w:rPr>
                <w:rFonts w:eastAsia="Arial" w:cs="Arial"/>
                <w:color w:val="000000" w:themeColor="text1"/>
                <w:sz w:val="16"/>
                <w:szCs w:val="16"/>
              </w:rPr>
              <w:t xml:space="preserve"> Board will review and make final decision</w:t>
            </w:r>
            <w:r w:rsidR="00B925DC">
              <w:rPr>
                <w:rFonts w:eastAsia="Arial" w:cs="Arial"/>
                <w:color w:val="000000" w:themeColor="text1"/>
                <w:sz w:val="16"/>
                <w:szCs w:val="16"/>
              </w:rPr>
              <w:t xml:space="preserve"> for funding approvals</w:t>
            </w:r>
            <w:r w:rsidR="00B925DC" w:rsidRPr="00B64E12">
              <w:rPr>
                <w:rFonts w:eastAsia="Arial" w:cs="Arial"/>
                <w:color w:val="000000" w:themeColor="text1"/>
                <w:sz w:val="16"/>
                <w:szCs w:val="16"/>
              </w:rPr>
              <w:t xml:space="preserve"> based on</w:t>
            </w:r>
            <w:r w:rsidR="00B925DC">
              <w:rPr>
                <w:rFonts w:eastAsia="Arial" w:cs="Arial"/>
                <w:color w:val="000000" w:themeColor="text1"/>
                <w:sz w:val="16"/>
                <w:szCs w:val="16"/>
              </w:rPr>
              <w:t xml:space="preserve"> evidence provided by</w:t>
            </w:r>
            <w:r w:rsidR="00B925DC" w:rsidRPr="00B64E12">
              <w:rPr>
                <w:rFonts w:eastAsia="Arial" w:cs="Arial"/>
                <w:color w:val="000000" w:themeColor="text1"/>
                <w:sz w:val="16"/>
                <w:szCs w:val="16"/>
              </w:rPr>
              <w:t xml:space="preserve"> expert committee </w:t>
            </w:r>
            <w:r w:rsidR="00B925DC">
              <w:rPr>
                <w:rFonts w:eastAsia="Arial" w:cs="Arial"/>
                <w:color w:val="000000" w:themeColor="text1"/>
                <w:sz w:val="16"/>
                <w:szCs w:val="16"/>
              </w:rPr>
              <w:t>and HMG Post</w:t>
            </w:r>
            <w:r w:rsidR="00B925DC" w:rsidRPr="00B64E12">
              <w:rPr>
                <w:rFonts w:eastAsia="Arial" w:cs="Arial"/>
                <w:color w:val="000000" w:themeColor="text1"/>
                <w:sz w:val="16"/>
                <w:szCs w:val="16"/>
              </w:rPr>
              <w:t xml:space="preserve">. </w:t>
            </w:r>
          </w:p>
          <w:p w14:paraId="6CBD6D39" w14:textId="571664C9" w:rsidR="00B925DC" w:rsidRPr="00D927F1" w:rsidRDefault="00B925DC" w:rsidP="00B45607">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sidRPr="00B64E12">
              <w:rPr>
                <w:rFonts w:eastAsia="Arial" w:cs="Arial"/>
                <w:color w:val="000000" w:themeColor="text1"/>
                <w:sz w:val="16"/>
                <w:szCs w:val="16"/>
              </w:rPr>
              <w:t>4)NIRAS will conduct reporting frameworks, due diligence and spot checks.</w:t>
            </w:r>
          </w:p>
        </w:tc>
        <w:tc>
          <w:tcPr>
            <w:tcW w:w="475" w:type="dxa"/>
            <w:shd w:val="clear" w:color="auto" w:fill="00B050"/>
            <w:textDirection w:val="btLr"/>
          </w:tcPr>
          <w:p w14:paraId="3A1422C9" w14:textId="7A18DD29" w:rsidR="00B925DC" w:rsidRPr="00D927F1" w:rsidRDefault="00B925DC" w:rsidP="000A3094">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Low</w:t>
            </w:r>
          </w:p>
        </w:tc>
      </w:tr>
      <w:tr w:rsidR="00B925DC" w14:paraId="52CD97AF" w14:textId="77777777" w:rsidTr="4804E424">
        <w:trPr>
          <w:cnfStyle w:val="000000100000" w:firstRow="0" w:lastRow="0" w:firstColumn="0" w:lastColumn="0" w:oddVBand="0" w:evenVBand="0" w:oddHBand="1" w:evenHBand="0" w:firstRowFirstColumn="0" w:firstRowLastColumn="0" w:lastRowFirstColumn="0" w:lastRowLastColumn="0"/>
          <w:cantSplit/>
          <w:trHeight w:val="1189"/>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5B440507" w14:textId="22A52C70" w:rsidR="00B925DC" w:rsidRPr="00D927F1" w:rsidRDefault="00B925DC" w:rsidP="00631F35">
            <w:pPr>
              <w:spacing w:line="276" w:lineRule="auto"/>
              <w:ind w:left="113" w:right="113"/>
              <w:jc w:val="center"/>
              <w:rPr>
                <w:rFonts w:eastAsia="Arial" w:cs="Arial"/>
                <w:color w:val="000000" w:themeColor="text1"/>
                <w:sz w:val="16"/>
                <w:szCs w:val="16"/>
              </w:rPr>
            </w:pPr>
          </w:p>
        </w:tc>
        <w:tc>
          <w:tcPr>
            <w:tcW w:w="2441" w:type="dxa"/>
          </w:tcPr>
          <w:p w14:paraId="2FDE8F75" w14:textId="3C482DA5" w:rsidR="00B925DC" w:rsidRPr="00D927F1" w:rsidRDefault="00B925DC" w:rsidP="00B45607">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P</w:t>
            </w:r>
            <w:r w:rsidRPr="00B925DC">
              <w:rPr>
                <w:rFonts w:eastAsia="Arial" w:cs="Arial"/>
                <w:color w:val="000000" w:themeColor="text1"/>
                <w:sz w:val="16"/>
                <w:szCs w:val="16"/>
              </w:rPr>
              <w:t>roject’s funds become misappropriated and used in other ways</w:t>
            </w:r>
            <w:r>
              <w:rPr>
                <w:rFonts w:eastAsia="Arial" w:cs="Arial"/>
                <w:color w:val="000000" w:themeColor="text1"/>
                <w:sz w:val="16"/>
                <w:szCs w:val="16"/>
              </w:rPr>
              <w:t xml:space="preserve">. Due to </w:t>
            </w:r>
            <w:r w:rsidRPr="00B925DC">
              <w:rPr>
                <w:rFonts w:eastAsia="Arial" w:cs="Arial"/>
                <w:color w:val="000000" w:themeColor="text1"/>
                <w:sz w:val="16"/>
                <w:szCs w:val="16"/>
              </w:rPr>
              <w:t>insufficient due diligence checks allowing a higher possibility of fraudulent applications which might result in reputation damage to HMG/Defra and less funding available for genuine projects.</w:t>
            </w:r>
          </w:p>
        </w:tc>
        <w:tc>
          <w:tcPr>
            <w:tcW w:w="430" w:type="dxa"/>
            <w:shd w:val="clear" w:color="auto" w:fill="FFC000" w:themeFill="accent4"/>
            <w:textDirection w:val="btLr"/>
          </w:tcPr>
          <w:p w14:paraId="5F2D3206" w14:textId="4070264E" w:rsidR="00B925DC" w:rsidRPr="00D927F1" w:rsidRDefault="00B925D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C000" w:themeFill="accent4"/>
            <w:textDirection w:val="btLr"/>
          </w:tcPr>
          <w:p w14:paraId="5F349E26" w14:textId="0A674B97" w:rsidR="00B925DC" w:rsidRPr="00D927F1" w:rsidRDefault="00B925D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29" w:type="dxa"/>
            <w:shd w:val="clear" w:color="auto" w:fill="FFC000" w:themeFill="accent4"/>
            <w:textDirection w:val="btLr"/>
          </w:tcPr>
          <w:p w14:paraId="0832441D" w14:textId="52701760" w:rsidR="00B925DC" w:rsidRPr="00D927F1" w:rsidRDefault="00B925D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c>
          <w:tcPr>
            <w:tcW w:w="4112" w:type="dxa"/>
          </w:tcPr>
          <w:p w14:paraId="0FFD9EF4" w14:textId="24369E42" w:rsidR="001C5F0C" w:rsidRPr="001C5F0C" w:rsidRDefault="00734653" w:rsidP="00B45607">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Defra</w:t>
            </w:r>
            <w:r w:rsidR="001C5F0C" w:rsidRPr="001C5F0C">
              <w:rPr>
                <w:rFonts w:eastAsia="Arial" w:cs="Arial"/>
                <w:color w:val="000000" w:themeColor="text1"/>
                <w:sz w:val="16"/>
                <w:szCs w:val="16"/>
              </w:rPr>
              <w:t xml:space="preserve"> will manage and mitigate financial risk associated with the delivery partners, through enhanced due diligence, spot checks, reporting frameworks, audits and checks conducted prior to grant instalments being transferred.</w:t>
            </w:r>
          </w:p>
          <w:p w14:paraId="0FC7B762" w14:textId="5AF3733E" w:rsidR="001C5F0C" w:rsidRPr="001C5F0C" w:rsidRDefault="001C5F0C" w:rsidP="00B45607">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1C5F0C">
              <w:rPr>
                <w:rFonts w:eastAsia="Arial" w:cs="Arial"/>
                <w:color w:val="000000" w:themeColor="text1"/>
                <w:sz w:val="16"/>
                <w:szCs w:val="16"/>
              </w:rPr>
              <w:t xml:space="preserve">A full fraud risk assessment has been completed, with input from the Defra Counter Fraud Team, to put in place </w:t>
            </w:r>
            <w:proofErr w:type="gramStart"/>
            <w:r w:rsidRPr="001C5F0C">
              <w:rPr>
                <w:rFonts w:eastAsia="Arial" w:cs="Arial"/>
                <w:color w:val="000000" w:themeColor="text1"/>
                <w:sz w:val="16"/>
                <w:szCs w:val="16"/>
              </w:rPr>
              <w:t>a number of</w:t>
            </w:r>
            <w:proofErr w:type="gramEnd"/>
            <w:r w:rsidRPr="001C5F0C">
              <w:rPr>
                <w:rFonts w:eastAsia="Arial" w:cs="Arial"/>
                <w:color w:val="000000" w:themeColor="text1"/>
                <w:sz w:val="16"/>
                <w:szCs w:val="16"/>
              </w:rPr>
              <w:t xml:space="preserve"> specific actions and processes to reduce the chance of fraud taking place, and the funds being misappropriated.</w:t>
            </w:r>
          </w:p>
          <w:p w14:paraId="0B6BC064" w14:textId="6986D8D7" w:rsidR="00B925DC" w:rsidRPr="00D927F1" w:rsidRDefault="001C5F0C" w:rsidP="00B45607">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sidRPr="001C5F0C">
              <w:rPr>
                <w:rFonts w:eastAsia="Arial" w:cs="Arial"/>
                <w:color w:val="000000" w:themeColor="text1"/>
                <w:sz w:val="16"/>
                <w:szCs w:val="16"/>
              </w:rPr>
              <w:t>Funding will be disbursed in stages via NIRAS, which will allow monitoring and the ability to halt expenditure if necessary, reducing the potential for funds to be misused.</w:t>
            </w:r>
          </w:p>
        </w:tc>
        <w:tc>
          <w:tcPr>
            <w:tcW w:w="475" w:type="dxa"/>
            <w:shd w:val="clear" w:color="auto" w:fill="FFC000" w:themeFill="accent4"/>
            <w:textDirection w:val="btLr"/>
          </w:tcPr>
          <w:p w14:paraId="3FC0641E" w14:textId="421B9AB3" w:rsidR="00B925DC" w:rsidRPr="00D927F1" w:rsidRDefault="001C5F0C" w:rsidP="000A3094">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6"/>
                <w:szCs w:val="16"/>
              </w:rPr>
            </w:pPr>
            <w:r>
              <w:rPr>
                <w:rFonts w:eastAsia="Arial" w:cs="Arial"/>
                <w:color w:val="000000" w:themeColor="text1"/>
                <w:sz w:val="16"/>
                <w:szCs w:val="16"/>
              </w:rPr>
              <w:t>Medium</w:t>
            </w:r>
          </w:p>
        </w:tc>
      </w:tr>
    </w:tbl>
    <w:p w14:paraId="31C3DA52" w14:textId="77777777" w:rsidR="0078644B" w:rsidRDefault="0078644B" w:rsidP="00774BCE">
      <w:pPr>
        <w:spacing w:before="40" w:after="160" w:line="276" w:lineRule="auto"/>
        <w:jc w:val="both"/>
        <w:rPr>
          <w:rFonts w:cs="Arial"/>
          <w:sz w:val="20"/>
        </w:rPr>
      </w:pPr>
    </w:p>
    <w:p w14:paraId="358DE997" w14:textId="3921F249" w:rsidR="005D2B23" w:rsidRPr="00821E18" w:rsidRDefault="00DE6157" w:rsidP="00F02418">
      <w:pPr>
        <w:spacing w:before="40" w:after="160" w:line="276" w:lineRule="auto"/>
        <w:jc w:val="both"/>
        <w:rPr>
          <w:rFonts w:cs="Arial"/>
          <w:sz w:val="20"/>
        </w:rPr>
      </w:pPr>
      <w:r>
        <w:rPr>
          <w:rFonts w:cs="Arial"/>
          <w:b/>
          <w:bCs/>
          <w:sz w:val="20"/>
        </w:rPr>
        <w:lastRenderedPageBreak/>
        <w:t>Detection of f</w:t>
      </w:r>
      <w:r w:rsidR="005D2B23">
        <w:rPr>
          <w:rFonts w:cs="Arial"/>
          <w:b/>
          <w:bCs/>
          <w:sz w:val="20"/>
        </w:rPr>
        <w:t>raud</w:t>
      </w:r>
      <w:r w:rsidR="00727887">
        <w:rPr>
          <w:rFonts w:cs="Arial"/>
          <w:b/>
          <w:bCs/>
          <w:sz w:val="20"/>
        </w:rPr>
        <w:t>ulent applications</w:t>
      </w:r>
      <w:r w:rsidR="005D2B23">
        <w:rPr>
          <w:rFonts w:cs="Arial"/>
          <w:b/>
          <w:bCs/>
          <w:sz w:val="20"/>
        </w:rPr>
        <w:t>:</w:t>
      </w:r>
      <w:r w:rsidR="00821E18">
        <w:rPr>
          <w:rFonts w:cs="Arial"/>
          <w:b/>
          <w:bCs/>
          <w:sz w:val="20"/>
        </w:rPr>
        <w:t xml:space="preserve"> </w:t>
      </w:r>
      <w:r w:rsidR="00821E18" w:rsidRPr="00BB31FD">
        <w:rPr>
          <w:rFonts w:cs="Arial"/>
          <w:b/>
          <w:bCs/>
          <w:i/>
          <w:iCs/>
          <w:sz w:val="20"/>
        </w:rPr>
        <w:t>Medium</w:t>
      </w:r>
      <w:r w:rsidR="00F50C96" w:rsidRPr="00BB31FD">
        <w:rPr>
          <w:rFonts w:cs="Arial"/>
          <w:b/>
          <w:bCs/>
          <w:i/>
          <w:iCs/>
          <w:sz w:val="20"/>
        </w:rPr>
        <w:t>.</w:t>
      </w:r>
      <w:r w:rsidR="00727887" w:rsidRPr="00BB31FD">
        <w:rPr>
          <w:rFonts w:cs="Arial"/>
          <w:b/>
          <w:bCs/>
          <w:i/>
          <w:iCs/>
          <w:sz w:val="20"/>
        </w:rPr>
        <w:t xml:space="preserve"> </w:t>
      </w:r>
      <w:r w:rsidR="002D31FB" w:rsidRPr="00821E18">
        <w:rPr>
          <w:rFonts w:cs="Arial"/>
          <w:sz w:val="20"/>
        </w:rPr>
        <w:t>During</w:t>
      </w:r>
      <w:r w:rsidR="007E2D9C">
        <w:rPr>
          <w:rFonts w:cs="Arial"/>
          <w:sz w:val="20"/>
        </w:rPr>
        <w:t xml:space="preserve"> </w:t>
      </w:r>
      <w:r w:rsidR="002D31FB" w:rsidRPr="00821E18">
        <w:rPr>
          <w:rFonts w:cs="Arial"/>
          <w:sz w:val="20"/>
        </w:rPr>
        <w:t>due diligence</w:t>
      </w:r>
      <w:r w:rsidR="001F3159">
        <w:rPr>
          <w:rFonts w:cs="Arial"/>
          <w:sz w:val="20"/>
        </w:rPr>
        <w:t xml:space="preserve"> checks </w:t>
      </w:r>
      <w:r w:rsidR="00F50C96">
        <w:rPr>
          <w:rFonts w:cs="Arial"/>
          <w:sz w:val="20"/>
        </w:rPr>
        <w:t>carried out</w:t>
      </w:r>
      <w:r w:rsidR="001F3159">
        <w:rPr>
          <w:rFonts w:cs="Arial"/>
          <w:sz w:val="20"/>
        </w:rPr>
        <w:t xml:space="preserve"> by the GA</w:t>
      </w:r>
      <w:r w:rsidR="002D31FB" w:rsidRPr="00821E18">
        <w:rPr>
          <w:rFonts w:cs="Arial"/>
          <w:sz w:val="20"/>
        </w:rPr>
        <w:t xml:space="preserve"> </w:t>
      </w:r>
      <w:r w:rsidR="00821E18" w:rsidRPr="00821E18">
        <w:rPr>
          <w:rFonts w:cs="Arial"/>
          <w:sz w:val="20"/>
        </w:rPr>
        <w:t xml:space="preserve">for </w:t>
      </w:r>
      <w:r w:rsidR="007E2D9C">
        <w:rPr>
          <w:rFonts w:cs="Arial"/>
          <w:sz w:val="20"/>
        </w:rPr>
        <w:t xml:space="preserve">sifted </w:t>
      </w:r>
      <w:r w:rsidR="00821E18" w:rsidRPr="00821E18">
        <w:rPr>
          <w:rFonts w:cs="Arial"/>
          <w:sz w:val="20"/>
        </w:rPr>
        <w:t>Round 1</w:t>
      </w:r>
      <w:r w:rsidR="002661B8">
        <w:rPr>
          <w:rFonts w:cs="Arial"/>
          <w:sz w:val="20"/>
        </w:rPr>
        <w:t xml:space="preserve"> applications</w:t>
      </w:r>
      <w:r w:rsidR="00F63DE8">
        <w:rPr>
          <w:rFonts w:cs="Arial"/>
          <w:sz w:val="20"/>
        </w:rPr>
        <w:t xml:space="preserve">, </w:t>
      </w:r>
      <w:r w:rsidR="00A33A9B">
        <w:rPr>
          <w:rFonts w:cs="Arial"/>
          <w:sz w:val="20"/>
        </w:rPr>
        <w:t>two were</w:t>
      </w:r>
      <w:r w:rsidR="00433155">
        <w:rPr>
          <w:rFonts w:cs="Arial"/>
          <w:sz w:val="20"/>
        </w:rPr>
        <w:t xml:space="preserve"> </w:t>
      </w:r>
      <w:r w:rsidR="008536EA">
        <w:rPr>
          <w:rFonts w:cs="Arial"/>
          <w:sz w:val="20"/>
        </w:rPr>
        <w:t>found to be</w:t>
      </w:r>
      <w:r w:rsidR="00AA38A0">
        <w:rPr>
          <w:rFonts w:cs="Arial"/>
          <w:sz w:val="20"/>
        </w:rPr>
        <w:t xml:space="preserve"> fraudulent</w:t>
      </w:r>
      <w:r w:rsidR="00FF129A">
        <w:rPr>
          <w:rFonts w:cs="Arial"/>
          <w:sz w:val="20"/>
        </w:rPr>
        <w:t xml:space="preserve">. </w:t>
      </w:r>
      <w:proofErr w:type="gramStart"/>
      <w:r w:rsidR="00FF129A">
        <w:rPr>
          <w:rFonts w:cs="Arial"/>
          <w:sz w:val="20"/>
        </w:rPr>
        <w:t>A</w:t>
      </w:r>
      <w:r w:rsidR="00950184">
        <w:rPr>
          <w:rFonts w:cs="Arial"/>
          <w:sz w:val="20"/>
        </w:rPr>
        <w:t xml:space="preserve"> number of</w:t>
      </w:r>
      <w:proofErr w:type="gramEnd"/>
      <w:r w:rsidR="00950184">
        <w:rPr>
          <w:rFonts w:cs="Arial"/>
          <w:sz w:val="20"/>
        </w:rPr>
        <w:t xml:space="preserve"> concerns </w:t>
      </w:r>
      <w:r w:rsidR="00FF129A">
        <w:rPr>
          <w:rFonts w:cs="Arial"/>
          <w:sz w:val="20"/>
        </w:rPr>
        <w:t>were identified</w:t>
      </w:r>
      <w:r w:rsidR="00BC548E">
        <w:rPr>
          <w:rFonts w:cs="Arial"/>
          <w:sz w:val="20"/>
        </w:rPr>
        <w:t xml:space="preserve"> </w:t>
      </w:r>
      <w:r w:rsidR="00950184">
        <w:rPr>
          <w:rFonts w:cs="Arial"/>
          <w:sz w:val="20"/>
        </w:rPr>
        <w:t>regarding project</w:t>
      </w:r>
      <w:r w:rsidR="001F3159">
        <w:rPr>
          <w:rFonts w:cs="Arial"/>
          <w:sz w:val="20"/>
        </w:rPr>
        <w:t xml:space="preserve"> application</w:t>
      </w:r>
      <w:r w:rsidR="00950184">
        <w:rPr>
          <w:rFonts w:cs="Arial"/>
          <w:sz w:val="20"/>
        </w:rPr>
        <w:t xml:space="preserve"> </w:t>
      </w:r>
      <w:r w:rsidR="00FF129A">
        <w:rPr>
          <w:rFonts w:cs="Arial"/>
          <w:sz w:val="20"/>
        </w:rPr>
        <w:t xml:space="preserve">details </w:t>
      </w:r>
      <w:r w:rsidR="00950184">
        <w:rPr>
          <w:rFonts w:cs="Arial"/>
          <w:sz w:val="20"/>
        </w:rPr>
        <w:t>and legitimacy of the lead organisation</w:t>
      </w:r>
      <w:r w:rsidR="00FF129A">
        <w:rPr>
          <w:rFonts w:cs="Arial"/>
          <w:sz w:val="20"/>
        </w:rPr>
        <w:t xml:space="preserve">. These projects were </w:t>
      </w:r>
      <w:r w:rsidR="00BC548E">
        <w:rPr>
          <w:rFonts w:cs="Arial"/>
          <w:sz w:val="20"/>
        </w:rPr>
        <w:t>rejected</w:t>
      </w:r>
      <w:r w:rsidR="00FF129A">
        <w:rPr>
          <w:rFonts w:cs="Arial"/>
          <w:sz w:val="20"/>
        </w:rPr>
        <w:t>.</w:t>
      </w:r>
    </w:p>
    <w:p w14:paraId="3B503098" w14:textId="65347280" w:rsidR="00371AE3" w:rsidRDefault="00F02418" w:rsidP="00F02418">
      <w:pPr>
        <w:spacing w:before="40" w:after="160" w:line="276" w:lineRule="auto"/>
        <w:jc w:val="both"/>
        <w:rPr>
          <w:rFonts w:cs="Arial"/>
          <w:sz w:val="20"/>
          <w:szCs w:val="20"/>
        </w:rPr>
      </w:pPr>
      <w:r w:rsidRPr="4E3E7311">
        <w:rPr>
          <w:rFonts w:cs="Arial"/>
          <w:b/>
          <w:bCs/>
          <w:sz w:val="20"/>
          <w:szCs w:val="20"/>
        </w:rPr>
        <w:t>G</w:t>
      </w:r>
      <w:r w:rsidR="006B2BE4" w:rsidRPr="4E3E7311">
        <w:rPr>
          <w:rFonts w:cs="Arial"/>
          <w:b/>
          <w:bCs/>
          <w:sz w:val="20"/>
          <w:szCs w:val="20"/>
        </w:rPr>
        <w:t>ESI</w:t>
      </w:r>
      <w:r w:rsidR="00FD3B7C" w:rsidRPr="4E3E7311">
        <w:rPr>
          <w:rFonts w:cs="Arial"/>
          <w:b/>
          <w:bCs/>
          <w:i/>
          <w:iCs/>
          <w:sz w:val="20"/>
          <w:szCs w:val="20"/>
        </w:rPr>
        <w:t>: Medium</w:t>
      </w:r>
      <w:r w:rsidR="00BA4BF1" w:rsidRPr="4E3E7311">
        <w:rPr>
          <w:rFonts w:cs="Arial"/>
          <w:b/>
          <w:bCs/>
          <w:i/>
          <w:iCs/>
          <w:sz w:val="20"/>
          <w:szCs w:val="20"/>
        </w:rPr>
        <w:t>/Low</w:t>
      </w:r>
      <w:r w:rsidR="00FD3B7C" w:rsidRPr="4E3E7311">
        <w:rPr>
          <w:rFonts w:cs="Arial"/>
          <w:b/>
          <w:bCs/>
          <w:sz w:val="20"/>
          <w:szCs w:val="20"/>
        </w:rPr>
        <w:t xml:space="preserve">. </w:t>
      </w:r>
      <w:r w:rsidR="005D1AEA" w:rsidRPr="284C00DD">
        <w:rPr>
          <w:rFonts w:cs="Arial"/>
          <w:sz w:val="20"/>
          <w:szCs w:val="20"/>
        </w:rPr>
        <w:t>OCEAN’s ambition and commitment is to embed GESI across all elements of the programme.</w:t>
      </w:r>
      <w:r w:rsidR="002D5974" w:rsidRPr="284C00DD">
        <w:rPr>
          <w:rFonts w:cs="Arial"/>
          <w:sz w:val="20"/>
          <w:szCs w:val="20"/>
        </w:rPr>
        <w:t xml:space="preserve"> OCEAN has committed to being at minimum GESI sensitive</w:t>
      </w:r>
      <w:r w:rsidR="00877DCB" w:rsidRPr="284C00DD">
        <w:rPr>
          <w:rFonts w:cs="Arial"/>
          <w:sz w:val="20"/>
          <w:szCs w:val="20"/>
        </w:rPr>
        <w:t xml:space="preserve"> with</w:t>
      </w:r>
      <w:r w:rsidR="002D5974" w:rsidRPr="284C00DD">
        <w:rPr>
          <w:rFonts w:cs="Arial"/>
          <w:sz w:val="20"/>
          <w:szCs w:val="20"/>
        </w:rPr>
        <w:t xml:space="preserve"> ambition to be GESI transformative.</w:t>
      </w:r>
      <w:r w:rsidR="00371AE3" w:rsidRPr="284C00DD">
        <w:rPr>
          <w:rFonts w:cs="Arial"/>
          <w:sz w:val="20"/>
          <w:szCs w:val="20"/>
        </w:rPr>
        <w:t xml:space="preserve"> OCEAN has included GESI in its theory of change and </w:t>
      </w:r>
      <w:proofErr w:type="spellStart"/>
      <w:r w:rsidR="00371AE3" w:rsidRPr="284C00DD">
        <w:rPr>
          <w:rFonts w:cs="Arial"/>
          <w:sz w:val="20"/>
          <w:szCs w:val="20"/>
        </w:rPr>
        <w:t>logframe</w:t>
      </w:r>
      <w:proofErr w:type="spellEnd"/>
      <w:r w:rsidR="00371AE3" w:rsidRPr="284C00DD">
        <w:rPr>
          <w:rFonts w:cs="Arial"/>
          <w:sz w:val="20"/>
          <w:szCs w:val="20"/>
        </w:rPr>
        <w:t xml:space="preserve"> to ensure accountability </w:t>
      </w:r>
      <w:r w:rsidR="008017ED" w:rsidRPr="284C00DD">
        <w:rPr>
          <w:rFonts w:cs="Arial"/>
          <w:sz w:val="20"/>
          <w:szCs w:val="20"/>
        </w:rPr>
        <w:t xml:space="preserve">and applicants are </w:t>
      </w:r>
      <w:r w:rsidR="007A5F88">
        <w:rPr>
          <w:rFonts w:cs="Arial"/>
          <w:sz w:val="20"/>
          <w:szCs w:val="20"/>
        </w:rPr>
        <w:t xml:space="preserve">required to </w:t>
      </w:r>
      <w:r w:rsidR="008017ED" w:rsidRPr="284C00DD">
        <w:rPr>
          <w:rFonts w:cs="Arial"/>
          <w:sz w:val="20"/>
          <w:szCs w:val="20"/>
        </w:rPr>
        <w:t>consider GESI in their applications with suppor</w:t>
      </w:r>
      <w:r w:rsidR="0071720A" w:rsidRPr="284C00DD">
        <w:rPr>
          <w:rFonts w:cs="Arial"/>
          <w:sz w:val="20"/>
          <w:szCs w:val="20"/>
        </w:rPr>
        <w:t xml:space="preserve">t </w:t>
      </w:r>
      <w:r w:rsidR="00765D46" w:rsidRPr="284C00DD">
        <w:rPr>
          <w:rFonts w:cs="Arial"/>
          <w:sz w:val="20"/>
          <w:szCs w:val="20"/>
        </w:rPr>
        <w:t xml:space="preserve">available through webinars, workshops and </w:t>
      </w:r>
      <w:r w:rsidR="0027797A" w:rsidRPr="284C00DD">
        <w:rPr>
          <w:rFonts w:cs="Arial"/>
          <w:sz w:val="20"/>
          <w:szCs w:val="20"/>
        </w:rPr>
        <w:t xml:space="preserve">the Helpdesk. GESI Guidance is also included in </w:t>
      </w:r>
      <w:r w:rsidR="006707CF" w:rsidRPr="284C00DD">
        <w:rPr>
          <w:rFonts w:cs="Arial"/>
          <w:sz w:val="20"/>
          <w:szCs w:val="20"/>
        </w:rPr>
        <w:t xml:space="preserve">the Guidance Note to Applicants and MEL Guidance. Applicants are </w:t>
      </w:r>
      <w:r w:rsidR="00431AB8" w:rsidRPr="284C00DD">
        <w:rPr>
          <w:rFonts w:cs="Arial"/>
          <w:sz w:val="20"/>
          <w:szCs w:val="20"/>
        </w:rPr>
        <w:t>strongly encouraged to add GESI</w:t>
      </w:r>
      <w:r w:rsidR="00BA2261" w:rsidRPr="284C00DD">
        <w:rPr>
          <w:rFonts w:cs="Arial"/>
          <w:sz w:val="20"/>
          <w:szCs w:val="20"/>
        </w:rPr>
        <w:t xml:space="preserve"> indicators in their </w:t>
      </w:r>
      <w:proofErr w:type="spellStart"/>
      <w:r w:rsidR="00BA2261" w:rsidRPr="284C00DD">
        <w:rPr>
          <w:rFonts w:cs="Arial"/>
          <w:sz w:val="20"/>
          <w:szCs w:val="20"/>
        </w:rPr>
        <w:t>logframes</w:t>
      </w:r>
      <w:proofErr w:type="spellEnd"/>
      <w:r w:rsidR="00BA2261" w:rsidRPr="284C00DD">
        <w:rPr>
          <w:rFonts w:cs="Arial"/>
          <w:sz w:val="20"/>
          <w:szCs w:val="20"/>
        </w:rPr>
        <w:t xml:space="preserve"> </w:t>
      </w:r>
      <w:r w:rsidR="00C41733" w:rsidRPr="284C00DD">
        <w:rPr>
          <w:rFonts w:cs="Arial"/>
          <w:sz w:val="20"/>
          <w:szCs w:val="20"/>
        </w:rPr>
        <w:t xml:space="preserve">and </w:t>
      </w:r>
      <w:r w:rsidR="00596956" w:rsidRPr="284C00DD">
        <w:rPr>
          <w:rFonts w:cs="Arial"/>
          <w:sz w:val="20"/>
          <w:szCs w:val="20"/>
        </w:rPr>
        <w:t>if successful</w:t>
      </w:r>
      <w:r w:rsidR="0015592D" w:rsidRPr="284C00DD">
        <w:rPr>
          <w:rFonts w:cs="Arial"/>
          <w:sz w:val="20"/>
          <w:szCs w:val="20"/>
        </w:rPr>
        <w:t xml:space="preserve"> </w:t>
      </w:r>
      <w:r w:rsidR="00C265E4" w:rsidRPr="4E3E7311">
        <w:rPr>
          <w:rFonts w:cs="Arial"/>
          <w:sz w:val="20"/>
          <w:szCs w:val="20"/>
        </w:rPr>
        <w:t>are</w:t>
      </w:r>
      <w:r w:rsidR="00C41733" w:rsidRPr="284C00DD">
        <w:rPr>
          <w:rFonts w:cs="Arial"/>
          <w:sz w:val="20"/>
          <w:szCs w:val="20"/>
        </w:rPr>
        <w:t xml:space="preserve"> required to create GESI Action Plan</w:t>
      </w:r>
      <w:r w:rsidR="00596956" w:rsidRPr="284C00DD">
        <w:rPr>
          <w:rFonts w:cs="Arial"/>
          <w:sz w:val="20"/>
          <w:szCs w:val="20"/>
        </w:rPr>
        <w:t>s.</w:t>
      </w:r>
    </w:p>
    <w:p w14:paraId="11C9E95B" w14:textId="22401063" w:rsidR="00F02418" w:rsidRPr="00CE5817" w:rsidRDefault="009D04F9" w:rsidP="00F02418">
      <w:pPr>
        <w:spacing w:before="40" w:after="160" w:line="276" w:lineRule="auto"/>
        <w:jc w:val="both"/>
        <w:rPr>
          <w:rFonts w:cs="Arial"/>
          <w:sz w:val="20"/>
          <w:szCs w:val="20"/>
        </w:rPr>
      </w:pPr>
      <w:r w:rsidRPr="7FFBCD14">
        <w:rPr>
          <w:rFonts w:cs="Arial"/>
          <w:sz w:val="20"/>
          <w:szCs w:val="20"/>
        </w:rPr>
        <w:t>A deep dive into GESI within Defra</w:t>
      </w:r>
      <w:r w:rsidR="00AB4E21" w:rsidRPr="7FFBCD14">
        <w:rPr>
          <w:rFonts w:cs="Arial"/>
          <w:sz w:val="20"/>
          <w:szCs w:val="20"/>
        </w:rPr>
        <w:t>’</w:t>
      </w:r>
      <w:r w:rsidRPr="7FFBCD14">
        <w:rPr>
          <w:rFonts w:cs="Arial"/>
          <w:sz w:val="20"/>
          <w:szCs w:val="20"/>
        </w:rPr>
        <w:t xml:space="preserve">s Biodiversity Challenge Funds was recently conducted to collect and synthesise evidence and lessons of incorporating GESI. Given the similarities </w:t>
      </w:r>
      <w:r w:rsidR="002A49B4">
        <w:rPr>
          <w:rFonts w:cs="Arial"/>
          <w:sz w:val="20"/>
          <w:szCs w:val="20"/>
        </w:rPr>
        <w:t xml:space="preserve">in programmes </w:t>
      </w:r>
      <w:r w:rsidRPr="7FFBCD14">
        <w:rPr>
          <w:rFonts w:cs="Arial"/>
          <w:sz w:val="20"/>
          <w:szCs w:val="20"/>
        </w:rPr>
        <w:t>and shared challenges that OCEAN is anticipated to</w:t>
      </w:r>
      <w:r w:rsidR="002A49B4">
        <w:rPr>
          <w:rFonts w:cs="Arial"/>
          <w:sz w:val="20"/>
          <w:szCs w:val="20"/>
        </w:rPr>
        <w:t xml:space="preserve"> encounter</w:t>
      </w:r>
      <w:r w:rsidRPr="7FFBCD14">
        <w:rPr>
          <w:rFonts w:cs="Arial"/>
          <w:sz w:val="20"/>
          <w:szCs w:val="20"/>
        </w:rPr>
        <w:t xml:space="preserve">, this Deep Dive has been used to inform the </w:t>
      </w:r>
      <w:r w:rsidR="006B2BE4">
        <w:rPr>
          <w:rFonts w:cs="Arial"/>
          <w:sz w:val="20"/>
          <w:szCs w:val="20"/>
        </w:rPr>
        <w:t xml:space="preserve">further </w:t>
      </w:r>
      <w:r w:rsidRPr="7FFBCD14">
        <w:rPr>
          <w:rFonts w:cs="Arial"/>
          <w:sz w:val="20"/>
          <w:szCs w:val="20"/>
        </w:rPr>
        <w:t>development of the OCEAN GESI Action Plan</w:t>
      </w:r>
      <w:r w:rsidR="000325E7" w:rsidRPr="7FFBCD14">
        <w:rPr>
          <w:rFonts w:cs="Arial"/>
          <w:sz w:val="20"/>
          <w:szCs w:val="20"/>
        </w:rPr>
        <w:t>.</w:t>
      </w:r>
      <w:r w:rsidR="00D45D2E" w:rsidRPr="00D45D2E">
        <w:t xml:space="preserve"> </w:t>
      </w:r>
      <w:r w:rsidR="00D45D2E" w:rsidRPr="7FFBCD14">
        <w:rPr>
          <w:rFonts w:cs="Arial"/>
          <w:sz w:val="20"/>
          <w:szCs w:val="20"/>
        </w:rPr>
        <w:t xml:space="preserve">A detailed GESI Analysis of OCEAN will be conducted after the first Annual Application Round in </w:t>
      </w:r>
      <w:r w:rsidR="00070360">
        <w:rPr>
          <w:rFonts w:cs="Arial"/>
          <w:sz w:val="20"/>
          <w:szCs w:val="20"/>
        </w:rPr>
        <w:t>October</w:t>
      </w:r>
      <w:r w:rsidR="00D45D2E" w:rsidRPr="7FFBCD14">
        <w:rPr>
          <w:rFonts w:cs="Arial"/>
          <w:sz w:val="20"/>
          <w:szCs w:val="20"/>
        </w:rPr>
        <w:t xml:space="preserve"> 2024 to further inform this approach</w:t>
      </w:r>
      <w:r w:rsidR="008535A7" w:rsidRPr="7FFBCD14">
        <w:rPr>
          <w:rFonts w:cs="Arial"/>
          <w:sz w:val="20"/>
          <w:szCs w:val="20"/>
        </w:rPr>
        <w:t xml:space="preserve">, understand the different </w:t>
      </w:r>
      <w:r w:rsidR="008535A7" w:rsidRPr="252344C8">
        <w:rPr>
          <w:rFonts w:cs="Arial"/>
          <w:sz w:val="20"/>
          <w:szCs w:val="20"/>
        </w:rPr>
        <w:t>types</w:t>
      </w:r>
      <w:r w:rsidR="008535A7" w:rsidRPr="7FFBCD14">
        <w:rPr>
          <w:rFonts w:cs="Arial"/>
          <w:sz w:val="20"/>
          <w:szCs w:val="20"/>
        </w:rPr>
        <w:t xml:space="preserve"> of organisations applying, the context of the different applications received, baseline understanding of GESI amongst applicants, and any key areas of capacity development.</w:t>
      </w:r>
      <w:r w:rsidR="006B2BE4">
        <w:rPr>
          <w:rFonts w:cs="Arial"/>
          <w:sz w:val="20"/>
          <w:szCs w:val="20"/>
        </w:rPr>
        <w:t xml:space="preserve"> This will support our upcoming work on increasing OCEAN GESI ambition and assessing the feasibility of a GESI-focused funding round. </w:t>
      </w:r>
    </w:p>
    <w:p w14:paraId="47F58C6C" w14:textId="61169FC3" w:rsidR="00BB31FD" w:rsidRPr="00C0776F" w:rsidRDefault="00F02418" w:rsidP="00A368F6">
      <w:pPr>
        <w:spacing w:before="40" w:after="160" w:line="276" w:lineRule="auto"/>
        <w:jc w:val="both"/>
        <w:rPr>
          <w:rFonts w:cs="Arial"/>
          <w:sz w:val="20"/>
        </w:rPr>
      </w:pPr>
      <w:r w:rsidRPr="00F73B20">
        <w:rPr>
          <w:rFonts w:cs="Arial"/>
          <w:b/>
          <w:bCs/>
          <w:sz w:val="20"/>
        </w:rPr>
        <w:t>Safeguarding</w:t>
      </w:r>
      <w:r w:rsidR="00F73B20" w:rsidRPr="00F73B20">
        <w:rPr>
          <w:rFonts w:cs="Arial"/>
          <w:b/>
          <w:bCs/>
          <w:sz w:val="20"/>
        </w:rPr>
        <w:t xml:space="preserve">: </w:t>
      </w:r>
      <w:r w:rsidR="00F73B20" w:rsidRPr="00F73B20">
        <w:rPr>
          <w:rFonts w:cs="Arial"/>
          <w:b/>
          <w:bCs/>
          <w:i/>
          <w:iCs/>
          <w:sz w:val="20"/>
        </w:rPr>
        <w:t>Medium</w:t>
      </w:r>
      <w:r w:rsidR="00F73B20">
        <w:rPr>
          <w:rFonts w:cs="Arial"/>
          <w:sz w:val="20"/>
        </w:rPr>
        <w:t xml:space="preserve">. </w:t>
      </w:r>
      <w:r>
        <w:rPr>
          <w:rFonts w:cs="Arial"/>
          <w:sz w:val="20"/>
        </w:rPr>
        <w:t xml:space="preserve">Defra and NIRAS </w:t>
      </w:r>
      <w:r w:rsidRPr="002A3527">
        <w:rPr>
          <w:rFonts w:cs="Arial"/>
          <w:sz w:val="20"/>
        </w:rPr>
        <w:t xml:space="preserve">have </w:t>
      </w:r>
      <w:r>
        <w:rPr>
          <w:rFonts w:cs="Arial"/>
          <w:sz w:val="20"/>
        </w:rPr>
        <w:t xml:space="preserve">a </w:t>
      </w:r>
      <w:r w:rsidRPr="002A3527">
        <w:rPr>
          <w:rFonts w:cs="Arial"/>
          <w:sz w:val="20"/>
        </w:rPr>
        <w:t xml:space="preserve">clear commitment to preventing </w:t>
      </w:r>
      <w:r w:rsidR="006B2BE4">
        <w:rPr>
          <w:rFonts w:cs="Arial"/>
          <w:sz w:val="20"/>
        </w:rPr>
        <w:t>SEAH</w:t>
      </w:r>
      <w:r w:rsidRPr="002A3527">
        <w:rPr>
          <w:rFonts w:cs="Arial"/>
          <w:sz w:val="20"/>
        </w:rPr>
        <w:t xml:space="preserve"> and other safeguarding risks</w:t>
      </w:r>
      <w:r>
        <w:rPr>
          <w:rFonts w:cs="Arial"/>
          <w:sz w:val="20"/>
        </w:rPr>
        <w:t xml:space="preserve"> and in June 2024 completed a self-assessment on </w:t>
      </w:r>
      <w:r w:rsidRPr="00045A7D">
        <w:rPr>
          <w:rFonts w:cs="Arial"/>
          <w:sz w:val="20"/>
        </w:rPr>
        <w:t>SEAH</w:t>
      </w:r>
      <w:r>
        <w:rPr>
          <w:rFonts w:cs="Arial"/>
          <w:sz w:val="20"/>
        </w:rPr>
        <w:t xml:space="preserve"> safeguarding risk</w:t>
      </w:r>
      <w:r w:rsidRPr="002A3527">
        <w:rPr>
          <w:rFonts w:cs="Arial"/>
          <w:sz w:val="20"/>
        </w:rPr>
        <w:t xml:space="preserve">. </w:t>
      </w:r>
      <w:r w:rsidRPr="009E73A9">
        <w:rPr>
          <w:rFonts w:cs="Arial"/>
          <w:sz w:val="20"/>
        </w:rPr>
        <w:t>NIRAS is</w:t>
      </w:r>
      <w:r>
        <w:rPr>
          <w:rFonts w:cs="Arial"/>
          <w:sz w:val="20"/>
        </w:rPr>
        <w:t xml:space="preserve"> </w:t>
      </w:r>
      <w:r w:rsidRPr="009E73A9">
        <w:rPr>
          <w:rFonts w:cs="Arial"/>
          <w:sz w:val="20"/>
        </w:rPr>
        <w:t xml:space="preserve">committed to improving safeguarding and </w:t>
      </w:r>
      <w:r>
        <w:rPr>
          <w:rFonts w:cs="Arial"/>
          <w:sz w:val="20"/>
        </w:rPr>
        <w:t xml:space="preserve">protection from </w:t>
      </w:r>
      <w:r w:rsidRPr="00045A7D">
        <w:rPr>
          <w:rFonts w:cs="Arial"/>
          <w:sz w:val="20"/>
        </w:rPr>
        <w:t>sexual exploitation and abuse and sexual harassment (</w:t>
      </w:r>
      <w:r>
        <w:rPr>
          <w:rFonts w:cs="Arial"/>
          <w:sz w:val="20"/>
        </w:rPr>
        <w:t>P</w:t>
      </w:r>
      <w:r w:rsidRPr="00045A7D">
        <w:rPr>
          <w:rFonts w:cs="Arial"/>
          <w:sz w:val="20"/>
        </w:rPr>
        <w:t>SEAH)</w:t>
      </w:r>
      <w:r w:rsidRPr="009E73A9">
        <w:rPr>
          <w:rFonts w:cs="Arial"/>
          <w:sz w:val="20"/>
        </w:rPr>
        <w:t xml:space="preserve"> within all projects and will be undergoing organisational improvements based on the </w:t>
      </w:r>
      <w:r w:rsidR="00DD1815">
        <w:rPr>
          <w:rFonts w:cs="Arial"/>
          <w:sz w:val="20"/>
        </w:rPr>
        <w:t xml:space="preserve">CAPSEAH Minimum Actions and </w:t>
      </w:r>
      <w:r>
        <w:rPr>
          <w:rFonts w:cs="Arial"/>
          <w:sz w:val="20"/>
        </w:rPr>
        <w:t>p</w:t>
      </w:r>
      <w:r w:rsidRPr="009E73A9">
        <w:rPr>
          <w:rFonts w:cs="Arial"/>
          <w:sz w:val="20"/>
        </w:rPr>
        <w:t xml:space="preserve">ractical </w:t>
      </w:r>
      <w:r>
        <w:rPr>
          <w:rFonts w:cs="Arial"/>
          <w:sz w:val="20"/>
        </w:rPr>
        <w:t>g</w:t>
      </w:r>
      <w:r w:rsidRPr="009E73A9">
        <w:rPr>
          <w:rFonts w:cs="Arial"/>
          <w:sz w:val="20"/>
        </w:rPr>
        <w:t xml:space="preserve">uidance within </w:t>
      </w:r>
      <w:hyperlink r:id="rId14" w:history="1">
        <w:r>
          <w:rPr>
            <w:rStyle w:val="Hyperlink"/>
            <w:rFonts w:cs="Arial"/>
            <w:sz w:val="20"/>
          </w:rPr>
          <w:t>t</w:t>
        </w:r>
        <w:r w:rsidRPr="00D14964">
          <w:rPr>
            <w:rStyle w:val="Hyperlink"/>
            <w:rFonts w:cs="Arial"/>
            <w:sz w:val="20"/>
          </w:rPr>
          <w:t>he Common Approach to PSEAH (CAPSEAH).</w:t>
        </w:r>
      </w:hyperlink>
      <w:r w:rsidR="002E4548">
        <w:rPr>
          <w:rStyle w:val="Hyperlink"/>
          <w:rFonts w:cs="Arial"/>
          <w:sz w:val="20"/>
        </w:rPr>
        <w:t xml:space="preserve"> </w:t>
      </w:r>
      <w:r w:rsidR="00F87227">
        <w:rPr>
          <w:rFonts w:cs="Arial"/>
          <w:sz w:val="20"/>
        </w:rPr>
        <w:t>OCEAN has embedded a dedicated Saf</w:t>
      </w:r>
      <w:r w:rsidR="00AD3927">
        <w:rPr>
          <w:rFonts w:cs="Arial"/>
          <w:sz w:val="20"/>
        </w:rPr>
        <w:t xml:space="preserve">eguarding Manager in the team to provide </w:t>
      </w:r>
      <w:r w:rsidR="0015592D">
        <w:rPr>
          <w:rFonts w:cs="Arial"/>
          <w:sz w:val="20"/>
        </w:rPr>
        <w:t>guidance and support to applicants and grantees when required.</w:t>
      </w:r>
      <w:r w:rsidR="006E62B5">
        <w:rPr>
          <w:rFonts w:cs="Arial"/>
          <w:sz w:val="20"/>
        </w:rPr>
        <w:t xml:space="preserve"> </w:t>
      </w:r>
      <w:r w:rsidR="0015592D">
        <w:rPr>
          <w:rFonts w:cs="Arial"/>
          <w:sz w:val="20"/>
        </w:rPr>
        <w:t xml:space="preserve">To embed safeguarding in OCEAN projects </w:t>
      </w:r>
      <w:proofErr w:type="gramStart"/>
      <w:r w:rsidR="00557EF9">
        <w:rPr>
          <w:rFonts w:cs="Arial"/>
          <w:sz w:val="20"/>
        </w:rPr>
        <w:t>all</w:t>
      </w:r>
      <w:proofErr w:type="gramEnd"/>
      <w:r w:rsidR="00557EF9">
        <w:rPr>
          <w:rFonts w:cs="Arial"/>
          <w:sz w:val="20"/>
        </w:rPr>
        <w:t xml:space="preserve"> lead </w:t>
      </w:r>
      <w:r w:rsidR="0015592D">
        <w:rPr>
          <w:rFonts w:cs="Arial"/>
          <w:sz w:val="20"/>
        </w:rPr>
        <w:t xml:space="preserve">applicants are required to submit their organisation’s Safeguarding and Whistleblowing policies which will be reviewed by the Safeguarding Manager. </w:t>
      </w:r>
      <w:r w:rsidR="006E62B5">
        <w:rPr>
          <w:rFonts w:cs="Arial"/>
          <w:sz w:val="20"/>
        </w:rPr>
        <w:t>Workshops, training and support will be provided to Lead Organisations as part of the due diligence process</w:t>
      </w:r>
      <w:r w:rsidR="009B0214">
        <w:rPr>
          <w:rFonts w:cs="Arial"/>
          <w:sz w:val="20"/>
        </w:rPr>
        <w:t xml:space="preserve"> to ensure </w:t>
      </w:r>
      <w:r w:rsidR="006103CB">
        <w:rPr>
          <w:rFonts w:cs="Arial"/>
          <w:sz w:val="20"/>
        </w:rPr>
        <w:t xml:space="preserve">that Lead Organisations can proactively monitor safeguarding processes and procedures in downstream partner organisations. </w:t>
      </w:r>
      <w:r w:rsidR="00C0776F">
        <w:rPr>
          <w:rFonts w:cs="Arial"/>
          <w:sz w:val="20"/>
        </w:rPr>
        <w:t xml:space="preserve">All </w:t>
      </w:r>
      <w:r w:rsidR="00176A97">
        <w:rPr>
          <w:rFonts w:cs="Arial"/>
          <w:sz w:val="20"/>
        </w:rPr>
        <w:t xml:space="preserve">successful </w:t>
      </w:r>
      <w:r w:rsidR="00C0776F">
        <w:rPr>
          <w:rFonts w:cs="Arial"/>
          <w:sz w:val="20"/>
        </w:rPr>
        <w:t xml:space="preserve">projects </w:t>
      </w:r>
      <w:r w:rsidR="00176A97">
        <w:rPr>
          <w:rFonts w:cs="Arial"/>
          <w:sz w:val="20"/>
        </w:rPr>
        <w:t>will be</w:t>
      </w:r>
      <w:r w:rsidR="003F2E10">
        <w:rPr>
          <w:rFonts w:cs="Arial"/>
          <w:sz w:val="20"/>
        </w:rPr>
        <w:t xml:space="preserve"> </w:t>
      </w:r>
      <w:r w:rsidR="00C0776F">
        <w:rPr>
          <w:rFonts w:cs="Arial"/>
          <w:sz w:val="20"/>
        </w:rPr>
        <w:t>required</w:t>
      </w:r>
      <w:r w:rsidR="003F2E10">
        <w:rPr>
          <w:rFonts w:cs="Arial"/>
          <w:sz w:val="20"/>
        </w:rPr>
        <w:t xml:space="preserve"> to</w:t>
      </w:r>
      <w:r w:rsidR="00672C93">
        <w:rPr>
          <w:rFonts w:cs="Arial"/>
          <w:sz w:val="20"/>
        </w:rPr>
        <w:t xml:space="preserve"> </w:t>
      </w:r>
      <w:r w:rsidR="00703955">
        <w:rPr>
          <w:rFonts w:cs="Arial"/>
          <w:sz w:val="20"/>
        </w:rPr>
        <w:t>provide</w:t>
      </w:r>
      <w:r w:rsidR="006A37C3">
        <w:rPr>
          <w:rFonts w:cs="Arial"/>
          <w:sz w:val="20"/>
        </w:rPr>
        <w:t xml:space="preserve"> a</w:t>
      </w:r>
      <w:r w:rsidR="00703955">
        <w:rPr>
          <w:rFonts w:cs="Arial"/>
          <w:sz w:val="20"/>
        </w:rPr>
        <w:t xml:space="preserve"> </w:t>
      </w:r>
      <w:r w:rsidR="003F2E10">
        <w:rPr>
          <w:rFonts w:cs="Arial"/>
          <w:sz w:val="20"/>
        </w:rPr>
        <w:t>risk self-assessment</w:t>
      </w:r>
      <w:r w:rsidR="00703955">
        <w:rPr>
          <w:rFonts w:cs="Arial"/>
          <w:sz w:val="20"/>
        </w:rPr>
        <w:t xml:space="preserve"> of</w:t>
      </w:r>
      <w:r w:rsidR="00EF3940">
        <w:rPr>
          <w:rFonts w:cs="Arial"/>
          <w:sz w:val="20"/>
        </w:rPr>
        <w:t xml:space="preserve"> SEAH </w:t>
      </w:r>
      <w:r w:rsidR="00EB214F">
        <w:rPr>
          <w:rFonts w:cs="Arial"/>
          <w:sz w:val="20"/>
        </w:rPr>
        <w:t>which</w:t>
      </w:r>
      <w:r w:rsidR="00F3021B">
        <w:rPr>
          <w:rFonts w:cs="Arial"/>
          <w:sz w:val="20"/>
        </w:rPr>
        <w:t xml:space="preserve"> </w:t>
      </w:r>
      <w:r w:rsidR="00F325AC">
        <w:rPr>
          <w:rFonts w:cs="Arial"/>
          <w:sz w:val="20"/>
        </w:rPr>
        <w:t xml:space="preserve">will be reviewed </w:t>
      </w:r>
      <w:r w:rsidR="008E08DA">
        <w:rPr>
          <w:rFonts w:cs="Arial"/>
          <w:sz w:val="20"/>
        </w:rPr>
        <w:t xml:space="preserve">by the </w:t>
      </w:r>
      <w:r w:rsidR="00EB214F">
        <w:rPr>
          <w:rFonts w:cs="Arial"/>
          <w:sz w:val="20"/>
        </w:rPr>
        <w:t xml:space="preserve">NIRAS </w:t>
      </w:r>
      <w:r w:rsidR="008E08DA">
        <w:rPr>
          <w:rFonts w:cs="Arial"/>
          <w:sz w:val="20"/>
        </w:rPr>
        <w:t>Safeguarding Manager</w:t>
      </w:r>
      <w:r w:rsidR="009D081D">
        <w:rPr>
          <w:rFonts w:cs="Arial"/>
          <w:sz w:val="20"/>
        </w:rPr>
        <w:t xml:space="preserve">. </w:t>
      </w:r>
      <w:r w:rsidR="00BE3A08">
        <w:rPr>
          <w:rFonts w:cs="Arial"/>
          <w:sz w:val="20"/>
        </w:rPr>
        <w:t xml:space="preserve">Any </w:t>
      </w:r>
      <w:r w:rsidR="00594D8B">
        <w:rPr>
          <w:rFonts w:cs="Arial"/>
          <w:sz w:val="20"/>
        </w:rPr>
        <w:t xml:space="preserve">SEAH risk </w:t>
      </w:r>
      <w:r w:rsidR="007E30C3">
        <w:rPr>
          <w:rFonts w:cs="Arial"/>
          <w:sz w:val="20"/>
        </w:rPr>
        <w:t>self-assessments</w:t>
      </w:r>
      <w:r w:rsidR="005017D9">
        <w:rPr>
          <w:rFonts w:cs="Arial"/>
          <w:sz w:val="20"/>
        </w:rPr>
        <w:t xml:space="preserve"> that score low</w:t>
      </w:r>
      <w:r w:rsidR="00316D0C">
        <w:rPr>
          <w:rFonts w:cs="Arial"/>
          <w:sz w:val="20"/>
        </w:rPr>
        <w:t xml:space="preserve"> will</w:t>
      </w:r>
      <w:r w:rsidR="00EB214F">
        <w:rPr>
          <w:rFonts w:cs="Arial"/>
          <w:sz w:val="20"/>
        </w:rPr>
        <w:t xml:space="preserve"> be</w:t>
      </w:r>
      <w:r w:rsidR="009F55A1">
        <w:rPr>
          <w:rFonts w:cs="Arial"/>
          <w:sz w:val="20"/>
        </w:rPr>
        <w:t xml:space="preserve"> immediately </w:t>
      </w:r>
      <w:r w:rsidR="00D11379">
        <w:rPr>
          <w:rFonts w:cs="Arial"/>
          <w:sz w:val="20"/>
        </w:rPr>
        <w:t>flagged</w:t>
      </w:r>
      <w:r w:rsidR="006A37C3">
        <w:rPr>
          <w:rFonts w:cs="Arial"/>
          <w:sz w:val="20"/>
        </w:rPr>
        <w:t xml:space="preserve"> and </w:t>
      </w:r>
      <w:r w:rsidR="00AA232F">
        <w:rPr>
          <w:rFonts w:cs="Arial"/>
          <w:sz w:val="20"/>
        </w:rPr>
        <w:t>escalated to Defra</w:t>
      </w:r>
      <w:r w:rsidR="00FF45B4">
        <w:rPr>
          <w:rFonts w:cs="Arial"/>
          <w:sz w:val="20"/>
        </w:rPr>
        <w:t xml:space="preserve"> and raised </w:t>
      </w:r>
      <w:r w:rsidR="00E307D0">
        <w:rPr>
          <w:rFonts w:cs="Arial"/>
          <w:sz w:val="20"/>
        </w:rPr>
        <w:t xml:space="preserve">directly with </w:t>
      </w:r>
      <w:r w:rsidR="00D65512">
        <w:rPr>
          <w:rFonts w:cs="Arial"/>
          <w:sz w:val="20"/>
        </w:rPr>
        <w:t>lead applicants</w:t>
      </w:r>
      <w:r w:rsidR="00D62B64">
        <w:rPr>
          <w:rFonts w:cs="Arial"/>
          <w:sz w:val="20"/>
        </w:rPr>
        <w:t>, with all project delivery paused until</w:t>
      </w:r>
      <w:r w:rsidR="00340ADB">
        <w:rPr>
          <w:rFonts w:cs="Arial"/>
          <w:sz w:val="20"/>
        </w:rPr>
        <w:t xml:space="preserve"> an action plan is established</w:t>
      </w:r>
      <w:r w:rsidR="00BF3A23">
        <w:rPr>
          <w:rFonts w:cs="Arial"/>
          <w:sz w:val="20"/>
        </w:rPr>
        <w:t xml:space="preserve"> with</w:t>
      </w:r>
      <w:r w:rsidR="00340ADB">
        <w:rPr>
          <w:rFonts w:cs="Arial"/>
          <w:sz w:val="20"/>
        </w:rPr>
        <w:t xml:space="preserve"> necessary improvements in place.</w:t>
      </w:r>
      <w:r w:rsidR="006223BF">
        <w:rPr>
          <w:rFonts w:cs="Arial"/>
          <w:sz w:val="20"/>
        </w:rPr>
        <w:t xml:space="preserve"> </w:t>
      </w:r>
      <w:r w:rsidR="00BB31FD">
        <w:rPr>
          <w:rFonts w:cs="Arial"/>
          <w:sz w:val="20"/>
        </w:rPr>
        <w:br w:type="page"/>
      </w:r>
    </w:p>
    <w:p w14:paraId="5B7F0AF0" w14:textId="4493ED32" w:rsidR="0096193C" w:rsidRDefault="0096193C" w:rsidP="009021AD">
      <w:pPr>
        <w:spacing w:line="276" w:lineRule="auto"/>
        <w:rPr>
          <w:bCs/>
          <w:sz w:val="20"/>
          <w:szCs w:val="20"/>
        </w:rPr>
      </w:pPr>
    </w:p>
    <w:p w14:paraId="5381FC2A" w14:textId="5343B0E5" w:rsidR="006F3AE7" w:rsidRPr="00F70DBE" w:rsidRDefault="006F3AE7" w:rsidP="009021AD">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rPr>
          <w:rFonts w:cs="Arial"/>
          <w:sz w:val="20"/>
          <w:szCs w:val="20"/>
        </w:rPr>
      </w:pPr>
      <w:r w:rsidRPr="69AE3331">
        <w:rPr>
          <w:b/>
          <w:bCs/>
          <w:sz w:val="28"/>
          <w:szCs w:val="28"/>
        </w:rPr>
        <w:t xml:space="preserve">E: PROGRAMME MANAGEMENT: </w:t>
      </w:r>
      <w:bookmarkStart w:id="1" w:name="_Hlk21353049"/>
      <w:r w:rsidRPr="69AE3331">
        <w:rPr>
          <w:b/>
          <w:bCs/>
          <w:sz w:val="28"/>
          <w:szCs w:val="28"/>
        </w:rPr>
        <w:t xml:space="preserve">DELIVERY, COMMERCIAL &amp; FINANCIAL PERFORMANCE </w:t>
      </w:r>
      <w:bookmarkEnd w:id="1"/>
    </w:p>
    <w:p w14:paraId="3CB3AABA" w14:textId="77777777" w:rsidR="006F3AE7" w:rsidRPr="00F70DBE" w:rsidRDefault="006F3AE7" w:rsidP="009021AD">
      <w:pPr>
        <w:spacing w:line="276" w:lineRule="auto"/>
        <w:rPr>
          <w:rFonts w:cs="Arial"/>
          <w:b/>
          <w:sz w:val="22"/>
          <w:szCs w:val="22"/>
        </w:rPr>
      </w:pPr>
    </w:p>
    <w:p w14:paraId="58C1E4CA" w14:textId="37BF4873" w:rsidR="009353E4" w:rsidRPr="00BB1E43" w:rsidRDefault="009353E4" w:rsidP="00D734A8">
      <w:pPr>
        <w:rPr>
          <w:rFonts w:eastAsia="Arial" w:cs="Arial"/>
          <w:b/>
          <w:bCs/>
          <w:color w:val="000000" w:themeColor="text1"/>
          <w:sz w:val="22"/>
          <w:szCs w:val="22"/>
        </w:rPr>
      </w:pPr>
      <w:r w:rsidRPr="00BB1E43">
        <w:rPr>
          <w:rFonts w:eastAsia="Arial" w:cs="Arial"/>
          <w:b/>
          <w:bCs/>
          <w:color w:val="000000" w:themeColor="text1"/>
          <w:sz w:val="22"/>
          <w:szCs w:val="22"/>
        </w:rPr>
        <w:t>Delivery:</w:t>
      </w:r>
    </w:p>
    <w:p w14:paraId="09079B8E" w14:textId="7A4025AD" w:rsidR="00A31B27" w:rsidRPr="00A31B27" w:rsidRDefault="00562703" w:rsidP="0053742B">
      <w:pPr>
        <w:jc w:val="both"/>
        <w:rPr>
          <w:rFonts w:eastAsia="Arial" w:cs="Arial"/>
          <w:color w:val="000000" w:themeColor="text1"/>
          <w:sz w:val="20"/>
          <w:szCs w:val="20"/>
        </w:rPr>
      </w:pPr>
      <w:r w:rsidRPr="2501327A">
        <w:rPr>
          <w:rFonts w:eastAsia="Arial" w:cs="Arial"/>
          <w:color w:val="000000" w:themeColor="text1"/>
          <w:sz w:val="20"/>
          <w:szCs w:val="20"/>
        </w:rPr>
        <w:t xml:space="preserve">General </w:t>
      </w:r>
      <w:r w:rsidR="00A31B27" w:rsidRPr="2501327A">
        <w:rPr>
          <w:rFonts w:eastAsia="Arial" w:cs="Arial"/>
          <w:color w:val="000000" w:themeColor="text1"/>
          <w:sz w:val="20"/>
          <w:szCs w:val="20"/>
        </w:rPr>
        <w:t>programme</w:t>
      </w:r>
      <w:r w:rsidRPr="2501327A">
        <w:rPr>
          <w:rFonts w:eastAsia="Arial" w:cs="Arial"/>
          <w:color w:val="000000" w:themeColor="text1"/>
          <w:sz w:val="20"/>
          <w:szCs w:val="20"/>
        </w:rPr>
        <w:t xml:space="preserve"> management</w:t>
      </w:r>
      <w:r w:rsidR="00A31B27" w:rsidRPr="2501327A">
        <w:rPr>
          <w:rFonts w:eastAsia="Arial" w:cs="Arial"/>
          <w:color w:val="000000" w:themeColor="text1"/>
          <w:sz w:val="20"/>
          <w:szCs w:val="20"/>
        </w:rPr>
        <w:t xml:space="preserve"> is </w:t>
      </w:r>
      <w:r w:rsidR="00346E95" w:rsidRPr="2501327A">
        <w:rPr>
          <w:rFonts w:eastAsia="Arial" w:cs="Arial"/>
          <w:color w:val="000000" w:themeColor="text1"/>
          <w:sz w:val="20"/>
          <w:szCs w:val="20"/>
        </w:rPr>
        <w:t xml:space="preserve">led by Defra’s designated </w:t>
      </w:r>
      <w:r w:rsidR="00E57D9A" w:rsidRPr="2501327A">
        <w:rPr>
          <w:rFonts w:eastAsia="Arial" w:cs="Arial"/>
          <w:color w:val="000000" w:themeColor="text1"/>
          <w:sz w:val="20"/>
          <w:szCs w:val="20"/>
        </w:rPr>
        <w:t xml:space="preserve">OCEAN </w:t>
      </w:r>
      <w:r w:rsidR="00346E95" w:rsidRPr="2501327A">
        <w:rPr>
          <w:rFonts w:eastAsia="Arial" w:cs="Arial"/>
          <w:color w:val="000000" w:themeColor="text1"/>
          <w:sz w:val="20"/>
          <w:szCs w:val="20"/>
        </w:rPr>
        <w:t>team</w:t>
      </w:r>
      <w:r w:rsidR="00212E30" w:rsidRPr="2501327A">
        <w:rPr>
          <w:rFonts w:eastAsia="Arial" w:cs="Arial"/>
          <w:color w:val="000000" w:themeColor="text1"/>
          <w:sz w:val="20"/>
          <w:szCs w:val="20"/>
        </w:rPr>
        <w:t>, with</w:t>
      </w:r>
      <w:r w:rsidR="677B2E98" w:rsidRPr="2501327A">
        <w:rPr>
          <w:rFonts w:eastAsia="Arial" w:cs="Arial"/>
          <w:color w:val="000000" w:themeColor="text1"/>
          <w:sz w:val="20"/>
          <w:szCs w:val="20"/>
        </w:rPr>
        <w:t xml:space="preserve"> </w:t>
      </w:r>
      <w:proofErr w:type="gramStart"/>
      <w:r w:rsidR="677B2E98" w:rsidRPr="2501327A">
        <w:rPr>
          <w:rFonts w:eastAsia="Arial" w:cs="Arial"/>
          <w:color w:val="000000" w:themeColor="text1"/>
          <w:sz w:val="20"/>
          <w:szCs w:val="20"/>
        </w:rPr>
        <w:t>the</w:t>
      </w:r>
      <w:r w:rsidR="00212E30" w:rsidRPr="2501327A">
        <w:rPr>
          <w:rFonts w:eastAsia="Arial" w:cs="Arial"/>
          <w:color w:val="000000" w:themeColor="text1"/>
          <w:sz w:val="20"/>
          <w:szCs w:val="20"/>
        </w:rPr>
        <w:t xml:space="preserve"> majority of</w:t>
      </w:r>
      <w:proofErr w:type="gramEnd"/>
      <w:r w:rsidR="00212E30" w:rsidRPr="2501327A">
        <w:rPr>
          <w:rFonts w:eastAsia="Arial" w:cs="Arial"/>
          <w:color w:val="000000" w:themeColor="text1"/>
          <w:sz w:val="20"/>
          <w:szCs w:val="20"/>
        </w:rPr>
        <w:t xml:space="preserve"> operational tasks contracted to</w:t>
      </w:r>
      <w:r w:rsidR="002A3F85" w:rsidRPr="2501327A">
        <w:rPr>
          <w:rFonts w:eastAsia="Arial" w:cs="Arial"/>
          <w:color w:val="000000" w:themeColor="text1"/>
          <w:sz w:val="20"/>
          <w:szCs w:val="20"/>
        </w:rPr>
        <w:t xml:space="preserve"> an</w:t>
      </w:r>
      <w:r w:rsidR="00212E30" w:rsidRPr="2501327A">
        <w:rPr>
          <w:rFonts w:eastAsia="Arial" w:cs="Arial"/>
          <w:color w:val="000000" w:themeColor="text1"/>
          <w:sz w:val="20"/>
          <w:szCs w:val="20"/>
        </w:rPr>
        <w:t xml:space="preserve"> external </w:t>
      </w:r>
      <w:r w:rsidR="00A368F6" w:rsidRPr="2501327A">
        <w:rPr>
          <w:rFonts w:eastAsia="Arial" w:cs="Arial"/>
          <w:color w:val="000000" w:themeColor="text1"/>
          <w:sz w:val="20"/>
          <w:szCs w:val="20"/>
        </w:rPr>
        <w:t>GA</w:t>
      </w:r>
      <w:r w:rsidR="0978B96B" w:rsidRPr="2501327A">
        <w:rPr>
          <w:rFonts w:eastAsia="Arial" w:cs="Arial"/>
          <w:color w:val="000000" w:themeColor="text1"/>
          <w:sz w:val="20"/>
          <w:szCs w:val="20"/>
        </w:rPr>
        <w:t>.</w:t>
      </w:r>
      <w:r w:rsidR="00E82663" w:rsidRPr="2501327A">
        <w:rPr>
          <w:rFonts w:eastAsia="Arial" w:cs="Arial"/>
          <w:color w:val="000000" w:themeColor="text1"/>
          <w:sz w:val="20"/>
          <w:szCs w:val="20"/>
        </w:rPr>
        <w:t xml:space="preserve"> The</w:t>
      </w:r>
      <w:r w:rsidR="002F0E9D" w:rsidRPr="2501327A">
        <w:rPr>
          <w:rFonts w:eastAsia="Arial" w:cs="Arial"/>
          <w:color w:val="000000" w:themeColor="text1"/>
          <w:sz w:val="20"/>
          <w:szCs w:val="20"/>
        </w:rPr>
        <w:t xml:space="preserve"> </w:t>
      </w:r>
      <w:r w:rsidR="00E57D9A" w:rsidRPr="2501327A">
        <w:rPr>
          <w:rFonts w:eastAsia="Arial" w:cs="Arial"/>
          <w:color w:val="000000" w:themeColor="text1"/>
          <w:sz w:val="20"/>
          <w:szCs w:val="20"/>
        </w:rPr>
        <w:t>OCEAN</w:t>
      </w:r>
      <w:r w:rsidR="00E82663" w:rsidRPr="2501327A">
        <w:rPr>
          <w:rFonts w:eastAsia="Arial" w:cs="Arial"/>
          <w:color w:val="000000" w:themeColor="text1"/>
          <w:sz w:val="20"/>
          <w:szCs w:val="20"/>
        </w:rPr>
        <w:t xml:space="preserve"> team oversee procurement exercises, manage the contract</w:t>
      </w:r>
      <w:r w:rsidR="00185B10" w:rsidRPr="2501327A">
        <w:rPr>
          <w:rFonts w:eastAsia="Arial" w:cs="Arial"/>
          <w:color w:val="000000" w:themeColor="text1"/>
          <w:sz w:val="20"/>
          <w:szCs w:val="20"/>
        </w:rPr>
        <w:t>s</w:t>
      </w:r>
      <w:r w:rsidR="00E82663" w:rsidRPr="2501327A">
        <w:rPr>
          <w:rFonts w:eastAsia="Arial" w:cs="Arial"/>
          <w:color w:val="000000" w:themeColor="text1"/>
          <w:sz w:val="20"/>
          <w:szCs w:val="20"/>
        </w:rPr>
        <w:t xml:space="preserve"> with the </w:t>
      </w:r>
      <w:r w:rsidR="00185B10" w:rsidRPr="2501327A">
        <w:rPr>
          <w:rFonts w:eastAsia="Arial" w:cs="Arial"/>
          <w:color w:val="000000" w:themeColor="text1"/>
          <w:sz w:val="20"/>
          <w:szCs w:val="20"/>
        </w:rPr>
        <w:t>GA</w:t>
      </w:r>
      <w:r w:rsidR="00E82663" w:rsidRPr="2501327A">
        <w:rPr>
          <w:rFonts w:eastAsia="Arial" w:cs="Arial"/>
          <w:color w:val="000000" w:themeColor="text1"/>
          <w:sz w:val="20"/>
          <w:szCs w:val="20"/>
        </w:rPr>
        <w:t xml:space="preserve"> and independent evaluator, deliver oversight of the programme, and oversee programme-level financial and risk management, including safeguarding. The Defra</w:t>
      </w:r>
      <w:r w:rsidR="0053742B" w:rsidRPr="2501327A">
        <w:rPr>
          <w:rFonts w:eastAsia="Arial" w:cs="Arial"/>
          <w:color w:val="000000" w:themeColor="text1"/>
          <w:sz w:val="20"/>
          <w:szCs w:val="20"/>
        </w:rPr>
        <w:t xml:space="preserve"> </w:t>
      </w:r>
      <w:r w:rsidR="00E82663" w:rsidRPr="2501327A">
        <w:rPr>
          <w:rFonts w:eastAsia="Arial" w:cs="Arial"/>
          <w:color w:val="000000" w:themeColor="text1"/>
          <w:sz w:val="20"/>
          <w:szCs w:val="20"/>
        </w:rPr>
        <w:t>team have weekly</w:t>
      </w:r>
      <w:r w:rsidR="00945E29" w:rsidRPr="2501327A">
        <w:rPr>
          <w:rFonts w:eastAsia="Arial" w:cs="Arial"/>
          <w:color w:val="000000" w:themeColor="text1"/>
          <w:sz w:val="20"/>
          <w:szCs w:val="20"/>
        </w:rPr>
        <w:t>, fortnightly and monthly</w:t>
      </w:r>
      <w:r w:rsidR="00E82663" w:rsidRPr="2501327A">
        <w:rPr>
          <w:rFonts w:eastAsia="Arial" w:cs="Arial"/>
          <w:color w:val="000000" w:themeColor="text1"/>
          <w:sz w:val="20"/>
          <w:szCs w:val="20"/>
        </w:rPr>
        <w:t xml:space="preserve"> </w:t>
      </w:r>
      <w:r w:rsidR="00527885" w:rsidRPr="2501327A">
        <w:rPr>
          <w:rFonts w:eastAsia="Arial" w:cs="Arial"/>
          <w:color w:val="000000" w:themeColor="text1"/>
          <w:sz w:val="20"/>
          <w:szCs w:val="20"/>
        </w:rPr>
        <w:t>check-in</w:t>
      </w:r>
      <w:r w:rsidR="004D1D1D" w:rsidRPr="2501327A">
        <w:rPr>
          <w:rFonts w:eastAsia="Arial" w:cs="Arial"/>
          <w:color w:val="000000" w:themeColor="text1"/>
          <w:sz w:val="20"/>
          <w:szCs w:val="20"/>
        </w:rPr>
        <w:t>s and o</w:t>
      </w:r>
      <w:r w:rsidR="002F4D4D" w:rsidRPr="2501327A">
        <w:rPr>
          <w:rFonts w:eastAsia="Arial" w:cs="Arial"/>
          <w:color w:val="000000" w:themeColor="text1"/>
          <w:sz w:val="20"/>
          <w:szCs w:val="20"/>
        </w:rPr>
        <w:t>perational</w:t>
      </w:r>
      <w:r w:rsidR="00945E29" w:rsidRPr="2501327A">
        <w:rPr>
          <w:rFonts w:eastAsia="Arial" w:cs="Arial"/>
          <w:color w:val="000000" w:themeColor="text1"/>
          <w:sz w:val="20"/>
          <w:szCs w:val="20"/>
        </w:rPr>
        <w:t xml:space="preserve"> </w:t>
      </w:r>
      <w:r w:rsidR="004D1D1D" w:rsidRPr="2501327A">
        <w:rPr>
          <w:rFonts w:eastAsia="Arial" w:cs="Arial"/>
          <w:color w:val="000000" w:themeColor="text1"/>
          <w:sz w:val="20"/>
          <w:szCs w:val="20"/>
        </w:rPr>
        <w:t>delivery</w:t>
      </w:r>
      <w:r w:rsidR="002F4D4D" w:rsidRPr="2501327A">
        <w:rPr>
          <w:rFonts w:eastAsia="Arial" w:cs="Arial"/>
          <w:color w:val="000000" w:themeColor="text1"/>
          <w:sz w:val="20"/>
          <w:szCs w:val="20"/>
        </w:rPr>
        <w:t xml:space="preserve"> </w:t>
      </w:r>
      <w:r w:rsidR="004132D6" w:rsidRPr="2501327A">
        <w:rPr>
          <w:rFonts w:eastAsia="Arial" w:cs="Arial"/>
          <w:color w:val="000000" w:themeColor="text1"/>
          <w:sz w:val="20"/>
          <w:szCs w:val="20"/>
        </w:rPr>
        <w:t xml:space="preserve">management </w:t>
      </w:r>
      <w:r w:rsidR="002F4D4D" w:rsidRPr="2501327A">
        <w:rPr>
          <w:rFonts w:eastAsia="Arial" w:cs="Arial"/>
          <w:color w:val="000000" w:themeColor="text1"/>
          <w:sz w:val="20"/>
          <w:szCs w:val="20"/>
        </w:rPr>
        <w:t>meetings</w:t>
      </w:r>
      <w:r w:rsidR="00527885" w:rsidRPr="2501327A">
        <w:rPr>
          <w:rFonts w:eastAsia="Arial" w:cs="Arial"/>
          <w:color w:val="000000" w:themeColor="text1"/>
          <w:sz w:val="20"/>
          <w:szCs w:val="20"/>
        </w:rPr>
        <w:t xml:space="preserve"> with</w:t>
      </w:r>
      <w:r w:rsidR="006547F8" w:rsidRPr="2501327A">
        <w:rPr>
          <w:rFonts w:eastAsia="Arial" w:cs="Arial"/>
          <w:color w:val="000000" w:themeColor="text1"/>
          <w:sz w:val="20"/>
          <w:szCs w:val="20"/>
        </w:rPr>
        <w:t xml:space="preserve"> the</w:t>
      </w:r>
      <w:r w:rsidR="00527885" w:rsidRPr="2501327A">
        <w:rPr>
          <w:rFonts w:eastAsia="Arial" w:cs="Arial"/>
          <w:color w:val="000000" w:themeColor="text1"/>
          <w:sz w:val="20"/>
          <w:szCs w:val="20"/>
        </w:rPr>
        <w:t xml:space="preserve"> GA</w:t>
      </w:r>
      <w:r w:rsidR="001F562C" w:rsidRPr="2501327A">
        <w:rPr>
          <w:rFonts w:eastAsia="Arial" w:cs="Arial"/>
          <w:color w:val="000000" w:themeColor="text1"/>
          <w:sz w:val="20"/>
          <w:szCs w:val="20"/>
        </w:rPr>
        <w:t>. These</w:t>
      </w:r>
      <w:r w:rsidR="00640DAC" w:rsidRPr="2501327A">
        <w:rPr>
          <w:rFonts w:eastAsia="Arial" w:cs="Arial"/>
          <w:color w:val="000000" w:themeColor="text1"/>
          <w:sz w:val="20"/>
          <w:szCs w:val="20"/>
        </w:rPr>
        <w:t xml:space="preserve"> </w:t>
      </w:r>
      <w:r w:rsidR="006547F8" w:rsidRPr="2501327A">
        <w:rPr>
          <w:rFonts w:eastAsia="Arial" w:cs="Arial"/>
          <w:color w:val="000000" w:themeColor="text1"/>
          <w:sz w:val="20"/>
          <w:szCs w:val="20"/>
        </w:rPr>
        <w:t xml:space="preserve">meetings </w:t>
      </w:r>
      <w:r w:rsidR="00F45F41" w:rsidRPr="2501327A">
        <w:rPr>
          <w:rFonts w:eastAsia="Arial" w:cs="Arial"/>
          <w:color w:val="000000" w:themeColor="text1"/>
          <w:sz w:val="20"/>
          <w:szCs w:val="20"/>
        </w:rPr>
        <w:t xml:space="preserve">are to </w:t>
      </w:r>
      <w:r w:rsidR="00707BB3" w:rsidRPr="2501327A">
        <w:rPr>
          <w:rFonts w:eastAsia="Arial" w:cs="Arial"/>
          <w:color w:val="000000" w:themeColor="text1"/>
          <w:sz w:val="20"/>
          <w:szCs w:val="20"/>
        </w:rPr>
        <w:t xml:space="preserve">provide regular programme updates, discuss </w:t>
      </w:r>
      <w:r w:rsidR="002B730C" w:rsidRPr="2501327A">
        <w:rPr>
          <w:rFonts w:eastAsia="Arial" w:cs="Arial"/>
          <w:color w:val="000000" w:themeColor="text1"/>
          <w:sz w:val="20"/>
          <w:szCs w:val="20"/>
        </w:rPr>
        <w:t xml:space="preserve">any </w:t>
      </w:r>
      <w:r w:rsidR="00A33A7C" w:rsidRPr="2501327A">
        <w:rPr>
          <w:rFonts w:eastAsia="Arial" w:cs="Arial"/>
          <w:color w:val="000000" w:themeColor="text1"/>
          <w:sz w:val="20"/>
          <w:szCs w:val="20"/>
        </w:rPr>
        <w:t xml:space="preserve">developments, </w:t>
      </w:r>
      <w:r w:rsidR="00707BB3" w:rsidRPr="2501327A">
        <w:rPr>
          <w:rFonts w:eastAsia="Arial" w:cs="Arial"/>
          <w:color w:val="000000" w:themeColor="text1"/>
          <w:sz w:val="20"/>
          <w:szCs w:val="20"/>
        </w:rPr>
        <w:t xml:space="preserve">and </w:t>
      </w:r>
      <w:r w:rsidR="00A33A7C" w:rsidRPr="2501327A">
        <w:rPr>
          <w:rFonts w:eastAsia="Arial" w:cs="Arial"/>
          <w:color w:val="000000" w:themeColor="text1"/>
          <w:sz w:val="20"/>
          <w:szCs w:val="20"/>
        </w:rPr>
        <w:t xml:space="preserve">to </w:t>
      </w:r>
      <w:r w:rsidR="00707BB3" w:rsidRPr="2501327A">
        <w:rPr>
          <w:rFonts w:eastAsia="Arial" w:cs="Arial"/>
          <w:color w:val="000000" w:themeColor="text1"/>
          <w:sz w:val="20"/>
          <w:szCs w:val="20"/>
        </w:rPr>
        <w:t xml:space="preserve">quickly </w:t>
      </w:r>
      <w:r w:rsidR="00C15840" w:rsidRPr="2501327A">
        <w:rPr>
          <w:rFonts w:eastAsia="Arial" w:cs="Arial"/>
          <w:color w:val="000000" w:themeColor="text1"/>
          <w:sz w:val="20"/>
          <w:szCs w:val="20"/>
        </w:rPr>
        <w:t xml:space="preserve">identify and </w:t>
      </w:r>
      <w:r w:rsidR="00707BB3" w:rsidRPr="2501327A">
        <w:rPr>
          <w:rFonts w:eastAsia="Arial" w:cs="Arial"/>
          <w:color w:val="000000" w:themeColor="text1"/>
          <w:sz w:val="20"/>
          <w:szCs w:val="20"/>
        </w:rPr>
        <w:t xml:space="preserve">escalate </w:t>
      </w:r>
      <w:r w:rsidR="00A33A7C" w:rsidRPr="2501327A">
        <w:rPr>
          <w:rFonts w:eastAsia="Arial" w:cs="Arial"/>
          <w:color w:val="000000" w:themeColor="text1"/>
          <w:sz w:val="20"/>
          <w:szCs w:val="20"/>
        </w:rPr>
        <w:t>risks</w:t>
      </w:r>
      <w:r w:rsidR="002B730C" w:rsidRPr="2501327A">
        <w:rPr>
          <w:rFonts w:eastAsia="Arial" w:cs="Arial"/>
          <w:color w:val="000000" w:themeColor="text1"/>
          <w:sz w:val="20"/>
          <w:szCs w:val="20"/>
        </w:rPr>
        <w:t xml:space="preserve"> and issues</w:t>
      </w:r>
      <w:r w:rsidR="00C15840" w:rsidRPr="2501327A">
        <w:rPr>
          <w:rFonts w:eastAsia="Arial" w:cs="Arial"/>
          <w:color w:val="000000" w:themeColor="text1"/>
          <w:sz w:val="20"/>
          <w:szCs w:val="20"/>
        </w:rPr>
        <w:t xml:space="preserve"> where needed. </w:t>
      </w:r>
      <w:r w:rsidR="00E82663" w:rsidRPr="2501327A">
        <w:rPr>
          <w:rFonts w:eastAsia="Arial" w:cs="Arial"/>
          <w:color w:val="000000" w:themeColor="text1"/>
          <w:sz w:val="20"/>
          <w:szCs w:val="20"/>
        </w:rPr>
        <w:t xml:space="preserve"> </w:t>
      </w:r>
      <w:r w:rsidR="00D52CE6" w:rsidRPr="2501327A">
        <w:rPr>
          <w:rFonts w:eastAsia="Arial" w:cs="Arial"/>
          <w:color w:val="000000" w:themeColor="text1"/>
          <w:sz w:val="20"/>
          <w:szCs w:val="20"/>
        </w:rPr>
        <w:t>In</w:t>
      </w:r>
      <w:r w:rsidR="00E82663" w:rsidRPr="2501327A">
        <w:rPr>
          <w:rFonts w:eastAsia="Arial" w:cs="Arial"/>
          <w:color w:val="000000" w:themeColor="text1"/>
          <w:sz w:val="20"/>
          <w:szCs w:val="20"/>
        </w:rPr>
        <w:t xml:space="preserve"> addition</w:t>
      </w:r>
      <w:r w:rsidR="00B32316" w:rsidRPr="2501327A">
        <w:rPr>
          <w:rFonts w:eastAsia="Arial" w:cs="Arial"/>
          <w:color w:val="000000" w:themeColor="text1"/>
          <w:sz w:val="20"/>
          <w:szCs w:val="20"/>
        </w:rPr>
        <w:t xml:space="preserve"> to these</w:t>
      </w:r>
      <w:r w:rsidR="00C22DA4" w:rsidRPr="2501327A">
        <w:rPr>
          <w:rFonts w:eastAsia="Arial" w:cs="Arial"/>
          <w:color w:val="000000" w:themeColor="text1"/>
          <w:sz w:val="20"/>
          <w:szCs w:val="20"/>
        </w:rPr>
        <w:t>,</w:t>
      </w:r>
      <w:r w:rsidR="00E82663" w:rsidRPr="2501327A">
        <w:rPr>
          <w:rFonts w:eastAsia="Arial" w:cs="Arial"/>
          <w:color w:val="000000" w:themeColor="text1"/>
          <w:sz w:val="20"/>
          <w:szCs w:val="20"/>
        </w:rPr>
        <w:t xml:space="preserve"> </w:t>
      </w:r>
      <w:r w:rsidR="00F538E5" w:rsidRPr="2501327A">
        <w:rPr>
          <w:rFonts w:eastAsia="Arial" w:cs="Arial"/>
          <w:color w:val="000000" w:themeColor="text1"/>
          <w:sz w:val="20"/>
          <w:szCs w:val="20"/>
        </w:rPr>
        <w:t>weekly meetings are</w:t>
      </w:r>
      <w:r w:rsidR="00B32316" w:rsidRPr="2501327A">
        <w:rPr>
          <w:rFonts w:eastAsia="Arial" w:cs="Arial"/>
          <w:color w:val="000000" w:themeColor="text1"/>
          <w:sz w:val="20"/>
          <w:szCs w:val="20"/>
        </w:rPr>
        <w:t xml:space="preserve"> </w:t>
      </w:r>
      <w:r w:rsidR="002B730C" w:rsidRPr="2501327A">
        <w:rPr>
          <w:rFonts w:eastAsia="Arial" w:cs="Arial"/>
          <w:color w:val="000000" w:themeColor="text1"/>
          <w:sz w:val="20"/>
          <w:szCs w:val="20"/>
        </w:rPr>
        <w:t>held</w:t>
      </w:r>
      <w:r w:rsidR="00B32316" w:rsidRPr="2501327A">
        <w:rPr>
          <w:rFonts w:eastAsia="Arial" w:cs="Arial"/>
          <w:color w:val="000000" w:themeColor="text1"/>
          <w:sz w:val="20"/>
          <w:szCs w:val="20"/>
        </w:rPr>
        <w:t xml:space="preserve"> for</w:t>
      </w:r>
      <w:r w:rsidR="00CD07A7" w:rsidRPr="2501327A">
        <w:rPr>
          <w:rFonts w:eastAsia="Arial" w:cs="Arial"/>
          <w:color w:val="000000" w:themeColor="text1"/>
          <w:sz w:val="20"/>
          <w:szCs w:val="20"/>
        </w:rPr>
        <w:t xml:space="preserve"> external </w:t>
      </w:r>
      <w:r w:rsidR="00B32316" w:rsidRPr="2501327A">
        <w:rPr>
          <w:rFonts w:eastAsia="Arial" w:cs="Arial"/>
          <w:color w:val="000000" w:themeColor="text1"/>
          <w:sz w:val="20"/>
          <w:szCs w:val="20"/>
        </w:rPr>
        <w:t xml:space="preserve">communications and </w:t>
      </w:r>
      <w:r w:rsidR="00472725" w:rsidRPr="2501327A">
        <w:rPr>
          <w:rFonts w:eastAsia="Arial" w:cs="Arial"/>
          <w:color w:val="000000" w:themeColor="text1"/>
          <w:sz w:val="20"/>
          <w:szCs w:val="20"/>
        </w:rPr>
        <w:t xml:space="preserve">stakeholder </w:t>
      </w:r>
      <w:r w:rsidR="00B32316" w:rsidRPr="2501327A">
        <w:rPr>
          <w:rFonts w:eastAsia="Arial" w:cs="Arial"/>
          <w:color w:val="000000" w:themeColor="text1"/>
          <w:sz w:val="20"/>
          <w:szCs w:val="20"/>
        </w:rPr>
        <w:t>engagement</w:t>
      </w:r>
      <w:r w:rsidR="00A8104E" w:rsidRPr="2501327A">
        <w:rPr>
          <w:rFonts w:eastAsia="Arial" w:cs="Arial"/>
          <w:color w:val="000000" w:themeColor="text1"/>
          <w:sz w:val="20"/>
          <w:szCs w:val="20"/>
        </w:rPr>
        <w:t>,</w:t>
      </w:r>
      <w:r w:rsidR="00B32316" w:rsidRPr="2501327A">
        <w:rPr>
          <w:rFonts w:eastAsia="Arial" w:cs="Arial"/>
          <w:color w:val="000000" w:themeColor="text1"/>
          <w:sz w:val="20"/>
          <w:szCs w:val="20"/>
        </w:rPr>
        <w:t xml:space="preserve"> together with</w:t>
      </w:r>
      <w:r w:rsidR="009C4ABA" w:rsidRPr="2501327A">
        <w:rPr>
          <w:rFonts w:eastAsia="Arial" w:cs="Arial"/>
          <w:color w:val="000000" w:themeColor="text1"/>
          <w:sz w:val="20"/>
          <w:szCs w:val="20"/>
        </w:rPr>
        <w:t xml:space="preserve"> separate monthly meetings on GESI, safeguarding, risk and fraud</w:t>
      </w:r>
      <w:r w:rsidR="00C22DA4" w:rsidRPr="2501327A">
        <w:rPr>
          <w:rFonts w:eastAsia="Arial" w:cs="Arial"/>
          <w:color w:val="000000" w:themeColor="text1"/>
          <w:sz w:val="20"/>
          <w:szCs w:val="20"/>
        </w:rPr>
        <w:t xml:space="preserve"> respectively</w:t>
      </w:r>
      <w:r w:rsidR="00E82663" w:rsidRPr="2501327A">
        <w:rPr>
          <w:rFonts w:eastAsia="Arial" w:cs="Arial"/>
          <w:color w:val="000000" w:themeColor="text1"/>
          <w:sz w:val="20"/>
          <w:szCs w:val="20"/>
        </w:rPr>
        <w:t>.</w:t>
      </w:r>
      <w:r w:rsidR="00C22DA4" w:rsidRPr="2501327A">
        <w:rPr>
          <w:rFonts w:eastAsia="Arial" w:cs="Arial"/>
          <w:color w:val="000000" w:themeColor="text1"/>
          <w:sz w:val="20"/>
          <w:szCs w:val="20"/>
        </w:rPr>
        <w:t xml:space="preserve"> </w:t>
      </w:r>
      <w:r w:rsidR="00003594" w:rsidRPr="2501327A">
        <w:rPr>
          <w:rFonts w:eastAsia="Arial" w:cs="Arial"/>
          <w:color w:val="000000" w:themeColor="text1"/>
          <w:sz w:val="20"/>
          <w:szCs w:val="20"/>
        </w:rPr>
        <w:t>A monthly meeting is also held between</w:t>
      </w:r>
      <w:r w:rsidR="00A724BE" w:rsidRPr="2501327A">
        <w:rPr>
          <w:rFonts w:eastAsia="Arial" w:cs="Arial"/>
          <w:color w:val="000000" w:themeColor="text1"/>
          <w:sz w:val="20"/>
          <w:szCs w:val="20"/>
        </w:rPr>
        <w:t xml:space="preserve"> the</w:t>
      </w:r>
      <w:r w:rsidR="00003594" w:rsidRPr="2501327A">
        <w:rPr>
          <w:rFonts w:eastAsia="Arial" w:cs="Arial"/>
          <w:color w:val="000000" w:themeColor="text1"/>
          <w:sz w:val="20"/>
          <w:szCs w:val="20"/>
        </w:rPr>
        <w:t xml:space="preserve"> </w:t>
      </w:r>
      <w:r w:rsidR="00A51D71" w:rsidRPr="2501327A">
        <w:rPr>
          <w:rFonts w:eastAsia="Arial" w:cs="Arial"/>
          <w:color w:val="000000" w:themeColor="text1"/>
          <w:sz w:val="20"/>
          <w:szCs w:val="20"/>
        </w:rPr>
        <w:t xml:space="preserve">OCEAN and Biodiversity Challenge Funds </w:t>
      </w:r>
      <w:r w:rsidR="00A05D71" w:rsidRPr="2501327A">
        <w:rPr>
          <w:rFonts w:eastAsia="Arial" w:cs="Arial"/>
          <w:color w:val="000000" w:themeColor="text1"/>
          <w:sz w:val="20"/>
          <w:szCs w:val="20"/>
        </w:rPr>
        <w:t>team</w:t>
      </w:r>
      <w:r w:rsidR="00A724BE" w:rsidRPr="2501327A">
        <w:rPr>
          <w:rFonts w:eastAsia="Arial" w:cs="Arial"/>
          <w:color w:val="000000" w:themeColor="text1"/>
          <w:sz w:val="20"/>
          <w:szCs w:val="20"/>
        </w:rPr>
        <w:t>s</w:t>
      </w:r>
      <w:r w:rsidR="00A05D71" w:rsidRPr="2501327A">
        <w:rPr>
          <w:rFonts w:eastAsia="Arial" w:cs="Arial"/>
          <w:color w:val="000000" w:themeColor="text1"/>
          <w:sz w:val="20"/>
          <w:szCs w:val="20"/>
        </w:rPr>
        <w:t xml:space="preserve"> t</w:t>
      </w:r>
      <w:r w:rsidR="004076EC" w:rsidRPr="2501327A">
        <w:rPr>
          <w:rFonts w:eastAsia="Arial" w:cs="Arial"/>
          <w:color w:val="000000" w:themeColor="text1"/>
          <w:sz w:val="20"/>
          <w:szCs w:val="20"/>
        </w:rPr>
        <w:t>o ensure shared learnings</w:t>
      </w:r>
      <w:r w:rsidR="00A05D71" w:rsidRPr="2501327A">
        <w:rPr>
          <w:rFonts w:eastAsia="Arial" w:cs="Arial"/>
          <w:color w:val="000000" w:themeColor="text1"/>
          <w:sz w:val="20"/>
          <w:szCs w:val="20"/>
        </w:rPr>
        <w:t>.</w:t>
      </w:r>
      <w:r w:rsidR="00003594" w:rsidRPr="2501327A">
        <w:rPr>
          <w:rFonts w:eastAsia="Arial" w:cs="Arial"/>
          <w:color w:val="000000" w:themeColor="text1"/>
          <w:sz w:val="20"/>
          <w:szCs w:val="20"/>
        </w:rPr>
        <w:t xml:space="preserve"> </w:t>
      </w:r>
    </w:p>
    <w:p w14:paraId="20290EDA" w14:textId="77777777" w:rsidR="009353E4" w:rsidRDefault="009353E4" w:rsidP="00D734A8">
      <w:pPr>
        <w:rPr>
          <w:rFonts w:eastAsia="Arial" w:cs="Arial"/>
          <w:b/>
          <w:bCs/>
          <w:color w:val="000000" w:themeColor="text1"/>
          <w:sz w:val="20"/>
          <w:szCs w:val="20"/>
        </w:rPr>
      </w:pPr>
    </w:p>
    <w:p w14:paraId="1DCA3BEF" w14:textId="77777777" w:rsidR="00A31B27" w:rsidRPr="00BB1E43" w:rsidRDefault="009353E4" w:rsidP="00FC4415">
      <w:pPr>
        <w:jc w:val="both"/>
        <w:rPr>
          <w:rFonts w:eastAsia="Arial" w:cs="Arial"/>
          <w:color w:val="000000" w:themeColor="text1"/>
          <w:sz w:val="22"/>
          <w:szCs w:val="22"/>
        </w:rPr>
      </w:pPr>
      <w:r w:rsidRPr="00BB1E43">
        <w:rPr>
          <w:rFonts w:eastAsia="Arial" w:cs="Arial"/>
          <w:b/>
          <w:bCs/>
          <w:color w:val="000000" w:themeColor="text1"/>
          <w:sz w:val="22"/>
          <w:szCs w:val="22"/>
        </w:rPr>
        <w:t>Paris Agreement:</w:t>
      </w:r>
      <w:r w:rsidRPr="00BB1E43">
        <w:rPr>
          <w:rFonts w:eastAsia="Arial" w:cs="Arial"/>
          <w:color w:val="000000" w:themeColor="text1"/>
          <w:sz w:val="22"/>
          <w:szCs w:val="22"/>
        </w:rPr>
        <w:t xml:space="preserve"> </w:t>
      </w:r>
    </w:p>
    <w:p w14:paraId="3D15A362" w14:textId="699E54FE" w:rsidR="009353E4" w:rsidRDefault="00A31B27" w:rsidP="00FC4415">
      <w:pPr>
        <w:jc w:val="both"/>
        <w:rPr>
          <w:rFonts w:eastAsia="Arial" w:cs="Arial"/>
          <w:color w:val="000000" w:themeColor="text1"/>
          <w:sz w:val="20"/>
          <w:szCs w:val="20"/>
        </w:rPr>
      </w:pPr>
      <w:r>
        <w:rPr>
          <w:rFonts w:eastAsia="Arial" w:cs="Arial"/>
          <w:color w:val="000000" w:themeColor="text1"/>
          <w:sz w:val="20"/>
          <w:szCs w:val="20"/>
        </w:rPr>
        <w:t>T</w:t>
      </w:r>
      <w:r w:rsidR="009353E4" w:rsidRPr="009353E4">
        <w:rPr>
          <w:rFonts w:eastAsia="Arial" w:cs="Arial"/>
          <w:color w:val="000000" w:themeColor="text1"/>
          <w:sz w:val="20"/>
          <w:szCs w:val="20"/>
        </w:rPr>
        <w:t xml:space="preserve">he </w:t>
      </w:r>
      <w:r w:rsidR="009353E4">
        <w:rPr>
          <w:rFonts w:eastAsia="Arial" w:cs="Arial"/>
          <w:color w:val="000000" w:themeColor="text1"/>
          <w:sz w:val="20"/>
          <w:szCs w:val="20"/>
        </w:rPr>
        <w:t>programme</w:t>
      </w:r>
      <w:r w:rsidR="009353E4" w:rsidRPr="009353E4">
        <w:rPr>
          <w:rFonts w:eastAsia="Arial" w:cs="Arial"/>
          <w:color w:val="000000" w:themeColor="text1"/>
          <w:sz w:val="20"/>
          <w:szCs w:val="20"/>
        </w:rPr>
        <w:t xml:space="preserve"> has an explicit focus on environmental protection </w:t>
      </w:r>
      <w:r w:rsidR="009353E4">
        <w:rPr>
          <w:rFonts w:eastAsia="Arial" w:cs="Arial"/>
          <w:color w:val="000000" w:themeColor="text1"/>
          <w:sz w:val="20"/>
          <w:szCs w:val="20"/>
        </w:rPr>
        <w:t>that</w:t>
      </w:r>
      <w:r w:rsidR="009353E4" w:rsidRPr="009353E4">
        <w:rPr>
          <w:rFonts w:eastAsia="Arial" w:cs="Arial"/>
          <w:color w:val="000000" w:themeColor="text1"/>
          <w:sz w:val="20"/>
          <w:szCs w:val="20"/>
        </w:rPr>
        <w:t xml:space="preserve"> aligns with the Paris Agreement. The programme does not go against the fossil fuel policy, nor does it go against partner countries own climate plans, indeed there are opportunities to support these. A rapid climate and environmental risk screening assessment was completed and identified that the risk to this programme and its objectives is currently moderate for climate factors and low for environmental factors. This moderate climate score is due to the current uncertainty around which projects will be successful and their geographic and thematic focuses. An updated assessment will be completed within 6 months following the completion of the first competition round.  </w:t>
      </w:r>
    </w:p>
    <w:p w14:paraId="0E79CFF2" w14:textId="77777777" w:rsidR="000E0AAC" w:rsidRPr="009353E4" w:rsidRDefault="000E0AAC" w:rsidP="00D734A8">
      <w:pPr>
        <w:rPr>
          <w:rFonts w:eastAsia="Arial" w:cs="Arial"/>
          <w:color w:val="000000" w:themeColor="text1"/>
          <w:sz w:val="20"/>
          <w:szCs w:val="20"/>
        </w:rPr>
      </w:pPr>
    </w:p>
    <w:p w14:paraId="6767F290" w14:textId="6005C776" w:rsidR="00F56B72" w:rsidRPr="00BB1E43" w:rsidRDefault="00F56B72" w:rsidP="00D734A8">
      <w:pPr>
        <w:rPr>
          <w:rFonts w:eastAsia="Arial" w:cs="Arial"/>
          <w:b/>
          <w:color w:val="000000" w:themeColor="text1"/>
          <w:sz w:val="22"/>
          <w:szCs w:val="22"/>
        </w:rPr>
      </w:pPr>
      <w:r w:rsidRPr="00BB1E43">
        <w:rPr>
          <w:rFonts w:eastAsia="Arial" w:cs="Arial"/>
          <w:b/>
          <w:color w:val="000000" w:themeColor="text1"/>
          <w:sz w:val="22"/>
          <w:szCs w:val="22"/>
        </w:rPr>
        <w:t>Commercial:</w:t>
      </w:r>
    </w:p>
    <w:p w14:paraId="211F777D" w14:textId="20E1A9ED" w:rsidR="003D0526" w:rsidRDefault="0087099D" w:rsidP="00381E1B">
      <w:pPr>
        <w:jc w:val="both"/>
        <w:rPr>
          <w:sz w:val="20"/>
          <w:szCs w:val="20"/>
        </w:rPr>
      </w:pPr>
      <w:r>
        <w:rPr>
          <w:rFonts w:eastAsia="Arial" w:cs="Arial"/>
          <w:color w:val="000000" w:themeColor="text1"/>
          <w:sz w:val="20"/>
          <w:szCs w:val="20"/>
        </w:rPr>
        <w:t xml:space="preserve">Ahead of year 1 Defra undertook a competitive </w:t>
      </w:r>
      <w:r w:rsidR="006F5C1C">
        <w:rPr>
          <w:rFonts w:eastAsia="Arial" w:cs="Arial"/>
          <w:color w:val="000000" w:themeColor="text1"/>
          <w:sz w:val="20"/>
          <w:szCs w:val="20"/>
        </w:rPr>
        <w:t xml:space="preserve">tender </w:t>
      </w:r>
      <w:r w:rsidR="009A654C">
        <w:rPr>
          <w:rFonts w:eastAsia="Arial" w:cs="Arial"/>
          <w:color w:val="000000" w:themeColor="text1"/>
          <w:sz w:val="20"/>
          <w:szCs w:val="20"/>
        </w:rPr>
        <w:t>procurement</w:t>
      </w:r>
      <w:r w:rsidR="004D3145">
        <w:rPr>
          <w:rFonts w:eastAsia="Arial" w:cs="Arial"/>
          <w:color w:val="000000" w:themeColor="text1"/>
          <w:sz w:val="20"/>
          <w:szCs w:val="20"/>
        </w:rPr>
        <w:t xml:space="preserve"> process</w:t>
      </w:r>
      <w:r w:rsidR="009A654C">
        <w:rPr>
          <w:rFonts w:eastAsia="Arial" w:cs="Arial"/>
          <w:color w:val="000000" w:themeColor="text1"/>
          <w:sz w:val="20"/>
          <w:szCs w:val="20"/>
        </w:rPr>
        <w:t xml:space="preserve"> to secure an external </w:t>
      </w:r>
      <w:r w:rsidR="001D5270">
        <w:rPr>
          <w:rFonts w:eastAsia="Arial" w:cs="Arial"/>
          <w:color w:val="000000" w:themeColor="text1"/>
          <w:sz w:val="20"/>
          <w:szCs w:val="20"/>
        </w:rPr>
        <w:t>GA</w:t>
      </w:r>
      <w:r w:rsidR="009A654C">
        <w:rPr>
          <w:rFonts w:eastAsia="Arial" w:cs="Arial"/>
          <w:color w:val="000000" w:themeColor="text1"/>
          <w:sz w:val="20"/>
          <w:szCs w:val="20"/>
        </w:rPr>
        <w:t xml:space="preserve">. </w:t>
      </w:r>
      <w:r w:rsidR="00126589">
        <w:rPr>
          <w:rFonts w:eastAsia="Arial" w:cs="Arial"/>
          <w:color w:val="000000" w:themeColor="text1"/>
          <w:sz w:val="20"/>
          <w:szCs w:val="20"/>
        </w:rPr>
        <w:t xml:space="preserve">Following </w:t>
      </w:r>
      <w:r w:rsidR="001776DA">
        <w:rPr>
          <w:rFonts w:eastAsia="Arial" w:cs="Arial"/>
          <w:color w:val="000000" w:themeColor="text1"/>
          <w:sz w:val="20"/>
          <w:szCs w:val="20"/>
        </w:rPr>
        <w:t>all commercial governance</w:t>
      </w:r>
      <w:r w:rsidR="00407534">
        <w:rPr>
          <w:rFonts w:eastAsia="Arial" w:cs="Arial"/>
          <w:color w:val="000000" w:themeColor="text1"/>
          <w:sz w:val="20"/>
          <w:szCs w:val="20"/>
        </w:rPr>
        <w:t xml:space="preserve"> procedures</w:t>
      </w:r>
      <w:r w:rsidR="001776DA">
        <w:rPr>
          <w:rFonts w:eastAsia="Arial" w:cs="Arial"/>
          <w:color w:val="000000" w:themeColor="text1"/>
          <w:sz w:val="20"/>
          <w:szCs w:val="20"/>
        </w:rPr>
        <w:t xml:space="preserve"> and </w:t>
      </w:r>
      <w:r w:rsidR="001F53E7">
        <w:rPr>
          <w:rFonts w:eastAsia="Arial" w:cs="Arial"/>
          <w:color w:val="000000" w:themeColor="text1"/>
          <w:sz w:val="20"/>
          <w:szCs w:val="20"/>
        </w:rPr>
        <w:t xml:space="preserve">Defra </w:t>
      </w:r>
      <w:r w:rsidR="001776DA">
        <w:rPr>
          <w:rFonts w:eastAsia="Arial" w:cs="Arial"/>
          <w:color w:val="000000" w:themeColor="text1"/>
          <w:sz w:val="20"/>
          <w:szCs w:val="20"/>
        </w:rPr>
        <w:t>investment</w:t>
      </w:r>
      <w:r w:rsidR="001F53E7">
        <w:rPr>
          <w:rFonts w:eastAsia="Arial" w:cs="Arial"/>
          <w:color w:val="000000" w:themeColor="text1"/>
          <w:sz w:val="20"/>
          <w:szCs w:val="20"/>
        </w:rPr>
        <w:t xml:space="preserve"> committee</w:t>
      </w:r>
      <w:r w:rsidR="001776DA">
        <w:rPr>
          <w:rFonts w:eastAsia="Arial" w:cs="Arial"/>
          <w:color w:val="000000" w:themeColor="text1"/>
          <w:sz w:val="20"/>
          <w:szCs w:val="20"/>
        </w:rPr>
        <w:t xml:space="preserve"> approval</w:t>
      </w:r>
      <w:r w:rsidR="002B0D80">
        <w:rPr>
          <w:rFonts w:eastAsia="Arial" w:cs="Arial"/>
          <w:color w:val="000000" w:themeColor="text1"/>
          <w:sz w:val="20"/>
          <w:szCs w:val="20"/>
        </w:rPr>
        <w:t>s</w:t>
      </w:r>
      <w:r w:rsidR="002533F5" w:rsidRPr="002533F5">
        <w:rPr>
          <w:rFonts w:eastAsia="Arial" w:cs="Arial"/>
          <w:color w:val="000000" w:themeColor="text1"/>
          <w:sz w:val="20"/>
          <w:szCs w:val="20"/>
        </w:rPr>
        <w:t xml:space="preserve">, a multiyear contract (based on standard Defra Terms and Conditions) was awarded on the </w:t>
      </w:r>
      <w:r w:rsidR="0047338C">
        <w:rPr>
          <w:rFonts w:eastAsia="Arial" w:cs="Arial"/>
          <w:color w:val="000000" w:themeColor="text1"/>
          <w:sz w:val="20"/>
          <w:szCs w:val="20"/>
        </w:rPr>
        <w:t>4</w:t>
      </w:r>
      <w:r w:rsidR="002533F5" w:rsidRPr="002533F5">
        <w:rPr>
          <w:rFonts w:eastAsia="Arial" w:cs="Arial"/>
          <w:color w:val="000000" w:themeColor="text1"/>
          <w:sz w:val="20"/>
          <w:szCs w:val="20"/>
        </w:rPr>
        <w:t xml:space="preserve">th </w:t>
      </w:r>
      <w:r w:rsidR="0CD7C551" w:rsidRPr="6905C74D">
        <w:rPr>
          <w:rFonts w:eastAsia="Arial" w:cs="Arial"/>
          <w:color w:val="000000" w:themeColor="text1"/>
          <w:sz w:val="20"/>
          <w:szCs w:val="20"/>
        </w:rPr>
        <w:t>of</w:t>
      </w:r>
      <w:r w:rsidR="002533F5" w:rsidRPr="6905C74D">
        <w:rPr>
          <w:rFonts w:eastAsia="Arial" w:cs="Arial"/>
          <w:color w:val="000000" w:themeColor="text1"/>
          <w:sz w:val="20"/>
          <w:szCs w:val="20"/>
        </w:rPr>
        <w:t xml:space="preserve"> </w:t>
      </w:r>
      <w:r w:rsidR="0047338C">
        <w:rPr>
          <w:rFonts w:eastAsia="Arial" w:cs="Arial"/>
          <w:color w:val="000000" w:themeColor="text1"/>
          <w:sz w:val="20"/>
          <w:szCs w:val="20"/>
        </w:rPr>
        <w:t>September</w:t>
      </w:r>
      <w:r w:rsidR="002533F5" w:rsidRPr="002533F5">
        <w:rPr>
          <w:rFonts w:eastAsia="Arial" w:cs="Arial"/>
          <w:color w:val="000000" w:themeColor="text1"/>
          <w:sz w:val="20"/>
          <w:szCs w:val="20"/>
        </w:rPr>
        <w:t xml:space="preserve"> 202</w:t>
      </w:r>
      <w:r w:rsidR="00954EAE">
        <w:rPr>
          <w:rFonts w:eastAsia="Arial" w:cs="Arial"/>
          <w:color w:val="000000" w:themeColor="text1"/>
          <w:sz w:val="20"/>
          <w:szCs w:val="20"/>
        </w:rPr>
        <w:t>3</w:t>
      </w:r>
      <w:r w:rsidR="002533F5" w:rsidRPr="002533F5">
        <w:rPr>
          <w:rFonts w:eastAsia="Arial" w:cs="Arial"/>
          <w:color w:val="000000" w:themeColor="text1"/>
          <w:sz w:val="20"/>
          <w:szCs w:val="20"/>
        </w:rPr>
        <w:t xml:space="preserve"> to NIRAS</w:t>
      </w:r>
      <w:r w:rsidR="001753E2">
        <w:rPr>
          <w:rFonts w:eastAsia="Arial" w:cs="Arial"/>
          <w:color w:val="000000" w:themeColor="text1"/>
          <w:sz w:val="20"/>
          <w:szCs w:val="20"/>
        </w:rPr>
        <w:t xml:space="preserve"> and is available </w:t>
      </w:r>
      <w:r w:rsidR="006F41C7">
        <w:rPr>
          <w:rFonts w:eastAsia="Arial" w:cs="Arial"/>
          <w:color w:val="000000" w:themeColor="text1"/>
          <w:sz w:val="20"/>
          <w:szCs w:val="20"/>
        </w:rPr>
        <w:t>at</w:t>
      </w:r>
      <w:r w:rsidR="002B0D80" w:rsidRPr="002B0D80">
        <w:t xml:space="preserve"> </w:t>
      </w:r>
      <w:hyperlink r:id="rId15">
        <w:r w:rsidR="001753E2" w:rsidRPr="6905C74D">
          <w:rPr>
            <w:rStyle w:val="Hyperlink"/>
            <w:sz w:val="20"/>
            <w:szCs w:val="20"/>
          </w:rPr>
          <w:t>ODA BPF OCEAN Grants Programme (Grant Administrator) - Find a Tender (find-tender.service.gov.uk)</w:t>
        </w:r>
      </w:hyperlink>
      <w:r w:rsidR="006F41C7" w:rsidRPr="004E099F">
        <w:rPr>
          <w:sz w:val="20"/>
          <w:szCs w:val="20"/>
        </w:rPr>
        <w:t xml:space="preserve">. </w:t>
      </w:r>
    </w:p>
    <w:p w14:paraId="7B6EACC5" w14:textId="77777777" w:rsidR="008E48F3" w:rsidRDefault="008E48F3" w:rsidP="00381E1B">
      <w:pPr>
        <w:jc w:val="both"/>
        <w:rPr>
          <w:sz w:val="20"/>
          <w:szCs w:val="20"/>
        </w:rPr>
      </w:pPr>
    </w:p>
    <w:p w14:paraId="0F484F44" w14:textId="79C5BCB9" w:rsidR="004D4C87" w:rsidRDefault="004D4C87" w:rsidP="00381E1B">
      <w:pPr>
        <w:jc w:val="both"/>
        <w:rPr>
          <w:rFonts w:eastAsia="Arial" w:cs="Arial"/>
          <w:color w:val="000000" w:themeColor="text1"/>
          <w:sz w:val="20"/>
          <w:szCs w:val="20"/>
        </w:rPr>
      </w:pPr>
      <w:r>
        <w:rPr>
          <w:rFonts w:eastAsia="Arial" w:cs="Arial"/>
          <w:color w:val="000000" w:themeColor="text1"/>
          <w:sz w:val="20"/>
          <w:szCs w:val="20"/>
        </w:rPr>
        <w:t>Defra</w:t>
      </w:r>
      <w:r w:rsidR="005E02CB">
        <w:rPr>
          <w:rFonts w:eastAsia="Arial" w:cs="Arial"/>
          <w:color w:val="000000" w:themeColor="text1"/>
          <w:sz w:val="20"/>
          <w:szCs w:val="20"/>
        </w:rPr>
        <w:t xml:space="preserve"> are </w:t>
      </w:r>
      <w:r w:rsidR="002C78D5">
        <w:rPr>
          <w:rFonts w:eastAsia="Arial" w:cs="Arial"/>
          <w:color w:val="000000" w:themeColor="text1"/>
          <w:sz w:val="20"/>
          <w:szCs w:val="20"/>
        </w:rPr>
        <w:t xml:space="preserve">also </w:t>
      </w:r>
      <w:r w:rsidR="005E02CB">
        <w:rPr>
          <w:rFonts w:eastAsia="Arial" w:cs="Arial"/>
          <w:color w:val="000000" w:themeColor="text1"/>
          <w:sz w:val="20"/>
          <w:szCs w:val="20"/>
        </w:rPr>
        <w:t xml:space="preserve">currently </w:t>
      </w:r>
      <w:r w:rsidR="00FF236C">
        <w:rPr>
          <w:rFonts w:eastAsia="Arial" w:cs="Arial"/>
          <w:color w:val="000000" w:themeColor="text1"/>
          <w:sz w:val="20"/>
          <w:szCs w:val="20"/>
        </w:rPr>
        <w:t>carryin</w:t>
      </w:r>
      <w:r w:rsidR="00524564">
        <w:rPr>
          <w:rFonts w:eastAsia="Arial" w:cs="Arial"/>
          <w:color w:val="000000" w:themeColor="text1"/>
          <w:sz w:val="20"/>
          <w:szCs w:val="20"/>
        </w:rPr>
        <w:t>g out</w:t>
      </w:r>
      <w:r w:rsidR="00FF236C">
        <w:rPr>
          <w:rFonts w:eastAsia="Arial" w:cs="Arial"/>
          <w:color w:val="000000" w:themeColor="text1"/>
          <w:sz w:val="20"/>
          <w:szCs w:val="20"/>
        </w:rPr>
        <w:t xml:space="preserve"> a new </w:t>
      </w:r>
      <w:r w:rsidR="002C78D5">
        <w:rPr>
          <w:rFonts w:eastAsia="Arial" w:cs="Arial"/>
          <w:color w:val="000000" w:themeColor="text1"/>
          <w:sz w:val="20"/>
          <w:szCs w:val="20"/>
        </w:rPr>
        <w:t xml:space="preserve">commercial tender process </w:t>
      </w:r>
      <w:r w:rsidR="00A54FA7">
        <w:rPr>
          <w:rFonts w:eastAsia="Arial" w:cs="Arial"/>
          <w:color w:val="000000" w:themeColor="text1"/>
          <w:sz w:val="20"/>
          <w:szCs w:val="20"/>
        </w:rPr>
        <w:t xml:space="preserve">to secure </w:t>
      </w:r>
      <w:r w:rsidRPr="004D4C87">
        <w:rPr>
          <w:rFonts w:eastAsia="Arial" w:cs="Arial"/>
          <w:color w:val="000000" w:themeColor="text1"/>
          <w:sz w:val="20"/>
          <w:szCs w:val="20"/>
        </w:rPr>
        <w:t>a</w:t>
      </w:r>
      <w:r w:rsidR="00A54FA7">
        <w:rPr>
          <w:rFonts w:eastAsia="Arial" w:cs="Arial"/>
          <w:color w:val="000000" w:themeColor="text1"/>
          <w:sz w:val="20"/>
          <w:szCs w:val="20"/>
        </w:rPr>
        <w:t xml:space="preserve">n </w:t>
      </w:r>
      <w:r w:rsidR="00055A85" w:rsidRPr="6CCE3D52">
        <w:rPr>
          <w:rFonts w:eastAsia="Arial" w:cs="Arial"/>
          <w:color w:val="000000" w:themeColor="text1"/>
          <w:sz w:val="20"/>
          <w:szCs w:val="20"/>
        </w:rPr>
        <w:t>I</w:t>
      </w:r>
      <w:r w:rsidR="6C249711" w:rsidRPr="6CCE3D52">
        <w:rPr>
          <w:rFonts w:eastAsia="Arial" w:cs="Arial"/>
          <w:color w:val="000000" w:themeColor="text1"/>
          <w:sz w:val="20"/>
          <w:szCs w:val="20"/>
        </w:rPr>
        <w:t>ndepen</w:t>
      </w:r>
      <w:r w:rsidR="395C364D" w:rsidRPr="6CCE3D52">
        <w:rPr>
          <w:rFonts w:eastAsia="Arial" w:cs="Arial"/>
          <w:color w:val="000000" w:themeColor="text1"/>
          <w:sz w:val="20"/>
          <w:szCs w:val="20"/>
        </w:rPr>
        <w:t>d</w:t>
      </w:r>
      <w:r w:rsidR="6C249711" w:rsidRPr="6CCE3D52">
        <w:rPr>
          <w:rFonts w:eastAsia="Arial" w:cs="Arial"/>
          <w:color w:val="000000" w:themeColor="text1"/>
          <w:sz w:val="20"/>
          <w:szCs w:val="20"/>
        </w:rPr>
        <w:t xml:space="preserve">ent </w:t>
      </w:r>
      <w:r w:rsidR="00055A85" w:rsidRPr="6CCE3D52">
        <w:rPr>
          <w:rFonts w:eastAsia="Arial" w:cs="Arial"/>
          <w:color w:val="000000" w:themeColor="text1"/>
          <w:sz w:val="20"/>
          <w:szCs w:val="20"/>
        </w:rPr>
        <w:t>E</w:t>
      </w:r>
      <w:r w:rsidR="460E784F" w:rsidRPr="6CCE3D52">
        <w:rPr>
          <w:rFonts w:eastAsia="Arial" w:cs="Arial"/>
          <w:color w:val="000000" w:themeColor="text1"/>
          <w:sz w:val="20"/>
          <w:szCs w:val="20"/>
        </w:rPr>
        <w:t>valuator</w:t>
      </w:r>
      <w:r w:rsidR="00055A85" w:rsidRPr="6CCE3D52">
        <w:rPr>
          <w:rFonts w:eastAsia="Arial" w:cs="Arial"/>
          <w:color w:val="000000" w:themeColor="text1"/>
          <w:sz w:val="20"/>
          <w:szCs w:val="20"/>
        </w:rPr>
        <w:t xml:space="preserve"> </w:t>
      </w:r>
      <w:r w:rsidR="2C779038" w:rsidRPr="6CCE3D52">
        <w:rPr>
          <w:rFonts w:eastAsia="Arial" w:cs="Arial"/>
          <w:color w:val="000000" w:themeColor="text1"/>
          <w:sz w:val="20"/>
          <w:szCs w:val="20"/>
        </w:rPr>
        <w:t>(IE)</w:t>
      </w:r>
      <w:r w:rsidR="00883FE1">
        <w:rPr>
          <w:rFonts w:eastAsia="Arial" w:cs="Arial"/>
          <w:color w:val="000000" w:themeColor="text1"/>
          <w:sz w:val="20"/>
          <w:szCs w:val="20"/>
        </w:rPr>
        <w:t xml:space="preserve"> for</w:t>
      </w:r>
      <w:r w:rsidR="009862C1">
        <w:rPr>
          <w:rFonts w:eastAsia="Arial" w:cs="Arial"/>
          <w:color w:val="000000" w:themeColor="text1"/>
          <w:sz w:val="20"/>
          <w:szCs w:val="20"/>
        </w:rPr>
        <w:t xml:space="preserve"> OCEAN through</w:t>
      </w:r>
      <w:r w:rsidR="00883FE1">
        <w:rPr>
          <w:rFonts w:eastAsia="Arial" w:cs="Arial"/>
          <w:color w:val="000000" w:themeColor="text1"/>
          <w:sz w:val="20"/>
          <w:szCs w:val="20"/>
        </w:rPr>
        <w:t xml:space="preserve"> a multi</w:t>
      </w:r>
      <w:r w:rsidR="009862C1">
        <w:rPr>
          <w:rFonts w:eastAsia="Arial" w:cs="Arial"/>
          <w:color w:val="000000" w:themeColor="text1"/>
          <w:sz w:val="20"/>
          <w:szCs w:val="20"/>
        </w:rPr>
        <w:t xml:space="preserve">year contract with the aim to </w:t>
      </w:r>
      <w:r w:rsidR="00E56E24">
        <w:rPr>
          <w:rFonts w:eastAsia="Arial" w:cs="Arial"/>
          <w:color w:val="000000" w:themeColor="text1"/>
          <w:sz w:val="20"/>
          <w:szCs w:val="20"/>
        </w:rPr>
        <w:t xml:space="preserve">have in place before end of September 2024. </w:t>
      </w:r>
      <w:r w:rsidRPr="004D4C87">
        <w:rPr>
          <w:rFonts w:eastAsia="Arial" w:cs="Arial"/>
          <w:color w:val="000000" w:themeColor="text1"/>
          <w:sz w:val="20"/>
          <w:szCs w:val="20"/>
        </w:rPr>
        <w:t xml:space="preserve"> </w:t>
      </w:r>
      <w:r w:rsidR="00FF236C" w:rsidRPr="6CCE3D52">
        <w:rPr>
          <w:rFonts w:eastAsia="Arial" w:cs="Arial"/>
          <w:color w:val="000000" w:themeColor="text1"/>
          <w:sz w:val="20"/>
          <w:szCs w:val="20"/>
        </w:rPr>
        <w:t xml:space="preserve">The </w:t>
      </w:r>
      <w:r w:rsidR="00055A85" w:rsidRPr="6CCE3D52">
        <w:rPr>
          <w:rFonts w:eastAsia="Arial" w:cs="Arial"/>
          <w:color w:val="000000" w:themeColor="text1"/>
          <w:sz w:val="20"/>
          <w:szCs w:val="20"/>
        </w:rPr>
        <w:t>IE</w:t>
      </w:r>
      <w:r w:rsidRPr="004D4C87">
        <w:rPr>
          <w:rFonts w:eastAsia="Arial" w:cs="Arial"/>
          <w:color w:val="000000" w:themeColor="text1"/>
          <w:sz w:val="20"/>
          <w:szCs w:val="20"/>
        </w:rPr>
        <w:t xml:space="preserve"> will</w:t>
      </w:r>
      <w:r w:rsidR="00524564">
        <w:rPr>
          <w:rFonts w:eastAsia="Arial" w:cs="Arial"/>
          <w:color w:val="000000" w:themeColor="text1"/>
          <w:sz w:val="20"/>
          <w:szCs w:val="20"/>
        </w:rPr>
        <w:t xml:space="preserve"> work closely with NIRAS</w:t>
      </w:r>
      <w:r w:rsidR="00AF46E3">
        <w:rPr>
          <w:rFonts w:eastAsia="Arial" w:cs="Arial"/>
          <w:color w:val="000000" w:themeColor="text1"/>
          <w:sz w:val="20"/>
          <w:szCs w:val="20"/>
        </w:rPr>
        <w:t xml:space="preserve"> through development of an agreed MOU</w:t>
      </w:r>
      <w:r w:rsidR="00524564">
        <w:rPr>
          <w:rFonts w:eastAsia="Arial" w:cs="Arial"/>
          <w:color w:val="000000" w:themeColor="text1"/>
          <w:sz w:val="20"/>
          <w:szCs w:val="20"/>
        </w:rPr>
        <w:t xml:space="preserve"> and</w:t>
      </w:r>
      <w:r w:rsidR="00AF46E3">
        <w:rPr>
          <w:rFonts w:eastAsia="Arial" w:cs="Arial"/>
          <w:color w:val="000000" w:themeColor="text1"/>
          <w:sz w:val="20"/>
          <w:szCs w:val="20"/>
        </w:rPr>
        <w:t xml:space="preserve"> will</w:t>
      </w:r>
      <w:r w:rsidRPr="004D4C87">
        <w:rPr>
          <w:rFonts w:eastAsia="Arial" w:cs="Arial"/>
          <w:color w:val="000000" w:themeColor="text1"/>
          <w:sz w:val="20"/>
          <w:szCs w:val="20"/>
        </w:rPr>
        <w:t xml:space="preserve"> build </w:t>
      </w:r>
      <w:r w:rsidR="00524564">
        <w:rPr>
          <w:rFonts w:eastAsia="Arial" w:cs="Arial"/>
          <w:color w:val="000000" w:themeColor="text1"/>
          <w:sz w:val="20"/>
          <w:szCs w:val="20"/>
        </w:rPr>
        <w:t>up</w:t>
      </w:r>
      <w:r w:rsidRPr="004D4C87">
        <w:rPr>
          <w:rFonts w:eastAsia="Arial" w:cs="Arial"/>
          <w:color w:val="000000" w:themeColor="text1"/>
          <w:sz w:val="20"/>
          <w:szCs w:val="20"/>
        </w:rPr>
        <w:t xml:space="preserve">on current </w:t>
      </w:r>
      <w:r w:rsidR="00AF46E3">
        <w:rPr>
          <w:rFonts w:eastAsia="Arial" w:cs="Arial"/>
          <w:color w:val="000000" w:themeColor="text1"/>
          <w:sz w:val="20"/>
          <w:szCs w:val="20"/>
        </w:rPr>
        <w:t xml:space="preserve">Defra and NIRAS </w:t>
      </w:r>
      <w:r w:rsidRPr="004D4C87">
        <w:rPr>
          <w:rFonts w:eastAsia="Arial" w:cs="Arial"/>
          <w:color w:val="000000" w:themeColor="text1"/>
          <w:sz w:val="20"/>
          <w:szCs w:val="20"/>
        </w:rPr>
        <w:t>programme monitoring and learning cycles.</w:t>
      </w:r>
    </w:p>
    <w:p w14:paraId="75930E9C" w14:textId="77777777" w:rsidR="00D734A8" w:rsidRPr="00D734A8" w:rsidRDefault="00D734A8" w:rsidP="00381E1B">
      <w:pPr>
        <w:jc w:val="both"/>
        <w:rPr>
          <w:b/>
          <w:bCs/>
          <w:sz w:val="20"/>
          <w:szCs w:val="20"/>
        </w:rPr>
      </w:pPr>
    </w:p>
    <w:p w14:paraId="40CB6748" w14:textId="75B2EA1F" w:rsidR="00EC5609" w:rsidRPr="00EB0F20" w:rsidRDefault="002F39A7" w:rsidP="00381E1B">
      <w:pPr>
        <w:spacing w:after="160" w:line="276" w:lineRule="auto"/>
        <w:jc w:val="both"/>
        <w:rPr>
          <w:sz w:val="20"/>
          <w:szCs w:val="20"/>
        </w:rPr>
      </w:pPr>
      <w:r>
        <w:rPr>
          <w:rFonts w:eastAsia="Arial" w:cs="Arial"/>
          <w:color w:val="000000" w:themeColor="text1"/>
          <w:sz w:val="20"/>
          <w:szCs w:val="20"/>
        </w:rPr>
        <w:t>A</w:t>
      </w:r>
      <w:r w:rsidR="007F664F" w:rsidRPr="007F664F">
        <w:rPr>
          <w:rFonts w:eastAsia="Arial" w:cs="Arial"/>
          <w:color w:val="000000" w:themeColor="text1"/>
          <w:sz w:val="20"/>
          <w:szCs w:val="20"/>
        </w:rPr>
        <w:t xml:space="preserve"> Performance Management Framework (PMF), is used to monitor, measure, and control the </w:t>
      </w:r>
      <w:r w:rsidR="001D5270">
        <w:rPr>
          <w:rFonts w:eastAsia="Arial" w:cs="Arial"/>
          <w:color w:val="000000" w:themeColor="text1"/>
          <w:sz w:val="20"/>
          <w:szCs w:val="20"/>
        </w:rPr>
        <w:t>GA’s</w:t>
      </w:r>
      <w:r w:rsidR="007F664F" w:rsidRPr="007F664F">
        <w:rPr>
          <w:rFonts w:eastAsia="Arial" w:cs="Arial"/>
          <w:color w:val="000000" w:themeColor="text1"/>
          <w:sz w:val="20"/>
          <w:szCs w:val="20"/>
        </w:rPr>
        <w:t xml:space="preserve"> performance of contract responsibilities. Current PMF K</w:t>
      </w:r>
      <w:r w:rsidR="005C7F80">
        <w:rPr>
          <w:rFonts w:eastAsia="Arial" w:cs="Arial"/>
          <w:color w:val="000000" w:themeColor="text1"/>
          <w:sz w:val="20"/>
          <w:szCs w:val="20"/>
        </w:rPr>
        <w:t xml:space="preserve">ey </w:t>
      </w:r>
      <w:r w:rsidR="007F664F" w:rsidRPr="007F664F">
        <w:rPr>
          <w:rFonts w:eastAsia="Arial" w:cs="Arial"/>
          <w:color w:val="000000" w:themeColor="text1"/>
          <w:sz w:val="20"/>
          <w:szCs w:val="20"/>
        </w:rPr>
        <w:t>P</w:t>
      </w:r>
      <w:r w:rsidR="005C7F80">
        <w:rPr>
          <w:rFonts w:eastAsia="Arial" w:cs="Arial"/>
          <w:color w:val="000000" w:themeColor="text1"/>
          <w:sz w:val="20"/>
          <w:szCs w:val="20"/>
        </w:rPr>
        <w:t xml:space="preserve">erformance </w:t>
      </w:r>
      <w:r w:rsidR="007F664F" w:rsidRPr="007F664F">
        <w:rPr>
          <w:rFonts w:eastAsia="Arial" w:cs="Arial"/>
          <w:color w:val="000000" w:themeColor="text1"/>
          <w:sz w:val="20"/>
          <w:szCs w:val="20"/>
        </w:rPr>
        <w:t>I</w:t>
      </w:r>
      <w:r w:rsidR="005C7F80">
        <w:rPr>
          <w:rFonts w:eastAsia="Arial" w:cs="Arial"/>
          <w:color w:val="000000" w:themeColor="text1"/>
          <w:sz w:val="20"/>
          <w:szCs w:val="20"/>
        </w:rPr>
        <w:t>ndicators (KPIs)</w:t>
      </w:r>
      <w:r w:rsidR="007F664F" w:rsidRPr="007F664F">
        <w:rPr>
          <w:rFonts w:eastAsia="Arial" w:cs="Arial"/>
          <w:color w:val="000000" w:themeColor="text1"/>
          <w:sz w:val="20"/>
          <w:szCs w:val="20"/>
        </w:rPr>
        <w:t xml:space="preserve"> monitor </w:t>
      </w:r>
      <w:r w:rsidR="006D096D">
        <w:rPr>
          <w:rFonts w:eastAsia="Arial" w:cs="Arial"/>
          <w:color w:val="000000" w:themeColor="text1"/>
          <w:sz w:val="20"/>
          <w:szCs w:val="20"/>
        </w:rPr>
        <w:t xml:space="preserve">the </w:t>
      </w:r>
      <w:r w:rsidR="001D5270">
        <w:rPr>
          <w:rFonts w:eastAsia="Arial" w:cs="Arial"/>
          <w:color w:val="000000" w:themeColor="text1"/>
          <w:sz w:val="20"/>
          <w:szCs w:val="20"/>
        </w:rPr>
        <w:t>GA’s</w:t>
      </w:r>
      <w:r w:rsidR="007F664F" w:rsidRPr="007F664F">
        <w:rPr>
          <w:rFonts w:eastAsia="Arial" w:cs="Arial"/>
          <w:color w:val="000000" w:themeColor="text1"/>
          <w:sz w:val="20"/>
          <w:szCs w:val="20"/>
        </w:rPr>
        <w:t xml:space="preserve"> service levels for eight weighted contracted workstreams as outlined </w:t>
      </w:r>
      <w:bookmarkStart w:id="2" w:name="_Hlk173839521"/>
      <w:r w:rsidR="00EC5609" w:rsidRPr="00C73533">
        <w:rPr>
          <w:sz w:val="20"/>
          <w:szCs w:val="20"/>
        </w:rPr>
        <w:t xml:space="preserve">below with a narrative of their status:      </w:t>
      </w:r>
      <w:bookmarkEnd w:id="2"/>
    </w:p>
    <w:p w14:paraId="56460242" w14:textId="30DF583F" w:rsidR="00EC5609" w:rsidRPr="003D0526" w:rsidRDefault="00EC5609" w:rsidP="00381E1B">
      <w:pPr>
        <w:spacing w:after="160" w:line="276" w:lineRule="auto"/>
        <w:jc w:val="both"/>
        <w:rPr>
          <w:rFonts w:eastAsia="Arial" w:cs="Arial"/>
          <w:color w:val="000000" w:themeColor="text1"/>
          <w:sz w:val="20"/>
          <w:szCs w:val="20"/>
        </w:rPr>
      </w:pPr>
      <w:r w:rsidRPr="003D0526">
        <w:rPr>
          <w:rFonts w:eastAsia="Arial" w:cs="Arial"/>
          <w:b/>
          <w:bCs/>
          <w:color w:val="000000" w:themeColor="text1"/>
          <w:sz w:val="20"/>
          <w:szCs w:val="20"/>
        </w:rPr>
        <w:t xml:space="preserve">Workstream 1 Core Design &amp; Development of the Fund (20% weighting). </w:t>
      </w:r>
      <w:r w:rsidRPr="003D0526">
        <w:rPr>
          <w:rFonts w:eastAsia="Arial" w:cs="Arial"/>
          <w:color w:val="000000" w:themeColor="text1"/>
          <w:sz w:val="20"/>
          <w:szCs w:val="20"/>
        </w:rPr>
        <w:t xml:space="preserve">KPI 1: Fund processes and tools are delivered in full and on time, enabling the successful launch of OCEAN funding rounds and continued development and improvement of the Fund. </w:t>
      </w:r>
      <w:r w:rsidRPr="00261BF0">
        <w:rPr>
          <w:rFonts w:eastAsia="Arial" w:cs="Arial"/>
          <w:i/>
          <w:iCs/>
          <w:color w:val="000000" w:themeColor="text1"/>
          <w:sz w:val="20"/>
          <w:szCs w:val="20"/>
        </w:rPr>
        <w:t>(Meeting expectations)</w:t>
      </w:r>
    </w:p>
    <w:p w14:paraId="56D1744B" w14:textId="61A79B0A" w:rsidR="00EC5609" w:rsidRPr="002843D4" w:rsidRDefault="002C196F" w:rsidP="00AD1823">
      <w:pPr>
        <w:pStyle w:val="ListParagraph"/>
        <w:numPr>
          <w:ilvl w:val="0"/>
          <w:numId w:val="26"/>
        </w:numPr>
        <w:spacing w:after="160" w:line="276" w:lineRule="auto"/>
        <w:jc w:val="both"/>
        <w:rPr>
          <w:rFonts w:eastAsia="Arial" w:cs="Arial"/>
          <w:color w:val="000000" w:themeColor="text1"/>
          <w:sz w:val="20"/>
        </w:rPr>
      </w:pPr>
      <w:r>
        <w:rPr>
          <w:rFonts w:eastAsia="Arial" w:cs="Arial"/>
          <w:color w:val="000000" w:themeColor="text1"/>
          <w:sz w:val="20"/>
        </w:rPr>
        <w:t>W</w:t>
      </w:r>
      <w:r w:rsidR="00B67B23">
        <w:rPr>
          <w:rFonts w:eastAsia="Arial" w:cs="Arial"/>
          <w:color w:val="000000" w:themeColor="text1"/>
          <w:sz w:val="20"/>
        </w:rPr>
        <w:t>ebsite,</w:t>
      </w:r>
      <w:r>
        <w:rPr>
          <w:rFonts w:eastAsia="Arial" w:cs="Arial"/>
          <w:color w:val="000000" w:themeColor="text1"/>
          <w:sz w:val="20"/>
        </w:rPr>
        <w:t xml:space="preserve"> guidance</w:t>
      </w:r>
      <w:r w:rsidR="00760384">
        <w:rPr>
          <w:rFonts w:eastAsia="Arial" w:cs="Arial"/>
          <w:color w:val="000000" w:themeColor="text1"/>
          <w:sz w:val="20"/>
        </w:rPr>
        <w:t>, application forms and</w:t>
      </w:r>
      <w:r w:rsidR="00B67B23">
        <w:rPr>
          <w:rFonts w:eastAsia="Arial" w:cs="Arial"/>
          <w:color w:val="000000" w:themeColor="text1"/>
          <w:sz w:val="20"/>
        </w:rPr>
        <w:t xml:space="preserve"> </w:t>
      </w:r>
      <w:r w:rsidR="00AF4B21">
        <w:rPr>
          <w:rFonts w:eastAsia="Arial" w:cs="Arial"/>
          <w:color w:val="000000" w:themeColor="text1"/>
          <w:sz w:val="20"/>
        </w:rPr>
        <w:t>online portal</w:t>
      </w:r>
      <w:r w:rsidR="001D784F">
        <w:rPr>
          <w:rFonts w:eastAsia="Arial" w:cs="Arial"/>
          <w:color w:val="000000" w:themeColor="text1"/>
          <w:sz w:val="20"/>
        </w:rPr>
        <w:t xml:space="preserve"> and Help</w:t>
      </w:r>
      <w:r w:rsidR="004C5425">
        <w:rPr>
          <w:rFonts w:eastAsia="Arial" w:cs="Arial"/>
          <w:color w:val="000000" w:themeColor="text1"/>
          <w:sz w:val="20"/>
        </w:rPr>
        <w:t xml:space="preserve"> </w:t>
      </w:r>
      <w:r w:rsidR="001D784F">
        <w:rPr>
          <w:rFonts w:eastAsia="Arial" w:cs="Arial"/>
          <w:color w:val="000000" w:themeColor="text1"/>
          <w:sz w:val="20"/>
        </w:rPr>
        <w:t>Desk support</w:t>
      </w:r>
      <w:r w:rsidR="00AF4B21">
        <w:rPr>
          <w:rFonts w:eastAsia="Arial" w:cs="Arial"/>
          <w:color w:val="000000" w:themeColor="text1"/>
          <w:sz w:val="20"/>
        </w:rPr>
        <w:t xml:space="preserve"> delivered in full</w:t>
      </w:r>
      <w:r w:rsidR="00EB26A9">
        <w:rPr>
          <w:rFonts w:eastAsia="Arial" w:cs="Arial"/>
          <w:color w:val="000000" w:themeColor="text1"/>
          <w:sz w:val="20"/>
        </w:rPr>
        <w:t xml:space="preserve"> </w:t>
      </w:r>
      <w:r w:rsidR="00EC5609" w:rsidRPr="003D0526">
        <w:rPr>
          <w:rFonts w:eastAsia="Arial" w:cs="Arial"/>
          <w:color w:val="000000" w:themeColor="text1"/>
          <w:sz w:val="20"/>
        </w:rPr>
        <w:t>to agreed timelines</w:t>
      </w:r>
      <w:r w:rsidR="00AF4B21">
        <w:rPr>
          <w:rFonts w:eastAsia="Arial" w:cs="Arial"/>
          <w:color w:val="000000" w:themeColor="text1"/>
          <w:sz w:val="20"/>
        </w:rPr>
        <w:t xml:space="preserve"> affording successful launch of round 1.</w:t>
      </w:r>
      <w:r w:rsidR="001D6CE8" w:rsidRPr="002843D4">
        <w:rPr>
          <w:rFonts w:eastAsia="Arial" w:cs="Arial"/>
          <w:color w:val="000000" w:themeColor="text1"/>
          <w:sz w:val="20"/>
        </w:rPr>
        <w:t xml:space="preserve">  </w:t>
      </w:r>
    </w:p>
    <w:p w14:paraId="3C6744AD" w14:textId="77777777" w:rsidR="00EC5609" w:rsidRPr="003D0526" w:rsidRDefault="00EC5609" w:rsidP="00AD1823">
      <w:pPr>
        <w:pStyle w:val="ListParagraph"/>
        <w:numPr>
          <w:ilvl w:val="0"/>
          <w:numId w:val="26"/>
        </w:numPr>
        <w:spacing w:after="160" w:line="276" w:lineRule="auto"/>
        <w:jc w:val="both"/>
        <w:rPr>
          <w:rFonts w:eastAsia="Arial" w:cs="Arial"/>
          <w:color w:val="000000" w:themeColor="text1"/>
          <w:sz w:val="20"/>
        </w:rPr>
      </w:pPr>
      <w:r w:rsidRPr="003D0526">
        <w:rPr>
          <w:rFonts w:eastAsia="Arial" w:cs="Arial"/>
          <w:color w:val="000000" w:themeColor="text1"/>
          <w:sz w:val="20"/>
        </w:rPr>
        <w:t>Recommendations Tracker set up, managed, monitored and reviewed on monthly basis, with recommendations prioritised by Defra and NIRAS team and actioned by NIRAS.</w:t>
      </w:r>
    </w:p>
    <w:p w14:paraId="60C27C1C" w14:textId="03492BA7" w:rsidR="00EC5609" w:rsidRPr="003D0526" w:rsidRDefault="00EC5609" w:rsidP="00381E1B">
      <w:pPr>
        <w:spacing w:after="160" w:line="276" w:lineRule="auto"/>
        <w:jc w:val="both"/>
        <w:rPr>
          <w:rFonts w:eastAsia="Arial" w:cs="Arial"/>
          <w:b/>
          <w:bCs/>
          <w:color w:val="000000" w:themeColor="text1"/>
          <w:sz w:val="20"/>
          <w:szCs w:val="20"/>
        </w:rPr>
      </w:pPr>
      <w:r w:rsidRPr="003D0526">
        <w:rPr>
          <w:rFonts w:eastAsia="Arial" w:cs="Arial"/>
          <w:b/>
          <w:bCs/>
          <w:color w:val="000000" w:themeColor="text1"/>
          <w:sz w:val="20"/>
          <w:szCs w:val="20"/>
        </w:rPr>
        <w:t xml:space="preserve">Workstream 2: Supporting Projects and Applications (15% weighting). </w:t>
      </w:r>
      <w:r w:rsidRPr="003D0526">
        <w:rPr>
          <w:rFonts w:eastAsia="Arial" w:cs="Arial"/>
          <w:color w:val="000000" w:themeColor="text1"/>
          <w:sz w:val="20"/>
          <w:szCs w:val="20"/>
        </w:rPr>
        <w:t xml:space="preserve">KPI 2: High Delivery Partner performance and strong applications are enabled by adaptive and tailored support provided by the </w:t>
      </w:r>
      <w:r w:rsidR="001D5270">
        <w:rPr>
          <w:rFonts w:eastAsia="Arial" w:cs="Arial"/>
          <w:color w:val="000000" w:themeColor="text1"/>
          <w:sz w:val="20"/>
          <w:szCs w:val="20"/>
        </w:rPr>
        <w:t>GA</w:t>
      </w:r>
      <w:r w:rsidRPr="003D0526">
        <w:rPr>
          <w:rFonts w:eastAsia="Arial" w:cs="Arial"/>
          <w:color w:val="000000" w:themeColor="text1"/>
          <w:sz w:val="20"/>
          <w:szCs w:val="20"/>
        </w:rPr>
        <w:t xml:space="preserve">. </w:t>
      </w:r>
      <w:r w:rsidRPr="004A2F19">
        <w:rPr>
          <w:rFonts w:eastAsia="Arial" w:cs="Arial"/>
          <w:i/>
          <w:iCs/>
          <w:color w:val="000000" w:themeColor="text1"/>
          <w:sz w:val="20"/>
          <w:szCs w:val="20"/>
        </w:rPr>
        <w:t>(Meeting expectations)</w:t>
      </w:r>
    </w:p>
    <w:p w14:paraId="20202128" w14:textId="188D2A72" w:rsidR="00EC5609" w:rsidRDefault="00EC5609" w:rsidP="00AD1823">
      <w:pPr>
        <w:pStyle w:val="ListParagraph"/>
        <w:numPr>
          <w:ilvl w:val="0"/>
          <w:numId w:val="25"/>
        </w:numPr>
        <w:spacing w:after="160" w:line="276" w:lineRule="auto"/>
        <w:jc w:val="both"/>
        <w:rPr>
          <w:rFonts w:eastAsia="Arial" w:cs="Arial"/>
          <w:color w:val="000000" w:themeColor="text1"/>
          <w:sz w:val="20"/>
        </w:rPr>
      </w:pPr>
      <w:r w:rsidRPr="003D0526">
        <w:rPr>
          <w:rFonts w:eastAsia="Arial" w:cs="Arial"/>
          <w:color w:val="000000" w:themeColor="text1"/>
          <w:sz w:val="20"/>
        </w:rPr>
        <w:t xml:space="preserve">Help Desk </w:t>
      </w:r>
      <w:r w:rsidR="008E15E3">
        <w:rPr>
          <w:rFonts w:eastAsia="Arial" w:cs="Arial"/>
          <w:color w:val="000000" w:themeColor="text1"/>
          <w:sz w:val="20"/>
        </w:rPr>
        <w:t xml:space="preserve">established </w:t>
      </w:r>
      <w:r w:rsidR="00352ABE">
        <w:rPr>
          <w:rFonts w:eastAsia="Arial" w:cs="Arial"/>
          <w:color w:val="000000" w:themeColor="text1"/>
          <w:sz w:val="20"/>
        </w:rPr>
        <w:t xml:space="preserve">to </w:t>
      </w:r>
      <w:r w:rsidR="0056397F">
        <w:rPr>
          <w:rFonts w:eastAsia="Arial" w:cs="Arial"/>
          <w:color w:val="000000" w:themeColor="text1"/>
          <w:sz w:val="20"/>
        </w:rPr>
        <w:t xml:space="preserve">support </w:t>
      </w:r>
      <w:r w:rsidR="00352ABE">
        <w:rPr>
          <w:rFonts w:eastAsia="Arial" w:cs="Arial"/>
          <w:color w:val="000000" w:themeColor="text1"/>
          <w:sz w:val="20"/>
        </w:rPr>
        <w:t>applicants</w:t>
      </w:r>
      <w:r w:rsidR="00396435">
        <w:rPr>
          <w:rFonts w:eastAsia="Arial" w:cs="Arial"/>
          <w:color w:val="000000" w:themeColor="text1"/>
          <w:sz w:val="20"/>
        </w:rPr>
        <w:t xml:space="preserve"> throughout</w:t>
      </w:r>
      <w:r w:rsidR="00B435D5">
        <w:rPr>
          <w:rFonts w:eastAsia="Arial" w:cs="Arial"/>
          <w:color w:val="000000" w:themeColor="text1"/>
          <w:sz w:val="20"/>
        </w:rPr>
        <w:t xml:space="preserve"> the fund cycle</w:t>
      </w:r>
      <w:r w:rsidR="00352ABE">
        <w:rPr>
          <w:rFonts w:eastAsia="Arial" w:cs="Arial"/>
          <w:color w:val="000000" w:themeColor="text1"/>
          <w:sz w:val="20"/>
        </w:rPr>
        <w:t xml:space="preserve"> </w:t>
      </w:r>
      <w:r w:rsidR="009D247C" w:rsidRPr="009D247C">
        <w:rPr>
          <w:rFonts w:eastAsia="Arial" w:cs="Arial"/>
          <w:color w:val="000000" w:themeColor="text1"/>
          <w:sz w:val="20"/>
        </w:rPr>
        <w:t xml:space="preserve">with an average response time of less than 1 working day </w:t>
      </w:r>
      <w:r w:rsidR="00370661">
        <w:rPr>
          <w:rFonts w:eastAsia="Arial" w:cs="Arial"/>
          <w:color w:val="000000" w:themeColor="text1"/>
          <w:sz w:val="20"/>
        </w:rPr>
        <w:t xml:space="preserve">and </w:t>
      </w:r>
      <w:r w:rsidR="00E84EE2">
        <w:rPr>
          <w:rFonts w:eastAsia="Arial" w:cs="Arial"/>
          <w:color w:val="000000" w:themeColor="text1"/>
          <w:sz w:val="20"/>
        </w:rPr>
        <w:t xml:space="preserve">scoring </w:t>
      </w:r>
      <w:r w:rsidRPr="00BB404A">
        <w:rPr>
          <w:rFonts w:eastAsia="Arial" w:cs="Arial"/>
          <w:color w:val="000000" w:themeColor="text1"/>
          <w:sz w:val="20"/>
        </w:rPr>
        <w:t xml:space="preserve">90% applicant </w:t>
      </w:r>
      <w:r w:rsidR="00370661">
        <w:rPr>
          <w:rFonts w:eastAsia="Arial" w:cs="Arial"/>
          <w:color w:val="000000" w:themeColor="text1"/>
          <w:sz w:val="20"/>
        </w:rPr>
        <w:t xml:space="preserve">feedback </w:t>
      </w:r>
      <w:r w:rsidRPr="00BB404A">
        <w:rPr>
          <w:rFonts w:eastAsia="Arial" w:cs="Arial"/>
          <w:color w:val="000000" w:themeColor="text1"/>
          <w:sz w:val="20"/>
        </w:rPr>
        <w:t>satisfaction.</w:t>
      </w:r>
    </w:p>
    <w:p w14:paraId="428FBF4D" w14:textId="09B7517C" w:rsidR="00903D53" w:rsidRPr="00BB404A" w:rsidRDefault="00396435" w:rsidP="00AD1823">
      <w:pPr>
        <w:pStyle w:val="ListParagraph"/>
        <w:numPr>
          <w:ilvl w:val="0"/>
          <w:numId w:val="25"/>
        </w:numPr>
        <w:spacing w:after="160" w:line="276" w:lineRule="auto"/>
        <w:jc w:val="both"/>
        <w:rPr>
          <w:rFonts w:eastAsia="Arial" w:cs="Arial"/>
          <w:color w:val="000000" w:themeColor="text1"/>
          <w:sz w:val="20"/>
        </w:rPr>
      </w:pPr>
      <w:r w:rsidRPr="00396435">
        <w:rPr>
          <w:rFonts w:eastAsia="Arial" w:cs="Arial"/>
          <w:color w:val="000000" w:themeColor="text1"/>
          <w:sz w:val="20"/>
        </w:rPr>
        <w:lastRenderedPageBreak/>
        <w:t>A total of 22 webinars and workshops were delivered, to share information on OCEAN, how to apply, provide training on project design and proposal development, and provided targeted support to solve problems during the application process.</w:t>
      </w:r>
    </w:p>
    <w:p w14:paraId="248C6257" w14:textId="387B295C" w:rsidR="004C5425" w:rsidRPr="003D0526" w:rsidRDefault="00903D53" w:rsidP="00AD1823">
      <w:pPr>
        <w:pStyle w:val="ListParagraph"/>
        <w:numPr>
          <w:ilvl w:val="0"/>
          <w:numId w:val="25"/>
        </w:numPr>
        <w:spacing w:after="160" w:line="276" w:lineRule="auto"/>
        <w:jc w:val="both"/>
        <w:rPr>
          <w:rFonts w:eastAsia="Arial" w:cs="Arial"/>
          <w:color w:val="000000" w:themeColor="text1"/>
          <w:sz w:val="20"/>
        </w:rPr>
      </w:pPr>
      <w:r>
        <w:rPr>
          <w:rFonts w:eastAsia="Arial" w:cs="Arial"/>
          <w:color w:val="000000" w:themeColor="text1"/>
          <w:sz w:val="20"/>
        </w:rPr>
        <w:t>Detailed f</w:t>
      </w:r>
      <w:r w:rsidR="004C5425">
        <w:rPr>
          <w:rFonts w:eastAsia="Arial" w:cs="Arial"/>
          <w:color w:val="000000" w:themeColor="text1"/>
          <w:sz w:val="20"/>
        </w:rPr>
        <w:t>eedback</w:t>
      </w:r>
      <w:r>
        <w:rPr>
          <w:rFonts w:eastAsia="Arial" w:cs="Arial"/>
          <w:color w:val="000000" w:themeColor="text1"/>
          <w:sz w:val="20"/>
        </w:rPr>
        <w:t xml:space="preserve"> and recommendations</w:t>
      </w:r>
      <w:r w:rsidR="00DE6353" w:rsidRPr="00DE6353">
        <w:t xml:space="preserve"> </w:t>
      </w:r>
      <w:r w:rsidR="00DE6353" w:rsidRPr="00DE6353">
        <w:rPr>
          <w:rFonts w:eastAsia="Arial" w:cs="Arial"/>
          <w:color w:val="000000" w:themeColor="text1"/>
          <w:sz w:val="20"/>
        </w:rPr>
        <w:t xml:space="preserve">letters </w:t>
      </w:r>
      <w:r w:rsidR="00E84EE2">
        <w:rPr>
          <w:rFonts w:eastAsia="Arial" w:cs="Arial"/>
          <w:color w:val="000000" w:themeColor="text1"/>
          <w:sz w:val="20"/>
        </w:rPr>
        <w:t xml:space="preserve">provided </w:t>
      </w:r>
      <w:r w:rsidR="00DE6353" w:rsidRPr="00DE6353">
        <w:rPr>
          <w:rFonts w:eastAsia="Arial" w:cs="Arial"/>
          <w:color w:val="000000" w:themeColor="text1"/>
          <w:sz w:val="20"/>
        </w:rPr>
        <w:t xml:space="preserve">to all </w:t>
      </w:r>
      <w:r>
        <w:rPr>
          <w:rFonts w:eastAsia="Arial" w:cs="Arial"/>
          <w:color w:val="000000" w:themeColor="text1"/>
          <w:sz w:val="20"/>
        </w:rPr>
        <w:t xml:space="preserve">694 </w:t>
      </w:r>
      <w:r w:rsidR="00DE6353" w:rsidRPr="00DE6353">
        <w:rPr>
          <w:rFonts w:eastAsia="Arial" w:cs="Arial"/>
          <w:color w:val="000000" w:themeColor="text1"/>
          <w:sz w:val="20"/>
        </w:rPr>
        <w:t xml:space="preserve">applicants, regardless of outcome, to support </w:t>
      </w:r>
      <w:r>
        <w:rPr>
          <w:rFonts w:eastAsia="Arial" w:cs="Arial"/>
          <w:color w:val="000000" w:themeColor="text1"/>
          <w:sz w:val="20"/>
        </w:rPr>
        <w:t xml:space="preserve">and </w:t>
      </w:r>
      <w:r w:rsidR="00DE6353" w:rsidRPr="00DE6353">
        <w:rPr>
          <w:rFonts w:eastAsia="Arial" w:cs="Arial"/>
          <w:color w:val="000000" w:themeColor="text1"/>
          <w:sz w:val="20"/>
        </w:rPr>
        <w:t xml:space="preserve">improve </w:t>
      </w:r>
      <w:r>
        <w:rPr>
          <w:rFonts w:eastAsia="Arial" w:cs="Arial"/>
          <w:color w:val="000000" w:themeColor="text1"/>
          <w:sz w:val="20"/>
        </w:rPr>
        <w:t xml:space="preserve">current and </w:t>
      </w:r>
      <w:r w:rsidR="00DE6353" w:rsidRPr="00DE6353">
        <w:rPr>
          <w:rFonts w:eastAsia="Arial" w:cs="Arial"/>
          <w:color w:val="000000" w:themeColor="text1"/>
          <w:sz w:val="20"/>
        </w:rPr>
        <w:t>future applications for funding.</w:t>
      </w:r>
    </w:p>
    <w:p w14:paraId="0BA4ACFD" w14:textId="291C5314" w:rsidR="00EC5609" w:rsidRDefault="00EC5609" w:rsidP="00381E1B">
      <w:pPr>
        <w:spacing w:after="160" w:line="276" w:lineRule="auto"/>
        <w:jc w:val="both"/>
        <w:rPr>
          <w:rFonts w:cs="Arial"/>
          <w:sz w:val="20"/>
          <w:szCs w:val="20"/>
        </w:rPr>
      </w:pPr>
      <w:r w:rsidRPr="003D0526">
        <w:rPr>
          <w:rFonts w:cs="Arial"/>
          <w:b/>
          <w:bCs/>
          <w:sz w:val="20"/>
          <w:szCs w:val="20"/>
        </w:rPr>
        <w:t xml:space="preserve">Workstream 3: Annual Applicant Rounds: The Fund Cycle (15% weighting). </w:t>
      </w:r>
      <w:r w:rsidRPr="003D0526">
        <w:rPr>
          <w:rFonts w:cs="Arial"/>
          <w:sz w:val="20"/>
          <w:szCs w:val="20"/>
        </w:rPr>
        <w:t>KPI 3:</w:t>
      </w:r>
      <w:r w:rsidRPr="003D0526">
        <w:rPr>
          <w:rFonts w:cs="Arial"/>
          <w:b/>
          <w:bCs/>
          <w:sz w:val="20"/>
          <w:szCs w:val="20"/>
        </w:rPr>
        <w:t xml:space="preserve"> </w:t>
      </w:r>
      <w:r w:rsidRPr="003D0526">
        <w:rPr>
          <w:rFonts w:cs="Arial"/>
          <w:sz w:val="20"/>
          <w:szCs w:val="20"/>
        </w:rPr>
        <w:t>G</w:t>
      </w:r>
      <w:r w:rsidR="001D5270">
        <w:rPr>
          <w:rFonts w:cs="Arial"/>
          <w:sz w:val="20"/>
          <w:szCs w:val="20"/>
        </w:rPr>
        <w:t>A</w:t>
      </w:r>
      <w:r w:rsidRPr="003D0526">
        <w:rPr>
          <w:rFonts w:cs="Arial"/>
          <w:sz w:val="20"/>
          <w:szCs w:val="20"/>
        </w:rPr>
        <w:t xml:space="preserve">s implement effective administration and management of the </w:t>
      </w:r>
      <w:r w:rsidR="006D096D">
        <w:rPr>
          <w:rFonts w:cs="Arial"/>
          <w:sz w:val="20"/>
          <w:szCs w:val="20"/>
        </w:rPr>
        <w:t>a</w:t>
      </w:r>
      <w:r w:rsidRPr="003D0526">
        <w:rPr>
          <w:rFonts w:cs="Arial"/>
          <w:sz w:val="20"/>
          <w:szCs w:val="20"/>
        </w:rPr>
        <w:t xml:space="preserve">nnual </w:t>
      </w:r>
      <w:r w:rsidR="006D096D">
        <w:rPr>
          <w:rFonts w:cs="Arial"/>
          <w:sz w:val="20"/>
          <w:szCs w:val="20"/>
        </w:rPr>
        <w:t>a</w:t>
      </w:r>
      <w:r w:rsidRPr="003D0526">
        <w:rPr>
          <w:rFonts w:cs="Arial"/>
          <w:sz w:val="20"/>
          <w:szCs w:val="20"/>
        </w:rPr>
        <w:t xml:space="preserve">pplication </w:t>
      </w:r>
      <w:r w:rsidR="006D096D">
        <w:rPr>
          <w:rFonts w:cs="Arial"/>
          <w:sz w:val="20"/>
          <w:szCs w:val="20"/>
        </w:rPr>
        <w:t>r</w:t>
      </w:r>
      <w:r w:rsidRPr="003D0526">
        <w:rPr>
          <w:rFonts w:cs="Arial"/>
          <w:sz w:val="20"/>
          <w:szCs w:val="20"/>
        </w:rPr>
        <w:t>ound to support target applicants to submit applications.</w:t>
      </w:r>
      <w:r w:rsidR="004A2F19">
        <w:rPr>
          <w:rFonts w:cs="Arial"/>
          <w:sz w:val="20"/>
          <w:szCs w:val="20"/>
        </w:rPr>
        <w:t xml:space="preserve"> </w:t>
      </w:r>
      <w:r w:rsidR="004A2F19" w:rsidRPr="004A2F19">
        <w:rPr>
          <w:rFonts w:cs="Arial"/>
          <w:i/>
          <w:iCs/>
          <w:sz w:val="20"/>
          <w:szCs w:val="20"/>
        </w:rPr>
        <w:t>(Meeting expectations)</w:t>
      </w:r>
    </w:p>
    <w:p w14:paraId="36A564B4" w14:textId="37FBCC53" w:rsidR="0057312B" w:rsidRPr="00433045" w:rsidRDefault="000456E1" w:rsidP="00AD1823">
      <w:pPr>
        <w:pStyle w:val="ListParagraph"/>
        <w:numPr>
          <w:ilvl w:val="0"/>
          <w:numId w:val="24"/>
        </w:numPr>
        <w:spacing w:after="160" w:line="276" w:lineRule="auto"/>
        <w:jc w:val="both"/>
        <w:rPr>
          <w:rFonts w:eastAsia="Arial" w:cs="Arial"/>
          <w:color w:val="000000" w:themeColor="text1"/>
          <w:sz w:val="20"/>
        </w:rPr>
      </w:pPr>
      <w:r>
        <w:rPr>
          <w:rFonts w:eastAsia="Arial" w:cs="Arial"/>
          <w:color w:val="000000" w:themeColor="text1"/>
          <w:sz w:val="20"/>
        </w:rPr>
        <w:t>Effectively c</w:t>
      </w:r>
      <w:r w:rsidR="00433045" w:rsidRPr="00433045">
        <w:rPr>
          <w:rFonts w:eastAsia="Arial" w:cs="Arial"/>
          <w:color w:val="000000" w:themeColor="text1"/>
          <w:sz w:val="20"/>
        </w:rPr>
        <w:t xml:space="preserve">ompleted to time for Round 1 with Round 2 launch on track for </w:t>
      </w:r>
      <w:r w:rsidR="009F603B">
        <w:rPr>
          <w:rFonts w:eastAsia="Arial" w:cs="Arial"/>
          <w:color w:val="000000" w:themeColor="text1"/>
          <w:sz w:val="20"/>
        </w:rPr>
        <w:t>January 2025</w:t>
      </w:r>
      <w:r w:rsidR="00433045" w:rsidRPr="00433045">
        <w:rPr>
          <w:rFonts w:eastAsia="Arial" w:cs="Arial"/>
          <w:color w:val="000000" w:themeColor="text1"/>
          <w:sz w:val="20"/>
        </w:rPr>
        <w:t>.</w:t>
      </w:r>
    </w:p>
    <w:p w14:paraId="0240C434" w14:textId="3EABDC97" w:rsidR="00FA574D" w:rsidRPr="003D0526" w:rsidRDefault="00095090" w:rsidP="00381E1B">
      <w:pPr>
        <w:spacing w:after="160" w:line="276" w:lineRule="auto"/>
        <w:jc w:val="both"/>
        <w:rPr>
          <w:rFonts w:eastAsia="Arial" w:cs="Arial"/>
          <w:b/>
          <w:bCs/>
          <w:color w:val="000000" w:themeColor="text1"/>
          <w:sz w:val="20"/>
          <w:szCs w:val="20"/>
        </w:rPr>
      </w:pPr>
      <w:r w:rsidRPr="003D0526">
        <w:rPr>
          <w:rFonts w:eastAsia="Arial" w:cs="Arial"/>
          <w:b/>
          <w:bCs/>
          <w:color w:val="000000" w:themeColor="text1"/>
          <w:sz w:val="20"/>
          <w:szCs w:val="20"/>
        </w:rPr>
        <w:t>Workstream 4: The Expert Committee</w:t>
      </w:r>
      <w:r w:rsidR="003D0526" w:rsidRPr="003D0526">
        <w:rPr>
          <w:rFonts w:eastAsia="Arial" w:cs="Arial"/>
          <w:b/>
          <w:bCs/>
          <w:color w:val="000000" w:themeColor="text1"/>
          <w:sz w:val="20"/>
          <w:szCs w:val="20"/>
        </w:rPr>
        <w:t xml:space="preserve"> (10% weighting).</w:t>
      </w:r>
      <w:r w:rsidRPr="003D0526">
        <w:rPr>
          <w:rFonts w:eastAsia="Arial" w:cs="Arial"/>
          <w:b/>
          <w:bCs/>
          <w:color w:val="000000" w:themeColor="text1"/>
          <w:sz w:val="20"/>
          <w:szCs w:val="20"/>
        </w:rPr>
        <w:t> </w:t>
      </w:r>
      <w:r w:rsidR="003D0526" w:rsidRPr="003D0526">
        <w:rPr>
          <w:rFonts w:asciiTheme="minorHAnsi" w:hAnsiTheme="minorHAnsi"/>
          <w:sz w:val="20"/>
          <w:szCs w:val="20"/>
        </w:rPr>
        <w:t xml:space="preserve"> </w:t>
      </w:r>
      <w:r w:rsidR="003D0526" w:rsidRPr="003D0526">
        <w:rPr>
          <w:rFonts w:cs="Arial"/>
          <w:sz w:val="20"/>
          <w:szCs w:val="20"/>
        </w:rPr>
        <w:t>KPI 4: The Expert Committee is efficiently supported to ensure high quality application evaluation and approvals</w:t>
      </w:r>
      <w:r w:rsidR="003D0526">
        <w:rPr>
          <w:rFonts w:cs="Arial"/>
          <w:sz w:val="20"/>
          <w:szCs w:val="20"/>
        </w:rPr>
        <w:t>.</w:t>
      </w:r>
      <w:r w:rsidR="0057312B">
        <w:rPr>
          <w:rFonts w:cs="Arial"/>
          <w:sz w:val="20"/>
          <w:szCs w:val="20"/>
        </w:rPr>
        <w:t xml:space="preserve"> </w:t>
      </w:r>
      <w:r w:rsidR="0057312B" w:rsidRPr="004A2F19">
        <w:rPr>
          <w:rFonts w:cs="Arial"/>
          <w:i/>
          <w:iCs/>
          <w:sz w:val="20"/>
          <w:szCs w:val="20"/>
        </w:rPr>
        <w:t>(Meeting expectations)</w:t>
      </w:r>
    </w:p>
    <w:p w14:paraId="4E080F3C" w14:textId="609DF199" w:rsidR="00FA574D" w:rsidRPr="0078350C" w:rsidRDefault="0078350C" w:rsidP="00AD1823">
      <w:pPr>
        <w:pStyle w:val="ListParagraph"/>
        <w:numPr>
          <w:ilvl w:val="0"/>
          <w:numId w:val="23"/>
        </w:numPr>
        <w:spacing w:after="160" w:line="276" w:lineRule="auto"/>
        <w:jc w:val="both"/>
        <w:rPr>
          <w:rFonts w:eastAsia="Arial" w:cs="Arial"/>
          <w:i/>
          <w:iCs/>
          <w:color w:val="000000" w:themeColor="text1"/>
          <w:sz w:val="20"/>
        </w:rPr>
      </w:pPr>
      <w:r w:rsidRPr="00AF4F69">
        <w:rPr>
          <w:sz w:val="20"/>
        </w:rPr>
        <w:t xml:space="preserve">The Expert Committee </w:t>
      </w:r>
      <w:r w:rsidR="00793994">
        <w:rPr>
          <w:sz w:val="20"/>
        </w:rPr>
        <w:t>have been</w:t>
      </w:r>
      <w:r w:rsidR="0057312B">
        <w:rPr>
          <w:sz w:val="20"/>
        </w:rPr>
        <w:t xml:space="preserve"> </w:t>
      </w:r>
      <w:r w:rsidRPr="00AF4F69">
        <w:rPr>
          <w:sz w:val="20"/>
        </w:rPr>
        <w:t>provided with clear sift &amp; evaluation documents, guidance, and instruction on time to key delivery dates, requiring no substantive support to access, evaluate and return scored applications on time.</w:t>
      </w:r>
    </w:p>
    <w:p w14:paraId="598C4630" w14:textId="772BF931" w:rsidR="00CA79AB" w:rsidRPr="00D75A91" w:rsidRDefault="0048386F" w:rsidP="00381E1B">
      <w:pPr>
        <w:spacing w:after="160" w:line="276" w:lineRule="auto"/>
        <w:jc w:val="both"/>
        <w:rPr>
          <w:rFonts w:cs="Arial"/>
          <w:sz w:val="20"/>
          <w:szCs w:val="20"/>
        </w:rPr>
      </w:pPr>
      <w:r w:rsidRPr="0048386F">
        <w:rPr>
          <w:rFonts w:cs="Arial"/>
          <w:b/>
          <w:bCs/>
          <w:sz w:val="20"/>
          <w:szCs w:val="20"/>
        </w:rPr>
        <w:t>Workstream 5: Day to Day Project Management </w:t>
      </w:r>
      <w:r>
        <w:rPr>
          <w:rFonts w:cs="Arial"/>
          <w:b/>
          <w:bCs/>
          <w:sz w:val="20"/>
          <w:szCs w:val="20"/>
        </w:rPr>
        <w:t xml:space="preserve">(10% weighting). </w:t>
      </w:r>
      <w:r w:rsidRPr="0048386F">
        <w:rPr>
          <w:rFonts w:cs="Arial"/>
          <w:sz w:val="20"/>
          <w:szCs w:val="20"/>
        </w:rPr>
        <w:t>KPI 5:</w:t>
      </w:r>
      <w:r>
        <w:rPr>
          <w:rFonts w:cs="Arial"/>
          <w:b/>
          <w:bCs/>
          <w:sz w:val="20"/>
          <w:szCs w:val="20"/>
        </w:rPr>
        <w:t xml:space="preserve"> </w:t>
      </w:r>
      <w:r w:rsidR="00A76C82" w:rsidRPr="00A76C82">
        <w:rPr>
          <w:rFonts w:cs="Arial"/>
          <w:sz w:val="20"/>
          <w:szCs w:val="20"/>
        </w:rPr>
        <w:t>Management of projects, and their finances, are delivered to a high standard</w:t>
      </w:r>
      <w:r w:rsidR="00A76C82">
        <w:rPr>
          <w:rFonts w:cs="Arial"/>
          <w:sz w:val="20"/>
          <w:szCs w:val="20"/>
        </w:rPr>
        <w:t>.</w:t>
      </w:r>
      <w:r w:rsidR="00D75A91">
        <w:rPr>
          <w:rFonts w:cs="Arial"/>
          <w:sz w:val="20"/>
          <w:szCs w:val="20"/>
        </w:rPr>
        <w:t xml:space="preserve"> </w:t>
      </w:r>
      <w:r w:rsidR="00D75A91" w:rsidRPr="004A2F19">
        <w:rPr>
          <w:rFonts w:cs="Arial"/>
          <w:i/>
          <w:iCs/>
          <w:sz w:val="20"/>
          <w:szCs w:val="20"/>
        </w:rPr>
        <w:t>(</w:t>
      </w:r>
      <w:r w:rsidR="003D5345" w:rsidRPr="004A2F19">
        <w:rPr>
          <w:rFonts w:cs="Arial"/>
          <w:i/>
          <w:iCs/>
          <w:sz w:val="20"/>
        </w:rPr>
        <w:t>D</w:t>
      </w:r>
      <w:r w:rsidR="00547E0C" w:rsidRPr="004A2F19">
        <w:rPr>
          <w:rFonts w:cs="Arial"/>
          <w:i/>
          <w:iCs/>
          <w:sz w:val="20"/>
        </w:rPr>
        <w:t>ue to start in October 2024</w:t>
      </w:r>
      <w:r w:rsidR="00D75A91" w:rsidRPr="004A2F19">
        <w:rPr>
          <w:rFonts w:cs="Arial"/>
          <w:i/>
          <w:iCs/>
          <w:sz w:val="20"/>
        </w:rPr>
        <w:t>)</w:t>
      </w:r>
    </w:p>
    <w:p w14:paraId="6F8131B2" w14:textId="05932694" w:rsidR="00821F70" w:rsidRPr="004A2F19" w:rsidRDefault="00353ABC" w:rsidP="00381E1B">
      <w:pPr>
        <w:spacing w:after="160" w:line="276" w:lineRule="auto"/>
        <w:jc w:val="both"/>
        <w:rPr>
          <w:rFonts w:eastAsia="Arial" w:cs="Arial"/>
          <w:i/>
          <w:iCs/>
          <w:color w:val="000000" w:themeColor="text1"/>
          <w:sz w:val="20"/>
        </w:rPr>
      </w:pPr>
      <w:r w:rsidRPr="00CA79AB">
        <w:rPr>
          <w:rFonts w:eastAsia="Arial" w:cs="Arial"/>
          <w:b/>
          <w:bCs/>
          <w:color w:val="000000" w:themeColor="text1"/>
          <w:sz w:val="20"/>
        </w:rPr>
        <w:t>Workstream 6: New and Live Projects (</w:t>
      </w:r>
      <w:r w:rsidR="00BB3C5D" w:rsidRPr="00CA79AB">
        <w:rPr>
          <w:rFonts w:eastAsia="Arial" w:cs="Arial"/>
          <w:b/>
          <w:bCs/>
          <w:color w:val="000000" w:themeColor="text1"/>
          <w:sz w:val="20"/>
        </w:rPr>
        <w:t>10% weighting).</w:t>
      </w:r>
      <w:r w:rsidR="0003189C" w:rsidRPr="0003189C">
        <w:t xml:space="preserve"> </w:t>
      </w:r>
      <w:r w:rsidR="00F67781" w:rsidRPr="00AD1D7C">
        <w:rPr>
          <w:sz w:val="20"/>
          <w:szCs w:val="20"/>
        </w:rPr>
        <w:t>KPI 6</w:t>
      </w:r>
      <w:r w:rsidR="00AD1D7C" w:rsidRPr="00AD1D7C">
        <w:rPr>
          <w:sz w:val="20"/>
          <w:szCs w:val="20"/>
        </w:rPr>
        <w:t xml:space="preserve">: </w:t>
      </w:r>
      <w:r w:rsidR="0003189C" w:rsidRPr="00AD1D7C">
        <w:rPr>
          <w:rFonts w:eastAsia="Arial" w:cs="Arial"/>
          <w:color w:val="000000" w:themeColor="text1"/>
          <w:sz w:val="20"/>
          <w:szCs w:val="20"/>
        </w:rPr>
        <w:t>The Fund</w:t>
      </w:r>
      <w:r w:rsidR="0003189C" w:rsidRPr="00CA79AB">
        <w:rPr>
          <w:rFonts w:eastAsia="Arial" w:cs="Arial"/>
          <w:color w:val="000000" w:themeColor="text1"/>
          <w:sz w:val="20"/>
        </w:rPr>
        <w:t xml:space="preserve"> is managed in an agile and adaptive way, responding to risks and opportunities to strengthen performance.</w:t>
      </w:r>
      <w:r w:rsidR="00D03DDF" w:rsidRPr="003D5345">
        <w:rPr>
          <w:rFonts w:eastAsia="Arial" w:cs="Arial"/>
          <w:color w:val="000000" w:themeColor="text1"/>
          <w:sz w:val="20"/>
        </w:rPr>
        <w:t xml:space="preserve"> </w:t>
      </w:r>
      <w:r w:rsidR="00D03DDF" w:rsidRPr="004A2F19">
        <w:rPr>
          <w:rFonts w:eastAsia="Arial" w:cs="Arial"/>
          <w:i/>
          <w:iCs/>
          <w:color w:val="000000" w:themeColor="text1"/>
          <w:sz w:val="20"/>
        </w:rPr>
        <w:t>(</w:t>
      </w:r>
      <w:r w:rsidR="003D5345" w:rsidRPr="004A2F19">
        <w:rPr>
          <w:rFonts w:eastAsia="Arial" w:cs="Arial"/>
          <w:i/>
          <w:iCs/>
          <w:color w:val="000000" w:themeColor="text1"/>
          <w:sz w:val="20"/>
        </w:rPr>
        <w:t>D</w:t>
      </w:r>
      <w:r w:rsidR="00D03DDF" w:rsidRPr="004A2F19">
        <w:rPr>
          <w:rFonts w:eastAsia="Arial" w:cs="Arial"/>
          <w:i/>
          <w:iCs/>
          <w:color w:val="000000" w:themeColor="text1"/>
          <w:sz w:val="20"/>
        </w:rPr>
        <w:t>ue to start in October 2024</w:t>
      </w:r>
      <w:r w:rsidR="00D468BB">
        <w:rPr>
          <w:rFonts w:eastAsia="Arial" w:cs="Arial"/>
          <w:i/>
          <w:iCs/>
          <w:color w:val="000000" w:themeColor="text1"/>
          <w:sz w:val="20"/>
        </w:rPr>
        <w:t>)</w:t>
      </w:r>
      <w:r w:rsidR="00D03DDF" w:rsidRPr="004A2F19">
        <w:rPr>
          <w:rFonts w:eastAsia="Arial" w:cs="Arial"/>
          <w:i/>
          <w:iCs/>
          <w:color w:val="000000" w:themeColor="text1"/>
          <w:sz w:val="20"/>
        </w:rPr>
        <w:t xml:space="preserve"> </w:t>
      </w:r>
    </w:p>
    <w:p w14:paraId="75BCB965" w14:textId="793BB7B5" w:rsidR="00D734A8" w:rsidRDefault="00821F70" w:rsidP="00381E1B">
      <w:pPr>
        <w:spacing w:after="160" w:line="276" w:lineRule="auto"/>
        <w:jc w:val="both"/>
      </w:pPr>
      <w:r w:rsidRPr="00821F70">
        <w:rPr>
          <w:rFonts w:cs="Arial"/>
          <w:b/>
          <w:bCs/>
          <w:sz w:val="20"/>
          <w:szCs w:val="20"/>
        </w:rPr>
        <w:t>Workstream 7: Monitoring, Evaluation and Learning</w:t>
      </w:r>
      <w:r w:rsidR="00B95868">
        <w:rPr>
          <w:rFonts w:cs="Arial"/>
          <w:b/>
          <w:bCs/>
          <w:sz w:val="20"/>
          <w:szCs w:val="20"/>
        </w:rPr>
        <w:t xml:space="preserve"> (MEL) (</w:t>
      </w:r>
      <w:r>
        <w:rPr>
          <w:rFonts w:cs="Arial"/>
          <w:b/>
          <w:bCs/>
          <w:sz w:val="20"/>
          <w:szCs w:val="20"/>
        </w:rPr>
        <w:t xml:space="preserve">10% weighting). </w:t>
      </w:r>
      <w:r w:rsidR="00B430B2" w:rsidRPr="00B430B2">
        <w:rPr>
          <w:rFonts w:cs="Arial"/>
          <w:sz w:val="20"/>
          <w:szCs w:val="20"/>
        </w:rPr>
        <w:t>KPI 7:</w:t>
      </w:r>
      <w:r w:rsidR="00B430B2">
        <w:rPr>
          <w:rFonts w:cs="Arial"/>
          <w:b/>
          <w:bCs/>
          <w:sz w:val="20"/>
          <w:szCs w:val="20"/>
        </w:rPr>
        <w:t xml:space="preserve"> </w:t>
      </w:r>
      <w:r w:rsidR="00200214" w:rsidRPr="00200214">
        <w:rPr>
          <w:rFonts w:cs="Arial"/>
          <w:sz w:val="20"/>
          <w:szCs w:val="20"/>
        </w:rPr>
        <w:t>The performance of projects and the Fund is strengthened by adapting and responding to recommendations arising from feedback, projects and annual reviews</w:t>
      </w:r>
      <w:r w:rsidR="0012281F">
        <w:rPr>
          <w:rFonts w:cs="Arial"/>
          <w:sz w:val="20"/>
          <w:szCs w:val="20"/>
        </w:rPr>
        <w:t xml:space="preserve">. </w:t>
      </w:r>
      <w:r w:rsidR="0012281F" w:rsidRPr="004A2F19">
        <w:rPr>
          <w:rFonts w:cs="Arial"/>
          <w:i/>
          <w:iCs/>
          <w:sz w:val="20"/>
          <w:szCs w:val="20"/>
        </w:rPr>
        <w:t>(Meeting expectations)</w:t>
      </w:r>
    </w:p>
    <w:p w14:paraId="71BCA2C4" w14:textId="77777777" w:rsidR="00A67E06" w:rsidRDefault="0018018F" w:rsidP="00AD1823">
      <w:pPr>
        <w:pStyle w:val="ListParagraph"/>
        <w:numPr>
          <w:ilvl w:val="0"/>
          <w:numId w:val="22"/>
        </w:numPr>
        <w:spacing w:after="160" w:line="276" w:lineRule="auto"/>
        <w:jc w:val="both"/>
        <w:rPr>
          <w:rFonts w:cs="Arial"/>
          <w:sz w:val="20"/>
        </w:rPr>
      </w:pPr>
      <w:r>
        <w:rPr>
          <w:rFonts w:cs="Arial"/>
          <w:sz w:val="20"/>
        </w:rPr>
        <w:t>I</w:t>
      </w:r>
      <w:r w:rsidRPr="0018018F">
        <w:rPr>
          <w:rFonts w:cs="Arial"/>
          <w:sz w:val="20"/>
        </w:rPr>
        <w:t>ntegrated learning and reflection sessions into regular meetings (monthly information meetings, quarterly meetings), and additional key points in the Fund cycle</w:t>
      </w:r>
      <w:r w:rsidR="00AF3008">
        <w:rPr>
          <w:rFonts w:cs="Arial"/>
          <w:sz w:val="20"/>
        </w:rPr>
        <w:t>.</w:t>
      </w:r>
    </w:p>
    <w:p w14:paraId="18084FB1" w14:textId="097B3DEF" w:rsidR="00BB0975" w:rsidRDefault="00A67E06" w:rsidP="00AD1823">
      <w:pPr>
        <w:pStyle w:val="ListParagraph"/>
        <w:numPr>
          <w:ilvl w:val="0"/>
          <w:numId w:val="22"/>
        </w:numPr>
        <w:spacing w:after="160" w:line="276" w:lineRule="auto"/>
        <w:jc w:val="both"/>
        <w:rPr>
          <w:rFonts w:cs="Arial"/>
          <w:sz w:val="20"/>
        </w:rPr>
      </w:pPr>
      <w:r>
        <w:rPr>
          <w:rFonts w:cs="Arial"/>
          <w:sz w:val="20"/>
        </w:rPr>
        <w:t>F</w:t>
      </w:r>
      <w:r w:rsidRPr="00A67E06">
        <w:rPr>
          <w:rFonts w:cs="Arial"/>
          <w:sz w:val="20"/>
        </w:rPr>
        <w:t xml:space="preserve">eedback and reflections </w:t>
      </w:r>
      <w:r>
        <w:rPr>
          <w:rFonts w:cs="Arial"/>
          <w:sz w:val="20"/>
        </w:rPr>
        <w:t>recorded</w:t>
      </w:r>
      <w:r w:rsidR="00C756E2">
        <w:rPr>
          <w:rFonts w:cs="Arial"/>
          <w:sz w:val="20"/>
        </w:rPr>
        <w:t xml:space="preserve"> in</w:t>
      </w:r>
      <w:r w:rsidRPr="00A67E06">
        <w:rPr>
          <w:rFonts w:cs="Arial"/>
          <w:sz w:val="20"/>
        </w:rPr>
        <w:t xml:space="preserve"> Recommendations Tracker, which is reviewed in a monthly basis to agree upon what adjustments to action based on what we have learned.</w:t>
      </w:r>
    </w:p>
    <w:p w14:paraId="571D88F3" w14:textId="7A632CAC" w:rsidR="00821F70" w:rsidRPr="00D734A8" w:rsidRDefault="00D734A8" w:rsidP="00AD1823">
      <w:pPr>
        <w:pStyle w:val="ListParagraph"/>
        <w:numPr>
          <w:ilvl w:val="0"/>
          <w:numId w:val="22"/>
        </w:numPr>
        <w:spacing w:after="160" w:line="276" w:lineRule="auto"/>
        <w:jc w:val="both"/>
        <w:rPr>
          <w:rFonts w:cs="Arial"/>
          <w:sz w:val="20"/>
        </w:rPr>
      </w:pPr>
      <w:r w:rsidRPr="00D734A8">
        <w:rPr>
          <w:rFonts w:cs="Arial"/>
          <w:sz w:val="20"/>
        </w:rPr>
        <w:t xml:space="preserve">Development and implementation of </w:t>
      </w:r>
      <w:proofErr w:type="spellStart"/>
      <w:r w:rsidRPr="00D734A8">
        <w:rPr>
          <w:rFonts w:cs="Arial"/>
          <w:sz w:val="20"/>
        </w:rPr>
        <w:t>PowerBI</w:t>
      </w:r>
      <w:proofErr w:type="spellEnd"/>
      <w:r w:rsidRPr="00D734A8">
        <w:rPr>
          <w:rFonts w:cs="Arial"/>
          <w:sz w:val="20"/>
        </w:rPr>
        <w:t xml:space="preserve"> data platform to strengthen fund performance</w:t>
      </w:r>
      <w:r w:rsidR="0036001D">
        <w:rPr>
          <w:rFonts w:cs="Arial"/>
          <w:sz w:val="20"/>
        </w:rPr>
        <w:t xml:space="preserve"> &amp; MEL</w:t>
      </w:r>
      <w:r w:rsidRPr="00D734A8">
        <w:rPr>
          <w:rFonts w:cs="Arial"/>
          <w:sz w:val="20"/>
        </w:rPr>
        <w:t>.</w:t>
      </w:r>
    </w:p>
    <w:p w14:paraId="28FA4CB3" w14:textId="03038096" w:rsidR="00200214" w:rsidRDefault="00D97259" w:rsidP="00381E1B">
      <w:pPr>
        <w:spacing w:after="160" w:line="276" w:lineRule="auto"/>
        <w:jc w:val="both"/>
        <w:rPr>
          <w:rFonts w:cs="Arial"/>
          <w:sz w:val="20"/>
          <w:szCs w:val="20"/>
        </w:rPr>
      </w:pPr>
      <w:r w:rsidRPr="00D97259">
        <w:rPr>
          <w:rFonts w:cs="Arial"/>
          <w:b/>
          <w:bCs/>
          <w:sz w:val="20"/>
          <w:szCs w:val="20"/>
        </w:rPr>
        <w:t>Workstream 8: Communications and Promotion of the Fund</w:t>
      </w:r>
      <w:r>
        <w:rPr>
          <w:rFonts w:cs="Arial"/>
          <w:b/>
          <w:bCs/>
          <w:sz w:val="20"/>
          <w:szCs w:val="20"/>
        </w:rPr>
        <w:t xml:space="preserve"> (10% weighting). </w:t>
      </w:r>
      <w:r w:rsidR="00B430B2" w:rsidRPr="00B430B2">
        <w:rPr>
          <w:rFonts w:cs="Arial"/>
          <w:sz w:val="20"/>
          <w:szCs w:val="20"/>
        </w:rPr>
        <w:t>KPI 8</w:t>
      </w:r>
      <w:r w:rsidR="00B430B2">
        <w:rPr>
          <w:rFonts w:cs="Arial"/>
          <w:b/>
          <w:bCs/>
          <w:sz w:val="20"/>
          <w:szCs w:val="20"/>
        </w:rPr>
        <w:t xml:space="preserve">: </w:t>
      </w:r>
      <w:r w:rsidR="00B430B2" w:rsidRPr="00B430B2">
        <w:rPr>
          <w:rFonts w:cs="Arial"/>
          <w:sz w:val="20"/>
          <w:szCs w:val="20"/>
        </w:rPr>
        <w:t>International awareness and understanding of the fund is strengthened, and the opportunity to apply reaches new prospective Applicants</w:t>
      </w:r>
      <w:r w:rsidR="0012281F">
        <w:rPr>
          <w:rFonts w:cs="Arial"/>
          <w:sz w:val="20"/>
          <w:szCs w:val="20"/>
        </w:rPr>
        <w:t xml:space="preserve">. </w:t>
      </w:r>
      <w:r w:rsidR="0012281F" w:rsidRPr="004A2F19">
        <w:rPr>
          <w:rFonts w:cs="Arial"/>
          <w:i/>
          <w:iCs/>
          <w:sz w:val="20"/>
          <w:szCs w:val="20"/>
        </w:rPr>
        <w:t>(Meeting expectations)</w:t>
      </w:r>
    </w:p>
    <w:p w14:paraId="01B69864" w14:textId="0A3410F9" w:rsidR="00200214" w:rsidRDefault="00E44D66" w:rsidP="00AD1823">
      <w:pPr>
        <w:pStyle w:val="ListParagraph"/>
        <w:numPr>
          <w:ilvl w:val="0"/>
          <w:numId w:val="21"/>
        </w:numPr>
        <w:spacing w:after="160" w:line="276" w:lineRule="auto"/>
        <w:jc w:val="both"/>
        <w:rPr>
          <w:rFonts w:cs="Arial"/>
          <w:sz w:val="20"/>
        </w:rPr>
      </w:pPr>
      <w:r w:rsidRPr="00E44D66">
        <w:rPr>
          <w:rFonts w:cs="Arial"/>
          <w:sz w:val="20"/>
        </w:rPr>
        <w:t>Strong upward trend in website statistics and engagement with the fund on social media platforms (unique and returning visitors, time spent, downloads, country of origin, subscriptions), representing broad readership (geographic and sectoral). With &gt;80% upward trend in engagement during funding rounds</w:t>
      </w:r>
      <w:r w:rsidR="00BE5787">
        <w:rPr>
          <w:rFonts w:cs="Arial"/>
          <w:sz w:val="20"/>
        </w:rPr>
        <w:t>.</w:t>
      </w:r>
    </w:p>
    <w:p w14:paraId="1463CA22" w14:textId="5B596870" w:rsidR="00100F15" w:rsidRPr="00100F15" w:rsidRDefault="00100F15" w:rsidP="00AD1823">
      <w:pPr>
        <w:pStyle w:val="ListParagraph"/>
        <w:numPr>
          <w:ilvl w:val="0"/>
          <w:numId w:val="21"/>
        </w:numPr>
        <w:jc w:val="both"/>
        <w:rPr>
          <w:rFonts w:cs="Arial"/>
          <w:sz w:val="20"/>
        </w:rPr>
      </w:pPr>
      <w:r w:rsidRPr="00100F15">
        <w:rPr>
          <w:rFonts w:cs="Arial"/>
          <w:sz w:val="20"/>
        </w:rPr>
        <w:t xml:space="preserve">At least 70% growth in the engagement and number of high-quality fund applications being submitted because of dedicated engagement / promotion activities (e.g., Indonesia Workshop). </w:t>
      </w:r>
    </w:p>
    <w:p w14:paraId="1C9855D3" w14:textId="61ECD0FB" w:rsidR="00EB0F20" w:rsidRPr="00A53703" w:rsidRDefault="00EB0F20" w:rsidP="00381E1B">
      <w:pPr>
        <w:spacing w:after="160" w:line="276" w:lineRule="auto"/>
        <w:jc w:val="both"/>
        <w:rPr>
          <w:rFonts w:eastAsia="Arial" w:cs="Arial"/>
          <w:i/>
          <w:iCs/>
          <w:color w:val="000000" w:themeColor="text1"/>
          <w:sz w:val="20"/>
          <w:szCs w:val="20"/>
        </w:rPr>
      </w:pPr>
      <w:r>
        <w:rPr>
          <w:rFonts w:eastAsia="Arial" w:cs="Arial"/>
          <w:color w:val="000000" w:themeColor="text1"/>
          <w:sz w:val="20"/>
          <w:szCs w:val="20"/>
        </w:rPr>
        <w:t>T</w:t>
      </w:r>
      <w:r w:rsidRPr="00C612E2">
        <w:rPr>
          <w:rFonts w:eastAsia="Arial" w:cs="Arial"/>
          <w:color w:val="000000" w:themeColor="text1"/>
          <w:sz w:val="20"/>
          <w:szCs w:val="20"/>
        </w:rPr>
        <w:t xml:space="preserve">he PMF is </w:t>
      </w:r>
      <w:r w:rsidR="00535522">
        <w:rPr>
          <w:rFonts w:eastAsia="Arial" w:cs="Arial"/>
          <w:color w:val="000000" w:themeColor="text1"/>
          <w:sz w:val="20"/>
          <w:szCs w:val="20"/>
        </w:rPr>
        <w:t>now</w:t>
      </w:r>
      <w:r w:rsidRPr="00C612E2">
        <w:rPr>
          <w:rFonts w:eastAsia="Arial" w:cs="Arial"/>
          <w:color w:val="000000" w:themeColor="text1"/>
          <w:sz w:val="20"/>
          <w:szCs w:val="20"/>
        </w:rPr>
        <w:t xml:space="preserve"> being reviewed by Defra and NIRAS to ensure KPIs </w:t>
      </w:r>
      <w:r w:rsidR="00DE5938">
        <w:rPr>
          <w:rFonts w:eastAsia="Arial" w:cs="Arial"/>
          <w:color w:val="000000" w:themeColor="text1"/>
          <w:sz w:val="20"/>
          <w:szCs w:val="20"/>
        </w:rPr>
        <w:t xml:space="preserve">are </w:t>
      </w:r>
      <w:r w:rsidRPr="00C612E2">
        <w:rPr>
          <w:rFonts w:eastAsia="Arial" w:cs="Arial"/>
          <w:color w:val="000000" w:themeColor="text1"/>
          <w:sz w:val="20"/>
          <w:szCs w:val="20"/>
        </w:rPr>
        <w:t>streamlined t</w:t>
      </w:r>
      <w:r w:rsidR="00276A50">
        <w:rPr>
          <w:rFonts w:eastAsia="Arial" w:cs="Arial"/>
          <w:color w:val="000000" w:themeColor="text1"/>
          <w:sz w:val="20"/>
          <w:szCs w:val="20"/>
        </w:rPr>
        <w:t>o</w:t>
      </w:r>
      <w:r w:rsidRPr="00C612E2">
        <w:rPr>
          <w:rFonts w:eastAsia="Arial" w:cs="Arial"/>
          <w:color w:val="000000" w:themeColor="text1"/>
          <w:sz w:val="20"/>
          <w:szCs w:val="20"/>
        </w:rPr>
        <w:t xml:space="preserve"> </w:t>
      </w:r>
      <w:r w:rsidR="00C90605">
        <w:rPr>
          <w:rFonts w:eastAsia="Arial" w:cs="Arial"/>
          <w:color w:val="000000" w:themeColor="text1"/>
          <w:sz w:val="20"/>
          <w:szCs w:val="20"/>
        </w:rPr>
        <w:t xml:space="preserve">align with </w:t>
      </w:r>
      <w:r w:rsidRPr="00C612E2">
        <w:rPr>
          <w:rFonts w:eastAsia="Arial" w:cs="Arial"/>
          <w:color w:val="000000" w:themeColor="text1"/>
          <w:sz w:val="20"/>
          <w:szCs w:val="20"/>
        </w:rPr>
        <w:t>new</w:t>
      </w:r>
      <w:r w:rsidR="00BB71FA">
        <w:rPr>
          <w:rFonts w:eastAsia="Arial" w:cs="Arial"/>
          <w:color w:val="000000" w:themeColor="text1"/>
          <w:sz w:val="20"/>
          <w:szCs w:val="20"/>
        </w:rPr>
        <w:t xml:space="preserve"> commercial </w:t>
      </w:r>
      <w:r w:rsidR="00C90605">
        <w:rPr>
          <w:rFonts w:eastAsia="Arial" w:cs="Arial"/>
          <w:color w:val="000000" w:themeColor="text1"/>
          <w:sz w:val="20"/>
          <w:szCs w:val="20"/>
        </w:rPr>
        <w:t xml:space="preserve">monitoring </w:t>
      </w:r>
      <w:r w:rsidRPr="00C612E2">
        <w:rPr>
          <w:rFonts w:eastAsia="Arial" w:cs="Arial"/>
          <w:color w:val="000000" w:themeColor="text1"/>
          <w:sz w:val="20"/>
          <w:szCs w:val="20"/>
        </w:rPr>
        <w:t xml:space="preserve">processes and </w:t>
      </w:r>
      <w:r w:rsidR="00CD3D0C">
        <w:rPr>
          <w:rFonts w:eastAsia="Arial" w:cs="Arial"/>
          <w:color w:val="000000" w:themeColor="text1"/>
          <w:sz w:val="20"/>
          <w:szCs w:val="20"/>
        </w:rPr>
        <w:t>GA</w:t>
      </w:r>
      <w:r w:rsidRPr="00C612E2">
        <w:rPr>
          <w:rFonts w:eastAsia="Arial" w:cs="Arial"/>
          <w:color w:val="000000" w:themeColor="text1"/>
          <w:sz w:val="20"/>
          <w:szCs w:val="20"/>
        </w:rPr>
        <w:t xml:space="preserve"> capabilities </w:t>
      </w:r>
      <w:r w:rsidR="00D123BD">
        <w:rPr>
          <w:rFonts w:eastAsia="Arial" w:cs="Arial"/>
          <w:color w:val="000000" w:themeColor="text1"/>
          <w:sz w:val="20"/>
          <w:szCs w:val="20"/>
        </w:rPr>
        <w:t>through</w:t>
      </w:r>
      <w:r w:rsidRPr="00C612E2">
        <w:rPr>
          <w:rFonts w:eastAsia="Arial" w:cs="Arial"/>
          <w:color w:val="000000" w:themeColor="text1"/>
          <w:sz w:val="20"/>
          <w:szCs w:val="20"/>
        </w:rPr>
        <w:t xml:space="preserve"> a R</w:t>
      </w:r>
      <w:r w:rsidR="00D123BD">
        <w:rPr>
          <w:rFonts w:eastAsia="Arial" w:cs="Arial"/>
          <w:color w:val="000000" w:themeColor="text1"/>
          <w:sz w:val="20"/>
          <w:szCs w:val="20"/>
        </w:rPr>
        <w:t>ed</w:t>
      </w:r>
      <w:r w:rsidR="00501A9E">
        <w:rPr>
          <w:rFonts w:eastAsia="Arial" w:cs="Arial"/>
          <w:color w:val="000000" w:themeColor="text1"/>
          <w:sz w:val="20"/>
          <w:szCs w:val="20"/>
        </w:rPr>
        <w:t>/</w:t>
      </w:r>
      <w:r w:rsidRPr="00C612E2">
        <w:rPr>
          <w:rFonts w:eastAsia="Arial" w:cs="Arial"/>
          <w:color w:val="000000" w:themeColor="text1"/>
          <w:sz w:val="20"/>
          <w:szCs w:val="20"/>
        </w:rPr>
        <w:t>A</w:t>
      </w:r>
      <w:r w:rsidR="00D123BD">
        <w:rPr>
          <w:rFonts w:eastAsia="Arial" w:cs="Arial"/>
          <w:color w:val="000000" w:themeColor="text1"/>
          <w:sz w:val="20"/>
          <w:szCs w:val="20"/>
        </w:rPr>
        <w:t>mber</w:t>
      </w:r>
      <w:r w:rsidR="00501A9E">
        <w:rPr>
          <w:rFonts w:eastAsia="Arial" w:cs="Arial"/>
          <w:color w:val="000000" w:themeColor="text1"/>
          <w:sz w:val="20"/>
          <w:szCs w:val="20"/>
        </w:rPr>
        <w:t>/</w:t>
      </w:r>
      <w:r w:rsidRPr="00C612E2">
        <w:rPr>
          <w:rFonts w:eastAsia="Arial" w:cs="Arial"/>
          <w:color w:val="000000" w:themeColor="text1"/>
          <w:sz w:val="20"/>
          <w:szCs w:val="20"/>
        </w:rPr>
        <w:t>G</w:t>
      </w:r>
      <w:r w:rsidR="00D123BD">
        <w:rPr>
          <w:rFonts w:eastAsia="Arial" w:cs="Arial"/>
          <w:color w:val="000000" w:themeColor="text1"/>
          <w:sz w:val="20"/>
          <w:szCs w:val="20"/>
        </w:rPr>
        <w:t>reen (RAG)</w:t>
      </w:r>
      <w:r w:rsidRPr="00C612E2">
        <w:rPr>
          <w:rFonts w:eastAsia="Arial" w:cs="Arial"/>
          <w:color w:val="000000" w:themeColor="text1"/>
          <w:sz w:val="20"/>
          <w:szCs w:val="20"/>
        </w:rPr>
        <w:t xml:space="preserve"> </w:t>
      </w:r>
      <w:r w:rsidR="00DE5938">
        <w:rPr>
          <w:rFonts w:eastAsia="Arial" w:cs="Arial"/>
          <w:color w:val="000000" w:themeColor="text1"/>
          <w:sz w:val="20"/>
          <w:szCs w:val="20"/>
        </w:rPr>
        <w:t xml:space="preserve">service level </w:t>
      </w:r>
      <w:r w:rsidRPr="00C612E2">
        <w:rPr>
          <w:rFonts w:eastAsia="Arial" w:cs="Arial"/>
          <w:color w:val="000000" w:themeColor="text1"/>
          <w:sz w:val="20"/>
          <w:szCs w:val="20"/>
        </w:rPr>
        <w:t>rating</w:t>
      </w:r>
      <w:r w:rsidR="00C90605">
        <w:rPr>
          <w:rFonts w:eastAsia="Arial" w:cs="Arial"/>
          <w:color w:val="000000" w:themeColor="text1"/>
          <w:sz w:val="20"/>
          <w:szCs w:val="20"/>
        </w:rPr>
        <w:t xml:space="preserve"> assessment</w:t>
      </w:r>
      <w:r w:rsidR="009A2D1C">
        <w:rPr>
          <w:rFonts w:eastAsia="Arial" w:cs="Arial"/>
          <w:color w:val="000000" w:themeColor="text1"/>
          <w:sz w:val="20"/>
          <w:szCs w:val="20"/>
        </w:rPr>
        <w:t>.</w:t>
      </w:r>
      <w:r w:rsidRPr="00C612E2">
        <w:rPr>
          <w:rFonts w:eastAsia="Arial" w:cs="Arial"/>
          <w:color w:val="000000" w:themeColor="text1"/>
          <w:sz w:val="20"/>
          <w:szCs w:val="20"/>
        </w:rPr>
        <w:t xml:space="preserve"> </w:t>
      </w:r>
      <w:r w:rsidR="00110F2C">
        <w:rPr>
          <w:rFonts w:eastAsia="Arial" w:cs="Arial"/>
          <w:color w:val="000000" w:themeColor="text1"/>
          <w:sz w:val="20"/>
          <w:szCs w:val="20"/>
        </w:rPr>
        <w:t>Progress</w:t>
      </w:r>
      <w:r w:rsidR="00D123BD">
        <w:rPr>
          <w:rFonts w:eastAsia="Arial" w:cs="Arial"/>
          <w:color w:val="000000" w:themeColor="text1"/>
          <w:sz w:val="20"/>
          <w:szCs w:val="20"/>
        </w:rPr>
        <w:t xml:space="preserve"> will</w:t>
      </w:r>
      <w:r w:rsidRPr="00C612E2">
        <w:rPr>
          <w:rFonts w:eastAsia="Arial" w:cs="Arial"/>
          <w:color w:val="000000" w:themeColor="text1"/>
          <w:sz w:val="20"/>
          <w:szCs w:val="20"/>
        </w:rPr>
        <w:t xml:space="preserve"> be </w:t>
      </w:r>
      <w:r w:rsidR="00F10EA8">
        <w:rPr>
          <w:rFonts w:eastAsia="Arial" w:cs="Arial"/>
          <w:color w:val="000000" w:themeColor="text1"/>
          <w:sz w:val="20"/>
          <w:szCs w:val="20"/>
        </w:rPr>
        <w:t xml:space="preserve">reported </w:t>
      </w:r>
      <w:r w:rsidRPr="00C612E2">
        <w:rPr>
          <w:rFonts w:eastAsia="Arial" w:cs="Arial"/>
          <w:color w:val="000000" w:themeColor="text1"/>
          <w:sz w:val="20"/>
          <w:szCs w:val="20"/>
        </w:rPr>
        <w:t>by</w:t>
      </w:r>
      <w:r w:rsidR="00DE5938">
        <w:rPr>
          <w:rFonts w:eastAsia="Arial" w:cs="Arial"/>
          <w:color w:val="000000" w:themeColor="text1"/>
          <w:sz w:val="20"/>
          <w:szCs w:val="20"/>
        </w:rPr>
        <w:t xml:space="preserve"> NIRAS</w:t>
      </w:r>
      <w:r w:rsidR="00110F2C" w:rsidRPr="00110F2C">
        <w:rPr>
          <w:rFonts w:eastAsia="Arial" w:cs="Arial"/>
          <w:color w:val="000000" w:themeColor="text1"/>
          <w:sz w:val="20"/>
          <w:szCs w:val="20"/>
        </w:rPr>
        <w:t xml:space="preserve"> </w:t>
      </w:r>
      <w:r w:rsidR="00110F2C">
        <w:rPr>
          <w:rFonts w:eastAsia="Arial" w:cs="Arial"/>
          <w:color w:val="000000" w:themeColor="text1"/>
          <w:sz w:val="20"/>
          <w:szCs w:val="20"/>
        </w:rPr>
        <w:t xml:space="preserve">and </w:t>
      </w:r>
      <w:r w:rsidR="00110F2C" w:rsidRPr="00C612E2">
        <w:rPr>
          <w:rFonts w:eastAsia="Arial" w:cs="Arial"/>
          <w:color w:val="000000" w:themeColor="text1"/>
          <w:sz w:val="20"/>
          <w:szCs w:val="20"/>
        </w:rPr>
        <w:t>monitored</w:t>
      </w:r>
      <w:r w:rsidR="00110F2C">
        <w:rPr>
          <w:rFonts w:eastAsia="Arial" w:cs="Arial"/>
          <w:color w:val="000000" w:themeColor="text1"/>
          <w:sz w:val="20"/>
          <w:szCs w:val="20"/>
        </w:rPr>
        <w:t xml:space="preserve"> by Defra</w:t>
      </w:r>
      <w:r w:rsidR="00E73C14">
        <w:rPr>
          <w:rFonts w:eastAsia="Arial" w:cs="Arial"/>
          <w:color w:val="000000" w:themeColor="text1"/>
          <w:sz w:val="20"/>
          <w:szCs w:val="20"/>
        </w:rPr>
        <w:t xml:space="preserve"> monthly</w:t>
      </w:r>
      <w:r w:rsidRPr="00C612E2">
        <w:rPr>
          <w:rFonts w:eastAsia="Arial" w:cs="Arial"/>
          <w:color w:val="000000" w:themeColor="text1"/>
          <w:sz w:val="20"/>
          <w:szCs w:val="20"/>
        </w:rPr>
        <w:t>.</w:t>
      </w:r>
    </w:p>
    <w:p w14:paraId="1AEB87C7" w14:textId="351314EE" w:rsidR="00FA574D" w:rsidRPr="00460092" w:rsidRDefault="00663AD0" w:rsidP="00381E1B">
      <w:pPr>
        <w:spacing w:after="160" w:line="276" w:lineRule="auto"/>
        <w:jc w:val="both"/>
        <w:rPr>
          <w:rFonts w:eastAsia="Arial" w:cs="Arial"/>
          <w:color w:val="000000" w:themeColor="text1"/>
          <w:sz w:val="20"/>
          <w:szCs w:val="20"/>
        </w:rPr>
      </w:pPr>
      <w:r w:rsidRPr="0076125D">
        <w:rPr>
          <w:rFonts w:eastAsia="Arial" w:cs="Arial"/>
          <w:b/>
          <w:bCs/>
          <w:color w:val="000000" w:themeColor="text1"/>
          <w:sz w:val="20"/>
          <w:szCs w:val="20"/>
        </w:rPr>
        <w:t>Fina</w:t>
      </w:r>
      <w:r w:rsidR="0076125D" w:rsidRPr="0076125D">
        <w:rPr>
          <w:rFonts w:eastAsia="Arial" w:cs="Arial"/>
          <w:b/>
          <w:bCs/>
          <w:color w:val="000000" w:themeColor="text1"/>
          <w:sz w:val="20"/>
          <w:szCs w:val="20"/>
        </w:rPr>
        <w:t>ncial</w:t>
      </w:r>
      <w:r w:rsidR="004D6FAD">
        <w:rPr>
          <w:rFonts w:eastAsia="Arial" w:cs="Arial"/>
          <w:b/>
          <w:bCs/>
          <w:color w:val="000000" w:themeColor="text1"/>
          <w:sz w:val="20"/>
          <w:szCs w:val="20"/>
        </w:rPr>
        <w:t xml:space="preserve"> performance</w:t>
      </w:r>
      <w:r w:rsidR="0076125D" w:rsidRPr="0076125D">
        <w:rPr>
          <w:rFonts w:eastAsia="Arial" w:cs="Arial"/>
          <w:b/>
          <w:bCs/>
          <w:color w:val="000000" w:themeColor="text1"/>
          <w:sz w:val="20"/>
          <w:szCs w:val="20"/>
        </w:rPr>
        <w:t>:</w:t>
      </w:r>
      <w:r w:rsidR="004D6FAD">
        <w:rPr>
          <w:rFonts w:eastAsia="Arial" w:cs="Arial"/>
          <w:b/>
          <w:bCs/>
          <w:color w:val="000000" w:themeColor="text1"/>
          <w:sz w:val="20"/>
          <w:szCs w:val="20"/>
        </w:rPr>
        <w:t xml:space="preserve"> </w:t>
      </w:r>
      <w:r w:rsidR="00AD1A30" w:rsidRPr="005A7CFF">
        <w:rPr>
          <w:rFonts w:eastAsia="Arial" w:cs="Arial"/>
          <w:color w:val="000000" w:themeColor="text1"/>
          <w:sz w:val="20"/>
          <w:szCs w:val="20"/>
        </w:rPr>
        <w:t>Defra and NIRAS work</w:t>
      </w:r>
      <w:r w:rsidR="005A7CFF">
        <w:rPr>
          <w:rFonts w:eastAsia="Arial" w:cs="Arial"/>
          <w:color w:val="000000" w:themeColor="text1"/>
          <w:sz w:val="20"/>
          <w:szCs w:val="20"/>
        </w:rPr>
        <w:t>ed</w:t>
      </w:r>
      <w:r w:rsidR="00AD1A30" w:rsidRPr="005A7CFF">
        <w:rPr>
          <w:rFonts w:eastAsia="Arial" w:cs="Arial"/>
          <w:color w:val="000000" w:themeColor="text1"/>
          <w:sz w:val="20"/>
          <w:szCs w:val="20"/>
        </w:rPr>
        <w:t xml:space="preserve"> closely </w:t>
      </w:r>
      <w:r w:rsidR="005A7CFF">
        <w:rPr>
          <w:rFonts w:eastAsia="Arial" w:cs="Arial"/>
          <w:color w:val="000000" w:themeColor="text1"/>
          <w:sz w:val="20"/>
          <w:szCs w:val="20"/>
        </w:rPr>
        <w:t xml:space="preserve">during year 1 </w:t>
      </w:r>
      <w:r w:rsidR="005A7CFF" w:rsidRPr="005A7CFF">
        <w:rPr>
          <w:rFonts w:eastAsia="Arial" w:cs="Arial"/>
          <w:color w:val="000000" w:themeColor="text1"/>
          <w:sz w:val="20"/>
          <w:szCs w:val="20"/>
        </w:rPr>
        <w:t xml:space="preserve">to </w:t>
      </w:r>
      <w:r w:rsidR="00580912">
        <w:rPr>
          <w:rFonts w:eastAsia="Arial" w:cs="Arial"/>
          <w:color w:val="000000" w:themeColor="text1"/>
          <w:sz w:val="20"/>
          <w:szCs w:val="20"/>
        </w:rPr>
        <w:t xml:space="preserve">monitor </w:t>
      </w:r>
      <w:r w:rsidR="00C92C89">
        <w:rPr>
          <w:rFonts w:eastAsia="Arial" w:cs="Arial"/>
          <w:color w:val="000000" w:themeColor="text1"/>
          <w:sz w:val="20"/>
          <w:szCs w:val="20"/>
        </w:rPr>
        <w:t xml:space="preserve">programme </w:t>
      </w:r>
      <w:r w:rsidR="00580912">
        <w:rPr>
          <w:rFonts w:eastAsia="Arial" w:cs="Arial"/>
          <w:color w:val="000000" w:themeColor="text1"/>
          <w:sz w:val="20"/>
          <w:szCs w:val="20"/>
        </w:rPr>
        <w:t>spend</w:t>
      </w:r>
      <w:r w:rsidR="00C92C89">
        <w:rPr>
          <w:rFonts w:eastAsia="Arial" w:cs="Arial"/>
          <w:color w:val="000000" w:themeColor="text1"/>
          <w:sz w:val="20"/>
          <w:szCs w:val="20"/>
        </w:rPr>
        <w:t xml:space="preserve"> </w:t>
      </w:r>
      <w:r w:rsidR="00000FCE">
        <w:rPr>
          <w:rFonts w:eastAsia="Arial" w:cs="Arial"/>
          <w:color w:val="000000" w:themeColor="text1"/>
          <w:sz w:val="20"/>
          <w:szCs w:val="20"/>
        </w:rPr>
        <w:t>and</w:t>
      </w:r>
      <w:r w:rsidR="00C92C89">
        <w:rPr>
          <w:rFonts w:eastAsia="Arial" w:cs="Arial"/>
          <w:color w:val="000000" w:themeColor="text1"/>
          <w:sz w:val="20"/>
          <w:szCs w:val="20"/>
        </w:rPr>
        <w:t xml:space="preserve"> </w:t>
      </w:r>
      <w:r w:rsidR="00E32450">
        <w:rPr>
          <w:rFonts w:eastAsia="Arial" w:cs="Arial"/>
          <w:color w:val="000000" w:themeColor="text1"/>
          <w:sz w:val="20"/>
          <w:szCs w:val="20"/>
        </w:rPr>
        <w:t xml:space="preserve">align with original </w:t>
      </w:r>
      <w:r w:rsidR="00C92C89">
        <w:rPr>
          <w:rFonts w:eastAsia="Arial" w:cs="Arial"/>
          <w:color w:val="000000" w:themeColor="text1"/>
          <w:sz w:val="20"/>
          <w:szCs w:val="20"/>
        </w:rPr>
        <w:t>forecast</w:t>
      </w:r>
      <w:r w:rsidR="005E7D79">
        <w:rPr>
          <w:rFonts w:eastAsia="Arial" w:cs="Arial"/>
          <w:color w:val="000000" w:themeColor="text1"/>
          <w:sz w:val="20"/>
          <w:szCs w:val="20"/>
        </w:rPr>
        <w:t xml:space="preserve">ed budgets. </w:t>
      </w:r>
      <w:r w:rsidR="00BB7785">
        <w:rPr>
          <w:rFonts w:eastAsia="Arial" w:cs="Arial"/>
          <w:color w:val="000000" w:themeColor="text1"/>
          <w:sz w:val="20"/>
          <w:szCs w:val="20"/>
        </w:rPr>
        <w:t>F</w:t>
      </w:r>
      <w:r w:rsidR="00BB3CDC">
        <w:rPr>
          <w:rFonts w:eastAsia="Arial" w:cs="Arial"/>
          <w:color w:val="000000" w:themeColor="text1"/>
          <w:sz w:val="20"/>
          <w:szCs w:val="20"/>
        </w:rPr>
        <w:t>ixed costs</w:t>
      </w:r>
      <w:r w:rsidR="00BB7785">
        <w:rPr>
          <w:rFonts w:eastAsia="Arial" w:cs="Arial"/>
          <w:color w:val="000000" w:themeColor="text1"/>
          <w:sz w:val="20"/>
          <w:szCs w:val="20"/>
        </w:rPr>
        <w:t xml:space="preserve"> for grant administration </w:t>
      </w:r>
      <w:r w:rsidR="00BB3CDC">
        <w:rPr>
          <w:rFonts w:eastAsia="Arial" w:cs="Arial"/>
          <w:color w:val="000000" w:themeColor="text1"/>
          <w:sz w:val="20"/>
          <w:szCs w:val="20"/>
        </w:rPr>
        <w:t xml:space="preserve">have </w:t>
      </w:r>
      <w:r w:rsidR="00BB7785">
        <w:rPr>
          <w:rFonts w:eastAsia="Arial" w:cs="Arial"/>
          <w:color w:val="000000" w:themeColor="text1"/>
          <w:sz w:val="20"/>
          <w:szCs w:val="20"/>
        </w:rPr>
        <w:t>progressed</w:t>
      </w:r>
      <w:r w:rsidR="00661959">
        <w:rPr>
          <w:rFonts w:eastAsia="Arial" w:cs="Arial"/>
          <w:color w:val="000000" w:themeColor="text1"/>
          <w:sz w:val="20"/>
          <w:szCs w:val="20"/>
        </w:rPr>
        <w:t xml:space="preserve"> as planned</w:t>
      </w:r>
      <w:r w:rsidR="009C100E">
        <w:rPr>
          <w:rFonts w:eastAsia="Arial" w:cs="Arial"/>
          <w:color w:val="000000" w:themeColor="text1"/>
          <w:sz w:val="20"/>
          <w:szCs w:val="20"/>
        </w:rPr>
        <w:t xml:space="preserve"> with exception of </w:t>
      </w:r>
      <w:r w:rsidR="009C4FD6">
        <w:rPr>
          <w:rFonts w:eastAsia="Arial" w:cs="Arial"/>
          <w:color w:val="000000" w:themeColor="text1"/>
          <w:sz w:val="20"/>
          <w:szCs w:val="20"/>
        </w:rPr>
        <w:t>a</w:t>
      </w:r>
      <w:r w:rsidR="001C7E07">
        <w:rPr>
          <w:rFonts w:eastAsia="Arial" w:cs="Arial"/>
          <w:color w:val="000000" w:themeColor="text1"/>
          <w:sz w:val="20"/>
          <w:szCs w:val="20"/>
        </w:rPr>
        <w:t xml:space="preserve"> Contract Change Note (CCN)</w:t>
      </w:r>
      <w:r w:rsidR="008B5E2A">
        <w:rPr>
          <w:rFonts w:eastAsia="Arial" w:cs="Arial"/>
          <w:color w:val="000000" w:themeColor="text1"/>
          <w:sz w:val="20"/>
          <w:szCs w:val="20"/>
        </w:rPr>
        <w:t xml:space="preserve"> </w:t>
      </w:r>
      <w:r w:rsidR="00CC120A">
        <w:rPr>
          <w:rFonts w:eastAsia="Arial" w:cs="Arial"/>
          <w:color w:val="000000" w:themeColor="text1"/>
          <w:sz w:val="20"/>
          <w:szCs w:val="20"/>
        </w:rPr>
        <w:t xml:space="preserve">put in place to </w:t>
      </w:r>
      <w:r w:rsidR="00BA2DA1">
        <w:rPr>
          <w:rFonts w:eastAsia="Arial" w:cs="Arial"/>
          <w:color w:val="000000" w:themeColor="text1"/>
          <w:sz w:val="20"/>
          <w:szCs w:val="20"/>
        </w:rPr>
        <w:t xml:space="preserve">secure additional </w:t>
      </w:r>
      <w:r w:rsidR="008B5E2A">
        <w:rPr>
          <w:rFonts w:eastAsia="Arial" w:cs="Arial"/>
          <w:color w:val="000000" w:themeColor="text1"/>
          <w:sz w:val="20"/>
          <w:szCs w:val="20"/>
        </w:rPr>
        <w:t xml:space="preserve">resourcing </w:t>
      </w:r>
      <w:r w:rsidR="009C4FD6">
        <w:rPr>
          <w:rFonts w:eastAsia="Arial" w:cs="Arial"/>
          <w:color w:val="000000" w:themeColor="text1"/>
          <w:sz w:val="20"/>
          <w:szCs w:val="20"/>
        </w:rPr>
        <w:t>of</w:t>
      </w:r>
      <w:r w:rsidR="00AD3F27">
        <w:rPr>
          <w:rFonts w:eastAsia="Arial" w:cs="Arial"/>
          <w:color w:val="000000" w:themeColor="text1"/>
          <w:sz w:val="20"/>
          <w:szCs w:val="20"/>
        </w:rPr>
        <w:t xml:space="preserve"> £48,626 </w:t>
      </w:r>
      <w:r w:rsidR="00BA2DA1">
        <w:rPr>
          <w:rFonts w:eastAsia="Arial" w:cs="Arial"/>
          <w:color w:val="000000" w:themeColor="text1"/>
          <w:sz w:val="20"/>
          <w:szCs w:val="20"/>
        </w:rPr>
        <w:t xml:space="preserve">for </w:t>
      </w:r>
      <w:r w:rsidR="00A073C4">
        <w:rPr>
          <w:rFonts w:eastAsia="Arial" w:cs="Arial"/>
          <w:color w:val="000000" w:themeColor="text1"/>
          <w:sz w:val="20"/>
          <w:szCs w:val="20"/>
        </w:rPr>
        <w:t xml:space="preserve">a new </w:t>
      </w:r>
      <w:r w:rsidR="00213E4A">
        <w:rPr>
          <w:rFonts w:eastAsia="Arial" w:cs="Arial"/>
          <w:color w:val="000000" w:themeColor="text1"/>
          <w:sz w:val="20"/>
          <w:szCs w:val="20"/>
        </w:rPr>
        <w:t>F</w:t>
      </w:r>
      <w:r w:rsidR="00A073C4">
        <w:rPr>
          <w:rFonts w:eastAsia="Arial" w:cs="Arial"/>
          <w:color w:val="000000" w:themeColor="text1"/>
          <w:sz w:val="20"/>
          <w:szCs w:val="20"/>
        </w:rPr>
        <w:t xml:space="preserve">und </w:t>
      </w:r>
      <w:r w:rsidR="00213E4A">
        <w:rPr>
          <w:rFonts w:eastAsia="Arial" w:cs="Arial"/>
          <w:color w:val="000000" w:themeColor="text1"/>
          <w:sz w:val="20"/>
          <w:szCs w:val="20"/>
        </w:rPr>
        <w:t>E</w:t>
      </w:r>
      <w:r w:rsidR="00A073C4">
        <w:rPr>
          <w:rFonts w:eastAsia="Arial" w:cs="Arial"/>
          <w:color w:val="000000" w:themeColor="text1"/>
          <w:sz w:val="20"/>
          <w:szCs w:val="20"/>
        </w:rPr>
        <w:t xml:space="preserve">ngagement </w:t>
      </w:r>
      <w:r w:rsidR="00213E4A">
        <w:rPr>
          <w:rFonts w:eastAsia="Arial" w:cs="Arial"/>
          <w:color w:val="000000" w:themeColor="text1"/>
          <w:sz w:val="20"/>
          <w:szCs w:val="20"/>
        </w:rPr>
        <w:t>M</w:t>
      </w:r>
      <w:r w:rsidR="00A073C4">
        <w:rPr>
          <w:rFonts w:eastAsia="Arial" w:cs="Arial"/>
          <w:color w:val="000000" w:themeColor="text1"/>
          <w:sz w:val="20"/>
          <w:szCs w:val="20"/>
        </w:rPr>
        <w:t>anager</w:t>
      </w:r>
      <w:r w:rsidR="009C4FD6">
        <w:rPr>
          <w:rFonts w:eastAsia="Arial" w:cs="Arial"/>
          <w:color w:val="000000" w:themeColor="text1"/>
          <w:sz w:val="20"/>
          <w:szCs w:val="20"/>
        </w:rPr>
        <w:t xml:space="preserve"> to lead on</w:t>
      </w:r>
      <w:r w:rsidR="00246587">
        <w:rPr>
          <w:rFonts w:eastAsia="Arial" w:cs="Arial"/>
          <w:color w:val="000000" w:themeColor="text1"/>
          <w:sz w:val="20"/>
          <w:szCs w:val="20"/>
        </w:rPr>
        <w:t xml:space="preserve"> engagement activities associated</w:t>
      </w:r>
      <w:r w:rsidR="00A25350">
        <w:rPr>
          <w:rFonts w:eastAsia="Arial" w:cs="Arial"/>
          <w:color w:val="000000" w:themeColor="text1"/>
          <w:sz w:val="20"/>
          <w:szCs w:val="20"/>
        </w:rPr>
        <w:t xml:space="preserve">, </w:t>
      </w:r>
      <w:r w:rsidR="00213E4A" w:rsidRPr="00213E4A">
        <w:rPr>
          <w:rFonts w:eastAsia="Arial" w:cs="Arial"/>
          <w:color w:val="000000" w:themeColor="text1"/>
          <w:sz w:val="20"/>
          <w:szCs w:val="20"/>
        </w:rPr>
        <w:t>with the application and grant cycles, raise awareness of the fund through direct engagement with different stakeholder groups including applicants, networks and FCDO Posts and via other networks and processes</w:t>
      </w:r>
      <w:r w:rsidR="00213E4A">
        <w:rPr>
          <w:rFonts w:eastAsia="Arial" w:cs="Arial"/>
          <w:color w:val="000000" w:themeColor="text1"/>
          <w:sz w:val="20"/>
          <w:szCs w:val="20"/>
        </w:rPr>
        <w:t xml:space="preserve">. Variable costs have been closely managed </w:t>
      </w:r>
      <w:r w:rsidR="00543B1F">
        <w:rPr>
          <w:rFonts w:eastAsia="Arial" w:cs="Arial"/>
          <w:color w:val="000000" w:themeColor="text1"/>
          <w:sz w:val="20"/>
          <w:szCs w:val="20"/>
        </w:rPr>
        <w:t xml:space="preserve">and streamlined </w:t>
      </w:r>
      <w:r w:rsidR="00213E4A">
        <w:rPr>
          <w:rFonts w:eastAsia="Arial" w:cs="Arial"/>
          <w:color w:val="000000" w:themeColor="text1"/>
          <w:sz w:val="20"/>
          <w:szCs w:val="20"/>
        </w:rPr>
        <w:t>particularly</w:t>
      </w:r>
      <w:r w:rsidR="00F63F6E">
        <w:rPr>
          <w:rFonts w:eastAsia="Arial" w:cs="Arial"/>
          <w:color w:val="000000" w:themeColor="text1"/>
          <w:sz w:val="20"/>
          <w:szCs w:val="20"/>
        </w:rPr>
        <w:t xml:space="preserve"> </w:t>
      </w:r>
      <w:r w:rsidR="00213E4A">
        <w:rPr>
          <w:rFonts w:eastAsia="Arial" w:cs="Arial"/>
          <w:color w:val="000000" w:themeColor="text1"/>
          <w:sz w:val="20"/>
          <w:szCs w:val="20"/>
        </w:rPr>
        <w:t xml:space="preserve">around </w:t>
      </w:r>
      <w:r w:rsidR="00482453">
        <w:rPr>
          <w:rFonts w:eastAsia="Arial" w:cs="Arial"/>
          <w:color w:val="000000" w:themeColor="text1"/>
          <w:sz w:val="20"/>
          <w:szCs w:val="20"/>
        </w:rPr>
        <w:t>assessment</w:t>
      </w:r>
      <w:r w:rsidR="00F63F6E">
        <w:rPr>
          <w:rFonts w:eastAsia="Arial" w:cs="Arial"/>
          <w:color w:val="000000" w:themeColor="text1"/>
          <w:sz w:val="20"/>
          <w:szCs w:val="20"/>
        </w:rPr>
        <w:t xml:space="preserve"> </w:t>
      </w:r>
      <w:r w:rsidR="00482453">
        <w:rPr>
          <w:rFonts w:eastAsia="Arial" w:cs="Arial"/>
          <w:color w:val="000000" w:themeColor="text1"/>
          <w:sz w:val="20"/>
          <w:szCs w:val="20"/>
        </w:rPr>
        <w:t>o</w:t>
      </w:r>
      <w:r w:rsidR="00F63F6E">
        <w:rPr>
          <w:rFonts w:eastAsia="Arial" w:cs="Arial"/>
          <w:color w:val="000000" w:themeColor="text1"/>
          <w:sz w:val="20"/>
          <w:szCs w:val="20"/>
        </w:rPr>
        <w:t>f</w:t>
      </w:r>
      <w:r w:rsidR="00482453">
        <w:rPr>
          <w:rFonts w:eastAsia="Arial" w:cs="Arial"/>
          <w:color w:val="000000" w:themeColor="text1"/>
          <w:sz w:val="20"/>
          <w:szCs w:val="20"/>
        </w:rPr>
        <w:t xml:space="preserve"> applications</w:t>
      </w:r>
      <w:r w:rsidR="00F63F6E">
        <w:rPr>
          <w:rFonts w:eastAsia="Arial" w:cs="Arial"/>
          <w:color w:val="000000" w:themeColor="text1"/>
          <w:sz w:val="20"/>
          <w:szCs w:val="20"/>
        </w:rPr>
        <w:t xml:space="preserve"> due to the volume of applications received</w:t>
      </w:r>
      <w:r w:rsidR="005B3674">
        <w:rPr>
          <w:rFonts w:eastAsia="Arial" w:cs="Arial"/>
          <w:color w:val="000000" w:themeColor="text1"/>
          <w:sz w:val="20"/>
          <w:szCs w:val="20"/>
        </w:rPr>
        <w:t xml:space="preserve">. </w:t>
      </w:r>
    </w:p>
    <w:p w14:paraId="67B52BE7" w14:textId="446183FF" w:rsidR="1F9FCF51" w:rsidRPr="00456017" w:rsidRDefault="64A9A38B" w:rsidP="00456017">
      <w:pPr>
        <w:spacing w:after="160" w:line="276" w:lineRule="auto"/>
        <w:jc w:val="both"/>
        <w:rPr>
          <w:rFonts w:cs="Arial"/>
          <w:b/>
          <w:bCs/>
          <w:sz w:val="22"/>
          <w:szCs w:val="22"/>
        </w:rPr>
      </w:pPr>
      <w:r w:rsidRPr="69AE3331">
        <w:rPr>
          <w:rFonts w:cs="Arial"/>
          <w:b/>
          <w:bCs/>
          <w:sz w:val="22"/>
          <w:szCs w:val="22"/>
        </w:rPr>
        <w:lastRenderedPageBreak/>
        <w:t xml:space="preserve">E2. </w:t>
      </w:r>
      <w:r w:rsidR="00502F20">
        <w:rPr>
          <w:rFonts w:cs="Arial"/>
          <w:b/>
          <w:bCs/>
          <w:sz w:val="22"/>
          <w:szCs w:val="22"/>
        </w:rPr>
        <w:t>Value for Money (</w:t>
      </w:r>
      <w:proofErr w:type="spellStart"/>
      <w:r w:rsidR="00502F20">
        <w:rPr>
          <w:rFonts w:cs="Arial"/>
          <w:b/>
          <w:bCs/>
          <w:sz w:val="22"/>
          <w:szCs w:val="22"/>
        </w:rPr>
        <w:t>VfM</w:t>
      </w:r>
      <w:proofErr w:type="spellEnd"/>
      <w:r w:rsidR="00502F20">
        <w:rPr>
          <w:rFonts w:cs="Arial"/>
          <w:b/>
          <w:bCs/>
          <w:sz w:val="22"/>
          <w:szCs w:val="22"/>
        </w:rPr>
        <w:t>) assessment</w:t>
      </w:r>
      <w:r w:rsidRPr="69AE3331">
        <w:rPr>
          <w:rFonts w:cs="Arial"/>
          <w:b/>
          <w:bCs/>
          <w:sz w:val="22"/>
          <w:szCs w:val="22"/>
        </w:rPr>
        <w:t xml:space="preserve"> </w:t>
      </w:r>
    </w:p>
    <w:p w14:paraId="28E03794" w14:textId="50EE98B9" w:rsidR="00456017" w:rsidRPr="00864D04" w:rsidRDefault="00456017" w:rsidP="00D16AA2">
      <w:pPr>
        <w:spacing w:after="160" w:line="276" w:lineRule="auto"/>
        <w:jc w:val="both"/>
        <w:rPr>
          <w:rFonts w:cs="Arial"/>
          <w:b/>
          <w:bCs/>
          <w:i/>
          <w:iCs/>
          <w:sz w:val="22"/>
          <w:szCs w:val="22"/>
        </w:rPr>
      </w:pPr>
      <w:proofErr w:type="gramStart"/>
      <w:r w:rsidRPr="00864D04">
        <w:rPr>
          <w:rFonts w:cs="Arial"/>
          <w:b/>
          <w:bCs/>
          <w:i/>
          <w:iCs/>
          <w:sz w:val="22"/>
          <w:szCs w:val="22"/>
        </w:rPr>
        <w:t xml:space="preserve">E.2.1 </w:t>
      </w:r>
      <w:r w:rsidR="00B16C88">
        <w:rPr>
          <w:rFonts w:cs="Arial"/>
          <w:b/>
          <w:bCs/>
          <w:i/>
          <w:iCs/>
          <w:sz w:val="22"/>
          <w:szCs w:val="22"/>
        </w:rPr>
        <w:t xml:space="preserve"> Overview</w:t>
      </w:r>
      <w:proofErr w:type="gramEnd"/>
      <w:r w:rsidR="00B16C88">
        <w:rPr>
          <w:rFonts w:cs="Arial"/>
          <w:b/>
          <w:bCs/>
          <w:i/>
          <w:iCs/>
          <w:sz w:val="22"/>
          <w:szCs w:val="22"/>
        </w:rPr>
        <w:t xml:space="preserve"> of Cost</w:t>
      </w:r>
      <w:r w:rsidR="00393A21">
        <w:rPr>
          <w:rFonts w:cs="Arial"/>
          <w:b/>
          <w:bCs/>
          <w:i/>
          <w:iCs/>
          <w:sz w:val="22"/>
          <w:szCs w:val="22"/>
        </w:rPr>
        <w:t>-</w:t>
      </w:r>
      <w:r w:rsidR="00B16C88">
        <w:rPr>
          <w:rFonts w:cs="Arial"/>
          <w:b/>
          <w:bCs/>
          <w:i/>
          <w:iCs/>
          <w:sz w:val="22"/>
          <w:szCs w:val="22"/>
        </w:rPr>
        <w:t>Effectiveness</w:t>
      </w:r>
    </w:p>
    <w:p w14:paraId="2DF76311" w14:textId="4C91B370" w:rsidR="006268ED" w:rsidRDefault="006268ED" w:rsidP="006268ED">
      <w:pPr>
        <w:spacing w:after="160" w:line="276" w:lineRule="auto"/>
        <w:jc w:val="both"/>
        <w:rPr>
          <w:rFonts w:cs="Arial"/>
          <w:sz w:val="20"/>
          <w:szCs w:val="20"/>
        </w:rPr>
      </w:pPr>
      <w:r w:rsidRPr="006268ED">
        <w:rPr>
          <w:rFonts w:cs="Arial"/>
          <w:sz w:val="20"/>
          <w:szCs w:val="20"/>
        </w:rPr>
        <w:t xml:space="preserve">OCEAN has made </w:t>
      </w:r>
      <w:r w:rsidR="00AF2D7A">
        <w:rPr>
          <w:rFonts w:cs="Arial"/>
          <w:sz w:val="20"/>
          <w:szCs w:val="20"/>
        </w:rPr>
        <w:t>significant effort</w:t>
      </w:r>
      <w:r w:rsidR="00BB2ACB">
        <w:rPr>
          <w:rFonts w:cs="Arial"/>
          <w:sz w:val="20"/>
          <w:szCs w:val="20"/>
        </w:rPr>
        <w:t>s</w:t>
      </w:r>
      <w:r w:rsidR="00AF2D7A">
        <w:rPr>
          <w:rFonts w:cs="Arial"/>
          <w:sz w:val="20"/>
          <w:szCs w:val="20"/>
        </w:rPr>
        <w:t xml:space="preserve"> to en</w:t>
      </w:r>
      <w:r w:rsidRPr="006268ED">
        <w:rPr>
          <w:rFonts w:cs="Arial"/>
          <w:sz w:val="20"/>
          <w:szCs w:val="20"/>
        </w:rPr>
        <w:t xml:space="preserve">sure </w:t>
      </w:r>
      <w:proofErr w:type="spellStart"/>
      <w:r w:rsidRPr="006268ED">
        <w:rPr>
          <w:rFonts w:cs="Arial"/>
          <w:sz w:val="20"/>
          <w:szCs w:val="20"/>
        </w:rPr>
        <w:t>VfM</w:t>
      </w:r>
      <w:proofErr w:type="spellEnd"/>
      <w:r w:rsidRPr="006268ED">
        <w:rPr>
          <w:rFonts w:cs="Arial"/>
          <w:sz w:val="20"/>
          <w:szCs w:val="20"/>
        </w:rPr>
        <w:t xml:space="preserve"> </w:t>
      </w:r>
      <w:r w:rsidR="00AF2D7A">
        <w:rPr>
          <w:rFonts w:cs="Arial"/>
          <w:sz w:val="20"/>
          <w:szCs w:val="20"/>
        </w:rPr>
        <w:t>is embedded</w:t>
      </w:r>
      <w:r w:rsidRPr="006268ED">
        <w:rPr>
          <w:rFonts w:cs="Arial"/>
          <w:sz w:val="20"/>
          <w:szCs w:val="20"/>
        </w:rPr>
        <w:t xml:space="preserve"> into its strategy and delivery. The programme’s design itself is based on a competitive funding model which should lead to the best and most relevant projects being awarded funds. The </w:t>
      </w:r>
      <w:r w:rsidR="00CD3D0C">
        <w:rPr>
          <w:rFonts w:cs="Arial"/>
          <w:sz w:val="20"/>
          <w:szCs w:val="20"/>
        </w:rPr>
        <w:t>GA</w:t>
      </w:r>
      <w:r w:rsidRPr="006268ED">
        <w:rPr>
          <w:rFonts w:cs="Arial"/>
          <w:sz w:val="20"/>
          <w:szCs w:val="20"/>
        </w:rPr>
        <w:t xml:space="preserve"> has developed a </w:t>
      </w:r>
      <w:proofErr w:type="spellStart"/>
      <w:r w:rsidRPr="006268ED">
        <w:rPr>
          <w:rFonts w:cs="Arial"/>
          <w:sz w:val="20"/>
          <w:szCs w:val="20"/>
        </w:rPr>
        <w:t>VfM</w:t>
      </w:r>
      <w:proofErr w:type="spellEnd"/>
      <w:r w:rsidRPr="006268ED">
        <w:rPr>
          <w:rFonts w:cs="Arial"/>
          <w:sz w:val="20"/>
          <w:szCs w:val="20"/>
        </w:rPr>
        <w:t xml:space="preserve"> strategy to ensure appropriate measures are in place throughout the lifetime of the programme. The OCEAN risk register also include</w:t>
      </w:r>
      <w:r w:rsidR="006F2348">
        <w:rPr>
          <w:rFonts w:cs="Arial"/>
          <w:sz w:val="20"/>
          <w:szCs w:val="20"/>
        </w:rPr>
        <w:t>s</w:t>
      </w:r>
      <w:r w:rsidRPr="006268ED">
        <w:rPr>
          <w:rFonts w:cs="Arial"/>
          <w:sz w:val="20"/>
          <w:szCs w:val="20"/>
        </w:rPr>
        <w:t xml:space="preserve"> </w:t>
      </w:r>
      <w:proofErr w:type="spellStart"/>
      <w:r w:rsidRPr="006268ED">
        <w:rPr>
          <w:rFonts w:cs="Arial"/>
          <w:sz w:val="20"/>
          <w:szCs w:val="20"/>
        </w:rPr>
        <w:t>VfM</w:t>
      </w:r>
      <w:proofErr w:type="spellEnd"/>
      <w:r w:rsidRPr="006268ED">
        <w:rPr>
          <w:rFonts w:cs="Arial"/>
          <w:sz w:val="20"/>
          <w:szCs w:val="20"/>
        </w:rPr>
        <w:t xml:space="preserve"> related risks (such as exchange rate risks, inflation and transaction costs), which makes sure that mitigations can be put in place to avoid risks to </w:t>
      </w:r>
      <w:proofErr w:type="spellStart"/>
      <w:r w:rsidRPr="006268ED">
        <w:rPr>
          <w:rFonts w:cs="Arial"/>
          <w:sz w:val="20"/>
          <w:szCs w:val="20"/>
        </w:rPr>
        <w:t>VfM</w:t>
      </w:r>
      <w:proofErr w:type="spellEnd"/>
      <w:r w:rsidRPr="006268ED">
        <w:rPr>
          <w:rFonts w:cs="Arial"/>
          <w:sz w:val="20"/>
          <w:szCs w:val="20"/>
        </w:rPr>
        <w:t xml:space="preserve">. The </w:t>
      </w:r>
      <w:r w:rsidR="00CD3D0C">
        <w:rPr>
          <w:rFonts w:cs="Arial"/>
          <w:sz w:val="20"/>
          <w:szCs w:val="20"/>
        </w:rPr>
        <w:t>GA</w:t>
      </w:r>
      <w:r w:rsidRPr="006268ED">
        <w:rPr>
          <w:rFonts w:cs="Arial"/>
          <w:sz w:val="20"/>
          <w:szCs w:val="20"/>
        </w:rPr>
        <w:t xml:space="preserve"> will perform </w:t>
      </w:r>
      <w:proofErr w:type="spellStart"/>
      <w:r w:rsidRPr="006268ED">
        <w:rPr>
          <w:rFonts w:cs="Arial"/>
          <w:sz w:val="20"/>
          <w:szCs w:val="20"/>
        </w:rPr>
        <w:t>VfM</w:t>
      </w:r>
      <w:proofErr w:type="spellEnd"/>
      <w:r w:rsidRPr="006268ED">
        <w:rPr>
          <w:rFonts w:cs="Arial"/>
          <w:sz w:val="20"/>
          <w:szCs w:val="20"/>
        </w:rPr>
        <w:t xml:space="preserve"> assessments of grant applications through a </w:t>
      </w:r>
      <w:proofErr w:type="spellStart"/>
      <w:r w:rsidRPr="006268ED">
        <w:rPr>
          <w:rFonts w:cs="Arial"/>
          <w:sz w:val="20"/>
          <w:szCs w:val="20"/>
        </w:rPr>
        <w:t>VfM</w:t>
      </w:r>
      <w:proofErr w:type="spellEnd"/>
      <w:r w:rsidRPr="006268ED">
        <w:rPr>
          <w:rFonts w:cs="Arial"/>
          <w:sz w:val="20"/>
          <w:szCs w:val="20"/>
        </w:rPr>
        <w:t xml:space="preserve"> scorecard, and due diligence checks. Grantees are then held accountable for the finances they receive through Annual Reports and spot audits, and payments to grantees are linked to progress. These steps are positive at this early stage, and the activities and mitigations discussed should be continued into future years </w:t>
      </w:r>
      <w:r w:rsidR="00174CEA">
        <w:rPr>
          <w:rFonts w:cs="Arial"/>
          <w:sz w:val="20"/>
          <w:szCs w:val="20"/>
        </w:rPr>
        <w:t>to</w:t>
      </w:r>
      <w:r w:rsidRPr="006268ED">
        <w:rPr>
          <w:rFonts w:cs="Arial"/>
          <w:sz w:val="20"/>
          <w:szCs w:val="20"/>
        </w:rPr>
        <w:t xml:space="preserve"> </w:t>
      </w:r>
      <w:r w:rsidR="006C6F65">
        <w:rPr>
          <w:rFonts w:cs="Arial"/>
          <w:sz w:val="20"/>
          <w:szCs w:val="20"/>
        </w:rPr>
        <w:t>en</w:t>
      </w:r>
      <w:r w:rsidR="00F77111">
        <w:rPr>
          <w:rFonts w:cs="Arial"/>
          <w:sz w:val="20"/>
          <w:szCs w:val="20"/>
        </w:rPr>
        <w:t>s</w:t>
      </w:r>
      <w:r w:rsidR="006C6F65">
        <w:rPr>
          <w:rFonts w:cs="Arial"/>
          <w:sz w:val="20"/>
          <w:szCs w:val="20"/>
        </w:rPr>
        <w:t xml:space="preserve">ure </w:t>
      </w:r>
      <w:proofErr w:type="spellStart"/>
      <w:r w:rsidR="006C6F65">
        <w:rPr>
          <w:rFonts w:cs="Arial"/>
          <w:sz w:val="20"/>
          <w:szCs w:val="20"/>
        </w:rPr>
        <w:t>VfM</w:t>
      </w:r>
      <w:proofErr w:type="spellEnd"/>
      <w:r w:rsidR="006C6F65">
        <w:rPr>
          <w:rFonts w:cs="Arial"/>
          <w:sz w:val="20"/>
          <w:szCs w:val="20"/>
        </w:rPr>
        <w:t xml:space="preserve"> across the life of</w:t>
      </w:r>
      <w:r w:rsidRPr="006268ED">
        <w:rPr>
          <w:rFonts w:cs="Arial"/>
          <w:sz w:val="20"/>
          <w:szCs w:val="20"/>
        </w:rPr>
        <w:t xml:space="preserve"> the programme</w:t>
      </w:r>
      <w:r w:rsidR="006C6F65">
        <w:rPr>
          <w:rFonts w:cs="Arial"/>
          <w:sz w:val="20"/>
          <w:szCs w:val="20"/>
        </w:rPr>
        <w:t>.</w:t>
      </w:r>
    </w:p>
    <w:p w14:paraId="62A72C90" w14:textId="2711987A" w:rsidR="000E1541" w:rsidRPr="006268ED" w:rsidRDefault="000E1541" w:rsidP="006268ED">
      <w:pPr>
        <w:spacing w:after="160" w:line="276" w:lineRule="auto"/>
        <w:jc w:val="both"/>
        <w:rPr>
          <w:rFonts w:cs="Arial"/>
          <w:sz w:val="20"/>
          <w:szCs w:val="20"/>
        </w:rPr>
      </w:pPr>
      <w:r w:rsidRPr="3B338C06">
        <w:rPr>
          <w:rFonts w:cs="Arial"/>
          <w:sz w:val="20"/>
          <w:szCs w:val="20"/>
        </w:rPr>
        <w:t xml:space="preserve">OCEAN is bringing on board an </w:t>
      </w:r>
      <w:r w:rsidR="00F801DA" w:rsidRPr="3B338C06">
        <w:rPr>
          <w:rFonts w:cs="Arial"/>
          <w:sz w:val="20"/>
          <w:szCs w:val="20"/>
        </w:rPr>
        <w:t>IE</w:t>
      </w:r>
      <w:r w:rsidRPr="3B338C06">
        <w:rPr>
          <w:rFonts w:cs="Arial"/>
          <w:sz w:val="20"/>
          <w:szCs w:val="20"/>
        </w:rPr>
        <w:t xml:space="preserve"> through the Lot 6 MEL Call-off contract. The IE will </w:t>
      </w:r>
      <w:r w:rsidR="00127D82" w:rsidRPr="3B338C06">
        <w:rPr>
          <w:rFonts w:cs="Arial"/>
          <w:sz w:val="20"/>
          <w:szCs w:val="20"/>
        </w:rPr>
        <w:t xml:space="preserve">greatly improve the programme’s ability to test and understand </w:t>
      </w:r>
      <w:proofErr w:type="spellStart"/>
      <w:r w:rsidR="00127D82" w:rsidRPr="3B338C06">
        <w:rPr>
          <w:rFonts w:cs="Arial"/>
          <w:sz w:val="20"/>
          <w:szCs w:val="20"/>
        </w:rPr>
        <w:t>VfM</w:t>
      </w:r>
      <w:proofErr w:type="spellEnd"/>
      <w:r w:rsidR="00127D82" w:rsidRPr="3B338C06">
        <w:rPr>
          <w:rFonts w:cs="Arial"/>
          <w:sz w:val="20"/>
          <w:szCs w:val="20"/>
        </w:rPr>
        <w:t xml:space="preserve">, through dedicated </w:t>
      </w:r>
      <w:proofErr w:type="spellStart"/>
      <w:r w:rsidR="00127D82" w:rsidRPr="3B338C06">
        <w:rPr>
          <w:rFonts w:cs="Arial"/>
          <w:sz w:val="20"/>
          <w:szCs w:val="20"/>
        </w:rPr>
        <w:t>VfM</w:t>
      </w:r>
      <w:proofErr w:type="spellEnd"/>
      <w:r w:rsidR="00127D82" w:rsidRPr="3B338C06">
        <w:rPr>
          <w:rFonts w:cs="Arial"/>
          <w:sz w:val="20"/>
          <w:szCs w:val="20"/>
        </w:rPr>
        <w:t xml:space="preserve"> assessments in Mid-Term and Final Evaluations. Other </w:t>
      </w:r>
      <w:r w:rsidR="00F80632" w:rsidRPr="3B338C06">
        <w:rPr>
          <w:rFonts w:cs="Arial"/>
          <w:sz w:val="20"/>
          <w:szCs w:val="20"/>
        </w:rPr>
        <w:t xml:space="preserve">IE outputs will </w:t>
      </w:r>
      <w:r w:rsidR="00217DB8" w:rsidRPr="3B338C06">
        <w:rPr>
          <w:rFonts w:cs="Arial"/>
          <w:sz w:val="20"/>
          <w:szCs w:val="20"/>
        </w:rPr>
        <w:t xml:space="preserve">also </w:t>
      </w:r>
      <w:r w:rsidR="00F80632" w:rsidRPr="3B338C06">
        <w:rPr>
          <w:rFonts w:cs="Arial"/>
          <w:sz w:val="20"/>
          <w:szCs w:val="20"/>
        </w:rPr>
        <w:t xml:space="preserve">help improve </w:t>
      </w:r>
      <w:r w:rsidR="00217DB8" w:rsidRPr="3B338C06">
        <w:rPr>
          <w:rFonts w:cs="Arial"/>
          <w:sz w:val="20"/>
          <w:szCs w:val="20"/>
        </w:rPr>
        <w:t xml:space="preserve">the </w:t>
      </w:r>
      <w:proofErr w:type="spellStart"/>
      <w:r w:rsidR="00217DB8" w:rsidRPr="3B338C06">
        <w:rPr>
          <w:rFonts w:cs="Arial"/>
          <w:sz w:val="20"/>
          <w:szCs w:val="20"/>
        </w:rPr>
        <w:t>VfM</w:t>
      </w:r>
      <w:proofErr w:type="spellEnd"/>
      <w:r w:rsidR="00217DB8" w:rsidRPr="3B338C06">
        <w:rPr>
          <w:rFonts w:cs="Arial"/>
          <w:sz w:val="20"/>
          <w:szCs w:val="20"/>
        </w:rPr>
        <w:t xml:space="preserve"> achieved </w:t>
      </w:r>
      <w:r w:rsidR="002C52E7" w:rsidRPr="3B338C06">
        <w:rPr>
          <w:rFonts w:cs="Arial"/>
          <w:sz w:val="20"/>
          <w:szCs w:val="20"/>
        </w:rPr>
        <w:t>across</w:t>
      </w:r>
      <w:r w:rsidR="00217DB8" w:rsidRPr="3B338C06">
        <w:rPr>
          <w:rFonts w:cs="Arial"/>
          <w:sz w:val="20"/>
          <w:szCs w:val="20"/>
        </w:rPr>
        <w:t xml:space="preserve"> the programme</w:t>
      </w:r>
      <w:r w:rsidR="002F59E1" w:rsidRPr="3B338C06">
        <w:rPr>
          <w:rFonts w:cs="Arial"/>
          <w:sz w:val="20"/>
          <w:szCs w:val="20"/>
        </w:rPr>
        <w:t>, as learnings drive improvements in delivery</w:t>
      </w:r>
      <w:r w:rsidR="00DA630E" w:rsidRPr="3B338C06">
        <w:rPr>
          <w:rFonts w:cs="Arial"/>
          <w:sz w:val="20"/>
          <w:szCs w:val="20"/>
        </w:rPr>
        <w:t xml:space="preserve"> from the Authority and </w:t>
      </w:r>
      <w:proofErr w:type="gramStart"/>
      <w:r w:rsidR="00CD3D0C" w:rsidRPr="3B338C06">
        <w:rPr>
          <w:rFonts w:cs="Arial"/>
          <w:sz w:val="20"/>
          <w:szCs w:val="20"/>
        </w:rPr>
        <w:t>GA</w:t>
      </w:r>
      <w:r w:rsidR="00DA630E" w:rsidRPr="3B338C06">
        <w:rPr>
          <w:rFonts w:cs="Arial"/>
          <w:sz w:val="20"/>
          <w:szCs w:val="20"/>
        </w:rPr>
        <w:t>, and</w:t>
      </w:r>
      <w:proofErr w:type="gramEnd"/>
      <w:r w:rsidR="00DA630E" w:rsidRPr="3B338C06">
        <w:rPr>
          <w:rFonts w:cs="Arial"/>
          <w:sz w:val="20"/>
          <w:szCs w:val="20"/>
        </w:rPr>
        <w:t xml:space="preserve"> also help to make projects more effective. Learning outputs will include evidence reviews, deep dives, case studies and </w:t>
      </w:r>
      <w:r w:rsidR="00AE3CD4" w:rsidRPr="3B338C06">
        <w:rPr>
          <w:rFonts w:cs="Arial"/>
          <w:sz w:val="20"/>
          <w:szCs w:val="20"/>
        </w:rPr>
        <w:t xml:space="preserve">six-monthly/annual learning events where </w:t>
      </w:r>
      <w:r w:rsidR="00943F02" w:rsidRPr="3B338C06">
        <w:rPr>
          <w:rFonts w:cs="Arial"/>
          <w:sz w:val="20"/>
          <w:szCs w:val="20"/>
        </w:rPr>
        <w:t xml:space="preserve">the programme brings grantees and partners together. Learning outputs and evaluations will include recommendations, which </w:t>
      </w:r>
      <w:r w:rsidR="009B3E37" w:rsidRPr="3B338C06">
        <w:rPr>
          <w:rFonts w:cs="Arial"/>
          <w:sz w:val="20"/>
          <w:szCs w:val="20"/>
        </w:rPr>
        <w:t xml:space="preserve">can be implemented across the programme to deliver improvements, helping to strengthen the </w:t>
      </w:r>
      <w:proofErr w:type="spellStart"/>
      <w:r w:rsidR="009B3E37" w:rsidRPr="3B338C06">
        <w:rPr>
          <w:rFonts w:cs="Arial"/>
          <w:sz w:val="20"/>
          <w:szCs w:val="20"/>
        </w:rPr>
        <w:t>VfM</w:t>
      </w:r>
      <w:proofErr w:type="spellEnd"/>
      <w:r w:rsidR="009B3E37" w:rsidRPr="3B338C06">
        <w:rPr>
          <w:rFonts w:cs="Arial"/>
          <w:sz w:val="20"/>
          <w:szCs w:val="20"/>
        </w:rPr>
        <w:t xml:space="preserve"> achieved.</w:t>
      </w:r>
    </w:p>
    <w:p w14:paraId="3B149EE1" w14:textId="49916E19" w:rsidR="00D16AA2" w:rsidRDefault="00E12027" w:rsidP="00D16AA2">
      <w:pPr>
        <w:spacing w:after="160" w:line="276" w:lineRule="auto"/>
        <w:jc w:val="both"/>
        <w:rPr>
          <w:rFonts w:cs="Arial"/>
          <w:sz w:val="20"/>
          <w:szCs w:val="20"/>
        </w:rPr>
      </w:pPr>
      <w:r w:rsidRPr="3B338C06">
        <w:rPr>
          <w:rFonts w:cs="Arial"/>
          <w:sz w:val="20"/>
          <w:szCs w:val="20"/>
        </w:rPr>
        <w:t xml:space="preserve">Given that </w:t>
      </w:r>
      <w:r w:rsidR="00685A3C" w:rsidRPr="3B338C06">
        <w:rPr>
          <w:rFonts w:cs="Arial"/>
          <w:sz w:val="20"/>
          <w:szCs w:val="20"/>
        </w:rPr>
        <w:t xml:space="preserve">this Annual Review concerns the first 12 months of the OCEAN programme and grantee projects are not up and running, we are unable to </w:t>
      </w:r>
      <w:r w:rsidR="003841E7" w:rsidRPr="3B338C06">
        <w:rPr>
          <w:rFonts w:cs="Arial"/>
          <w:sz w:val="20"/>
          <w:szCs w:val="20"/>
        </w:rPr>
        <w:t xml:space="preserve">test the </w:t>
      </w:r>
      <w:proofErr w:type="spellStart"/>
      <w:r w:rsidR="009A6AF5" w:rsidRPr="3B338C06">
        <w:rPr>
          <w:rFonts w:cs="Arial"/>
          <w:sz w:val="20"/>
          <w:szCs w:val="20"/>
        </w:rPr>
        <w:t>VfM</w:t>
      </w:r>
      <w:proofErr w:type="spellEnd"/>
      <w:r w:rsidR="003841E7" w:rsidRPr="3B338C06">
        <w:rPr>
          <w:rFonts w:cs="Arial"/>
          <w:sz w:val="20"/>
          <w:szCs w:val="20"/>
        </w:rPr>
        <w:t xml:space="preserve"> delivered through programme outcomes and impacts</w:t>
      </w:r>
      <w:r w:rsidR="00E80A01" w:rsidRPr="3B338C06">
        <w:rPr>
          <w:rFonts w:cs="Arial"/>
          <w:sz w:val="20"/>
          <w:szCs w:val="20"/>
        </w:rPr>
        <w:t>, and therefore</w:t>
      </w:r>
      <w:r w:rsidR="003841E7" w:rsidRPr="3B338C06">
        <w:rPr>
          <w:rFonts w:cs="Arial"/>
          <w:sz w:val="20"/>
          <w:szCs w:val="20"/>
        </w:rPr>
        <w:t xml:space="preserve"> the monetary benefits </w:t>
      </w:r>
      <w:r w:rsidR="00E80A01" w:rsidRPr="3B338C06">
        <w:rPr>
          <w:rFonts w:cs="Arial"/>
          <w:sz w:val="20"/>
          <w:szCs w:val="20"/>
        </w:rPr>
        <w:t xml:space="preserve">achieved. The </w:t>
      </w:r>
      <w:proofErr w:type="spellStart"/>
      <w:r w:rsidR="00E80A01" w:rsidRPr="3B338C06">
        <w:rPr>
          <w:rFonts w:cs="Arial"/>
          <w:sz w:val="20"/>
          <w:szCs w:val="20"/>
        </w:rPr>
        <w:t>VfM</w:t>
      </w:r>
      <w:proofErr w:type="spellEnd"/>
      <w:r w:rsidR="00E80A01" w:rsidRPr="3B338C06">
        <w:rPr>
          <w:rFonts w:cs="Arial"/>
          <w:sz w:val="20"/>
          <w:szCs w:val="20"/>
        </w:rPr>
        <w:t xml:space="preserve"> assessment below will focus on the progress made towards </w:t>
      </w:r>
      <w:r w:rsidR="7C8E6D76" w:rsidRPr="3B338C06">
        <w:rPr>
          <w:rFonts w:cs="Arial"/>
          <w:sz w:val="20"/>
          <w:szCs w:val="20"/>
        </w:rPr>
        <w:t>the other</w:t>
      </w:r>
      <w:r w:rsidR="00E80A01" w:rsidRPr="3B338C06">
        <w:rPr>
          <w:rFonts w:cs="Arial"/>
          <w:sz w:val="20"/>
          <w:szCs w:val="20"/>
        </w:rPr>
        <w:t xml:space="preserve"> 4 Es (Economy, Efficiency, Effectiveness and Equity), and the plans that are in place to ensure and monitor </w:t>
      </w:r>
      <w:proofErr w:type="spellStart"/>
      <w:r w:rsidR="00E80A01" w:rsidRPr="3B338C06">
        <w:rPr>
          <w:rFonts w:cs="Arial"/>
          <w:sz w:val="20"/>
          <w:szCs w:val="20"/>
        </w:rPr>
        <w:t>VfM</w:t>
      </w:r>
      <w:proofErr w:type="spellEnd"/>
      <w:r w:rsidR="00E80A01" w:rsidRPr="3B338C06">
        <w:rPr>
          <w:rFonts w:cs="Arial"/>
          <w:sz w:val="20"/>
          <w:szCs w:val="20"/>
        </w:rPr>
        <w:t xml:space="preserve"> in future years.</w:t>
      </w:r>
      <w:r w:rsidR="003F3F92" w:rsidRPr="3B338C06">
        <w:rPr>
          <w:rFonts w:cs="Arial"/>
          <w:sz w:val="20"/>
          <w:szCs w:val="20"/>
        </w:rPr>
        <w:t xml:space="preserve"> The </w:t>
      </w:r>
      <w:r w:rsidR="009A1FB1" w:rsidRPr="3B338C06">
        <w:rPr>
          <w:rFonts w:cs="Arial"/>
          <w:sz w:val="20"/>
          <w:szCs w:val="20"/>
        </w:rPr>
        <w:t xml:space="preserve">assessment concludes with key recommendations for the next 12 months, to continue to ensure OCEAN delivers strong </w:t>
      </w:r>
      <w:proofErr w:type="spellStart"/>
      <w:r w:rsidR="009A1FB1" w:rsidRPr="3B338C06">
        <w:rPr>
          <w:rFonts w:cs="Arial"/>
          <w:sz w:val="20"/>
          <w:szCs w:val="20"/>
        </w:rPr>
        <w:t>VfM</w:t>
      </w:r>
      <w:proofErr w:type="spellEnd"/>
      <w:r w:rsidR="009A1FB1" w:rsidRPr="3B338C06">
        <w:rPr>
          <w:rFonts w:cs="Arial"/>
          <w:sz w:val="20"/>
          <w:szCs w:val="20"/>
        </w:rPr>
        <w:t>.</w:t>
      </w:r>
      <w:r w:rsidR="003C14C6" w:rsidRPr="3B338C06">
        <w:rPr>
          <w:rFonts w:cs="Arial"/>
          <w:sz w:val="20"/>
          <w:szCs w:val="20"/>
        </w:rPr>
        <w:t xml:space="preserve"> As seen above, given the performance against target indicators in the first year, we can be confident that OCEAN is on track to achieve the expected </w:t>
      </w:r>
      <w:proofErr w:type="spellStart"/>
      <w:r w:rsidR="003C14C6" w:rsidRPr="3B338C06">
        <w:rPr>
          <w:rFonts w:cs="Arial"/>
          <w:sz w:val="20"/>
          <w:szCs w:val="20"/>
        </w:rPr>
        <w:t>VfM</w:t>
      </w:r>
      <w:proofErr w:type="spellEnd"/>
      <w:r w:rsidR="003C14C6" w:rsidRPr="3B338C06">
        <w:rPr>
          <w:rFonts w:cs="Arial"/>
          <w:sz w:val="20"/>
          <w:szCs w:val="20"/>
        </w:rPr>
        <w:t>, if the programme builds on the strong foundations established to date.</w:t>
      </w:r>
    </w:p>
    <w:p w14:paraId="61A3635C" w14:textId="71294124" w:rsidR="00D16AA2" w:rsidRPr="00864D04" w:rsidRDefault="00D16AA2" w:rsidP="00D16AA2">
      <w:pPr>
        <w:spacing w:after="160" w:line="276" w:lineRule="auto"/>
        <w:jc w:val="both"/>
        <w:rPr>
          <w:rFonts w:cs="Arial"/>
          <w:b/>
          <w:bCs/>
          <w:i/>
          <w:iCs/>
          <w:sz w:val="22"/>
          <w:szCs w:val="22"/>
        </w:rPr>
      </w:pPr>
      <w:r w:rsidRPr="00864D04">
        <w:rPr>
          <w:rFonts w:cs="Arial"/>
          <w:b/>
          <w:bCs/>
          <w:i/>
          <w:iCs/>
          <w:sz w:val="22"/>
          <w:szCs w:val="22"/>
        </w:rPr>
        <w:t xml:space="preserve">E.2.2 Business Case </w:t>
      </w:r>
      <w:proofErr w:type="spellStart"/>
      <w:r w:rsidRPr="00864D04">
        <w:rPr>
          <w:rFonts w:cs="Arial"/>
          <w:b/>
          <w:bCs/>
          <w:i/>
          <w:iCs/>
          <w:sz w:val="22"/>
          <w:szCs w:val="22"/>
        </w:rPr>
        <w:t>VfM</w:t>
      </w:r>
      <w:proofErr w:type="spellEnd"/>
    </w:p>
    <w:p w14:paraId="20C5AC26" w14:textId="242D36D9" w:rsidR="008366F5" w:rsidRPr="005520C0" w:rsidRDefault="00354381" w:rsidP="00D16AA2">
      <w:pPr>
        <w:spacing w:after="160" w:line="276" w:lineRule="auto"/>
        <w:jc w:val="both"/>
        <w:rPr>
          <w:rFonts w:cs="Arial"/>
          <w:sz w:val="20"/>
          <w:szCs w:val="20"/>
        </w:rPr>
      </w:pPr>
      <w:r w:rsidRPr="005520C0">
        <w:rPr>
          <w:rFonts w:cs="Arial"/>
          <w:sz w:val="20"/>
          <w:szCs w:val="20"/>
        </w:rPr>
        <w:t>A Value for Money assessment was undertaken for the OCEAN Full Business Case</w:t>
      </w:r>
      <w:r w:rsidR="0010650B" w:rsidRPr="005520C0">
        <w:rPr>
          <w:rFonts w:cs="Arial"/>
          <w:sz w:val="20"/>
          <w:szCs w:val="20"/>
        </w:rPr>
        <w:t xml:space="preserve"> in 2023</w:t>
      </w:r>
      <w:r w:rsidRPr="005520C0">
        <w:rPr>
          <w:rFonts w:cs="Arial"/>
          <w:sz w:val="20"/>
          <w:szCs w:val="20"/>
        </w:rPr>
        <w:t>.</w:t>
      </w:r>
      <w:r w:rsidR="0010650B" w:rsidRPr="005520C0">
        <w:rPr>
          <w:rFonts w:cs="Arial"/>
          <w:sz w:val="20"/>
          <w:szCs w:val="20"/>
        </w:rPr>
        <w:t xml:space="preserve"> </w:t>
      </w:r>
      <w:r w:rsidR="005A0C90" w:rsidRPr="005520C0">
        <w:rPr>
          <w:rFonts w:cs="Arial"/>
          <w:sz w:val="20"/>
          <w:szCs w:val="20"/>
        </w:rPr>
        <w:t>A range of Benefit-Cost Ratios (BCRs) was developed, with a central estimate of 2</w:t>
      </w:r>
      <w:r w:rsidR="00F012B5" w:rsidRPr="005520C0">
        <w:rPr>
          <w:rFonts w:cs="Arial"/>
          <w:sz w:val="20"/>
          <w:szCs w:val="20"/>
        </w:rPr>
        <w:t>.0</w:t>
      </w:r>
      <w:r w:rsidR="005A0C90" w:rsidRPr="005520C0">
        <w:rPr>
          <w:rFonts w:cs="Arial"/>
          <w:sz w:val="20"/>
          <w:szCs w:val="20"/>
        </w:rPr>
        <w:t>.</w:t>
      </w:r>
      <w:r w:rsidR="00AB5676" w:rsidRPr="005520C0">
        <w:rPr>
          <w:rFonts w:cs="Arial"/>
          <w:sz w:val="20"/>
          <w:szCs w:val="20"/>
        </w:rPr>
        <w:t xml:space="preserve"> This means that we expect to see mon</w:t>
      </w:r>
      <w:r w:rsidR="00F012B5" w:rsidRPr="005520C0">
        <w:rPr>
          <w:rFonts w:cs="Arial"/>
          <w:sz w:val="20"/>
          <w:szCs w:val="20"/>
        </w:rPr>
        <w:t>e</w:t>
      </w:r>
      <w:r w:rsidR="00AB5676" w:rsidRPr="005520C0">
        <w:rPr>
          <w:rFonts w:cs="Arial"/>
          <w:sz w:val="20"/>
          <w:szCs w:val="20"/>
        </w:rPr>
        <w:t xml:space="preserve">tary benefits </w:t>
      </w:r>
      <w:r w:rsidR="00F012B5" w:rsidRPr="005520C0">
        <w:rPr>
          <w:rFonts w:cs="Arial"/>
          <w:sz w:val="20"/>
          <w:szCs w:val="20"/>
        </w:rPr>
        <w:t xml:space="preserve">of £119m, with a </w:t>
      </w:r>
      <w:r w:rsidR="00C7008E" w:rsidRPr="005520C0">
        <w:rPr>
          <w:rFonts w:cs="Arial"/>
          <w:sz w:val="20"/>
          <w:szCs w:val="20"/>
        </w:rPr>
        <w:t>partial N</w:t>
      </w:r>
      <w:r w:rsidR="00F012B5" w:rsidRPr="005520C0">
        <w:rPr>
          <w:rFonts w:cs="Arial"/>
          <w:sz w:val="20"/>
          <w:szCs w:val="20"/>
        </w:rPr>
        <w:t xml:space="preserve">et </w:t>
      </w:r>
      <w:r w:rsidR="00C7008E" w:rsidRPr="005520C0">
        <w:rPr>
          <w:rFonts w:cs="Arial"/>
          <w:sz w:val="20"/>
          <w:szCs w:val="20"/>
        </w:rPr>
        <w:t>P</w:t>
      </w:r>
      <w:r w:rsidR="00F012B5" w:rsidRPr="005520C0">
        <w:rPr>
          <w:rFonts w:cs="Arial"/>
          <w:sz w:val="20"/>
          <w:szCs w:val="20"/>
        </w:rPr>
        <w:t xml:space="preserve">resent </w:t>
      </w:r>
      <w:r w:rsidR="00C7008E" w:rsidRPr="005520C0">
        <w:rPr>
          <w:rFonts w:cs="Arial"/>
          <w:sz w:val="20"/>
          <w:szCs w:val="20"/>
        </w:rPr>
        <w:t>V</w:t>
      </w:r>
      <w:r w:rsidR="00F012B5" w:rsidRPr="005520C0">
        <w:rPr>
          <w:rFonts w:cs="Arial"/>
          <w:sz w:val="20"/>
          <w:szCs w:val="20"/>
        </w:rPr>
        <w:t>alue (NPV) of £59m when accounting for the £60m programme cost.</w:t>
      </w:r>
      <w:r w:rsidR="009E7DFE" w:rsidRPr="005520C0">
        <w:rPr>
          <w:rFonts w:cs="Arial"/>
          <w:sz w:val="20"/>
          <w:szCs w:val="20"/>
        </w:rPr>
        <w:t xml:space="preserve"> The </w:t>
      </w:r>
      <w:r w:rsidR="00F45752" w:rsidRPr="005520C0">
        <w:rPr>
          <w:rFonts w:cs="Arial"/>
          <w:sz w:val="20"/>
          <w:szCs w:val="20"/>
        </w:rPr>
        <w:t xml:space="preserve">figures were derived </w:t>
      </w:r>
      <w:r w:rsidR="00547E21" w:rsidRPr="005520C0">
        <w:rPr>
          <w:rFonts w:cs="Arial"/>
          <w:sz w:val="20"/>
          <w:szCs w:val="20"/>
        </w:rPr>
        <w:t>by mapping</w:t>
      </w:r>
      <w:r w:rsidR="00F45752" w:rsidRPr="005520C0">
        <w:rPr>
          <w:rFonts w:cs="Arial"/>
          <w:sz w:val="20"/>
          <w:szCs w:val="20"/>
        </w:rPr>
        <w:t xml:space="preserve"> BCRs from a selection of sample projects</w:t>
      </w:r>
      <w:r w:rsidR="00547E21" w:rsidRPr="005520C0">
        <w:rPr>
          <w:rFonts w:cs="Arial"/>
          <w:sz w:val="20"/>
          <w:szCs w:val="20"/>
        </w:rPr>
        <w:t xml:space="preserve"> across four key themes </w:t>
      </w:r>
      <w:r w:rsidR="005669CD" w:rsidRPr="005520C0">
        <w:rPr>
          <w:rFonts w:cs="Arial"/>
          <w:sz w:val="20"/>
          <w:szCs w:val="20"/>
        </w:rPr>
        <w:t xml:space="preserve">coinciding with the four Defra-led BPF priority outcomes </w:t>
      </w:r>
      <w:r w:rsidR="00547E21" w:rsidRPr="005520C0">
        <w:rPr>
          <w:rFonts w:cs="Arial"/>
          <w:sz w:val="20"/>
          <w:szCs w:val="20"/>
        </w:rPr>
        <w:t xml:space="preserve">– marine pollution, </w:t>
      </w:r>
      <w:r w:rsidR="00091E58">
        <w:rPr>
          <w:rFonts w:cs="Arial"/>
          <w:sz w:val="20"/>
          <w:szCs w:val="20"/>
        </w:rPr>
        <w:t>MPAs</w:t>
      </w:r>
      <w:r w:rsidR="001F48B8">
        <w:rPr>
          <w:rFonts w:cs="Arial"/>
          <w:sz w:val="20"/>
          <w:szCs w:val="20"/>
        </w:rPr>
        <w:t xml:space="preserve">, </w:t>
      </w:r>
      <w:r w:rsidR="00D03BEA">
        <w:rPr>
          <w:rFonts w:cs="Arial"/>
          <w:sz w:val="20"/>
          <w:szCs w:val="20"/>
        </w:rPr>
        <w:t>IUU</w:t>
      </w:r>
      <w:r w:rsidR="00547E21" w:rsidRPr="005520C0">
        <w:rPr>
          <w:rFonts w:cs="Arial"/>
          <w:sz w:val="20"/>
          <w:szCs w:val="20"/>
        </w:rPr>
        <w:t xml:space="preserve"> fishing, and large-scale sustainable fisheries.</w:t>
      </w:r>
      <w:r w:rsidR="005669CD" w:rsidRPr="005520C0">
        <w:rPr>
          <w:rFonts w:cs="Arial"/>
          <w:sz w:val="20"/>
          <w:szCs w:val="20"/>
        </w:rPr>
        <w:t xml:space="preserve"> The methodology also included a split of investment between Community and Partnership Grants</w:t>
      </w:r>
      <w:r w:rsidR="003D0B85" w:rsidRPr="005520C0">
        <w:rPr>
          <w:rFonts w:cs="Arial"/>
          <w:sz w:val="20"/>
          <w:szCs w:val="20"/>
        </w:rPr>
        <w:t xml:space="preserve">, to more accurately reflect the scalability of results for these two different sizes of project. </w:t>
      </w:r>
    </w:p>
    <w:p w14:paraId="252F5DA6" w14:textId="77777777" w:rsidR="008366F5" w:rsidRPr="005520C0" w:rsidRDefault="00547401" w:rsidP="00D16AA2">
      <w:pPr>
        <w:spacing w:after="160" w:line="276" w:lineRule="auto"/>
        <w:jc w:val="both"/>
        <w:rPr>
          <w:rFonts w:cs="Arial"/>
          <w:sz w:val="20"/>
          <w:szCs w:val="20"/>
        </w:rPr>
      </w:pPr>
      <w:r w:rsidRPr="005520C0">
        <w:rPr>
          <w:rFonts w:cs="Arial"/>
          <w:sz w:val="20"/>
          <w:szCs w:val="20"/>
        </w:rPr>
        <w:t xml:space="preserve">Monetised benefits </w:t>
      </w:r>
      <w:r w:rsidR="008366F5" w:rsidRPr="005520C0">
        <w:rPr>
          <w:rFonts w:cs="Arial"/>
          <w:sz w:val="20"/>
          <w:szCs w:val="20"/>
        </w:rPr>
        <w:t>included:</w:t>
      </w:r>
    </w:p>
    <w:p w14:paraId="302DD1E8" w14:textId="5EEAA5C9" w:rsidR="008366F5" w:rsidRPr="005520C0" w:rsidRDefault="008366F5" w:rsidP="00AD1823">
      <w:pPr>
        <w:pStyle w:val="ListParagraph"/>
        <w:numPr>
          <w:ilvl w:val="0"/>
          <w:numId w:val="20"/>
        </w:numPr>
        <w:spacing w:after="160" w:line="276" w:lineRule="auto"/>
        <w:jc w:val="both"/>
        <w:rPr>
          <w:rFonts w:cs="Arial"/>
          <w:sz w:val="20"/>
        </w:rPr>
      </w:pPr>
      <w:r w:rsidRPr="005520C0">
        <w:rPr>
          <w:rFonts w:cs="Arial"/>
          <w:b/>
          <w:bCs/>
          <w:sz w:val="20"/>
        </w:rPr>
        <w:t>Marine environmental benefits</w:t>
      </w:r>
      <w:r w:rsidRPr="005520C0">
        <w:rPr>
          <w:rFonts w:cs="Arial"/>
          <w:sz w:val="20"/>
        </w:rPr>
        <w:t>, ranging from the</w:t>
      </w:r>
      <w:r w:rsidR="00547401" w:rsidRPr="005520C0">
        <w:rPr>
          <w:rFonts w:cs="Arial"/>
          <w:sz w:val="20"/>
        </w:rPr>
        <w:t xml:space="preserve"> </w:t>
      </w:r>
      <w:r w:rsidRPr="005520C0">
        <w:rPr>
          <w:rFonts w:cs="Arial"/>
          <w:iCs/>
          <w:sz w:val="20"/>
        </w:rPr>
        <w:t>damage avoided from preventing a tonne of plastic waste entering the ocean (Marine Pollution outcome) to the ecosystem service benefits of protecting mangroves and seagrasses (MPA outcome)</w:t>
      </w:r>
    </w:p>
    <w:p w14:paraId="3BFBFCAD" w14:textId="4CDF489E" w:rsidR="008366F5" w:rsidRPr="005520C0" w:rsidRDefault="008366F5" w:rsidP="00AD1823">
      <w:pPr>
        <w:pStyle w:val="ListParagraph"/>
        <w:numPr>
          <w:ilvl w:val="0"/>
          <w:numId w:val="20"/>
        </w:numPr>
        <w:spacing w:after="160" w:line="276" w:lineRule="auto"/>
        <w:jc w:val="both"/>
        <w:rPr>
          <w:rFonts w:cs="Arial"/>
          <w:sz w:val="20"/>
        </w:rPr>
      </w:pPr>
      <w:r w:rsidRPr="005520C0">
        <w:rPr>
          <w:rFonts w:cs="Arial"/>
          <w:b/>
          <w:bCs/>
          <w:sz w:val="20"/>
        </w:rPr>
        <w:t>CO2e emissions savings benefits</w:t>
      </w:r>
      <w:r w:rsidR="005337CF" w:rsidRPr="005520C0">
        <w:rPr>
          <w:rFonts w:cs="Arial"/>
          <w:sz w:val="20"/>
        </w:rPr>
        <w:t xml:space="preserve">, largely from </w:t>
      </w:r>
      <w:r w:rsidR="005337CF" w:rsidRPr="005520C0">
        <w:rPr>
          <w:rFonts w:cs="Arial"/>
          <w:iCs/>
          <w:sz w:val="20"/>
        </w:rPr>
        <w:t>the emissions avoided from changing waste disposal methods (Marine Pollution outcome) and emissions avoided and sequestered from protecting and restoring blue carbon ecosystems (MPA outcome)</w:t>
      </w:r>
    </w:p>
    <w:p w14:paraId="50E7B14B" w14:textId="77338210" w:rsidR="005337CF" w:rsidRPr="005520C0" w:rsidRDefault="00BD523B" w:rsidP="00AD1823">
      <w:pPr>
        <w:pStyle w:val="ListParagraph"/>
        <w:numPr>
          <w:ilvl w:val="0"/>
          <w:numId w:val="20"/>
        </w:numPr>
        <w:spacing w:after="160" w:line="276" w:lineRule="auto"/>
        <w:jc w:val="both"/>
        <w:rPr>
          <w:rFonts w:cs="Arial"/>
          <w:sz w:val="20"/>
        </w:rPr>
      </w:pPr>
      <w:r w:rsidRPr="005520C0">
        <w:rPr>
          <w:rFonts w:cs="Arial"/>
          <w:b/>
          <w:bCs/>
          <w:iCs/>
          <w:sz w:val="20"/>
        </w:rPr>
        <w:t>Economic benefits</w:t>
      </w:r>
      <w:r w:rsidRPr="005520C0">
        <w:rPr>
          <w:rFonts w:cs="Arial"/>
          <w:iCs/>
          <w:sz w:val="20"/>
        </w:rPr>
        <w:t xml:space="preserve"> </w:t>
      </w:r>
      <w:r w:rsidRPr="005520C0">
        <w:rPr>
          <w:rFonts w:cs="Arial"/>
          <w:b/>
          <w:bCs/>
          <w:iCs/>
          <w:sz w:val="20"/>
        </w:rPr>
        <w:t>(partial)</w:t>
      </w:r>
      <w:r w:rsidRPr="005520C0">
        <w:rPr>
          <w:rFonts w:cs="Arial"/>
          <w:iCs/>
          <w:sz w:val="20"/>
        </w:rPr>
        <w:t xml:space="preserve">, including partial revenue, tax and income benefits associated with interventions, </w:t>
      </w:r>
      <w:r w:rsidR="00710119" w:rsidRPr="005520C0">
        <w:rPr>
          <w:rFonts w:cs="Arial"/>
          <w:iCs/>
          <w:sz w:val="20"/>
        </w:rPr>
        <w:t>and multiplier effects</w:t>
      </w:r>
    </w:p>
    <w:p w14:paraId="5576A84D" w14:textId="744FBA72" w:rsidR="00710119" w:rsidRPr="005520C0" w:rsidRDefault="00710119" w:rsidP="00710119">
      <w:pPr>
        <w:spacing w:after="160" w:line="276" w:lineRule="auto"/>
        <w:jc w:val="both"/>
        <w:rPr>
          <w:rFonts w:cs="Arial"/>
          <w:sz w:val="20"/>
          <w:szCs w:val="20"/>
        </w:rPr>
      </w:pPr>
      <w:proofErr w:type="spellStart"/>
      <w:r w:rsidRPr="005520C0">
        <w:rPr>
          <w:rFonts w:cs="Arial"/>
          <w:sz w:val="20"/>
          <w:szCs w:val="20"/>
        </w:rPr>
        <w:t>Unmonetised</w:t>
      </w:r>
      <w:proofErr w:type="spellEnd"/>
      <w:r w:rsidRPr="005520C0">
        <w:rPr>
          <w:rFonts w:cs="Arial"/>
          <w:sz w:val="20"/>
          <w:szCs w:val="20"/>
        </w:rPr>
        <w:t xml:space="preserve"> benefits included:</w:t>
      </w:r>
    </w:p>
    <w:p w14:paraId="5DD3E6D6" w14:textId="39E839D1" w:rsidR="00710119" w:rsidRPr="00935744" w:rsidRDefault="00710119" w:rsidP="00AD1823">
      <w:pPr>
        <w:pStyle w:val="ListParagraph"/>
        <w:numPr>
          <w:ilvl w:val="0"/>
          <w:numId w:val="19"/>
        </w:numPr>
        <w:spacing w:after="160" w:line="276" w:lineRule="auto"/>
        <w:jc w:val="both"/>
        <w:rPr>
          <w:rFonts w:cs="Arial"/>
          <w:sz w:val="20"/>
        </w:rPr>
      </w:pPr>
      <w:r w:rsidRPr="00935744">
        <w:rPr>
          <w:rFonts w:cs="Arial"/>
          <w:sz w:val="20"/>
        </w:rPr>
        <w:lastRenderedPageBreak/>
        <w:t>Wider environmental benefits</w:t>
      </w:r>
    </w:p>
    <w:p w14:paraId="753BBC53" w14:textId="0F192185" w:rsidR="00710119" w:rsidRPr="00935744" w:rsidRDefault="00710119" w:rsidP="00AD1823">
      <w:pPr>
        <w:pStyle w:val="ListParagraph"/>
        <w:numPr>
          <w:ilvl w:val="0"/>
          <w:numId w:val="19"/>
        </w:numPr>
        <w:spacing w:after="160" w:line="276" w:lineRule="auto"/>
        <w:jc w:val="both"/>
        <w:rPr>
          <w:rFonts w:cs="Arial"/>
          <w:sz w:val="20"/>
        </w:rPr>
      </w:pPr>
      <w:r w:rsidRPr="00935744">
        <w:rPr>
          <w:rFonts w:cs="Arial"/>
          <w:sz w:val="20"/>
        </w:rPr>
        <w:t>Social and wellbeing benefits</w:t>
      </w:r>
    </w:p>
    <w:p w14:paraId="551AA262" w14:textId="55601D4E" w:rsidR="00710119" w:rsidRPr="00935744" w:rsidRDefault="00710119" w:rsidP="00AD1823">
      <w:pPr>
        <w:pStyle w:val="ListParagraph"/>
        <w:numPr>
          <w:ilvl w:val="0"/>
          <w:numId w:val="19"/>
        </w:numPr>
        <w:spacing w:after="160" w:line="276" w:lineRule="auto"/>
        <w:jc w:val="both"/>
        <w:rPr>
          <w:rFonts w:cs="Arial"/>
          <w:sz w:val="20"/>
        </w:rPr>
      </w:pPr>
      <w:r w:rsidRPr="00935744">
        <w:rPr>
          <w:rFonts w:cs="Arial"/>
          <w:sz w:val="20"/>
        </w:rPr>
        <w:t>Human health impacts</w:t>
      </w:r>
    </w:p>
    <w:p w14:paraId="39424C8B" w14:textId="7CB4812F" w:rsidR="00710119" w:rsidRPr="00935744" w:rsidRDefault="00710119" w:rsidP="00AD1823">
      <w:pPr>
        <w:pStyle w:val="ListParagraph"/>
        <w:numPr>
          <w:ilvl w:val="0"/>
          <w:numId w:val="19"/>
        </w:numPr>
        <w:spacing w:after="160" w:line="276" w:lineRule="auto"/>
        <w:jc w:val="both"/>
        <w:rPr>
          <w:rFonts w:cs="Arial"/>
          <w:sz w:val="20"/>
        </w:rPr>
      </w:pPr>
      <w:r w:rsidRPr="00935744">
        <w:rPr>
          <w:rFonts w:cs="Arial"/>
          <w:sz w:val="20"/>
        </w:rPr>
        <w:t>Capacity building benefits</w:t>
      </w:r>
    </w:p>
    <w:p w14:paraId="27D05478" w14:textId="271B1E32" w:rsidR="00734C4F" w:rsidRPr="005520C0" w:rsidRDefault="001E3F17" w:rsidP="00655718">
      <w:pPr>
        <w:spacing w:after="160" w:line="276" w:lineRule="auto"/>
        <w:jc w:val="both"/>
        <w:rPr>
          <w:rFonts w:cs="Arial"/>
          <w:sz w:val="20"/>
        </w:rPr>
      </w:pPr>
      <w:r w:rsidRPr="005520C0">
        <w:rPr>
          <w:rFonts w:cs="Arial"/>
          <w:sz w:val="20"/>
          <w:szCs w:val="20"/>
        </w:rPr>
        <w:t xml:space="preserve">At this early stage of the programme, we are unable to test these modelling assumptions and estimate the actual monetary benefits achieved. </w:t>
      </w:r>
      <w:r w:rsidR="00A842DF" w:rsidRPr="005520C0">
        <w:rPr>
          <w:rFonts w:cs="Arial"/>
          <w:sz w:val="20"/>
          <w:szCs w:val="20"/>
        </w:rPr>
        <w:t xml:space="preserve">However, several elements of the MEL strategy will allow us to do this in future years, when outcome and impact data </w:t>
      </w:r>
      <w:r w:rsidR="00BE7511" w:rsidRPr="005520C0">
        <w:rPr>
          <w:rFonts w:cs="Arial"/>
          <w:sz w:val="20"/>
          <w:szCs w:val="20"/>
        </w:rPr>
        <w:t xml:space="preserve">at programme-level is available. We estimate that this will take </w:t>
      </w:r>
      <w:r w:rsidR="00195C26" w:rsidRPr="005520C0">
        <w:rPr>
          <w:rFonts w:cs="Arial"/>
          <w:sz w:val="20"/>
          <w:szCs w:val="20"/>
        </w:rPr>
        <w:t xml:space="preserve">up to two further years to bring in enough high-quality data to undertake a full </w:t>
      </w:r>
      <w:proofErr w:type="spellStart"/>
      <w:r w:rsidR="00195C26" w:rsidRPr="005520C0">
        <w:rPr>
          <w:rFonts w:cs="Arial"/>
          <w:sz w:val="20"/>
          <w:szCs w:val="20"/>
        </w:rPr>
        <w:t>VfM</w:t>
      </w:r>
      <w:proofErr w:type="spellEnd"/>
      <w:r w:rsidR="00195C26" w:rsidRPr="005520C0">
        <w:rPr>
          <w:rFonts w:cs="Arial"/>
          <w:sz w:val="20"/>
          <w:szCs w:val="20"/>
        </w:rPr>
        <w:t xml:space="preserve"> assessment using this modelling approach.</w:t>
      </w:r>
      <w:r w:rsidR="007D03BB" w:rsidRPr="005520C0">
        <w:rPr>
          <w:rFonts w:cs="Arial"/>
          <w:sz w:val="20"/>
          <w:szCs w:val="20"/>
        </w:rPr>
        <w:t xml:space="preserve"> </w:t>
      </w:r>
      <w:r w:rsidR="000634B2">
        <w:rPr>
          <w:rFonts w:cs="Arial"/>
          <w:sz w:val="20"/>
          <w:szCs w:val="20"/>
        </w:rPr>
        <w:t xml:space="preserve">Section E.2.4 “Recommendations” contains reference to the plans that will be actioned to ensure </w:t>
      </w:r>
      <w:r w:rsidR="003A3F38">
        <w:rPr>
          <w:rFonts w:cs="Arial"/>
          <w:sz w:val="20"/>
          <w:szCs w:val="20"/>
        </w:rPr>
        <w:t>OCEAN can bring in the necessary data in future years.</w:t>
      </w:r>
      <w:r w:rsidR="000634B2">
        <w:rPr>
          <w:rFonts w:cs="Arial"/>
          <w:sz w:val="20"/>
          <w:szCs w:val="20"/>
        </w:rPr>
        <w:t xml:space="preserve"> </w:t>
      </w:r>
    </w:p>
    <w:p w14:paraId="7F1F012D" w14:textId="5662195D" w:rsidR="00D16AA2" w:rsidRPr="00864D04" w:rsidRDefault="00D16AA2" w:rsidP="00D16AA2">
      <w:pPr>
        <w:spacing w:after="160" w:line="276" w:lineRule="auto"/>
        <w:jc w:val="both"/>
        <w:rPr>
          <w:rFonts w:cs="Arial"/>
          <w:b/>
          <w:bCs/>
          <w:i/>
          <w:iCs/>
          <w:sz w:val="22"/>
          <w:szCs w:val="22"/>
        </w:rPr>
      </w:pPr>
      <w:r w:rsidRPr="00864D04">
        <w:rPr>
          <w:rFonts w:cs="Arial"/>
          <w:b/>
          <w:bCs/>
          <w:i/>
          <w:iCs/>
          <w:sz w:val="22"/>
          <w:szCs w:val="22"/>
        </w:rPr>
        <w:t xml:space="preserve">E.2.3 Assessment of the </w:t>
      </w:r>
      <w:r w:rsidR="00393A21">
        <w:rPr>
          <w:rFonts w:cs="Arial"/>
          <w:b/>
          <w:bCs/>
          <w:i/>
          <w:iCs/>
          <w:sz w:val="22"/>
          <w:szCs w:val="22"/>
        </w:rPr>
        <w:t>5</w:t>
      </w:r>
      <w:r w:rsidRPr="00864D04">
        <w:rPr>
          <w:rFonts w:cs="Arial"/>
          <w:b/>
          <w:bCs/>
          <w:i/>
          <w:iCs/>
          <w:sz w:val="22"/>
          <w:szCs w:val="22"/>
        </w:rPr>
        <w:t xml:space="preserve"> Es</w:t>
      </w:r>
    </w:p>
    <w:p w14:paraId="4A75DC9C" w14:textId="5222C441" w:rsidR="0034387E" w:rsidRPr="005520C0" w:rsidRDefault="0034387E" w:rsidP="0034387E">
      <w:pPr>
        <w:spacing w:after="160" w:line="276" w:lineRule="auto"/>
        <w:jc w:val="both"/>
        <w:rPr>
          <w:rFonts w:cs="Arial"/>
          <w:sz w:val="20"/>
          <w:szCs w:val="20"/>
        </w:rPr>
      </w:pPr>
      <w:r w:rsidRPr="005520C0">
        <w:rPr>
          <w:rFonts w:cs="Arial"/>
          <w:sz w:val="20"/>
          <w:szCs w:val="20"/>
          <w:lang w:val="en"/>
        </w:rPr>
        <w:t xml:space="preserve">The assessment of the </w:t>
      </w:r>
      <w:r w:rsidR="00393A21">
        <w:rPr>
          <w:rFonts w:cs="Arial"/>
          <w:sz w:val="20"/>
          <w:szCs w:val="20"/>
          <w:lang w:val="en"/>
        </w:rPr>
        <w:t>5</w:t>
      </w:r>
      <w:r w:rsidRPr="005520C0">
        <w:rPr>
          <w:rFonts w:cs="Arial"/>
          <w:sz w:val="20"/>
          <w:szCs w:val="20"/>
          <w:lang w:val="en"/>
        </w:rPr>
        <w:t xml:space="preserve">Es below goes into narrative detail around each key aspect of </w:t>
      </w:r>
      <w:proofErr w:type="spellStart"/>
      <w:r w:rsidRPr="005520C0">
        <w:rPr>
          <w:rFonts w:cs="Arial"/>
          <w:sz w:val="20"/>
          <w:szCs w:val="20"/>
          <w:lang w:val="en"/>
        </w:rPr>
        <w:t>VfM</w:t>
      </w:r>
      <w:proofErr w:type="spellEnd"/>
      <w:r w:rsidRPr="005520C0">
        <w:rPr>
          <w:rFonts w:cs="Arial"/>
          <w:sz w:val="20"/>
          <w:szCs w:val="20"/>
          <w:lang w:val="en"/>
        </w:rPr>
        <w:t xml:space="preserve">. </w:t>
      </w:r>
      <w:r w:rsidR="008E5C18" w:rsidRPr="005520C0">
        <w:rPr>
          <w:rFonts w:cs="Arial"/>
          <w:sz w:val="20"/>
          <w:szCs w:val="20"/>
          <w:lang w:val="en"/>
        </w:rPr>
        <w:t>Progress</w:t>
      </w:r>
      <w:r w:rsidRPr="005520C0">
        <w:rPr>
          <w:rFonts w:cs="Arial"/>
          <w:sz w:val="20"/>
          <w:szCs w:val="20"/>
        </w:rPr>
        <w:t xml:space="preserve"> towards delivering against the </w:t>
      </w:r>
      <w:r w:rsidR="00393A21">
        <w:rPr>
          <w:rFonts w:cs="Arial"/>
          <w:sz w:val="20"/>
          <w:szCs w:val="20"/>
        </w:rPr>
        <w:t>5</w:t>
      </w:r>
      <w:r w:rsidRPr="005520C0">
        <w:rPr>
          <w:rFonts w:cs="Arial"/>
          <w:sz w:val="20"/>
          <w:szCs w:val="20"/>
        </w:rPr>
        <w:t xml:space="preserve"> Es </w:t>
      </w:r>
      <w:r w:rsidR="008E5C18" w:rsidRPr="005520C0">
        <w:rPr>
          <w:rFonts w:cs="Arial"/>
          <w:sz w:val="20"/>
          <w:szCs w:val="20"/>
        </w:rPr>
        <w:t xml:space="preserve">at this early stage of the programme </w:t>
      </w:r>
      <w:r w:rsidR="009153BE">
        <w:rPr>
          <w:rFonts w:cs="Arial"/>
          <w:sz w:val="20"/>
          <w:szCs w:val="20"/>
        </w:rPr>
        <w:t>is</w:t>
      </w:r>
      <w:r w:rsidRPr="005520C0">
        <w:rPr>
          <w:rFonts w:cs="Arial"/>
          <w:sz w:val="20"/>
          <w:szCs w:val="20"/>
        </w:rPr>
        <w:t xml:space="preserve"> summarised under each section.</w:t>
      </w:r>
      <w:r w:rsidR="00C96E68">
        <w:rPr>
          <w:rFonts w:cs="Arial"/>
          <w:sz w:val="20"/>
          <w:szCs w:val="20"/>
        </w:rPr>
        <w:t xml:space="preserve"> </w:t>
      </w:r>
      <w:r w:rsidR="00A57D51">
        <w:rPr>
          <w:rFonts w:cs="Arial"/>
          <w:sz w:val="20"/>
          <w:szCs w:val="20"/>
        </w:rPr>
        <w:t xml:space="preserve">Cost-effectiveness was covered at the start of this </w:t>
      </w:r>
      <w:proofErr w:type="spellStart"/>
      <w:r w:rsidR="00A57D51">
        <w:rPr>
          <w:rFonts w:cs="Arial"/>
          <w:sz w:val="20"/>
          <w:szCs w:val="20"/>
        </w:rPr>
        <w:t>VfM</w:t>
      </w:r>
      <w:proofErr w:type="spellEnd"/>
      <w:r w:rsidR="00A57D51">
        <w:rPr>
          <w:rFonts w:cs="Arial"/>
          <w:sz w:val="20"/>
          <w:szCs w:val="20"/>
        </w:rPr>
        <w:t xml:space="preserve"> section, so the </w:t>
      </w:r>
      <w:r w:rsidR="00C96E68">
        <w:rPr>
          <w:rFonts w:cs="Arial"/>
          <w:sz w:val="20"/>
          <w:szCs w:val="20"/>
        </w:rPr>
        <w:t>narrative below focuses on the remaining 4 Es – Economy, Efficiency, Effectiveness and Equity.</w:t>
      </w:r>
    </w:p>
    <w:p w14:paraId="4CD5998B" w14:textId="5B2C4CA4" w:rsidR="00087821" w:rsidRPr="005520C0" w:rsidRDefault="00087821" w:rsidP="00087821">
      <w:pPr>
        <w:spacing w:after="160" w:line="276" w:lineRule="auto"/>
        <w:jc w:val="both"/>
        <w:rPr>
          <w:rFonts w:cs="Arial"/>
          <w:b/>
          <w:bCs/>
          <w:sz w:val="20"/>
          <w:szCs w:val="20"/>
          <w:lang w:val="en"/>
        </w:rPr>
      </w:pPr>
      <w:r w:rsidRPr="5871B7AB">
        <w:rPr>
          <w:rFonts w:cs="Arial"/>
          <w:b/>
          <w:bCs/>
          <w:sz w:val="20"/>
          <w:szCs w:val="20"/>
          <w:lang w:val="en"/>
        </w:rPr>
        <w:t>Economy</w:t>
      </w:r>
    </w:p>
    <w:p w14:paraId="431C308F" w14:textId="65C0AC7B" w:rsidR="005D3E94" w:rsidRPr="005520C0" w:rsidRDefault="00087821" w:rsidP="002C51DD">
      <w:pPr>
        <w:spacing w:line="276" w:lineRule="auto"/>
        <w:jc w:val="both"/>
        <w:rPr>
          <w:rFonts w:cs="Arial"/>
          <w:sz w:val="20"/>
          <w:szCs w:val="20"/>
        </w:rPr>
      </w:pPr>
      <w:r w:rsidRPr="5871B7AB">
        <w:rPr>
          <w:rFonts w:cs="Arial"/>
          <w:sz w:val="20"/>
          <w:szCs w:val="20"/>
        </w:rPr>
        <w:t>Economy considers whether the inputs required for a project are being procured at the best price.</w:t>
      </w:r>
      <w:r w:rsidR="005D3E94" w:rsidRPr="5871B7AB">
        <w:rPr>
          <w:rFonts w:cs="Arial"/>
          <w:sz w:val="20"/>
          <w:szCs w:val="20"/>
        </w:rPr>
        <w:t xml:space="preserve"> The key cost drivers in the first 12 months of the programme include </w:t>
      </w:r>
      <w:r w:rsidR="0085305B" w:rsidRPr="5871B7AB">
        <w:rPr>
          <w:rFonts w:cs="Arial"/>
          <w:sz w:val="20"/>
          <w:szCs w:val="20"/>
        </w:rPr>
        <w:t xml:space="preserve">the cost of Grant Administration, and the funding given to successful Community and Partnership applicants. </w:t>
      </w:r>
      <w:r w:rsidR="39B11746" w:rsidRPr="5871B7AB">
        <w:rPr>
          <w:rFonts w:cs="Arial"/>
          <w:sz w:val="20"/>
          <w:szCs w:val="20"/>
        </w:rPr>
        <w:t>The g</w:t>
      </w:r>
      <w:r w:rsidR="001B673A" w:rsidRPr="5871B7AB">
        <w:rPr>
          <w:rFonts w:cs="Arial"/>
          <w:sz w:val="20"/>
          <w:szCs w:val="20"/>
        </w:rPr>
        <w:t xml:space="preserve">lobal nature of the fund coupled with a commitment to reach stakeholders who have not typically applied for this kind of funding requires extensive outreach &amp; engagement, and the cost increases with the number of applications received, </w:t>
      </w:r>
      <w:r w:rsidR="002C51DD" w:rsidRPr="5871B7AB">
        <w:rPr>
          <w:rFonts w:cs="Arial"/>
          <w:sz w:val="20"/>
          <w:szCs w:val="20"/>
        </w:rPr>
        <w:t>particularly when assessment in different languages is required.</w:t>
      </w:r>
    </w:p>
    <w:p w14:paraId="48983D06" w14:textId="77777777" w:rsidR="002C51DD" w:rsidRPr="005520C0" w:rsidRDefault="002C51DD" w:rsidP="002C51DD">
      <w:pPr>
        <w:spacing w:line="276" w:lineRule="auto"/>
        <w:jc w:val="both"/>
        <w:rPr>
          <w:rFonts w:cs="Arial"/>
          <w:sz w:val="20"/>
          <w:szCs w:val="20"/>
          <w:highlight w:val="yellow"/>
        </w:rPr>
      </w:pPr>
    </w:p>
    <w:p w14:paraId="610357A7" w14:textId="544A264A" w:rsidR="002C51DD" w:rsidRPr="005520C0" w:rsidRDefault="002C51DD" w:rsidP="00AD1823">
      <w:pPr>
        <w:pStyle w:val="ListParagraph"/>
        <w:numPr>
          <w:ilvl w:val="0"/>
          <w:numId w:val="6"/>
        </w:numPr>
        <w:spacing w:after="160" w:line="276" w:lineRule="auto"/>
        <w:jc w:val="both"/>
        <w:rPr>
          <w:rFonts w:cs="Arial"/>
          <w:sz w:val="20"/>
        </w:rPr>
      </w:pPr>
      <w:r w:rsidRPr="005520C0">
        <w:rPr>
          <w:rFonts w:cs="Arial"/>
          <w:sz w:val="20"/>
        </w:rPr>
        <w:t>Defra were able to procure t</w:t>
      </w:r>
      <w:r w:rsidR="00F373E0" w:rsidRPr="005520C0">
        <w:rPr>
          <w:rFonts w:cs="Arial"/>
          <w:sz w:val="20"/>
        </w:rPr>
        <w:t xml:space="preserve">he </w:t>
      </w:r>
      <w:r w:rsidR="00CD3D0C">
        <w:rPr>
          <w:rFonts w:cs="Arial"/>
          <w:sz w:val="20"/>
        </w:rPr>
        <w:t>GA</w:t>
      </w:r>
      <w:r w:rsidR="00F373E0" w:rsidRPr="005520C0">
        <w:rPr>
          <w:rFonts w:cs="Arial"/>
          <w:sz w:val="20"/>
        </w:rPr>
        <w:t xml:space="preserve"> economically, due to the competitive </w:t>
      </w:r>
      <w:r w:rsidR="00810580" w:rsidRPr="005520C0">
        <w:rPr>
          <w:rFonts w:cs="Arial"/>
          <w:sz w:val="20"/>
        </w:rPr>
        <w:t xml:space="preserve">nature of the procurement process, and the selection of an </w:t>
      </w:r>
      <w:r w:rsidR="00287140" w:rsidRPr="005520C0">
        <w:rPr>
          <w:rFonts w:cs="Arial"/>
          <w:sz w:val="20"/>
        </w:rPr>
        <w:t>experienced GA that can create cost efficiencies from its experience managing other funds including Defra’s Biodiversity Challenge Funds</w:t>
      </w:r>
      <w:r w:rsidR="00CB31E4">
        <w:rPr>
          <w:rFonts w:cs="Arial"/>
          <w:sz w:val="20"/>
        </w:rPr>
        <w:t>.</w:t>
      </w:r>
    </w:p>
    <w:p w14:paraId="126B5AAC" w14:textId="036D9695" w:rsidR="00287140" w:rsidRPr="005520C0" w:rsidRDefault="00287140" w:rsidP="00AD1823">
      <w:pPr>
        <w:pStyle w:val="ListParagraph"/>
        <w:numPr>
          <w:ilvl w:val="0"/>
          <w:numId w:val="6"/>
        </w:numPr>
        <w:spacing w:after="160" w:line="276" w:lineRule="auto"/>
        <w:jc w:val="both"/>
        <w:rPr>
          <w:rFonts w:cs="Arial"/>
          <w:sz w:val="20"/>
        </w:rPr>
      </w:pPr>
      <w:r w:rsidRPr="005520C0">
        <w:rPr>
          <w:rFonts w:cs="Arial"/>
          <w:sz w:val="20"/>
        </w:rPr>
        <w:t xml:space="preserve">The </w:t>
      </w:r>
      <w:r w:rsidR="00CD3D0C">
        <w:rPr>
          <w:rFonts w:cs="Arial"/>
          <w:sz w:val="20"/>
        </w:rPr>
        <w:t>GA</w:t>
      </w:r>
      <w:r w:rsidRPr="005520C0">
        <w:rPr>
          <w:rFonts w:cs="Arial"/>
          <w:sz w:val="20"/>
        </w:rPr>
        <w:t xml:space="preserve"> were able to </w:t>
      </w:r>
      <w:r w:rsidR="002B113A" w:rsidRPr="005520C0">
        <w:rPr>
          <w:rFonts w:cs="Arial"/>
          <w:sz w:val="20"/>
        </w:rPr>
        <w:t xml:space="preserve">keep costs low through </w:t>
      </w:r>
      <w:proofErr w:type="gramStart"/>
      <w:r w:rsidR="002B113A" w:rsidRPr="005520C0">
        <w:rPr>
          <w:rFonts w:cs="Arial"/>
          <w:sz w:val="20"/>
        </w:rPr>
        <w:t>a number of</w:t>
      </w:r>
      <w:proofErr w:type="gramEnd"/>
      <w:r w:rsidR="002B113A" w:rsidRPr="005520C0">
        <w:rPr>
          <w:rFonts w:cs="Arial"/>
          <w:sz w:val="20"/>
        </w:rPr>
        <w:t xml:space="preserve"> mechanisms at different stages of the programme inception:</w:t>
      </w:r>
    </w:p>
    <w:p w14:paraId="3017A4AA" w14:textId="10AFE52D" w:rsidR="002B113A" w:rsidRPr="005520C0" w:rsidRDefault="002B113A" w:rsidP="00AD1823">
      <w:pPr>
        <w:pStyle w:val="ListParagraph"/>
        <w:numPr>
          <w:ilvl w:val="1"/>
          <w:numId w:val="6"/>
        </w:numPr>
        <w:spacing w:line="276" w:lineRule="auto"/>
        <w:jc w:val="both"/>
        <w:rPr>
          <w:rFonts w:cs="Arial"/>
          <w:sz w:val="20"/>
        </w:rPr>
      </w:pPr>
      <w:r w:rsidRPr="005520C0">
        <w:rPr>
          <w:rFonts w:cs="Arial"/>
          <w:b/>
          <w:bCs/>
          <w:sz w:val="20"/>
        </w:rPr>
        <w:t>Development and design phase:</w:t>
      </w:r>
      <w:r w:rsidR="00462240" w:rsidRPr="005520C0">
        <w:rPr>
          <w:rFonts w:cs="Arial"/>
          <w:b/>
          <w:bCs/>
          <w:sz w:val="20"/>
        </w:rPr>
        <w:t xml:space="preserve"> </w:t>
      </w:r>
      <w:r w:rsidR="000A46BE" w:rsidRPr="005520C0">
        <w:rPr>
          <w:rFonts w:cs="Arial"/>
          <w:sz w:val="20"/>
        </w:rPr>
        <w:t xml:space="preserve">The OCEAN GA continues to consult </w:t>
      </w:r>
      <w:r w:rsidR="00462240" w:rsidRPr="005520C0">
        <w:rPr>
          <w:rFonts w:cs="Arial"/>
          <w:sz w:val="20"/>
        </w:rPr>
        <w:t>with the GA of Biodiversity Challenge Funds to adopt cost-saving measures that have worked in their programme</w:t>
      </w:r>
      <w:r w:rsidR="00136B08" w:rsidRPr="005520C0">
        <w:rPr>
          <w:rFonts w:cs="Arial"/>
          <w:sz w:val="20"/>
        </w:rPr>
        <w:t>; the GA researched and selected tools and platforms with value for money as a criteria, using tools that met requirements that had lower pricing than competitors</w:t>
      </w:r>
      <w:r w:rsidR="00120ADE" w:rsidRPr="005520C0">
        <w:rPr>
          <w:rFonts w:cs="Arial"/>
          <w:sz w:val="20"/>
        </w:rPr>
        <w:t xml:space="preserve">; the GA leveraged global NIRAS offices, and global networks to promote and raise awareness of OCEAN </w:t>
      </w:r>
    </w:p>
    <w:p w14:paraId="4D7F2DFE" w14:textId="72CB31B0" w:rsidR="002B113A" w:rsidRPr="005520C0" w:rsidRDefault="002B113A" w:rsidP="00AD1823">
      <w:pPr>
        <w:pStyle w:val="ListParagraph"/>
        <w:numPr>
          <w:ilvl w:val="1"/>
          <w:numId w:val="6"/>
        </w:numPr>
        <w:spacing w:line="276" w:lineRule="auto"/>
        <w:jc w:val="both"/>
        <w:rPr>
          <w:rFonts w:cs="Arial"/>
          <w:b/>
          <w:bCs/>
          <w:sz w:val="20"/>
        </w:rPr>
      </w:pPr>
      <w:r w:rsidRPr="005520C0">
        <w:rPr>
          <w:rFonts w:cs="Arial"/>
          <w:b/>
          <w:bCs/>
          <w:sz w:val="20"/>
        </w:rPr>
        <w:t>Application phase:</w:t>
      </w:r>
      <w:r w:rsidR="007D1807" w:rsidRPr="005520C0">
        <w:rPr>
          <w:rFonts w:cs="Arial"/>
          <w:b/>
          <w:bCs/>
          <w:sz w:val="20"/>
        </w:rPr>
        <w:t xml:space="preserve"> </w:t>
      </w:r>
      <w:r w:rsidR="007D1807" w:rsidRPr="005520C0">
        <w:rPr>
          <w:rFonts w:cs="Arial"/>
          <w:sz w:val="20"/>
        </w:rPr>
        <w:t>Developed a two-stage process to reduce time and cost of administration for high volumes of applications</w:t>
      </w:r>
      <w:r w:rsidR="006F1E86" w:rsidRPr="005520C0">
        <w:rPr>
          <w:rFonts w:cs="Arial"/>
          <w:sz w:val="20"/>
        </w:rPr>
        <w:t>; an Eligibility &amp; Compliance process was implemented to reduce the cost of OCEAN Expert Committee who are compensated per application assessed</w:t>
      </w:r>
      <w:r w:rsidR="00573BC9" w:rsidRPr="005520C0">
        <w:rPr>
          <w:rFonts w:cs="Arial"/>
          <w:sz w:val="20"/>
        </w:rPr>
        <w:t>; To reduce cost of compiling feedback letters, technical feedback letters were provided only to those that pass checks</w:t>
      </w:r>
    </w:p>
    <w:p w14:paraId="18E1B3D5" w14:textId="7FCA664D" w:rsidR="00461FD7" w:rsidRPr="005520C0" w:rsidRDefault="00461FD7" w:rsidP="00AD1823">
      <w:pPr>
        <w:pStyle w:val="ListParagraph"/>
        <w:numPr>
          <w:ilvl w:val="1"/>
          <w:numId w:val="6"/>
        </w:numPr>
        <w:spacing w:after="160" w:line="276" w:lineRule="auto"/>
        <w:jc w:val="both"/>
        <w:rPr>
          <w:rFonts w:cs="Arial"/>
          <w:sz w:val="20"/>
        </w:rPr>
      </w:pPr>
      <w:r w:rsidRPr="005520C0">
        <w:rPr>
          <w:rFonts w:cs="Arial"/>
          <w:b/>
          <w:bCs/>
          <w:sz w:val="20"/>
        </w:rPr>
        <w:t xml:space="preserve">Ongoing measures: </w:t>
      </w:r>
      <w:r w:rsidRPr="005520C0">
        <w:rPr>
          <w:rFonts w:cs="Arial"/>
          <w:sz w:val="20"/>
        </w:rPr>
        <w:t xml:space="preserve">use of AI translation tools (which </w:t>
      </w:r>
      <w:r w:rsidR="004E561C">
        <w:rPr>
          <w:rFonts w:cs="Arial"/>
          <w:sz w:val="20"/>
        </w:rPr>
        <w:t>are</w:t>
      </w:r>
      <w:r w:rsidRPr="005520C0">
        <w:rPr>
          <w:rFonts w:cs="Arial"/>
          <w:sz w:val="20"/>
        </w:rPr>
        <w:t xml:space="preserve"> quality assured</w:t>
      </w:r>
      <w:r w:rsidR="00297F44" w:rsidRPr="005520C0">
        <w:rPr>
          <w:rFonts w:cs="Arial"/>
          <w:sz w:val="20"/>
        </w:rPr>
        <w:t>)</w:t>
      </w:r>
      <w:r w:rsidR="003A1231" w:rsidRPr="005520C0">
        <w:rPr>
          <w:rFonts w:cs="Arial"/>
          <w:sz w:val="20"/>
        </w:rPr>
        <w:t>; Use of social media publishing platform to more efficiently manage social outreach channels</w:t>
      </w:r>
    </w:p>
    <w:p w14:paraId="4A33BDA7" w14:textId="7E6ABCC4" w:rsidR="00776782" w:rsidRPr="005520C0" w:rsidRDefault="00541132" w:rsidP="65ED1326">
      <w:pPr>
        <w:pStyle w:val="ListParagraph"/>
        <w:numPr>
          <w:ilvl w:val="0"/>
          <w:numId w:val="6"/>
        </w:numPr>
        <w:spacing w:after="160" w:line="276" w:lineRule="auto"/>
        <w:jc w:val="both"/>
        <w:rPr>
          <w:rFonts w:cs="Arial"/>
          <w:sz w:val="20"/>
        </w:rPr>
      </w:pPr>
      <w:r w:rsidRPr="4734CBB0">
        <w:rPr>
          <w:rFonts w:cs="Arial"/>
          <w:sz w:val="20"/>
        </w:rPr>
        <w:t xml:space="preserve">Several processes were in place to ensure grant funding reaches the most reliable and </w:t>
      </w:r>
      <w:r w:rsidR="00776782" w:rsidRPr="4734CBB0">
        <w:rPr>
          <w:rFonts w:cs="Arial"/>
          <w:sz w:val="20"/>
        </w:rPr>
        <w:t>impactful projects</w:t>
      </w:r>
      <w:r w:rsidR="5AF632C3" w:rsidRPr="4734CBB0">
        <w:rPr>
          <w:rFonts w:cs="Arial"/>
          <w:sz w:val="20"/>
        </w:rPr>
        <w:t xml:space="preserve"> including </w:t>
      </w:r>
      <w:r w:rsidR="00DC615A" w:rsidRPr="4734CBB0">
        <w:rPr>
          <w:rFonts w:cs="Arial"/>
          <w:sz w:val="20"/>
        </w:rPr>
        <w:t>w</w:t>
      </w:r>
      <w:r w:rsidR="00776782" w:rsidRPr="4734CBB0">
        <w:rPr>
          <w:rFonts w:cs="Arial"/>
          <w:sz w:val="20"/>
        </w:rPr>
        <w:t xml:space="preserve">ebinars and </w:t>
      </w:r>
      <w:r w:rsidR="00DC615A" w:rsidRPr="4734CBB0">
        <w:rPr>
          <w:rFonts w:cs="Arial"/>
          <w:sz w:val="20"/>
        </w:rPr>
        <w:t>g</w:t>
      </w:r>
      <w:r w:rsidR="00776782" w:rsidRPr="4734CBB0">
        <w:rPr>
          <w:rFonts w:cs="Arial"/>
          <w:sz w:val="20"/>
        </w:rPr>
        <w:t>uidance notes</w:t>
      </w:r>
      <w:r w:rsidR="00FC2E62" w:rsidRPr="4734CBB0">
        <w:rPr>
          <w:rFonts w:cs="Arial"/>
          <w:sz w:val="20"/>
        </w:rPr>
        <w:t xml:space="preserve"> for applicants</w:t>
      </w:r>
      <w:r w:rsidR="38A4E792" w:rsidRPr="4734CBB0">
        <w:rPr>
          <w:rFonts w:cs="Arial"/>
          <w:sz w:val="20"/>
        </w:rPr>
        <w:t>.</w:t>
      </w:r>
      <w:r w:rsidR="00FC2E62" w:rsidRPr="4734CBB0">
        <w:rPr>
          <w:rFonts w:cs="Arial"/>
          <w:sz w:val="20"/>
        </w:rPr>
        <w:t xml:space="preserve"> </w:t>
      </w:r>
      <w:r w:rsidR="091D82ED" w:rsidRPr="4734CBB0">
        <w:rPr>
          <w:rFonts w:cs="Arial"/>
          <w:sz w:val="20"/>
        </w:rPr>
        <w:t>These processes</w:t>
      </w:r>
      <w:r w:rsidR="00155E13" w:rsidRPr="4734CBB0">
        <w:rPr>
          <w:rFonts w:cs="Arial"/>
          <w:sz w:val="20"/>
        </w:rPr>
        <w:t xml:space="preserve"> encourage</w:t>
      </w:r>
      <w:r w:rsidR="00CC4473" w:rsidRPr="4734CBB0">
        <w:rPr>
          <w:rFonts w:cs="Arial"/>
          <w:sz w:val="20"/>
        </w:rPr>
        <w:t xml:space="preserve"> applicants to consider co-financing, demonstrate how their project will deliver </w:t>
      </w:r>
      <w:proofErr w:type="spellStart"/>
      <w:r w:rsidR="00CC4473" w:rsidRPr="4734CBB0">
        <w:rPr>
          <w:rFonts w:cs="Arial"/>
          <w:sz w:val="20"/>
        </w:rPr>
        <w:t>VfM</w:t>
      </w:r>
      <w:proofErr w:type="spellEnd"/>
      <w:r w:rsidR="00CC4473" w:rsidRPr="4734CBB0">
        <w:rPr>
          <w:rFonts w:cs="Arial"/>
          <w:sz w:val="20"/>
        </w:rPr>
        <w:t>, and provide evidence that their approach is viable and best practice</w:t>
      </w:r>
    </w:p>
    <w:p w14:paraId="0A7A73A5" w14:textId="0DB62EEA" w:rsidR="003C7892" w:rsidRPr="005520C0" w:rsidRDefault="00DC615A" w:rsidP="5EE662C6">
      <w:pPr>
        <w:pStyle w:val="ListParagraph"/>
        <w:numPr>
          <w:ilvl w:val="0"/>
          <w:numId w:val="6"/>
        </w:numPr>
        <w:spacing w:after="160" w:line="276" w:lineRule="auto"/>
        <w:jc w:val="both"/>
        <w:rPr>
          <w:rFonts w:cs="Arial"/>
          <w:sz w:val="20"/>
        </w:rPr>
      </w:pPr>
      <w:r w:rsidRPr="5EE662C6">
        <w:rPr>
          <w:rFonts w:cs="Arial"/>
          <w:sz w:val="20"/>
        </w:rPr>
        <w:t>The GA also put in place transparent eligibility and selection criteria which are available on the OCEAN website</w:t>
      </w:r>
    </w:p>
    <w:p w14:paraId="4FE96AA3" w14:textId="7756CE66" w:rsidR="003C7892" w:rsidRPr="005520C0" w:rsidRDefault="006A7BA1" w:rsidP="5EE662C6">
      <w:pPr>
        <w:pStyle w:val="ListParagraph"/>
        <w:numPr>
          <w:ilvl w:val="0"/>
          <w:numId w:val="6"/>
        </w:numPr>
        <w:spacing w:after="160" w:line="276" w:lineRule="auto"/>
        <w:jc w:val="both"/>
        <w:rPr>
          <w:rFonts w:cs="Arial"/>
          <w:sz w:val="20"/>
        </w:rPr>
      </w:pPr>
      <w:r w:rsidRPr="5EE662C6">
        <w:rPr>
          <w:rFonts w:cs="Arial"/>
          <w:sz w:val="20"/>
        </w:rPr>
        <w:t xml:space="preserve">For </w:t>
      </w:r>
      <w:r w:rsidR="00FE279E" w:rsidRPr="5EE662C6">
        <w:rPr>
          <w:rFonts w:cs="Arial"/>
          <w:sz w:val="20"/>
        </w:rPr>
        <w:t>Round 2</w:t>
      </w:r>
      <w:r w:rsidRPr="5EE662C6">
        <w:rPr>
          <w:rFonts w:cs="Arial"/>
          <w:sz w:val="20"/>
        </w:rPr>
        <w:t xml:space="preserve">, </w:t>
      </w:r>
      <w:r w:rsidR="00A17044" w:rsidRPr="5EE662C6">
        <w:rPr>
          <w:rFonts w:cs="Arial"/>
          <w:sz w:val="20"/>
        </w:rPr>
        <w:t>the</w:t>
      </w:r>
      <w:r w:rsidR="003C7892" w:rsidRPr="5EE662C6">
        <w:rPr>
          <w:rFonts w:cs="Arial"/>
          <w:sz w:val="20"/>
        </w:rPr>
        <w:t xml:space="preserve"> </w:t>
      </w:r>
      <w:r w:rsidR="00A17044" w:rsidRPr="5EE662C6">
        <w:rPr>
          <w:rFonts w:cs="Arial"/>
          <w:sz w:val="20"/>
        </w:rPr>
        <w:t xml:space="preserve">Expert Committee will </w:t>
      </w:r>
      <w:r w:rsidR="003C7892" w:rsidRPr="5EE662C6">
        <w:rPr>
          <w:rFonts w:cs="Arial"/>
          <w:sz w:val="20"/>
        </w:rPr>
        <w:t xml:space="preserve">integrate </w:t>
      </w:r>
      <w:proofErr w:type="spellStart"/>
      <w:r w:rsidR="003C7892" w:rsidRPr="5EE662C6">
        <w:rPr>
          <w:rFonts w:cs="Arial"/>
          <w:sz w:val="20"/>
        </w:rPr>
        <w:t>VfM</w:t>
      </w:r>
      <w:proofErr w:type="spellEnd"/>
      <w:r w:rsidR="003C7892" w:rsidRPr="5EE662C6">
        <w:rPr>
          <w:rFonts w:cs="Arial"/>
          <w:sz w:val="20"/>
        </w:rPr>
        <w:t xml:space="preserve"> scoring </w:t>
      </w:r>
      <w:r w:rsidR="00A17044" w:rsidRPr="5EE662C6">
        <w:rPr>
          <w:rFonts w:cs="Arial"/>
          <w:sz w:val="20"/>
        </w:rPr>
        <w:t>in their selection process</w:t>
      </w:r>
      <w:r w:rsidR="00EA4A7E" w:rsidRPr="5EE662C6">
        <w:rPr>
          <w:rFonts w:cs="Arial"/>
          <w:sz w:val="20"/>
        </w:rPr>
        <w:t xml:space="preserve"> to further strengthen the consideration for project </w:t>
      </w:r>
      <w:proofErr w:type="spellStart"/>
      <w:r w:rsidR="00EA4A7E" w:rsidRPr="5EE662C6">
        <w:rPr>
          <w:rFonts w:cs="Arial"/>
          <w:sz w:val="20"/>
        </w:rPr>
        <w:t>VfM</w:t>
      </w:r>
      <w:proofErr w:type="spellEnd"/>
      <w:r w:rsidR="00EA4A7E" w:rsidRPr="5EE662C6">
        <w:rPr>
          <w:rFonts w:cs="Arial"/>
          <w:sz w:val="20"/>
        </w:rPr>
        <w:t xml:space="preserve"> at the application stage</w:t>
      </w:r>
      <w:r w:rsidR="003C7892" w:rsidRPr="5EE662C6">
        <w:rPr>
          <w:rFonts w:cs="Arial"/>
          <w:sz w:val="20"/>
        </w:rPr>
        <w:t xml:space="preserve"> </w:t>
      </w:r>
    </w:p>
    <w:p w14:paraId="58E57409" w14:textId="26059F52" w:rsidR="009B5E86" w:rsidRPr="005520C0" w:rsidRDefault="009B5E86" w:rsidP="00AD1823">
      <w:pPr>
        <w:pStyle w:val="ListParagraph"/>
        <w:numPr>
          <w:ilvl w:val="0"/>
          <w:numId w:val="6"/>
        </w:numPr>
        <w:spacing w:after="160" w:line="276" w:lineRule="auto"/>
        <w:jc w:val="both"/>
        <w:rPr>
          <w:rFonts w:cs="Arial"/>
          <w:sz w:val="20"/>
        </w:rPr>
      </w:pPr>
      <w:r w:rsidRPr="005520C0">
        <w:rPr>
          <w:rFonts w:cs="Arial"/>
          <w:sz w:val="20"/>
        </w:rPr>
        <w:t xml:space="preserve">There are also mechanisms in place to ensure </w:t>
      </w:r>
      <w:r w:rsidR="00971F8D" w:rsidRPr="005520C0">
        <w:rPr>
          <w:rFonts w:cs="Arial"/>
          <w:sz w:val="20"/>
        </w:rPr>
        <w:t xml:space="preserve">grantees are </w:t>
      </w:r>
      <w:r w:rsidR="00FE0A98" w:rsidRPr="005520C0">
        <w:rPr>
          <w:rFonts w:cs="Arial"/>
          <w:sz w:val="20"/>
        </w:rPr>
        <w:t xml:space="preserve">held </w:t>
      </w:r>
      <w:r w:rsidR="00971F8D" w:rsidRPr="005520C0">
        <w:rPr>
          <w:rFonts w:cs="Arial"/>
          <w:sz w:val="20"/>
        </w:rPr>
        <w:t xml:space="preserve">accountable for </w:t>
      </w:r>
      <w:proofErr w:type="spellStart"/>
      <w:r w:rsidR="00971F8D" w:rsidRPr="005520C0">
        <w:rPr>
          <w:rFonts w:cs="Arial"/>
          <w:sz w:val="20"/>
        </w:rPr>
        <w:t>VfM</w:t>
      </w:r>
      <w:proofErr w:type="spellEnd"/>
      <w:r w:rsidR="00FE0A98" w:rsidRPr="005520C0">
        <w:rPr>
          <w:rFonts w:cs="Arial"/>
          <w:sz w:val="20"/>
        </w:rPr>
        <w:t xml:space="preserve"> once up and running</w:t>
      </w:r>
      <w:r w:rsidR="00B21E7D" w:rsidRPr="005520C0">
        <w:rPr>
          <w:rFonts w:cs="Arial"/>
          <w:sz w:val="20"/>
        </w:rPr>
        <w:t xml:space="preserve">, including a Quarterly Claims process where grantees must provide actuals and forecasts for each quarter, </w:t>
      </w:r>
      <w:r w:rsidR="00F11C1F" w:rsidRPr="005520C0">
        <w:rPr>
          <w:rFonts w:cs="Arial"/>
          <w:sz w:val="20"/>
        </w:rPr>
        <w:t>change request processes where budget amendments must be pre-approved</w:t>
      </w:r>
      <w:r w:rsidR="00FE0A98" w:rsidRPr="005520C0">
        <w:rPr>
          <w:rFonts w:cs="Arial"/>
          <w:sz w:val="20"/>
        </w:rPr>
        <w:t xml:space="preserve">, </w:t>
      </w:r>
      <w:r w:rsidR="006B70DE" w:rsidRPr="005520C0">
        <w:rPr>
          <w:rFonts w:cs="Arial"/>
          <w:sz w:val="20"/>
        </w:rPr>
        <w:t xml:space="preserve">spot audits of grantees and monitoring visits, </w:t>
      </w:r>
      <w:r w:rsidR="00FE0A98" w:rsidRPr="005520C0">
        <w:rPr>
          <w:rFonts w:cs="Arial"/>
          <w:sz w:val="20"/>
        </w:rPr>
        <w:t xml:space="preserve">and </w:t>
      </w:r>
      <w:proofErr w:type="spellStart"/>
      <w:r w:rsidR="00FE0A98" w:rsidRPr="005520C0">
        <w:rPr>
          <w:rFonts w:cs="Arial"/>
          <w:sz w:val="20"/>
        </w:rPr>
        <w:t>VfM</w:t>
      </w:r>
      <w:proofErr w:type="spellEnd"/>
      <w:r w:rsidR="00FE0A98" w:rsidRPr="005520C0">
        <w:rPr>
          <w:rFonts w:cs="Arial"/>
          <w:sz w:val="20"/>
        </w:rPr>
        <w:t xml:space="preserve"> reporting in the Annual Report</w:t>
      </w:r>
    </w:p>
    <w:p w14:paraId="5C59D096" w14:textId="6690A729" w:rsidR="001E5D5F" w:rsidRPr="005520C0" w:rsidRDefault="001E5D5F" w:rsidP="00AD1823">
      <w:pPr>
        <w:pStyle w:val="ListParagraph"/>
        <w:numPr>
          <w:ilvl w:val="0"/>
          <w:numId w:val="6"/>
        </w:numPr>
        <w:spacing w:after="160" w:line="276" w:lineRule="auto"/>
        <w:jc w:val="both"/>
        <w:rPr>
          <w:rFonts w:cs="Arial"/>
          <w:sz w:val="20"/>
        </w:rPr>
      </w:pPr>
      <w:r w:rsidRPr="005520C0">
        <w:rPr>
          <w:rFonts w:cs="Arial"/>
          <w:sz w:val="20"/>
        </w:rPr>
        <w:lastRenderedPageBreak/>
        <w:t xml:space="preserve">However, </w:t>
      </w:r>
      <w:r w:rsidR="00A44E81" w:rsidRPr="005520C0">
        <w:rPr>
          <w:rFonts w:cs="Arial"/>
          <w:sz w:val="20"/>
        </w:rPr>
        <w:t>while</w:t>
      </w:r>
      <w:r w:rsidRPr="005520C0">
        <w:rPr>
          <w:rFonts w:cs="Arial"/>
          <w:sz w:val="20"/>
        </w:rPr>
        <w:t xml:space="preserve"> a two-stage process reduces the costs associated with the initial assessment stage, it does add additional costing to the process as applications are reviewed twice by the Expert Committee. With the high number of applications received for Community Grants, this is seen as a vital step</w:t>
      </w:r>
      <w:r w:rsidR="00A44E81" w:rsidRPr="005520C0">
        <w:rPr>
          <w:rFonts w:cs="Arial"/>
          <w:sz w:val="20"/>
        </w:rPr>
        <w:t xml:space="preserve">, but </w:t>
      </w:r>
      <w:r w:rsidRPr="005520C0">
        <w:rPr>
          <w:rFonts w:cs="Arial"/>
          <w:sz w:val="20"/>
        </w:rPr>
        <w:t>forecasted costing</w:t>
      </w:r>
      <w:r w:rsidR="00A44E81" w:rsidRPr="005520C0">
        <w:rPr>
          <w:rFonts w:cs="Arial"/>
          <w:sz w:val="20"/>
        </w:rPr>
        <w:t xml:space="preserve">s </w:t>
      </w:r>
      <w:r w:rsidRPr="005520C0">
        <w:rPr>
          <w:rFonts w:cs="Arial"/>
          <w:sz w:val="20"/>
        </w:rPr>
        <w:t>justifies that a one stage process is likely the most cost</w:t>
      </w:r>
      <w:r w:rsidR="00A44E81" w:rsidRPr="005520C0">
        <w:rPr>
          <w:rFonts w:cs="Arial"/>
          <w:sz w:val="20"/>
        </w:rPr>
        <w:t>-</w:t>
      </w:r>
      <w:r w:rsidRPr="005520C0">
        <w:rPr>
          <w:rFonts w:cs="Arial"/>
          <w:sz w:val="20"/>
        </w:rPr>
        <w:t>effective approach for Partnership Grants</w:t>
      </w:r>
    </w:p>
    <w:p w14:paraId="22E32039" w14:textId="28055758" w:rsidR="00557B91" w:rsidRPr="005520C0" w:rsidRDefault="00557B91" w:rsidP="00557B91">
      <w:pPr>
        <w:spacing w:after="160" w:line="276" w:lineRule="auto"/>
        <w:jc w:val="both"/>
        <w:rPr>
          <w:rFonts w:cs="Arial"/>
          <w:b/>
          <w:bCs/>
          <w:sz w:val="20"/>
          <w:szCs w:val="20"/>
          <w:lang w:val="en"/>
        </w:rPr>
      </w:pPr>
      <w:r w:rsidRPr="5EE662C6">
        <w:rPr>
          <w:rFonts w:cs="Arial"/>
          <w:b/>
          <w:bCs/>
          <w:sz w:val="20"/>
          <w:szCs w:val="20"/>
          <w:lang w:val="en"/>
        </w:rPr>
        <w:t>Efficiency</w:t>
      </w:r>
    </w:p>
    <w:p w14:paraId="3EEC2706" w14:textId="3463F8B6" w:rsidR="00087821" w:rsidRPr="005520C0" w:rsidRDefault="00557B91" w:rsidP="003E45C2">
      <w:pPr>
        <w:spacing w:after="160" w:line="276" w:lineRule="auto"/>
        <w:jc w:val="both"/>
        <w:rPr>
          <w:rFonts w:cs="Arial"/>
          <w:sz w:val="20"/>
          <w:szCs w:val="20"/>
        </w:rPr>
      </w:pPr>
      <w:r w:rsidRPr="005520C0">
        <w:rPr>
          <w:rFonts w:cs="Arial"/>
          <w:sz w:val="20"/>
          <w:szCs w:val="20"/>
        </w:rPr>
        <w:t>Efficiency relates to how inputs can be turned into desired outputs.</w:t>
      </w:r>
      <w:r w:rsidR="00FE0A98" w:rsidRPr="005520C0">
        <w:rPr>
          <w:rFonts w:cs="Arial"/>
          <w:sz w:val="20"/>
          <w:szCs w:val="20"/>
        </w:rPr>
        <w:t xml:space="preserve"> </w:t>
      </w:r>
      <w:r w:rsidR="006453DC" w:rsidRPr="005520C0">
        <w:rPr>
          <w:rFonts w:cs="Arial"/>
          <w:sz w:val="20"/>
          <w:szCs w:val="20"/>
        </w:rPr>
        <w:t xml:space="preserve">Given the early stage of the programme, this section focuses on the outputs produced by the </w:t>
      </w:r>
      <w:r w:rsidR="00CD3D0C">
        <w:rPr>
          <w:rFonts w:cs="Arial"/>
          <w:sz w:val="20"/>
          <w:szCs w:val="20"/>
        </w:rPr>
        <w:t>GA</w:t>
      </w:r>
      <w:r w:rsidR="006453DC" w:rsidRPr="005520C0">
        <w:rPr>
          <w:rFonts w:cs="Arial"/>
          <w:sz w:val="20"/>
          <w:szCs w:val="20"/>
        </w:rPr>
        <w:t xml:space="preserve"> </w:t>
      </w:r>
      <w:r w:rsidR="006B70DE" w:rsidRPr="005520C0">
        <w:rPr>
          <w:rFonts w:cs="Arial"/>
          <w:sz w:val="20"/>
          <w:szCs w:val="20"/>
        </w:rPr>
        <w:t>during the pre-application and application stages, including guidance, webinars and feedback</w:t>
      </w:r>
      <w:r w:rsidR="00F84C87" w:rsidRPr="005520C0">
        <w:rPr>
          <w:rFonts w:cs="Arial"/>
          <w:sz w:val="20"/>
          <w:szCs w:val="20"/>
        </w:rPr>
        <w:t>, and the costs involved in doing so</w:t>
      </w:r>
      <w:r w:rsidR="006B70DE" w:rsidRPr="005520C0">
        <w:rPr>
          <w:rFonts w:cs="Arial"/>
          <w:sz w:val="20"/>
          <w:szCs w:val="20"/>
        </w:rPr>
        <w:t>.</w:t>
      </w:r>
    </w:p>
    <w:p w14:paraId="79DE671E" w14:textId="16304AAF" w:rsidR="000B00FD" w:rsidRPr="005520C0" w:rsidRDefault="003E45C2" w:rsidP="00AD1823">
      <w:pPr>
        <w:pStyle w:val="ListParagraph"/>
        <w:numPr>
          <w:ilvl w:val="0"/>
          <w:numId w:val="8"/>
        </w:numPr>
        <w:spacing w:after="160" w:line="278" w:lineRule="auto"/>
        <w:jc w:val="both"/>
        <w:rPr>
          <w:sz w:val="20"/>
        </w:rPr>
      </w:pPr>
      <w:r w:rsidRPr="005520C0">
        <w:rPr>
          <w:sz w:val="20"/>
        </w:rPr>
        <w:t xml:space="preserve">Due to the experience of the GA and the ways of working established with </w:t>
      </w:r>
      <w:r w:rsidR="00921500">
        <w:rPr>
          <w:sz w:val="20"/>
        </w:rPr>
        <w:t>Defra</w:t>
      </w:r>
      <w:r w:rsidRPr="005520C0">
        <w:rPr>
          <w:sz w:val="20"/>
        </w:rPr>
        <w:t xml:space="preserve">, </w:t>
      </w:r>
      <w:r w:rsidR="000B00FD" w:rsidRPr="005520C0">
        <w:rPr>
          <w:sz w:val="20"/>
        </w:rPr>
        <w:t>OCEAN was able to rapidly mobilise its teams and set up all systems, processes, guidance and outreach to launch its first application round as early as possible, so that funds will be disbursed early in year 2 (</w:t>
      </w:r>
      <w:r w:rsidRPr="005520C0">
        <w:rPr>
          <w:sz w:val="20"/>
        </w:rPr>
        <w:t xml:space="preserve">with </w:t>
      </w:r>
      <w:r w:rsidR="000B00FD" w:rsidRPr="005520C0">
        <w:rPr>
          <w:sz w:val="20"/>
        </w:rPr>
        <w:t>projects starting in Oct 2024)</w:t>
      </w:r>
      <w:r w:rsidR="00217F0E" w:rsidRPr="005520C0">
        <w:rPr>
          <w:sz w:val="20"/>
        </w:rPr>
        <w:t>. For example:</w:t>
      </w:r>
    </w:p>
    <w:p w14:paraId="6BB9297C" w14:textId="7DCC5537" w:rsidR="00536C91" w:rsidRPr="005520C0" w:rsidRDefault="00536C91" w:rsidP="00AD1823">
      <w:pPr>
        <w:pStyle w:val="ListParagraph"/>
        <w:numPr>
          <w:ilvl w:val="1"/>
          <w:numId w:val="8"/>
        </w:numPr>
        <w:spacing w:after="160" w:line="276" w:lineRule="auto"/>
        <w:jc w:val="both"/>
        <w:rPr>
          <w:rFonts w:cs="Arial"/>
          <w:sz w:val="20"/>
        </w:rPr>
      </w:pPr>
      <w:r w:rsidRPr="005520C0">
        <w:rPr>
          <w:rFonts w:cs="Arial"/>
          <w:sz w:val="20"/>
        </w:rPr>
        <w:t>OCEAN developed and published its Guidance Note for Applicants, Finance Guidance and Flexi-Grant Guidance in February 2024, in time for the Fund Launch</w:t>
      </w:r>
    </w:p>
    <w:p w14:paraId="39795FE0" w14:textId="51949093" w:rsidR="00536C91" w:rsidRPr="005520C0" w:rsidRDefault="00536C91" w:rsidP="00AD1823">
      <w:pPr>
        <w:pStyle w:val="ListParagraph"/>
        <w:numPr>
          <w:ilvl w:val="1"/>
          <w:numId w:val="8"/>
        </w:numPr>
        <w:spacing w:after="160" w:line="276" w:lineRule="auto"/>
        <w:jc w:val="both"/>
        <w:rPr>
          <w:rFonts w:cs="Arial"/>
          <w:sz w:val="20"/>
        </w:rPr>
      </w:pPr>
      <w:r w:rsidRPr="005520C0">
        <w:rPr>
          <w:rFonts w:cs="Arial"/>
          <w:sz w:val="20"/>
        </w:rPr>
        <w:t xml:space="preserve">Partnership MEL Guidance </w:t>
      </w:r>
      <w:r w:rsidR="00217F0E" w:rsidRPr="005520C0">
        <w:rPr>
          <w:rFonts w:cs="Arial"/>
          <w:sz w:val="20"/>
        </w:rPr>
        <w:t>was developed and published i</w:t>
      </w:r>
      <w:r w:rsidRPr="005520C0">
        <w:rPr>
          <w:rFonts w:cs="Arial"/>
          <w:sz w:val="20"/>
        </w:rPr>
        <w:t>n time for first call for proposals</w:t>
      </w:r>
      <w:r w:rsidR="00217F0E" w:rsidRPr="005520C0">
        <w:rPr>
          <w:rFonts w:cs="Arial"/>
          <w:sz w:val="20"/>
        </w:rPr>
        <w:t xml:space="preserve">, </w:t>
      </w:r>
      <w:r w:rsidRPr="005520C0">
        <w:rPr>
          <w:rFonts w:cs="Arial"/>
          <w:sz w:val="20"/>
        </w:rPr>
        <w:t xml:space="preserve">Community Grants MEL overview </w:t>
      </w:r>
      <w:r w:rsidR="00187D79" w:rsidRPr="005520C0">
        <w:rPr>
          <w:rFonts w:cs="Arial"/>
          <w:sz w:val="20"/>
        </w:rPr>
        <w:t xml:space="preserve">was published </w:t>
      </w:r>
      <w:r w:rsidRPr="005520C0">
        <w:rPr>
          <w:rFonts w:cs="Arial"/>
          <w:sz w:val="20"/>
        </w:rPr>
        <w:t xml:space="preserve">for Stage 1 applicants, and the Community Grants MEL Guidance and templates </w:t>
      </w:r>
      <w:r w:rsidR="00187D79" w:rsidRPr="005520C0">
        <w:rPr>
          <w:rFonts w:cs="Arial"/>
          <w:sz w:val="20"/>
        </w:rPr>
        <w:t xml:space="preserve">were updated </w:t>
      </w:r>
      <w:r w:rsidRPr="005520C0">
        <w:rPr>
          <w:rFonts w:cs="Arial"/>
          <w:sz w:val="20"/>
        </w:rPr>
        <w:t>in time for the opening of Stage 2 applications which have more emphasis on ME</w:t>
      </w:r>
      <w:r w:rsidR="00187D79" w:rsidRPr="005520C0">
        <w:rPr>
          <w:rFonts w:cs="Arial"/>
          <w:sz w:val="20"/>
        </w:rPr>
        <w:t>L</w:t>
      </w:r>
    </w:p>
    <w:p w14:paraId="47ACEA89" w14:textId="51451315" w:rsidR="00187D79" w:rsidRPr="005520C0" w:rsidRDefault="00187D79" w:rsidP="00AD1823">
      <w:pPr>
        <w:pStyle w:val="ListParagraph"/>
        <w:numPr>
          <w:ilvl w:val="1"/>
          <w:numId w:val="8"/>
        </w:numPr>
        <w:spacing w:line="276" w:lineRule="auto"/>
        <w:jc w:val="both"/>
        <w:rPr>
          <w:rFonts w:cs="Arial"/>
          <w:sz w:val="20"/>
        </w:rPr>
      </w:pPr>
      <w:r w:rsidRPr="00187D79">
        <w:rPr>
          <w:rFonts w:cs="Arial"/>
          <w:sz w:val="20"/>
        </w:rPr>
        <w:t>In the first four months OCEAN drafted its first MEL Framework and Communications and Engagement Framework which outlined its key principles and strategies for networking, learning and knowledge exchange</w:t>
      </w:r>
    </w:p>
    <w:p w14:paraId="3899B151" w14:textId="03CA3B57" w:rsidR="00D16AA2" w:rsidRPr="005520C0" w:rsidRDefault="00536C91" w:rsidP="00AD1823">
      <w:pPr>
        <w:pStyle w:val="ListParagraph"/>
        <w:numPr>
          <w:ilvl w:val="1"/>
          <w:numId w:val="8"/>
        </w:numPr>
        <w:spacing w:after="160" w:line="276" w:lineRule="auto"/>
        <w:jc w:val="both"/>
        <w:rPr>
          <w:rFonts w:cs="Arial"/>
          <w:sz w:val="20"/>
        </w:rPr>
      </w:pPr>
      <w:r w:rsidRPr="005520C0">
        <w:rPr>
          <w:rFonts w:cs="Arial"/>
          <w:sz w:val="20"/>
        </w:rPr>
        <w:t xml:space="preserve">Between February </w:t>
      </w:r>
      <w:r w:rsidR="00187D79" w:rsidRPr="005520C0">
        <w:rPr>
          <w:rFonts w:cs="Arial"/>
          <w:sz w:val="20"/>
        </w:rPr>
        <w:t xml:space="preserve">and </w:t>
      </w:r>
      <w:r w:rsidRPr="005520C0">
        <w:rPr>
          <w:rFonts w:cs="Arial"/>
          <w:sz w:val="20"/>
        </w:rPr>
        <w:t>July 2024, OCEAN delivered 22 training and information sessions to more than 1</w:t>
      </w:r>
      <w:r w:rsidR="00187D79" w:rsidRPr="005520C0">
        <w:rPr>
          <w:rFonts w:cs="Arial"/>
          <w:sz w:val="20"/>
        </w:rPr>
        <w:t>,</w:t>
      </w:r>
      <w:r w:rsidRPr="005520C0">
        <w:rPr>
          <w:rFonts w:cs="Arial"/>
          <w:sz w:val="20"/>
        </w:rPr>
        <w:t>800 attendees representing more than 1</w:t>
      </w:r>
      <w:r w:rsidR="00187D79" w:rsidRPr="005520C0">
        <w:rPr>
          <w:rFonts w:cs="Arial"/>
          <w:sz w:val="20"/>
        </w:rPr>
        <w:t>,</w:t>
      </w:r>
      <w:r w:rsidRPr="005520C0">
        <w:rPr>
          <w:rFonts w:cs="Arial"/>
          <w:sz w:val="20"/>
        </w:rPr>
        <w:t>000 organisations across over 100 countrie</w:t>
      </w:r>
      <w:r w:rsidR="00217F0E" w:rsidRPr="005520C0">
        <w:rPr>
          <w:rFonts w:cs="Arial"/>
          <w:sz w:val="20"/>
        </w:rPr>
        <w:t>s</w:t>
      </w:r>
    </w:p>
    <w:p w14:paraId="60BFAD46" w14:textId="53220C03" w:rsidR="008631DF" w:rsidRDefault="008631DF" w:rsidP="00AD1823">
      <w:pPr>
        <w:pStyle w:val="ListParagraph"/>
        <w:numPr>
          <w:ilvl w:val="0"/>
          <w:numId w:val="8"/>
        </w:numPr>
        <w:spacing w:after="160" w:line="276" w:lineRule="auto"/>
        <w:jc w:val="both"/>
        <w:rPr>
          <w:rFonts w:cs="Arial"/>
          <w:sz w:val="20"/>
        </w:rPr>
      </w:pPr>
      <w:r w:rsidRPr="005520C0">
        <w:rPr>
          <w:rFonts w:cs="Arial"/>
          <w:sz w:val="20"/>
        </w:rPr>
        <w:t xml:space="preserve">The GA </w:t>
      </w:r>
      <w:r w:rsidR="002A070D" w:rsidRPr="005520C0">
        <w:rPr>
          <w:rFonts w:cs="Arial"/>
          <w:sz w:val="20"/>
        </w:rPr>
        <w:t xml:space="preserve">has produced a table showing the estimated cost per applicant. </w:t>
      </w:r>
      <w:r w:rsidR="00693505" w:rsidRPr="005520C0">
        <w:rPr>
          <w:rFonts w:cs="Arial"/>
          <w:sz w:val="20"/>
        </w:rPr>
        <w:t xml:space="preserve">Costs increase as applications moved through the process </w:t>
      </w:r>
      <w:proofErr w:type="gramStart"/>
      <w:r w:rsidR="00693505" w:rsidRPr="005520C0">
        <w:rPr>
          <w:rFonts w:cs="Arial"/>
          <w:sz w:val="20"/>
        </w:rPr>
        <w:t>as a result of</w:t>
      </w:r>
      <w:proofErr w:type="gramEnd"/>
      <w:r w:rsidR="00693505" w:rsidRPr="005520C0">
        <w:rPr>
          <w:rFonts w:cs="Arial"/>
          <w:sz w:val="20"/>
        </w:rPr>
        <w:t xml:space="preserve"> the additional assessment processes required. </w:t>
      </w:r>
      <w:r w:rsidR="002A070D" w:rsidRPr="005520C0">
        <w:rPr>
          <w:rFonts w:cs="Arial"/>
          <w:sz w:val="20"/>
        </w:rPr>
        <w:t>C</w:t>
      </w:r>
      <w:r w:rsidRPr="005520C0">
        <w:rPr>
          <w:rFonts w:cs="Arial"/>
          <w:sz w:val="20"/>
        </w:rPr>
        <w:t xml:space="preserve">onducting eligibility checks on applications ensures that non-compliant or ineligible applications are removed from the process before entailing the further costs associated with the Stage 1 assessments. </w:t>
      </w:r>
      <w:r w:rsidR="0087294A">
        <w:rPr>
          <w:rFonts w:cs="Arial"/>
          <w:sz w:val="20"/>
        </w:rPr>
        <w:t>For future Annual Reviews, we will seek to compare the costs per applicant with other grant programmes, such as Darwin.</w:t>
      </w:r>
    </w:p>
    <w:p w14:paraId="6D1ED90D" w14:textId="77777777" w:rsidR="008A3D66" w:rsidRPr="008A3D66" w:rsidRDefault="008A3D66" w:rsidP="008A3D66">
      <w:pPr>
        <w:pStyle w:val="ListParagraph"/>
        <w:spacing w:after="160" w:line="276" w:lineRule="auto"/>
        <w:jc w:val="both"/>
        <w:rPr>
          <w:rFonts w:cs="Arial"/>
          <w:b/>
          <w:bCs/>
          <w:sz w:val="20"/>
        </w:rPr>
      </w:pPr>
    </w:p>
    <w:p w14:paraId="02425D7C" w14:textId="39D46190" w:rsidR="008A3D66" w:rsidRPr="008A3D66" w:rsidRDefault="008A3D66" w:rsidP="008A3D66">
      <w:pPr>
        <w:pStyle w:val="ListParagraph"/>
        <w:spacing w:after="160" w:line="276" w:lineRule="auto"/>
        <w:jc w:val="both"/>
        <w:rPr>
          <w:rFonts w:cs="Arial"/>
          <w:b/>
          <w:bCs/>
          <w:sz w:val="20"/>
        </w:rPr>
      </w:pPr>
      <w:r w:rsidRPr="008A3D66">
        <w:rPr>
          <w:rFonts w:cs="Arial"/>
          <w:b/>
          <w:bCs/>
          <w:sz w:val="20"/>
        </w:rPr>
        <w:t xml:space="preserve">Table </w:t>
      </w:r>
      <w:r w:rsidR="00CC3AEE">
        <w:rPr>
          <w:rFonts w:cs="Arial"/>
          <w:b/>
          <w:bCs/>
          <w:sz w:val="20"/>
        </w:rPr>
        <w:t>4</w:t>
      </w:r>
      <w:r w:rsidRPr="008A3D66">
        <w:rPr>
          <w:rFonts w:cs="Arial"/>
          <w:b/>
          <w:bCs/>
          <w:sz w:val="20"/>
        </w:rPr>
        <w:t>: OCEAN application costs for Stage 1 and Stage 2.</w:t>
      </w:r>
    </w:p>
    <w:tbl>
      <w:tblPr>
        <w:tblW w:w="10730" w:type="dxa"/>
        <w:tblInd w:w="-858" w:type="dxa"/>
        <w:tblLook w:val="04A0" w:firstRow="1" w:lastRow="0" w:firstColumn="1" w:lastColumn="0" w:noHBand="0" w:noVBand="1"/>
      </w:tblPr>
      <w:tblGrid>
        <w:gridCol w:w="1942"/>
        <w:gridCol w:w="1701"/>
        <w:gridCol w:w="1134"/>
        <w:gridCol w:w="1559"/>
        <w:gridCol w:w="1701"/>
        <w:gridCol w:w="1134"/>
        <w:gridCol w:w="1559"/>
      </w:tblGrid>
      <w:tr w:rsidR="00941155" w:rsidRPr="00130C3C" w14:paraId="5289A061" w14:textId="77777777" w:rsidTr="00130C3C">
        <w:trPr>
          <w:trHeight w:val="290"/>
        </w:trPr>
        <w:tc>
          <w:tcPr>
            <w:tcW w:w="19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E64BD1" w14:textId="77777777" w:rsidR="00130C3C" w:rsidRPr="00130C3C" w:rsidRDefault="00130C3C" w:rsidP="00130C3C">
            <w:pPr>
              <w:rPr>
                <w:rFonts w:cs="Arial"/>
                <w:b/>
                <w:bCs/>
                <w:color w:val="000000"/>
                <w:sz w:val="20"/>
                <w:szCs w:val="20"/>
                <w:lang w:eastAsia="en-GB"/>
              </w:rPr>
            </w:pPr>
            <w:r w:rsidRPr="00130C3C">
              <w:rPr>
                <w:rFonts w:cs="Arial"/>
                <w:b/>
                <w:bCs/>
                <w:color w:val="000000"/>
                <w:sz w:val="20"/>
                <w:szCs w:val="20"/>
                <w:lang w:eastAsia="en-GB"/>
              </w:rPr>
              <w:t> </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3BF76093" w14:textId="77777777"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PG Cost per App</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1C40C477" w14:textId="5F03080A"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No. Apps</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7BBDD3A2" w14:textId="77777777"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PG Total Cost</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3C6CD5DA" w14:textId="77777777"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CG Cost per App</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3654EA88" w14:textId="613BB4F4"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No. Apps</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72B6312E" w14:textId="77777777"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CG Total Cost</w:t>
            </w:r>
          </w:p>
        </w:tc>
      </w:tr>
      <w:tr w:rsidR="00D94931" w:rsidRPr="00130C3C" w14:paraId="298722B6" w14:textId="77777777" w:rsidTr="00130C3C">
        <w:trPr>
          <w:trHeight w:val="29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04DA8E05" w14:textId="77777777" w:rsidR="00130C3C" w:rsidRPr="00130C3C" w:rsidRDefault="00130C3C" w:rsidP="00130C3C">
            <w:pPr>
              <w:rPr>
                <w:rFonts w:cs="Arial"/>
                <w:color w:val="000000"/>
                <w:sz w:val="20"/>
                <w:szCs w:val="20"/>
                <w:lang w:eastAsia="en-GB"/>
              </w:rPr>
            </w:pPr>
            <w:r w:rsidRPr="00130C3C">
              <w:rPr>
                <w:rFonts w:cs="Arial"/>
                <w:color w:val="000000"/>
                <w:sz w:val="20"/>
                <w:szCs w:val="20"/>
                <w:lang w:eastAsia="en-GB"/>
              </w:rPr>
              <w:t xml:space="preserve"> Stage 1. Ineligible </w:t>
            </w:r>
          </w:p>
        </w:tc>
        <w:tc>
          <w:tcPr>
            <w:tcW w:w="1701" w:type="dxa"/>
            <w:tcBorders>
              <w:top w:val="nil"/>
              <w:left w:val="nil"/>
              <w:bottom w:val="single" w:sz="4" w:space="0" w:color="auto"/>
              <w:right w:val="single" w:sz="4" w:space="0" w:color="auto"/>
            </w:tcBorders>
            <w:shd w:val="clear" w:color="auto" w:fill="auto"/>
            <w:noWrap/>
            <w:vAlign w:val="bottom"/>
            <w:hideMark/>
          </w:tcPr>
          <w:p w14:paraId="4F87150E"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£112.98</w:t>
            </w:r>
          </w:p>
        </w:tc>
        <w:tc>
          <w:tcPr>
            <w:tcW w:w="1134" w:type="dxa"/>
            <w:tcBorders>
              <w:top w:val="nil"/>
              <w:left w:val="nil"/>
              <w:bottom w:val="single" w:sz="4" w:space="0" w:color="auto"/>
              <w:right w:val="single" w:sz="4" w:space="0" w:color="auto"/>
            </w:tcBorders>
            <w:shd w:val="clear" w:color="auto" w:fill="auto"/>
            <w:noWrap/>
            <w:vAlign w:val="bottom"/>
            <w:hideMark/>
          </w:tcPr>
          <w:p w14:paraId="0C3F9F9E"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69</w:t>
            </w:r>
          </w:p>
        </w:tc>
        <w:tc>
          <w:tcPr>
            <w:tcW w:w="1559" w:type="dxa"/>
            <w:tcBorders>
              <w:top w:val="nil"/>
              <w:left w:val="nil"/>
              <w:bottom w:val="single" w:sz="4" w:space="0" w:color="auto"/>
              <w:right w:val="single" w:sz="4" w:space="0" w:color="auto"/>
            </w:tcBorders>
            <w:shd w:val="clear" w:color="auto" w:fill="auto"/>
            <w:noWrap/>
            <w:vAlign w:val="bottom"/>
            <w:hideMark/>
          </w:tcPr>
          <w:p w14:paraId="7FDB2897"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£7,795.60</w:t>
            </w:r>
          </w:p>
        </w:tc>
        <w:tc>
          <w:tcPr>
            <w:tcW w:w="1701" w:type="dxa"/>
            <w:tcBorders>
              <w:top w:val="nil"/>
              <w:left w:val="nil"/>
              <w:bottom w:val="single" w:sz="4" w:space="0" w:color="auto"/>
              <w:right w:val="single" w:sz="4" w:space="0" w:color="auto"/>
            </w:tcBorders>
            <w:shd w:val="clear" w:color="auto" w:fill="auto"/>
            <w:noWrap/>
            <w:vAlign w:val="bottom"/>
            <w:hideMark/>
          </w:tcPr>
          <w:p w14:paraId="15B131E7"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£93.23</w:t>
            </w:r>
          </w:p>
        </w:tc>
        <w:tc>
          <w:tcPr>
            <w:tcW w:w="1134" w:type="dxa"/>
            <w:tcBorders>
              <w:top w:val="nil"/>
              <w:left w:val="nil"/>
              <w:bottom w:val="single" w:sz="4" w:space="0" w:color="auto"/>
              <w:right w:val="single" w:sz="4" w:space="0" w:color="auto"/>
            </w:tcBorders>
            <w:shd w:val="clear" w:color="auto" w:fill="auto"/>
            <w:noWrap/>
            <w:vAlign w:val="bottom"/>
            <w:hideMark/>
          </w:tcPr>
          <w:p w14:paraId="49D426EF"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222</w:t>
            </w:r>
          </w:p>
        </w:tc>
        <w:tc>
          <w:tcPr>
            <w:tcW w:w="1559" w:type="dxa"/>
            <w:tcBorders>
              <w:top w:val="nil"/>
              <w:left w:val="nil"/>
              <w:bottom w:val="single" w:sz="4" w:space="0" w:color="auto"/>
              <w:right w:val="single" w:sz="4" w:space="0" w:color="auto"/>
            </w:tcBorders>
            <w:shd w:val="clear" w:color="auto" w:fill="auto"/>
            <w:noWrap/>
            <w:vAlign w:val="bottom"/>
            <w:hideMark/>
          </w:tcPr>
          <w:p w14:paraId="6AE68B9E"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£20,696.66</w:t>
            </w:r>
          </w:p>
        </w:tc>
      </w:tr>
      <w:tr w:rsidR="00D94931" w:rsidRPr="00130C3C" w14:paraId="7C62F0E2" w14:textId="77777777" w:rsidTr="00130C3C">
        <w:trPr>
          <w:trHeight w:val="29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404B72C3" w14:textId="77777777" w:rsidR="00130C3C" w:rsidRPr="00130C3C" w:rsidRDefault="00130C3C" w:rsidP="00130C3C">
            <w:pPr>
              <w:rPr>
                <w:rFonts w:cs="Arial"/>
                <w:color w:val="000000"/>
                <w:sz w:val="20"/>
                <w:szCs w:val="20"/>
                <w:lang w:eastAsia="en-GB"/>
              </w:rPr>
            </w:pPr>
            <w:r w:rsidRPr="00130C3C">
              <w:rPr>
                <w:rFonts w:cs="Arial"/>
                <w:color w:val="000000"/>
                <w:sz w:val="20"/>
                <w:szCs w:val="20"/>
                <w:lang w:eastAsia="en-GB"/>
              </w:rPr>
              <w:t xml:space="preserve"> Stage 1 </w:t>
            </w:r>
          </w:p>
        </w:tc>
        <w:tc>
          <w:tcPr>
            <w:tcW w:w="1701" w:type="dxa"/>
            <w:tcBorders>
              <w:top w:val="nil"/>
              <w:left w:val="nil"/>
              <w:bottom w:val="single" w:sz="4" w:space="0" w:color="auto"/>
              <w:right w:val="single" w:sz="4" w:space="0" w:color="auto"/>
            </w:tcBorders>
            <w:shd w:val="clear" w:color="auto" w:fill="auto"/>
            <w:noWrap/>
            <w:vAlign w:val="bottom"/>
            <w:hideMark/>
          </w:tcPr>
          <w:p w14:paraId="297E8A18"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£500.72</w:t>
            </w:r>
          </w:p>
        </w:tc>
        <w:tc>
          <w:tcPr>
            <w:tcW w:w="1134" w:type="dxa"/>
            <w:tcBorders>
              <w:top w:val="nil"/>
              <w:left w:val="nil"/>
              <w:bottom w:val="single" w:sz="4" w:space="0" w:color="auto"/>
              <w:right w:val="single" w:sz="4" w:space="0" w:color="auto"/>
            </w:tcBorders>
            <w:shd w:val="clear" w:color="auto" w:fill="auto"/>
            <w:noWrap/>
            <w:vAlign w:val="bottom"/>
            <w:hideMark/>
          </w:tcPr>
          <w:p w14:paraId="768479BB"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93</w:t>
            </w:r>
          </w:p>
        </w:tc>
        <w:tc>
          <w:tcPr>
            <w:tcW w:w="1559" w:type="dxa"/>
            <w:tcBorders>
              <w:top w:val="nil"/>
              <w:left w:val="nil"/>
              <w:bottom w:val="single" w:sz="4" w:space="0" w:color="auto"/>
              <w:right w:val="single" w:sz="4" w:space="0" w:color="auto"/>
            </w:tcBorders>
            <w:shd w:val="clear" w:color="auto" w:fill="auto"/>
            <w:noWrap/>
            <w:vAlign w:val="bottom"/>
            <w:hideMark/>
          </w:tcPr>
          <w:p w14:paraId="533EF1EB"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£46,567.41</w:t>
            </w:r>
          </w:p>
        </w:tc>
        <w:tc>
          <w:tcPr>
            <w:tcW w:w="1701" w:type="dxa"/>
            <w:tcBorders>
              <w:top w:val="nil"/>
              <w:left w:val="nil"/>
              <w:bottom w:val="single" w:sz="4" w:space="0" w:color="auto"/>
              <w:right w:val="single" w:sz="4" w:space="0" w:color="auto"/>
            </w:tcBorders>
            <w:shd w:val="clear" w:color="auto" w:fill="auto"/>
            <w:noWrap/>
            <w:vAlign w:val="bottom"/>
            <w:hideMark/>
          </w:tcPr>
          <w:p w14:paraId="30D3AF4C"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£211.02</w:t>
            </w:r>
          </w:p>
        </w:tc>
        <w:tc>
          <w:tcPr>
            <w:tcW w:w="1134" w:type="dxa"/>
            <w:tcBorders>
              <w:top w:val="nil"/>
              <w:left w:val="nil"/>
              <w:bottom w:val="single" w:sz="4" w:space="0" w:color="auto"/>
              <w:right w:val="single" w:sz="4" w:space="0" w:color="auto"/>
            </w:tcBorders>
            <w:shd w:val="clear" w:color="auto" w:fill="auto"/>
            <w:noWrap/>
            <w:vAlign w:val="bottom"/>
            <w:hideMark/>
          </w:tcPr>
          <w:p w14:paraId="43F8B1CE"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206</w:t>
            </w:r>
          </w:p>
        </w:tc>
        <w:tc>
          <w:tcPr>
            <w:tcW w:w="1559" w:type="dxa"/>
            <w:tcBorders>
              <w:top w:val="nil"/>
              <w:left w:val="nil"/>
              <w:bottom w:val="single" w:sz="4" w:space="0" w:color="auto"/>
              <w:right w:val="single" w:sz="4" w:space="0" w:color="auto"/>
            </w:tcBorders>
            <w:shd w:val="clear" w:color="auto" w:fill="auto"/>
            <w:noWrap/>
            <w:vAlign w:val="bottom"/>
            <w:hideMark/>
          </w:tcPr>
          <w:p w14:paraId="36C9F258"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£43,469.89</w:t>
            </w:r>
          </w:p>
        </w:tc>
      </w:tr>
      <w:tr w:rsidR="001D6913" w:rsidRPr="00130C3C" w14:paraId="0747C28F" w14:textId="77777777" w:rsidTr="00130C3C">
        <w:trPr>
          <w:trHeight w:val="29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7AC002E9" w14:textId="77777777" w:rsidR="00130C3C" w:rsidRPr="00130C3C" w:rsidRDefault="00130C3C" w:rsidP="00130C3C">
            <w:pPr>
              <w:rPr>
                <w:rFonts w:cs="Arial"/>
                <w:color w:val="000000"/>
                <w:sz w:val="20"/>
                <w:szCs w:val="20"/>
                <w:lang w:eastAsia="en-GB"/>
              </w:rPr>
            </w:pPr>
            <w:r w:rsidRPr="00130C3C">
              <w:rPr>
                <w:rFonts w:cs="Arial"/>
                <w:color w:val="000000"/>
                <w:sz w:val="20"/>
                <w:szCs w:val="20"/>
                <w:lang w:eastAsia="en-GB"/>
              </w:rPr>
              <w:t xml:space="preserve"> Stage 2. Ineligible </w:t>
            </w:r>
          </w:p>
        </w:tc>
        <w:tc>
          <w:tcPr>
            <w:tcW w:w="1701" w:type="dxa"/>
            <w:tcBorders>
              <w:top w:val="nil"/>
              <w:left w:val="nil"/>
              <w:bottom w:val="single" w:sz="4" w:space="0" w:color="auto"/>
              <w:right w:val="single" w:sz="4" w:space="0" w:color="auto"/>
            </w:tcBorders>
            <w:shd w:val="clear" w:color="000000" w:fill="D9D9D9"/>
            <w:noWrap/>
            <w:vAlign w:val="bottom"/>
            <w:hideMark/>
          </w:tcPr>
          <w:p w14:paraId="333CABBE" w14:textId="77777777" w:rsidR="00130C3C" w:rsidRPr="00130C3C" w:rsidRDefault="00130C3C" w:rsidP="00130C3C">
            <w:pPr>
              <w:jc w:val="center"/>
              <w:rPr>
                <w:rFonts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noWrap/>
            <w:vAlign w:val="bottom"/>
            <w:hideMark/>
          </w:tcPr>
          <w:p w14:paraId="39955EAE" w14:textId="77777777" w:rsidR="00130C3C" w:rsidRPr="00130C3C" w:rsidRDefault="00130C3C" w:rsidP="00130C3C">
            <w:pPr>
              <w:jc w:val="center"/>
              <w:rPr>
                <w:rFonts w:cs="Arial"/>
                <w:color w:val="000000"/>
                <w:sz w:val="20"/>
                <w:szCs w:val="20"/>
                <w:lang w:eastAsia="en-GB"/>
              </w:rPr>
            </w:pPr>
          </w:p>
        </w:tc>
        <w:tc>
          <w:tcPr>
            <w:tcW w:w="1559" w:type="dxa"/>
            <w:tcBorders>
              <w:top w:val="nil"/>
              <w:left w:val="nil"/>
              <w:bottom w:val="single" w:sz="4" w:space="0" w:color="auto"/>
              <w:right w:val="single" w:sz="4" w:space="0" w:color="auto"/>
            </w:tcBorders>
            <w:shd w:val="clear" w:color="000000" w:fill="D9D9D9"/>
            <w:noWrap/>
            <w:vAlign w:val="bottom"/>
            <w:hideMark/>
          </w:tcPr>
          <w:p w14:paraId="325E1E11" w14:textId="77777777" w:rsidR="00130C3C" w:rsidRPr="00130C3C" w:rsidRDefault="00130C3C" w:rsidP="00130C3C">
            <w:pPr>
              <w:jc w:val="center"/>
              <w:rPr>
                <w:rFonts w:cs="Arial"/>
                <w:color w:val="000000"/>
                <w:sz w:val="20"/>
                <w:szCs w:val="20"/>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5FB43862"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£354.55</w:t>
            </w:r>
          </w:p>
        </w:tc>
        <w:tc>
          <w:tcPr>
            <w:tcW w:w="1134" w:type="dxa"/>
            <w:tcBorders>
              <w:top w:val="nil"/>
              <w:left w:val="nil"/>
              <w:bottom w:val="single" w:sz="4" w:space="0" w:color="auto"/>
              <w:right w:val="single" w:sz="4" w:space="0" w:color="auto"/>
            </w:tcBorders>
            <w:shd w:val="clear" w:color="auto" w:fill="auto"/>
            <w:noWrap/>
            <w:vAlign w:val="bottom"/>
            <w:hideMark/>
          </w:tcPr>
          <w:p w14:paraId="1FE3E903"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23</w:t>
            </w:r>
          </w:p>
        </w:tc>
        <w:tc>
          <w:tcPr>
            <w:tcW w:w="1559" w:type="dxa"/>
            <w:tcBorders>
              <w:top w:val="nil"/>
              <w:left w:val="nil"/>
              <w:bottom w:val="single" w:sz="4" w:space="0" w:color="auto"/>
              <w:right w:val="single" w:sz="4" w:space="0" w:color="auto"/>
            </w:tcBorders>
            <w:shd w:val="clear" w:color="auto" w:fill="auto"/>
            <w:noWrap/>
            <w:vAlign w:val="bottom"/>
            <w:hideMark/>
          </w:tcPr>
          <w:p w14:paraId="056ED0AA"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£8,154.54</w:t>
            </w:r>
          </w:p>
        </w:tc>
      </w:tr>
      <w:tr w:rsidR="00D94931" w:rsidRPr="00130C3C" w14:paraId="6013FA2C" w14:textId="77777777" w:rsidTr="00130C3C">
        <w:trPr>
          <w:trHeight w:val="29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66FF8F49" w14:textId="77777777" w:rsidR="00130C3C" w:rsidRPr="00130C3C" w:rsidRDefault="00130C3C" w:rsidP="00130C3C">
            <w:pPr>
              <w:rPr>
                <w:rFonts w:cs="Arial"/>
                <w:color w:val="000000"/>
                <w:sz w:val="20"/>
                <w:szCs w:val="20"/>
                <w:lang w:eastAsia="en-GB"/>
              </w:rPr>
            </w:pPr>
            <w:r w:rsidRPr="00130C3C">
              <w:rPr>
                <w:rFonts w:cs="Arial"/>
                <w:color w:val="000000"/>
                <w:sz w:val="20"/>
                <w:szCs w:val="20"/>
                <w:lang w:eastAsia="en-GB"/>
              </w:rPr>
              <w:t xml:space="preserve"> Stage 2 </w:t>
            </w:r>
          </w:p>
        </w:tc>
        <w:tc>
          <w:tcPr>
            <w:tcW w:w="1701" w:type="dxa"/>
            <w:tcBorders>
              <w:top w:val="nil"/>
              <w:left w:val="nil"/>
              <w:bottom w:val="single" w:sz="4" w:space="0" w:color="auto"/>
              <w:right w:val="single" w:sz="4" w:space="0" w:color="auto"/>
            </w:tcBorders>
            <w:shd w:val="clear" w:color="auto" w:fill="auto"/>
            <w:noWrap/>
            <w:vAlign w:val="bottom"/>
            <w:hideMark/>
          </w:tcPr>
          <w:p w14:paraId="7528CB38"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£1,070.28</w:t>
            </w:r>
          </w:p>
        </w:tc>
        <w:tc>
          <w:tcPr>
            <w:tcW w:w="1134" w:type="dxa"/>
            <w:tcBorders>
              <w:top w:val="nil"/>
              <w:left w:val="nil"/>
              <w:bottom w:val="single" w:sz="4" w:space="0" w:color="auto"/>
              <w:right w:val="single" w:sz="4" w:space="0" w:color="auto"/>
            </w:tcBorders>
            <w:shd w:val="clear" w:color="auto" w:fill="auto"/>
            <w:noWrap/>
            <w:vAlign w:val="bottom"/>
            <w:hideMark/>
          </w:tcPr>
          <w:p w14:paraId="39090C2B"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6</w:t>
            </w:r>
          </w:p>
        </w:tc>
        <w:tc>
          <w:tcPr>
            <w:tcW w:w="1559" w:type="dxa"/>
            <w:tcBorders>
              <w:top w:val="nil"/>
              <w:left w:val="nil"/>
              <w:bottom w:val="single" w:sz="4" w:space="0" w:color="auto"/>
              <w:right w:val="single" w:sz="4" w:space="0" w:color="auto"/>
            </w:tcBorders>
            <w:shd w:val="clear" w:color="auto" w:fill="auto"/>
            <w:noWrap/>
            <w:vAlign w:val="bottom"/>
            <w:hideMark/>
          </w:tcPr>
          <w:p w14:paraId="2B24ABF5"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£6,421.68</w:t>
            </w:r>
          </w:p>
        </w:tc>
        <w:tc>
          <w:tcPr>
            <w:tcW w:w="1701" w:type="dxa"/>
            <w:tcBorders>
              <w:top w:val="nil"/>
              <w:left w:val="nil"/>
              <w:bottom w:val="single" w:sz="4" w:space="0" w:color="auto"/>
              <w:right w:val="single" w:sz="4" w:space="0" w:color="auto"/>
            </w:tcBorders>
            <w:shd w:val="clear" w:color="auto" w:fill="auto"/>
            <w:noWrap/>
            <w:vAlign w:val="bottom"/>
            <w:hideMark/>
          </w:tcPr>
          <w:p w14:paraId="38E5A3C8"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£762.88</w:t>
            </w:r>
          </w:p>
        </w:tc>
        <w:tc>
          <w:tcPr>
            <w:tcW w:w="1134" w:type="dxa"/>
            <w:tcBorders>
              <w:top w:val="nil"/>
              <w:left w:val="nil"/>
              <w:bottom w:val="single" w:sz="4" w:space="0" w:color="auto"/>
              <w:right w:val="single" w:sz="4" w:space="0" w:color="auto"/>
            </w:tcBorders>
            <w:shd w:val="clear" w:color="auto" w:fill="auto"/>
            <w:noWrap/>
            <w:vAlign w:val="bottom"/>
            <w:hideMark/>
          </w:tcPr>
          <w:p w14:paraId="5CC8F7F6"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37</w:t>
            </w:r>
          </w:p>
        </w:tc>
        <w:tc>
          <w:tcPr>
            <w:tcW w:w="1559" w:type="dxa"/>
            <w:tcBorders>
              <w:top w:val="nil"/>
              <w:left w:val="nil"/>
              <w:bottom w:val="single" w:sz="4" w:space="0" w:color="auto"/>
              <w:right w:val="single" w:sz="4" w:space="0" w:color="auto"/>
            </w:tcBorders>
            <w:shd w:val="clear" w:color="auto" w:fill="auto"/>
            <w:noWrap/>
            <w:vAlign w:val="bottom"/>
            <w:hideMark/>
          </w:tcPr>
          <w:p w14:paraId="24DD7D13"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£28,226.51</w:t>
            </w:r>
          </w:p>
        </w:tc>
      </w:tr>
      <w:tr w:rsidR="00D94931" w:rsidRPr="00130C3C" w14:paraId="1EFAA466" w14:textId="77777777" w:rsidTr="00130C3C">
        <w:trPr>
          <w:trHeight w:val="29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797153A1" w14:textId="77777777" w:rsidR="00130C3C" w:rsidRPr="00130C3C" w:rsidRDefault="00130C3C" w:rsidP="00130C3C">
            <w:pPr>
              <w:rPr>
                <w:rFonts w:cs="Arial"/>
                <w:color w:val="000000"/>
                <w:sz w:val="20"/>
                <w:szCs w:val="20"/>
                <w:lang w:eastAsia="en-GB"/>
              </w:rPr>
            </w:pPr>
            <w:r w:rsidRPr="00130C3C">
              <w:rPr>
                <w:rFonts w:cs="Arial"/>
                <w:color w:val="000000"/>
                <w:sz w:val="20"/>
                <w:szCs w:val="20"/>
                <w:lang w:eastAsia="en-GB"/>
              </w:rPr>
              <w:t xml:space="preserve"> Awarded </w:t>
            </w:r>
          </w:p>
        </w:tc>
        <w:tc>
          <w:tcPr>
            <w:tcW w:w="1701" w:type="dxa"/>
            <w:tcBorders>
              <w:top w:val="nil"/>
              <w:left w:val="nil"/>
              <w:bottom w:val="single" w:sz="4" w:space="0" w:color="auto"/>
              <w:right w:val="single" w:sz="4" w:space="0" w:color="auto"/>
            </w:tcBorders>
            <w:shd w:val="clear" w:color="auto" w:fill="auto"/>
            <w:noWrap/>
            <w:vAlign w:val="bottom"/>
            <w:hideMark/>
          </w:tcPr>
          <w:p w14:paraId="0BA24C0A"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£1,296.27</w:t>
            </w:r>
          </w:p>
        </w:tc>
        <w:tc>
          <w:tcPr>
            <w:tcW w:w="1134" w:type="dxa"/>
            <w:tcBorders>
              <w:top w:val="nil"/>
              <w:left w:val="nil"/>
              <w:bottom w:val="single" w:sz="4" w:space="0" w:color="auto"/>
              <w:right w:val="single" w:sz="4" w:space="0" w:color="auto"/>
            </w:tcBorders>
            <w:shd w:val="clear" w:color="auto" w:fill="auto"/>
            <w:noWrap/>
            <w:vAlign w:val="bottom"/>
            <w:hideMark/>
          </w:tcPr>
          <w:p w14:paraId="6C4BDB8B"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3</w:t>
            </w:r>
          </w:p>
        </w:tc>
        <w:tc>
          <w:tcPr>
            <w:tcW w:w="1559" w:type="dxa"/>
            <w:tcBorders>
              <w:top w:val="nil"/>
              <w:left w:val="nil"/>
              <w:bottom w:val="single" w:sz="4" w:space="0" w:color="auto"/>
              <w:right w:val="single" w:sz="4" w:space="0" w:color="auto"/>
            </w:tcBorders>
            <w:shd w:val="clear" w:color="auto" w:fill="auto"/>
            <w:noWrap/>
            <w:vAlign w:val="bottom"/>
            <w:hideMark/>
          </w:tcPr>
          <w:p w14:paraId="35326160"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£3,888.81</w:t>
            </w:r>
          </w:p>
        </w:tc>
        <w:tc>
          <w:tcPr>
            <w:tcW w:w="1701" w:type="dxa"/>
            <w:tcBorders>
              <w:top w:val="nil"/>
              <w:left w:val="nil"/>
              <w:bottom w:val="single" w:sz="4" w:space="0" w:color="auto"/>
              <w:right w:val="single" w:sz="4" w:space="0" w:color="auto"/>
            </w:tcBorders>
            <w:shd w:val="clear" w:color="auto" w:fill="auto"/>
            <w:noWrap/>
            <w:vAlign w:val="bottom"/>
            <w:hideMark/>
          </w:tcPr>
          <w:p w14:paraId="68CE7FB5"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£1,318.87</w:t>
            </w:r>
          </w:p>
        </w:tc>
        <w:tc>
          <w:tcPr>
            <w:tcW w:w="1134" w:type="dxa"/>
            <w:tcBorders>
              <w:top w:val="nil"/>
              <w:left w:val="nil"/>
              <w:bottom w:val="single" w:sz="4" w:space="0" w:color="auto"/>
              <w:right w:val="single" w:sz="4" w:space="0" w:color="auto"/>
            </w:tcBorders>
            <w:shd w:val="clear" w:color="auto" w:fill="auto"/>
            <w:noWrap/>
            <w:vAlign w:val="bottom"/>
            <w:hideMark/>
          </w:tcPr>
          <w:p w14:paraId="550628CE"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35</w:t>
            </w:r>
          </w:p>
        </w:tc>
        <w:tc>
          <w:tcPr>
            <w:tcW w:w="1559" w:type="dxa"/>
            <w:tcBorders>
              <w:top w:val="nil"/>
              <w:left w:val="nil"/>
              <w:bottom w:val="single" w:sz="4" w:space="0" w:color="auto"/>
              <w:right w:val="single" w:sz="4" w:space="0" w:color="auto"/>
            </w:tcBorders>
            <w:shd w:val="clear" w:color="auto" w:fill="auto"/>
            <w:noWrap/>
            <w:vAlign w:val="bottom"/>
            <w:hideMark/>
          </w:tcPr>
          <w:p w14:paraId="68584FCF" w14:textId="77777777" w:rsidR="00130C3C" w:rsidRPr="00130C3C" w:rsidRDefault="00130C3C" w:rsidP="00130C3C">
            <w:pPr>
              <w:jc w:val="center"/>
              <w:rPr>
                <w:rFonts w:cs="Arial"/>
                <w:color w:val="000000"/>
                <w:sz w:val="20"/>
                <w:szCs w:val="20"/>
                <w:lang w:eastAsia="en-GB"/>
              </w:rPr>
            </w:pPr>
            <w:r w:rsidRPr="00130C3C">
              <w:rPr>
                <w:rFonts w:cs="Arial"/>
                <w:color w:val="000000"/>
                <w:sz w:val="20"/>
                <w:szCs w:val="20"/>
                <w:lang w:eastAsia="en-GB"/>
              </w:rPr>
              <w:t>£46,160.40</w:t>
            </w:r>
          </w:p>
        </w:tc>
      </w:tr>
      <w:tr w:rsidR="00941155" w:rsidRPr="00130C3C" w14:paraId="213AF942" w14:textId="77777777" w:rsidTr="00130C3C">
        <w:trPr>
          <w:trHeight w:val="290"/>
        </w:trPr>
        <w:tc>
          <w:tcPr>
            <w:tcW w:w="1942" w:type="dxa"/>
            <w:tcBorders>
              <w:top w:val="nil"/>
              <w:left w:val="single" w:sz="4" w:space="0" w:color="auto"/>
              <w:bottom w:val="single" w:sz="4" w:space="0" w:color="auto"/>
              <w:right w:val="single" w:sz="4" w:space="0" w:color="auto"/>
            </w:tcBorders>
            <w:shd w:val="clear" w:color="000000" w:fill="D9D9D9"/>
            <w:noWrap/>
            <w:vAlign w:val="bottom"/>
            <w:hideMark/>
          </w:tcPr>
          <w:p w14:paraId="10819B9F" w14:textId="77777777" w:rsidR="00130C3C" w:rsidRPr="00130C3C" w:rsidRDefault="00130C3C" w:rsidP="00130C3C">
            <w:pPr>
              <w:rPr>
                <w:rFonts w:cs="Arial"/>
                <w:b/>
                <w:bCs/>
                <w:color w:val="000000"/>
                <w:sz w:val="20"/>
                <w:szCs w:val="20"/>
                <w:lang w:eastAsia="en-GB"/>
              </w:rPr>
            </w:pPr>
            <w:r w:rsidRPr="00130C3C">
              <w:rPr>
                <w:rFonts w:cs="Arial"/>
                <w:b/>
                <w:bCs/>
                <w:color w:val="000000"/>
                <w:sz w:val="20"/>
                <w:szCs w:val="20"/>
                <w:lang w:eastAsia="en-GB"/>
              </w:rPr>
              <w:t xml:space="preserve"> Total </w:t>
            </w:r>
          </w:p>
        </w:tc>
        <w:tc>
          <w:tcPr>
            <w:tcW w:w="1701" w:type="dxa"/>
            <w:tcBorders>
              <w:top w:val="nil"/>
              <w:left w:val="nil"/>
              <w:bottom w:val="single" w:sz="4" w:space="0" w:color="auto"/>
              <w:right w:val="single" w:sz="4" w:space="0" w:color="auto"/>
            </w:tcBorders>
            <w:shd w:val="clear" w:color="000000" w:fill="D9D9D9"/>
            <w:noWrap/>
            <w:vAlign w:val="bottom"/>
            <w:hideMark/>
          </w:tcPr>
          <w:p w14:paraId="573BEFF0" w14:textId="0993165C"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£378.21</w:t>
            </w:r>
          </w:p>
        </w:tc>
        <w:tc>
          <w:tcPr>
            <w:tcW w:w="1134" w:type="dxa"/>
            <w:tcBorders>
              <w:top w:val="nil"/>
              <w:left w:val="nil"/>
              <w:bottom w:val="single" w:sz="4" w:space="0" w:color="auto"/>
              <w:right w:val="single" w:sz="4" w:space="0" w:color="auto"/>
            </w:tcBorders>
            <w:shd w:val="clear" w:color="000000" w:fill="D9D9D9"/>
            <w:noWrap/>
            <w:vAlign w:val="bottom"/>
            <w:hideMark/>
          </w:tcPr>
          <w:p w14:paraId="3170A779" w14:textId="6ACD7A72"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171</w:t>
            </w:r>
          </w:p>
        </w:tc>
        <w:tc>
          <w:tcPr>
            <w:tcW w:w="1559" w:type="dxa"/>
            <w:tcBorders>
              <w:top w:val="nil"/>
              <w:left w:val="nil"/>
              <w:bottom w:val="single" w:sz="4" w:space="0" w:color="auto"/>
              <w:right w:val="single" w:sz="4" w:space="0" w:color="auto"/>
            </w:tcBorders>
            <w:shd w:val="clear" w:color="000000" w:fill="D9D9D9"/>
            <w:noWrap/>
            <w:vAlign w:val="bottom"/>
            <w:hideMark/>
          </w:tcPr>
          <w:p w14:paraId="49D5AC44" w14:textId="7ED95E1D"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£64,673.50</w:t>
            </w:r>
          </w:p>
        </w:tc>
        <w:tc>
          <w:tcPr>
            <w:tcW w:w="1701" w:type="dxa"/>
            <w:tcBorders>
              <w:top w:val="nil"/>
              <w:left w:val="nil"/>
              <w:bottom w:val="single" w:sz="4" w:space="0" w:color="auto"/>
              <w:right w:val="single" w:sz="4" w:space="0" w:color="auto"/>
            </w:tcBorders>
            <w:shd w:val="clear" w:color="000000" w:fill="D9D9D9"/>
            <w:noWrap/>
            <w:vAlign w:val="bottom"/>
            <w:hideMark/>
          </w:tcPr>
          <w:p w14:paraId="253E8858" w14:textId="36832268"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£280.51</w:t>
            </w:r>
          </w:p>
        </w:tc>
        <w:tc>
          <w:tcPr>
            <w:tcW w:w="1134" w:type="dxa"/>
            <w:tcBorders>
              <w:top w:val="nil"/>
              <w:left w:val="nil"/>
              <w:bottom w:val="single" w:sz="4" w:space="0" w:color="auto"/>
              <w:right w:val="single" w:sz="4" w:space="0" w:color="auto"/>
            </w:tcBorders>
            <w:shd w:val="clear" w:color="000000" w:fill="D9D9D9"/>
            <w:noWrap/>
            <w:vAlign w:val="bottom"/>
            <w:hideMark/>
          </w:tcPr>
          <w:p w14:paraId="6B015110" w14:textId="5FCBD24F"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523</w:t>
            </w:r>
          </w:p>
        </w:tc>
        <w:tc>
          <w:tcPr>
            <w:tcW w:w="1559" w:type="dxa"/>
            <w:tcBorders>
              <w:top w:val="nil"/>
              <w:left w:val="nil"/>
              <w:bottom w:val="single" w:sz="4" w:space="0" w:color="auto"/>
              <w:right w:val="single" w:sz="4" w:space="0" w:color="auto"/>
            </w:tcBorders>
            <w:shd w:val="clear" w:color="000000" w:fill="D9D9D9"/>
            <w:noWrap/>
            <w:vAlign w:val="bottom"/>
            <w:hideMark/>
          </w:tcPr>
          <w:p w14:paraId="2C8FBC63" w14:textId="01393909" w:rsidR="00130C3C" w:rsidRPr="00130C3C" w:rsidRDefault="00130C3C" w:rsidP="00130C3C">
            <w:pPr>
              <w:jc w:val="center"/>
              <w:rPr>
                <w:rFonts w:cs="Arial"/>
                <w:b/>
                <w:bCs/>
                <w:color w:val="000000"/>
                <w:sz w:val="20"/>
                <w:szCs w:val="20"/>
                <w:lang w:eastAsia="en-GB"/>
              </w:rPr>
            </w:pPr>
            <w:r w:rsidRPr="00130C3C">
              <w:rPr>
                <w:rFonts w:cs="Arial"/>
                <w:b/>
                <w:bCs/>
                <w:color w:val="000000"/>
                <w:sz w:val="20"/>
                <w:szCs w:val="20"/>
                <w:lang w:eastAsia="en-GB"/>
              </w:rPr>
              <w:t>£146,707.99</w:t>
            </w:r>
          </w:p>
        </w:tc>
      </w:tr>
    </w:tbl>
    <w:p w14:paraId="565402F4" w14:textId="77777777" w:rsidR="00130C3C" w:rsidRPr="005520C0" w:rsidRDefault="00130C3C" w:rsidP="00693505">
      <w:pPr>
        <w:spacing w:line="276" w:lineRule="auto"/>
        <w:jc w:val="both"/>
        <w:rPr>
          <w:rFonts w:cs="Arial"/>
          <w:sz w:val="20"/>
          <w:szCs w:val="20"/>
        </w:rPr>
      </w:pPr>
    </w:p>
    <w:p w14:paraId="1E36E8FD" w14:textId="77777777" w:rsidR="002B4009" w:rsidRPr="005520C0" w:rsidRDefault="007E3D14" w:rsidP="00AD1823">
      <w:pPr>
        <w:pStyle w:val="ListParagraph"/>
        <w:numPr>
          <w:ilvl w:val="0"/>
          <w:numId w:val="9"/>
        </w:numPr>
        <w:spacing w:after="160" w:line="276" w:lineRule="auto"/>
        <w:ind w:left="714" w:hanging="357"/>
        <w:jc w:val="both"/>
        <w:rPr>
          <w:rFonts w:cs="Arial"/>
          <w:sz w:val="20"/>
        </w:rPr>
      </w:pPr>
      <w:r w:rsidRPr="005520C0">
        <w:rPr>
          <w:rFonts w:cs="Arial"/>
          <w:sz w:val="20"/>
        </w:rPr>
        <w:t>The GA helped ensure efficiency of spend in their activities through</w:t>
      </w:r>
      <w:r w:rsidR="002B4009" w:rsidRPr="005520C0">
        <w:rPr>
          <w:rFonts w:cs="Arial"/>
          <w:sz w:val="20"/>
        </w:rPr>
        <w:t>:</w:t>
      </w:r>
    </w:p>
    <w:p w14:paraId="5BAC4790" w14:textId="27379066" w:rsidR="002B4009" w:rsidRPr="005520C0" w:rsidRDefault="00A100E3" w:rsidP="00AD1823">
      <w:pPr>
        <w:pStyle w:val="ListParagraph"/>
        <w:numPr>
          <w:ilvl w:val="1"/>
          <w:numId w:val="9"/>
        </w:numPr>
        <w:spacing w:after="160" w:line="276" w:lineRule="auto"/>
        <w:jc w:val="both"/>
        <w:rPr>
          <w:rFonts w:cs="Arial"/>
          <w:sz w:val="20"/>
        </w:rPr>
      </w:pPr>
      <w:r w:rsidRPr="005520C0">
        <w:rPr>
          <w:rFonts w:cs="Arial"/>
          <w:sz w:val="20"/>
        </w:rPr>
        <w:t>Prioritising early outreach and communications to solicit enough applications received in first round, ensuring administrative resources would be fully utilised in the first year</w:t>
      </w:r>
    </w:p>
    <w:p w14:paraId="6AA098EE" w14:textId="3C989B56" w:rsidR="00404F16" w:rsidRPr="005520C0" w:rsidRDefault="00404F16" w:rsidP="00AD1823">
      <w:pPr>
        <w:pStyle w:val="ListParagraph"/>
        <w:numPr>
          <w:ilvl w:val="1"/>
          <w:numId w:val="9"/>
        </w:numPr>
        <w:spacing w:after="160" w:line="276" w:lineRule="auto"/>
        <w:jc w:val="both"/>
        <w:rPr>
          <w:rFonts w:cs="Arial"/>
          <w:sz w:val="20"/>
        </w:rPr>
      </w:pPr>
      <w:r w:rsidRPr="005520C0">
        <w:rPr>
          <w:rFonts w:cs="Arial"/>
          <w:sz w:val="20"/>
        </w:rPr>
        <w:t>Mobilising the team early, ensuring the team structure has a good balance of required skills by assigning roles and responsibilities to avoid duplication of effort, with team members specialising in areas where they have most experience</w:t>
      </w:r>
    </w:p>
    <w:p w14:paraId="7308C6AF" w14:textId="008B7A80" w:rsidR="001869B1" w:rsidRPr="005520C0" w:rsidRDefault="001869B1" w:rsidP="00AD1823">
      <w:pPr>
        <w:pStyle w:val="ListParagraph"/>
        <w:numPr>
          <w:ilvl w:val="1"/>
          <w:numId w:val="9"/>
        </w:numPr>
        <w:spacing w:after="160" w:line="276" w:lineRule="auto"/>
        <w:jc w:val="both"/>
        <w:rPr>
          <w:rFonts w:cs="Arial"/>
          <w:sz w:val="20"/>
        </w:rPr>
      </w:pPr>
      <w:r w:rsidRPr="005520C0">
        <w:rPr>
          <w:rFonts w:cs="Arial"/>
          <w:sz w:val="20"/>
        </w:rPr>
        <w:t>Consulting Defra Policy team on draft deliverables to ensure a good understanding of requirements before submission to avoid multiple revisions and any associated delays</w:t>
      </w:r>
    </w:p>
    <w:p w14:paraId="73ECA5D9" w14:textId="3B94EF47" w:rsidR="00167F7C" w:rsidRPr="005520C0" w:rsidRDefault="00A03A3D" w:rsidP="00AD1823">
      <w:pPr>
        <w:pStyle w:val="ListParagraph"/>
        <w:numPr>
          <w:ilvl w:val="0"/>
          <w:numId w:val="9"/>
        </w:numPr>
        <w:spacing w:after="160" w:line="276" w:lineRule="auto"/>
        <w:ind w:left="714" w:hanging="357"/>
        <w:jc w:val="both"/>
        <w:rPr>
          <w:rFonts w:cs="Arial"/>
          <w:sz w:val="20"/>
        </w:rPr>
      </w:pPr>
      <w:r w:rsidRPr="005520C0">
        <w:rPr>
          <w:rFonts w:cs="Arial"/>
          <w:sz w:val="20"/>
        </w:rPr>
        <w:t xml:space="preserve">Key dates such as Fund Launch Date, assessment periods and notification of outcomes to applicants have all been met. </w:t>
      </w:r>
      <w:r w:rsidR="00693505" w:rsidRPr="005520C0">
        <w:rPr>
          <w:rFonts w:cs="Arial"/>
          <w:sz w:val="20"/>
        </w:rPr>
        <w:t xml:space="preserve">The GA was able to adhere to planned budgets and timelines, </w:t>
      </w:r>
      <w:r w:rsidR="00167F7C" w:rsidRPr="005520C0">
        <w:rPr>
          <w:rFonts w:cs="Arial"/>
          <w:sz w:val="20"/>
        </w:rPr>
        <w:t>including meeting target milestones</w:t>
      </w:r>
      <w:r w:rsidRPr="005520C0">
        <w:rPr>
          <w:rFonts w:cs="Arial"/>
          <w:sz w:val="20"/>
        </w:rPr>
        <w:t xml:space="preserve">, </w:t>
      </w:r>
      <w:r w:rsidR="00167F7C" w:rsidRPr="005520C0">
        <w:rPr>
          <w:rFonts w:cs="Arial"/>
          <w:sz w:val="20"/>
        </w:rPr>
        <w:t xml:space="preserve">thanks </w:t>
      </w:r>
      <w:r w:rsidR="005610F1" w:rsidRPr="005520C0">
        <w:rPr>
          <w:rFonts w:cs="Arial"/>
          <w:sz w:val="20"/>
        </w:rPr>
        <w:t>to r</w:t>
      </w:r>
      <w:r w:rsidR="007745F3" w:rsidRPr="005520C0">
        <w:rPr>
          <w:rFonts w:cs="Arial"/>
          <w:sz w:val="20"/>
        </w:rPr>
        <w:t xml:space="preserve">egular reviews of the Workplan with the Policy </w:t>
      </w:r>
      <w:r w:rsidR="007745F3" w:rsidRPr="005520C0">
        <w:rPr>
          <w:rFonts w:cs="Arial"/>
          <w:sz w:val="20"/>
        </w:rPr>
        <w:lastRenderedPageBreak/>
        <w:t xml:space="preserve">Team during the initial development and design stage, </w:t>
      </w:r>
      <w:r w:rsidR="005610F1" w:rsidRPr="005520C0">
        <w:rPr>
          <w:rFonts w:cs="Arial"/>
          <w:sz w:val="20"/>
        </w:rPr>
        <w:t>and</w:t>
      </w:r>
      <w:r w:rsidR="007745F3" w:rsidRPr="005520C0">
        <w:rPr>
          <w:rFonts w:cs="Arial"/>
          <w:sz w:val="20"/>
        </w:rPr>
        <w:t xml:space="preserve"> regular communication to adapt and update schedules and timelines as needed</w:t>
      </w:r>
      <w:r w:rsidR="00AA6515" w:rsidRPr="005520C0">
        <w:rPr>
          <w:rFonts w:cs="Arial"/>
          <w:sz w:val="20"/>
        </w:rPr>
        <w:t>. Key deliverables completed include:</w:t>
      </w:r>
    </w:p>
    <w:p w14:paraId="1C50CF31" w14:textId="77777777" w:rsidR="00417697" w:rsidRPr="005520C0" w:rsidRDefault="00417697" w:rsidP="00AD1823">
      <w:pPr>
        <w:pStyle w:val="ListParagraph"/>
        <w:numPr>
          <w:ilvl w:val="1"/>
          <w:numId w:val="9"/>
        </w:numPr>
        <w:spacing w:line="276" w:lineRule="auto"/>
        <w:jc w:val="both"/>
        <w:rPr>
          <w:rFonts w:cs="Arial"/>
          <w:sz w:val="20"/>
        </w:rPr>
      </w:pPr>
      <w:r w:rsidRPr="005520C0">
        <w:rPr>
          <w:rFonts w:cs="Arial"/>
          <w:sz w:val="20"/>
        </w:rPr>
        <w:t xml:space="preserve">Set up of key processes (Grant Management Manual, Fund Cycle Templates, Risk Register), tools &amp; systems (Website, </w:t>
      </w:r>
      <w:proofErr w:type="gramStart"/>
      <w:r w:rsidRPr="005520C0">
        <w:rPr>
          <w:rFonts w:cs="Arial"/>
          <w:sz w:val="20"/>
        </w:rPr>
        <w:t>Social Media</w:t>
      </w:r>
      <w:proofErr w:type="gramEnd"/>
      <w:r w:rsidRPr="005520C0">
        <w:rPr>
          <w:rFonts w:cs="Arial"/>
          <w:sz w:val="20"/>
        </w:rPr>
        <w:t xml:space="preserve">, Flexi-grant, Helpdesk, </w:t>
      </w:r>
      <w:proofErr w:type="spellStart"/>
      <w:r w:rsidRPr="005520C0">
        <w:rPr>
          <w:rFonts w:cs="Arial"/>
          <w:sz w:val="20"/>
        </w:rPr>
        <w:t>PowerBI</w:t>
      </w:r>
      <w:proofErr w:type="spellEnd"/>
      <w:r w:rsidRPr="005520C0">
        <w:rPr>
          <w:rFonts w:cs="Arial"/>
          <w:sz w:val="20"/>
        </w:rPr>
        <w:t>), and strategies (Engagement Framework, MEL Framework, Learning approach, OCEAN Grants Community strategy, OCEAN GESI Action Plan)</w:t>
      </w:r>
    </w:p>
    <w:p w14:paraId="0B034F23" w14:textId="77777777" w:rsidR="00C1363A" w:rsidRPr="005520C0" w:rsidRDefault="00C1363A" w:rsidP="00AD1823">
      <w:pPr>
        <w:pStyle w:val="ListParagraph"/>
        <w:numPr>
          <w:ilvl w:val="1"/>
          <w:numId w:val="9"/>
        </w:numPr>
        <w:spacing w:line="276" w:lineRule="auto"/>
        <w:jc w:val="both"/>
        <w:rPr>
          <w:rFonts w:cs="Arial"/>
          <w:sz w:val="20"/>
        </w:rPr>
      </w:pPr>
      <w:r w:rsidRPr="005520C0">
        <w:rPr>
          <w:rFonts w:cs="Arial"/>
          <w:sz w:val="20"/>
        </w:rPr>
        <w:t>Soft launch of website for December 2024 announcement at COP28</w:t>
      </w:r>
    </w:p>
    <w:p w14:paraId="64BF2DDD" w14:textId="77777777" w:rsidR="00172BBF" w:rsidRPr="005520C0" w:rsidRDefault="00172BBF" w:rsidP="00AD1823">
      <w:pPr>
        <w:pStyle w:val="ListParagraph"/>
        <w:numPr>
          <w:ilvl w:val="1"/>
          <w:numId w:val="9"/>
        </w:numPr>
        <w:spacing w:after="160" w:line="276" w:lineRule="auto"/>
        <w:jc w:val="both"/>
        <w:rPr>
          <w:rFonts w:cs="Arial"/>
          <w:sz w:val="20"/>
        </w:rPr>
      </w:pPr>
      <w:r w:rsidRPr="005520C0">
        <w:rPr>
          <w:rFonts w:cs="Arial"/>
          <w:sz w:val="20"/>
        </w:rPr>
        <w:t>Onboarding &amp; management of OCEAN Expert Committee</w:t>
      </w:r>
    </w:p>
    <w:p w14:paraId="154F51F4" w14:textId="77777777" w:rsidR="00172BBF" w:rsidRPr="005520C0" w:rsidRDefault="00172BBF" w:rsidP="00AD1823">
      <w:pPr>
        <w:pStyle w:val="ListParagraph"/>
        <w:numPr>
          <w:ilvl w:val="1"/>
          <w:numId w:val="9"/>
        </w:numPr>
        <w:spacing w:after="160" w:line="276" w:lineRule="auto"/>
        <w:jc w:val="both"/>
        <w:rPr>
          <w:rFonts w:cs="Arial"/>
          <w:sz w:val="20"/>
        </w:rPr>
      </w:pPr>
      <w:r w:rsidRPr="005520C0">
        <w:rPr>
          <w:rFonts w:cs="Arial"/>
          <w:sz w:val="20"/>
        </w:rPr>
        <w:t>OCEAN Launch and opening of Stage 1 and Stage 2 application windows</w:t>
      </w:r>
    </w:p>
    <w:p w14:paraId="5C4E031B" w14:textId="1F6062A9" w:rsidR="007745F3" w:rsidRPr="005520C0" w:rsidRDefault="00F84C87" w:rsidP="00AD1823">
      <w:pPr>
        <w:pStyle w:val="ListParagraph"/>
        <w:numPr>
          <w:ilvl w:val="1"/>
          <w:numId w:val="9"/>
        </w:numPr>
        <w:spacing w:line="276" w:lineRule="auto"/>
        <w:jc w:val="both"/>
        <w:rPr>
          <w:rFonts w:cs="Arial"/>
          <w:sz w:val="20"/>
        </w:rPr>
      </w:pPr>
      <w:r w:rsidRPr="005520C0">
        <w:rPr>
          <w:rFonts w:cs="Arial"/>
          <w:sz w:val="20"/>
        </w:rPr>
        <w:t>Compiling and delivering Feedback letters to applicants</w:t>
      </w:r>
    </w:p>
    <w:p w14:paraId="1EC8CE65" w14:textId="09B04318" w:rsidR="001C3143" w:rsidRPr="005520C0" w:rsidRDefault="001C3143" w:rsidP="00417697">
      <w:pPr>
        <w:spacing w:after="160" w:line="276" w:lineRule="auto"/>
        <w:jc w:val="both"/>
        <w:rPr>
          <w:rFonts w:cs="Arial"/>
          <w:b/>
          <w:bCs/>
          <w:sz w:val="20"/>
          <w:szCs w:val="20"/>
          <w:lang w:val="en"/>
        </w:rPr>
      </w:pPr>
      <w:r w:rsidRPr="005520C0">
        <w:rPr>
          <w:rFonts w:cs="Arial"/>
          <w:b/>
          <w:bCs/>
          <w:sz w:val="20"/>
          <w:szCs w:val="20"/>
          <w:lang w:val="en"/>
        </w:rPr>
        <w:t xml:space="preserve">Effectiveness </w:t>
      </w:r>
    </w:p>
    <w:p w14:paraId="171CF09F" w14:textId="6286300F" w:rsidR="001C3143" w:rsidRPr="005520C0" w:rsidRDefault="001C3143" w:rsidP="001C3143">
      <w:pPr>
        <w:spacing w:after="160" w:line="276" w:lineRule="auto"/>
        <w:jc w:val="both"/>
        <w:rPr>
          <w:rFonts w:cs="Arial"/>
          <w:sz w:val="20"/>
          <w:szCs w:val="20"/>
        </w:rPr>
      </w:pPr>
      <w:r w:rsidRPr="005520C0">
        <w:rPr>
          <w:rFonts w:cs="Arial"/>
          <w:sz w:val="20"/>
          <w:szCs w:val="20"/>
        </w:rPr>
        <w:t>Effectiveness refers to the ability of funding to deliver the selection of outputs most likely to result in the desired outcomes (and impacts).</w:t>
      </w:r>
      <w:r w:rsidR="00BA1B19" w:rsidRPr="005520C0">
        <w:rPr>
          <w:rFonts w:cs="Arial"/>
          <w:sz w:val="20"/>
          <w:szCs w:val="20"/>
        </w:rPr>
        <w:t xml:space="preserve"> The focus of this section is on how effectively OCEAN delivered on its target outputs in the first year, and how the programme has put in place mechanisms to ensure effective delivery against targeted outcomes and impacts from the Theory of Change once projects are up and running.</w:t>
      </w:r>
    </w:p>
    <w:p w14:paraId="315C0918" w14:textId="25B475EE" w:rsidR="0081455E" w:rsidRDefault="00E83C02" w:rsidP="00AD1823">
      <w:pPr>
        <w:pStyle w:val="ListParagraph"/>
        <w:numPr>
          <w:ilvl w:val="0"/>
          <w:numId w:val="9"/>
        </w:numPr>
        <w:spacing w:after="160" w:line="276" w:lineRule="auto"/>
        <w:jc w:val="both"/>
        <w:rPr>
          <w:rFonts w:cs="Arial"/>
          <w:sz w:val="20"/>
        </w:rPr>
      </w:pPr>
      <w:r>
        <w:rPr>
          <w:rFonts w:cs="Arial"/>
          <w:sz w:val="20"/>
        </w:rPr>
        <w:t xml:space="preserve">OCEAN has ensured that </w:t>
      </w:r>
      <w:r w:rsidR="008330AD">
        <w:rPr>
          <w:rFonts w:cs="Arial"/>
          <w:sz w:val="20"/>
        </w:rPr>
        <w:t>grant funding should go to the most relevant and appropriate applicants, by:</w:t>
      </w:r>
    </w:p>
    <w:p w14:paraId="4D3B98A0" w14:textId="07E4F992" w:rsidR="008330AD" w:rsidRDefault="00901FCE" w:rsidP="00AD1823">
      <w:pPr>
        <w:pStyle w:val="ListParagraph"/>
        <w:numPr>
          <w:ilvl w:val="1"/>
          <w:numId w:val="9"/>
        </w:numPr>
        <w:spacing w:after="160" w:line="276" w:lineRule="auto"/>
        <w:jc w:val="both"/>
        <w:rPr>
          <w:rFonts w:cs="Arial"/>
          <w:sz w:val="20"/>
        </w:rPr>
      </w:pPr>
      <w:r>
        <w:rPr>
          <w:rFonts w:cs="Arial"/>
          <w:sz w:val="20"/>
        </w:rPr>
        <w:t xml:space="preserve">Tailoring </w:t>
      </w:r>
      <w:r w:rsidRPr="00901FCE">
        <w:rPr>
          <w:rFonts w:cs="Arial"/>
          <w:sz w:val="20"/>
        </w:rPr>
        <w:t>Eligibility &amp; Selection criteria to the two different grant pathways, with different annual income requirements</w:t>
      </w:r>
    </w:p>
    <w:p w14:paraId="37B32ABC" w14:textId="40C62724" w:rsidR="00463470" w:rsidRPr="00463470" w:rsidRDefault="00463470" w:rsidP="00AD1823">
      <w:pPr>
        <w:pStyle w:val="ListParagraph"/>
        <w:numPr>
          <w:ilvl w:val="1"/>
          <w:numId w:val="9"/>
        </w:numPr>
        <w:spacing w:after="160" w:line="276" w:lineRule="auto"/>
        <w:jc w:val="both"/>
        <w:rPr>
          <w:rFonts w:cs="Arial"/>
          <w:sz w:val="20"/>
        </w:rPr>
      </w:pPr>
      <w:r w:rsidRPr="00463470">
        <w:rPr>
          <w:rFonts w:cs="Arial"/>
          <w:sz w:val="20"/>
        </w:rPr>
        <w:t>Independent OCEAN Expert committee</w:t>
      </w:r>
      <w:r w:rsidR="00FE5A97">
        <w:rPr>
          <w:rFonts w:cs="Arial"/>
          <w:sz w:val="20"/>
        </w:rPr>
        <w:t xml:space="preserve"> established</w:t>
      </w:r>
      <w:r w:rsidRPr="00463470">
        <w:rPr>
          <w:rFonts w:cs="Arial"/>
          <w:sz w:val="20"/>
        </w:rPr>
        <w:t xml:space="preserve"> to assess the suitability of organisations to lead projects</w:t>
      </w:r>
    </w:p>
    <w:p w14:paraId="692925C3" w14:textId="5F98E7BA" w:rsidR="00463470" w:rsidRPr="00FE5A97" w:rsidRDefault="00FE5A97" w:rsidP="00AD1823">
      <w:pPr>
        <w:pStyle w:val="ListParagraph"/>
        <w:numPr>
          <w:ilvl w:val="1"/>
          <w:numId w:val="9"/>
        </w:numPr>
        <w:spacing w:after="160" w:line="276" w:lineRule="auto"/>
        <w:jc w:val="both"/>
        <w:rPr>
          <w:rFonts w:cs="Arial"/>
          <w:sz w:val="20"/>
        </w:rPr>
      </w:pPr>
      <w:r>
        <w:rPr>
          <w:rFonts w:cs="Arial"/>
          <w:sz w:val="20"/>
        </w:rPr>
        <w:t xml:space="preserve">The importance of focusing on the marine environment and poverty reduction, and the </w:t>
      </w:r>
      <w:r w:rsidR="00463470" w:rsidRPr="00463470">
        <w:rPr>
          <w:rFonts w:cs="Arial"/>
          <w:sz w:val="20"/>
        </w:rPr>
        <w:t xml:space="preserve">BPF outcomes </w:t>
      </w:r>
      <w:r>
        <w:rPr>
          <w:rFonts w:cs="Arial"/>
          <w:sz w:val="20"/>
        </w:rPr>
        <w:t xml:space="preserve">underpinning these areas were </w:t>
      </w:r>
      <w:r w:rsidR="00463470" w:rsidRPr="00463470">
        <w:rPr>
          <w:rFonts w:cs="Arial"/>
          <w:sz w:val="20"/>
        </w:rPr>
        <w:t>communicated to applicants in webinars</w:t>
      </w:r>
      <w:r>
        <w:rPr>
          <w:rFonts w:cs="Arial"/>
          <w:sz w:val="20"/>
        </w:rPr>
        <w:t>. A</w:t>
      </w:r>
      <w:r w:rsidR="00463470" w:rsidRPr="00FE5A97">
        <w:rPr>
          <w:rFonts w:cs="Arial"/>
          <w:sz w:val="20"/>
        </w:rPr>
        <w:t xml:space="preserve">pplicants were </w:t>
      </w:r>
      <w:r>
        <w:rPr>
          <w:rFonts w:cs="Arial"/>
          <w:sz w:val="20"/>
        </w:rPr>
        <w:t xml:space="preserve">then </w:t>
      </w:r>
      <w:r w:rsidR="00463470" w:rsidRPr="00FE5A97">
        <w:rPr>
          <w:rFonts w:cs="Arial"/>
          <w:sz w:val="20"/>
        </w:rPr>
        <w:t>asked to select which BPF outcomes are relevant to their project</w:t>
      </w:r>
    </w:p>
    <w:p w14:paraId="6A9A97C2" w14:textId="4BF46C67" w:rsidR="00463470" w:rsidRPr="00463470" w:rsidRDefault="00463470" w:rsidP="7A183E28">
      <w:pPr>
        <w:pStyle w:val="ListParagraph"/>
        <w:numPr>
          <w:ilvl w:val="1"/>
          <w:numId w:val="9"/>
        </w:numPr>
        <w:spacing w:after="160" w:line="276" w:lineRule="auto"/>
        <w:jc w:val="both"/>
        <w:rPr>
          <w:rFonts w:cs="Arial"/>
          <w:sz w:val="20"/>
        </w:rPr>
      </w:pPr>
      <w:r w:rsidRPr="7A183E28">
        <w:rPr>
          <w:rFonts w:cs="Arial"/>
          <w:sz w:val="20"/>
        </w:rPr>
        <w:t xml:space="preserve">Questions </w:t>
      </w:r>
      <w:r w:rsidR="00FE5A97" w:rsidRPr="7A183E28">
        <w:rPr>
          <w:rFonts w:cs="Arial"/>
          <w:sz w:val="20"/>
        </w:rPr>
        <w:t xml:space="preserve">are asked of applicants </w:t>
      </w:r>
      <w:r w:rsidRPr="7A183E28">
        <w:rPr>
          <w:rFonts w:cs="Arial"/>
          <w:sz w:val="20"/>
        </w:rPr>
        <w:t xml:space="preserve">about expected outcomes and impact, and </w:t>
      </w:r>
      <w:proofErr w:type="spellStart"/>
      <w:r w:rsidRPr="7A183E28">
        <w:rPr>
          <w:rFonts w:cs="Arial"/>
          <w:sz w:val="20"/>
        </w:rPr>
        <w:t>ToCs</w:t>
      </w:r>
      <w:proofErr w:type="spellEnd"/>
      <w:r w:rsidRPr="7A183E28">
        <w:rPr>
          <w:rFonts w:cs="Arial"/>
          <w:sz w:val="20"/>
        </w:rPr>
        <w:t xml:space="preserve"> and </w:t>
      </w:r>
      <w:proofErr w:type="spellStart"/>
      <w:r w:rsidR="586A3DE7" w:rsidRPr="7A183E28">
        <w:rPr>
          <w:rFonts w:cs="Arial"/>
          <w:sz w:val="20"/>
        </w:rPr>
        <w:t>l</w:t>
      </w:r>
      <w:r w:rsidRPr="7A183E28">
        <w:rPr>
          <w:rFonts w:cs="Arial"/>
          <w:sz w:val="20"/>
        </w:rPr>
        <w:t>ogframes</w:t>
      </w:r>
      <w:proofErr w:type="spellEnd"/>
      <w:r w:rsidRPr="7A183E28">
        <w:rPr>
          <w:rFonts w:cs="Arial"/>
          <w:sz w:val="20"/>
        </w:rPr>
        <w:t xml:space="preserve"> provided at application stage to ensure expected contribution to strategic outcomes can be assessed</w:t>
      </w:r>
    </w:p>
    <w:p w14:paraId="1C7EB310" w14:textId="0302A6ED" w:rsidR="00901FCE" w:rsidRDefault="00B94BD0" w:rsidP="00AD1823">
      <w:pPr>
        <w:pStyle w:val="ListParagraph"/>
        <w:numPr>
          <w:ilvl w:val="0"/>
          <w:numId w:val="9"/>
        </w:numPr>
        <w:spacing w:after="160" w:line="276" w:lineRule="auto"/>
        <w:jc w:val="both"/>
        <w:rPr>
          <w:rFonts w:cs="Arial"/>
          <w:sz w:val="20"/>
        </w:rPr>
      </w:pPr>
      <w:r>
        <w:rPr>
          <w:rFonts w:cs="Arial"/>
          <w:sz w:val="20"/>
        </w:rPr>
        <w:t>OCEAN will then continue to ensure that projects remain focused on delivering their intended outcomes</w:t>
      </w:r>
      <w:r w:rsidR="00117D04">
        <w:rPr>
          <w:rFonts w:cs="Arial"/>
          <w:sz w:val="20"/>
        </w:rPr>
        <w:t>, and will hold those projects accountable to this, through:</w:t>
      </w:r>
    </w:p>
    <w:p w14:paraId="51E2EE03" w14:textId="38D9F5DF" w:rsidR="00117D04" w:rsidRDefault="00117D04" w:rsidP="00AD1823">
      <w:pPr>
        <w:pStyle w:val="ListParagraph"/>
        <w:numPr>
          <w:ilvl w:val="1"/>
          <w:numId w:val="9"/>
        </w:numPr>
        <w:spacing w:after="160" w:line="276" w:lineRule="auto"/>
        <w:jc w:val="both"/>
        <w:rPr>
          <w:rFonts w:cs="Arial"/>
          <w:sz w:val="20"/>
        </w:rPr>
      </w:pPr>
      <w:r>
        <w:rPr>
          <w:rFonts w:cs="Arial"/>
          <w:sz w:val="20"/>
        </w:rPr>
        <w:t xml:space="preserve">A detailed MEL strategy including mandatory MEL requirements for projects, such as the Half-Year and Annual Reports, </w:t>
      </w:r>
      <w:proofErr w:type="spellStart"/>
      <w:r>
        <w:rPr>
          <w:rFonts w:cs="Arial"/>
          <w:sz w:val="20"/>
        </w:rPr>
        <w:t>logframe</w:t>
      </w:r>
      <w:proofErr w:type="spellEnd"/>
      <w:r>
        <w:rPr>
          <w:rFonts w:cs="Arial"/>
          <w:sz w:val="20"/>
        </w:rPr>
        <w:t xml:space="preserve"> reporting, and assessment against the Pathways to Change/</w:t>
      </w:r>
      <w:proofErr w:type="spellStart"/>
      <w:r>
        <w:rPr>
          <w:rFonts w:cs="Arial"/>
          <w:sz w:val="20"/>
        </w:rPr>
        <w:t>ToCs</w:t>
      </w:r>
      <w:proofErr w:type="spellEnd"/>
      <w:r w:rsidR="0085342E">
        <w:rPr>
          <w:rFonts w:cs="Arial"/>
          <w:sz w:val="20"/>
        </w:rPr>
        <w:t xml:space="preserve">. This will be aligned with further guidance and webinars for grantees to help them </w:t>
      </w:r>
      <w:r w:rsidR="00C247CC">
        <w:rPr>
          <w:rFonts w:cs="Arial"/>
          <w:sz w:val="20"/>
        </w:rPr>
        <w:t xml:space="preserve">deliver effectively against the MEL strategy </w:t>
      </w:r>
      <w:r w:rsidR="00F056CB">
        <w:rPr>
          <w:rFonts w:cs="Arial"/>
          <w:sz w:val="20"/>
        </w:rPr>
        <w:t>– most notably through quarterly learning sessions for grantees</w:t>
      </w:r>
    </w:p>
    <w:p w14:paraId="498AA1B6" w14:textId="02C3B999" w:rsidR="00117D04" w:rsidRDefault="00117D04" w:rsidP="00AD1823">
      <w:pPr>
        <w:pStyle w:val="ListParagraph"/>
        <w:numPr>
          <w:ilvl w:val="1"/>
          <w:numId w:val="9"/>
        </w:numPr>
        <w:spacing w:after="160" w:line="276" w:lineRule="auto"/>
        <w:jc w:val="both"/>
        <w:rPr>
          <w:rFonts w:cs="Arial"/>
          <w:sz w:val="20"/>
        </w:rPr>
      </w:pPr>
      <w:r>
        <w:rPr>
          <w:rFonts w:cs="Arial"/>
          <w:sz w:val="20"/>
        </w:rPr>
        <w:t xml:space="preserve">In-country monitoring visits to assess project performance </w:t>
      </w:r>
      <w:proofErr w:type="gramStart"/>
      <w:r>
        <w:rPr>
          <w:rFonts w:cs="Arial"/>
          <w:sz w:val="20"/>
        </w:rPr>
        <w:t>and also</w:t>
      </w:r>
      <w:proofErr w:type="gramEnd"/>
      <w:r>
        <w:rPr>
          <w:rFonts w:cs="Arial"/>
          <w:sz w:val="20"/>
        </w:rPr>
        <w:t xml:space="preserve"> </w:t>
      </w:r>
      <w:r w:rsidR="003733BC">
        <w:rPr>
          <w:rFonts w:cs="Arial"/>
          <w:sz w:val="20"/>
        </w:rPr>
        <w:t>share learnings and advice for making improvements</w:t>
      </w:r>
    </w:p>
    <w:p w14:paraId="7078D987" w14:textId="265E3887" w:rsidR="003733BC" w:rsidRDefault="003733BC" w:rsidP="00AD1823">
      <w:pPr>
        <w:pStyle w:val="ListParagraph"/>
        <w:numPr>
          <w:ilvl w:val="1"/>
          <w:numId w:val="9"/>
        </w:numPr>
        <w:spacing w:after="160" w:line="276" w:lineRule="auto"/>
        <w:jc w:val="both"/>
        <w:rPr>
          <w:rFonts w:cs="Arial"/>
          <w:sz w:val="20"/>
        </w:rPr>
      </w:pPr>
      <w:r>
        <w:rPr>
          <w:rFonts w:cs="Arial"/>
          <w:sz w:val="20"/>
        </w:rPr>
        <w:t>A set of Standard Indicators are being developed, with projects expected to report on at least one indicator for Poverty, Environment, and GESI</w:t>
      </w:r>
    </w:p>
    <w:p w14:paraId="1696B36F" w14:textId="4A5D8021" w:rsidR="00130ECC" w:rsidRDefault="00130ECC" w:rsidP="0D0D1654">
      <w:pPr>
        <w:pStyle w:val="ListParagraph"/>
        <w:numPr>
          <w:ilvl w:val="0"/>
          <w:numId w:val="9"/>
        </w:numPr>
        <w:spacing w:after="160" w:line="276" w:lineRule="auto"/>
        <w:jc w:val="both"/>
        <w:rPr>
          <w:rFonts w:cs="Arial"/>
          <w:sz w:val="20"/>
        </w:rPr>
      </w:pPr>
      <w:r w:rsidRPr="7968C51F">
        <w:rPr>
          <w:rFonts w:cs="Arial"/>
          <w:sz w:val="20"/>
        </w:rPr>
        <w:t xml:space="preserve">An </w:t>
      </w:r>
      <w:r w:rsidR="23EE339F" w:rsidRPr="7968C51F">
        <w:rPr>
          <w:rFonts w:cs="Arial"/>
          <w:sz w:val="20"/>
        </w:rPr>
        <w:t>IE</w:t>
      </w:r>
      <w:r w:rsidRPr="7968C51F">
        <w:rPr>
          <w:rFonts w:cs="Arial"/>
          <w:sz w:val="20"/>
        </w:rPr>
        <w:t xml:space="preserve"> is being onboarded to provide further insight into the OCEAN </w:t>
      </w:r>
      <w:proofErr w:type="gramStart"/>
      <w:r w:rsidRPr="7968C51F">
        <w:rPr>
          <w:rFonts w:cs="Arial"/>
          <w:sz w:val="20"/>
        </w:rPr>
        <w:t>programme as a whole, and</w:t>
      </w:r>
      <w:proofErr w:type="gramEnd"/>
      <w:r w:rsidRPr="7968C51F">
        <w:rPr>
          <w:rFonts w:cs="Arial"/>
          <w:sz w:val="20"/>
        </w:rPr>
        <w:t xml:space="preserve"> for individual projects where possible. The IE was </w:t>
      </w:r>
      <w:r w:rsidR="00D86A39" w:rsidRPr="7968C51F">
        <w:rPr>
          <w:rFonts w:cs="Arial"/>
          <w:sz w:val="20"/>
        </w:rPr>
        <w:t>procured through the Lot 6 MEL contract process and has significant experience in this field. The main objectives of the independent evaluation are</w:t>
      </w:r>
      <w:r w:rsidR="006F4F9A" w:rsidRPr="7968C51F">
        <w:rPr>
          <w:rFonts w:cs="Arial"/>
          <w:sz w:val="20"/>
        </w:rPr>
        <w:t xml:space="preserve"> to understand the success of the OCEAN Grant Programme’s approach, and to share learnings about this across OCEAN and with other relevant ODA programmes. The IE will </w:t>
      </w:r>
      <w:r w:rsidR="00130DDF" w:rsidRPr="7968C51F">
        <w:rPr>
          <w:rFonts w:cs="Arial"/>
          <w:sz w:val="20"/>
        </w:rPr>
        <w:t>do this through evidence reviews, deep dives, case studies and field visits, which will all feed into several formal reports including an Inception Report, a Mid-Term Evaluation and a Final Evaluation.</w:t>
      </w:r>
      <w:r w:rsidR="002407D5" w:rsidRPr="7968C51F">
        <w:rPr>
          <w:rFonts w:cs="Arial"/>
          <w:sz w:val="20"/>
        </w:rPr>
        <w:t xml:space="preserve"> The </w:t>
      </w:r>
      <w:r w:rsidR="7CAC5299" w:rsidRPr="7968C51F">
        <w:rPr>
          <w:rFonts w:cs="Arial"/>
          <w:sz w:val="20"/>
        </w:rPr>
        <w:t xml:space="preserve">IE will </w:t>
      </w:r>
      <w:r w:rsidR="0AC7386B" w:rsidRPr="7968C51F">
        <w:rPr>
          <w:rFonts w:cs="Arial"/>
          <w:sz w:val="20"/>
        </w:rPr>
        <w:t xml:space="preserve">also </w:t>
      </w:r>
      <w:r w:rsidR="7CAC5299" w:rsidRPr="7968C51F">
        <w:rPr>
          <w:rFonts w:cs="Arial"/>
          <w:sz w:val="20"/>
        </w:rPr>
        <w:t xml:space="preserve">help to address </w:t>
      </w:r>
      <w:proofErr w:type="gramStart"/>
      <w:r w:rsidR="7CAC5299" w:rsidRPr="7968C51F">
        <w:rPr>
          <w:rFonts w:cs="Arial"/>
          <w:sz w:val="20"/>
        </w:rPr>
        <w:t>a number of</w:t>
      </w:r>
      <w:proofErr w:type="gramEnd"/>
      <w:r w:rsidR="7CAC5299" w:rsidRPr="7968C51F">
        <w:rPr>
          <w:rFonts w:cs="Arial"/>
          <w:sz w:val="20"/>
        </w:rPr>
        <w:t xml:space="preserve"> key questions to assess the </w:t>
      </w:r>
      <w:proofErr w:type="spellStart"/>
      <w:r w:rsidR="7CAC5299" w:rsidRPr="7968C51F">
        <w:rPr>
          <w:rFonts w:cs="Arial"/>
          <w:sz w:val="20"/>
        </w:rPr>
        <w:t>VfM</w:t>
      </w:r>
      <w:proofErr w:type="spellEnd"/>
      <w:r w:rsidR="7CAC5299" w:rsidRPr="7968C51F">
        <w:rPr>
          <w:rFonts w:cs="Arial"/>
          <w:sz w:val="20"/>
        </w:rPr>
        <w:t xml:space="preserve"> of OCEAN.</w:t>
      </w:r>
    </w:p>
    <w:p w14:paraId="50CB9762" w14:textId="5F1237CC" w:rsidR="000F0943" w:rsidRDefault="000F0943" w:rsidP="00AD1823">
      <w:pPr>
        <w:pStyle w:val="ListParagraph"/>
        <w:numPr>
          <w:ilvl w:val="0"/>
          <w:numId w:val="9"/>
        </w:numPr>
        <w:spacing w:after="160" w:line="276" w:lineRule="auto"/>
        <w:jc w:val="both"/>
        <w:rPr>
          <w:rFonts w:cs="Arial"/>
          <w:sz w:val="20"/>
        </w:rPr>
      </w:pPr>
      <w:r>
        <w:rPr>
          <w:rFonts w:cs="Arial"/>
          <w:sz w:val="20"/>
        </w:rPr>
        <w:t>Learning is a key aspect of OCEAN, as this will help grantees, the GA, the Authority</w:t>
      </w:r>
      <w:r w:rsidR="00630EE2">
        <w:rPr>
          <w:rFonts w:cs="Arial"/>
          <w:sz w:val="20"/>
        </w:rPr>
        <w:t xml:space="preserve">, and other ODA programmes learn from programme experience and implement recommendations. This is therefore essential for ensuring the effectiveness of OCEAN delivery against targets. Learning processes that have been </w:t>
      </w:r>
      <w:r w:rsidR="00F4299D">
        <w:rPr>
          <w:rFonts w:cs="Arial"/>
          <w:sz w:val="20"/>
        </w:rPr>
        <w:t>developed</w:t>
      </w:r>
      <w:r w:rsidR="00630EE2">
        <w:rPr>
          <w:rFonts w:cs="Arial"/>
          <w:sz w:val="20"/>
        </w:rPr>
        <w:t xml:space="preserve"> include:</w:t>
      </w:r>
    </w:p>
    <w:p w14:paraId="058172F5" w14:textId="7C0867A3" w:rsidR="00630EE2" w:rsidRDefault="00744A7A" w:rsidP="0D1CE6CA">
      <w:pPr>
        <w:pStyle w:val="ListParagraph"/>
        <w:numPr>
          <w:ilvl w:val="1"/>
          <w:numId w:val="9"/>
        </w:numPr>
        <w:spacing w:after="160" w:line="276" w:lineRule="auto"/>
        <w:jc w:val="both"/>
        <w:rPr>
          <w:rFonts w:cs="Arial"/>
          <w:sz w:val="20"/>
        </w:rPr>
      </w:pPr>
      <w:r w:rsidRPr="0D1CE6CA">
        <w:rPr>
          <w:rFonts w:cs="Arial"/>
          <w:sz w:val="20"/>
        </w:rPr>
        <w:lastRenderedPageBreak/>
        <w:t>A Learning Strategy is being formalised, based on eight key aspects of OCEAN learning</w:t>
      </w:r>
      <w:r w:rsidR="7CAC1B3C" w:rsidRPr="0D1CE6CA">
        <w:rPr>
          <w:rFonts w:cs="Arial"/>
          <w:sz w:val="20"/>
        </w:rPr>
        <w:t>.</w:t>
      </w:r>
    </w:p>
    <w:p w14:paraId="0292DD91" w14:textId="4757BDE3" w:rsidR="00630EE2" w:rsidRDefault="00630EE2" w:rsidP="0D1CE6CA">
      <w:pPr>
        <w:pStyle w:val="ListParagraph"/>
        <w:numPr>
          <w:ilvl w:val="1"/>
          <w:numId w:val="9"/>
        </w:numPr>
        <w:spacing w:after="160" w:line="276" w:lineRule="auto"/>
        <w:jc w:val="both"/>
        <w:rPr>
          <w:rFonts w:cs="Arial"/>
          <w:sz w:val="20"/>
        </w:rPr>
      </w:pPr>
      <w:r w:rsidRPr="0D1CE6CA">
        <w:rPr>
          <w:rFonts w:cs="Arial"/>
          <w:sz w:val="20"/>
        </w:rPr>
        <w:t xml:space="preserve">The Learning and Networking Platform for grantees has been </w:t>
      </w:r>
      <w:r w:rsidR="00F4299D" w:rsidRPr="0D1CE6CA">
        <w:rPr>
          <w:rFonts w:cs="Arial"/>
          <w:sz w:val="20"/>
        </w:rPr>
        <w:t xml:space="preserve">established. This is a space for grantees to ask for advice from their peers, and to discuss emerging issues. The GA will then be able to respond to </w:t>
      </w:r>
      <w:r w:rsidR="00744A7A" w:rsidRPr="0D1CE6CA">
        <w:rPr>
          <w:rFonts w:cs="Arial"/>
          <w:sz w:val="20"/>
        </w:rPr>
        <w:t>these issues as part of the adaptive learning strategy</w:t>
      </w:r>
    </w:p>
    <w:p w14:paraId="0BFEA95E" w14:textId="49098171" w:rsidR="00BF3636" w:rsidRDefault="00BF3636" w:rsidP="00AD1823">
      <w:pPr>
        <w:pStyle w:val="ListParagraph"/>
        <w:numPr>
          <w:ilvl w:val="1"/>
          <w:numId w:val="9"/>
        </w:numPr>
        <w:spacing w:after="160" w:line="276" w:lineRule="auto"/>
        <w:jc w:val="both"/>
        <w:rPr>
          <w:rFonts w:cs="Arial"/>
          <w:sz w:val="20"/>
        </w:rPr>
      </w:pPr>
      <w:r>
        <w:rPr>
          <w:rFonts w:cs="Arial"/>
          <w:sz w:val="20"/>
        </w:rPr>
        <w:t xml:space="preserve">Meetings with other Defra Challenge Funds including the Biodiversity Challenge Fund and the Biodiverse Landscapes Fund have been established to share learnings across programmes and improve Defra ODA </w:t>
      </w:r>
      <w:proofErr w:type="gramStart"/>
      <w:r>
        <w:rPr>
          <w:rFonts w:cs="Arial"/>
          <w:sz w:val="20"/>
        </w:rPr>
        <w:t>performance as a whole</w:t>
      </w:r>
      <w:proofErr w:type="gramEnd"/>
      <w:r w:rsidR="009B29E3">
        <w:rPr>
          <w:rFonts w:cs="Arial"/>
          <w:sz w:val="20"/>
        </w:rPr>
        <w:t>. Representatives from the GA also attend the BPF MEL Steering Group meetings</w:t>
      </w:r>
      <w:r w:rsidR="00494806">
        <w:rPr>
          <w:rFonts w:cs="Arial"/>
          <w:sz w:val="20"/>
        </w:rPr>
        <w:t>, and have held discussions with the MEL team from the Global Fund for Coral Reefs to learn more about their MEL strategy including standard indicators</w:t>
      </w:r>
    </w:p>
    <w:p w14:paraId="388F320E" w14:textId="4B20B8A4" w:rsidR="00B805A4" w:rsidRPr="005520C0" w:rsidRDefault="00B805A4" w:rsidP="00B805A4">
      <w:pPr>
        <w:spacing w:after="160" w:line="276" w:lineRule="auto"/>
        <w:jc w:val="both"/>
        <w:rPr>
          <w:rFonts w:cs="Arial"/>
          <w:b/>
          <w:bCs/>
          <w:sz w:val="20"/>
          <w:szCs w:val="20"/>
          <w:lang w:val="en"/>
        </w:rPr>
      </w:pPr>
      <w:r w:rsidRPr="0D1CE6CA">
        <w:rPr>
          <w:rFonts w:cs="Arial"/>
          <w:b/>
          <w:bCs/>
          <w:sz w:val="20"/>
          <w:szCs w:val="20"/>
          <w:lang w:val="en"/>
        </w:rPr>
        <w:t>Equity</w:t>
      </w:r>
    </w:p>
    <w:p w14:paraId="68800CAA" w14:textId="52238A6E" w:rsidR="00B805A4" w:rsidRPr="005520C0" w:rsidRDefault="00B805A4" w:rsidP="00B805A4">
      <w:pPr>
        <w:spacing w:after="160" w:line="276" w:lineRule="auto"/>
        <w:jc w:val="both"/>
        <w:rPr>
          <w:rFonts w:cs="Arial"/>
          <w:sz w:val="20"/>
          <w:szCs w:val="20"/>
          <w:lang w:val="en"/>
        </w:rPr>
      </w:pPr>
      <w:r w:rsidRPr="005520C0">
        <w:rPr>
          <w:rFonts w:cs="Arial"/>
          <w:sz w:val="20"/>
          <w:szCs w:val="20"/>
        </w:rPr>
        <w:t xml:space="preserve">Equity assesses the degree to which the results of the intervention – both positive and negative – are equitably distributed, with consideration of different vulnerable groups in the population such as women and girls, those whose livelihoods are most at risk, and the young and elderly. </w:t>
      </w:r>
      <w:r w:rsidR="00AC5436">
        <w:rPr>
          <w:rFonts w:cs="Arial"/>
          <w:sz w:val="20"/>
          <w:szCs w:val="20"/>
        </w:rPr>
        <w:t xml:space="preserve">Achieving fair and equitable results is a key goal for OCEAN, </w:t>
      </w:r>
      <w:r w:rsidR="00B678A0">
        <w:rPr>
          <w:rFonts w:cs="Arial"/>
          <w:sz w:val="20"/>
          <w:szCs w:val="20"/>
        </w:rPr>
        <w:t xml:space="preserve">particularly </w:t>
      </w:r>
      <w:proofErr w:type="gramStart"/>
      <w:r w:rsidR="00B678A0">
        <w:rPr>
          <w:rFonts w:cs="Arial"/>
          <w:sz w:val="20"/>
          <w:szCs w:val="20"/>
        </w:rPr>
        <w:t>considering the fact that</w:t>
      </w:r>
      <w:proofErr w:type="gramEnd"/>
      <w:r w:rsidR="00B678A0">
        <w:rPr>
          <w:rFonts w:cs="Arial"/>
          <w:sz w:val="20"/>
          <w:szCs w:val="20"/>
        </w:rPr>
        <w:t xml:space="preserve"> the programme is trying to reach smaller community-level organisation</w:t>
      </w:r>
      <w:r w:rsidR="002B629B">
        <w:rPr>
          <w:rFonts w:cs="Arial"/>
          <w:sz w:val="20"/>
          <w:szCs w:val="20"/>
        </w:rPr>
        <w:t>s</w:t>
      </w:r>
      <w:r w:rsidR="00B678A0">
        <w:rPr>
          <w:rFonts w:cs="Arial"/>
          <w:sz w:val="20"/>
          <w:szCs w:val="20"/>
        </w:rPr>
        <w:t xml:space="preserve"> who may not have had access to project funding in the past. </w:t>
      </w:r>
      <w:r w:rsidRPr="005520C0">
        <w:rPr>
          <w:rFonts w:cs="Arial"/>
          <w:sz w:val="20"/>
          <w:szCs w:val="20"/>
        </w:rPr>
        <w:t xml:space="preserve">OCEAN </w:t>
      </w:r>
      <w:r w:rsidR="00232FE4">
        <w:rPr>
          <w:rFonts w:cs="Arial"/>
          <w:sz w:val="20"/>
          <w:szCs w:val="20"/>
        </w:rPr>
        <w:t>has a strong focus on GESI</w:t>
      </w:r>
      <w:r w:rsidRPr="005520C0">
        <w:rPr>
          <w:rFonts w:cs="Arial"/>
          <w:sz w:val="20"/>
          <w:szCs w:val="20"/>
        </w:rPr>
        <w:t xml:space="preserve"> which has been embedded across the programme as far as possible.</w:t>
      </w:r>
      <w:r w:rsidR="00AC5436">
        <w:rPr>
          <w:rFonts w:cs="Arial"/>
          <w:sz w:val="20"/>
          <w:szCs w:val="20"/>
        </w:rPr>
        <w:t xml:space="preserve"> </w:t>
      </w:r>
    </w:p>
    <w:p w14:paraId="2A53C235" w14:textId="38355A3E" w:rsidR="003F73C7" w:rsidRPr="00A56B55" w:rsidRDefault="00B678A0" w:rsidP="00AD1823">
      <w:pPr>
        <w:pStyle w:val="ListParagraph"/>
        <w:numPr>
          <w:ilvl w:val="0"/>
          <w:numId w:val="18"/>
        </w:numPr>
        <w:spacing w:after="160" w:line="276" w:lineRule="auto"/>
        <w:jc w:val="both"/>
        <w:rPr>
          <w:rFonts w:cs="Arial"/>
          <w:sz w:val="20"/>
        </w:rPr>
      </w:pPr>
      <w:r w:rsidRPr="00A56B55">
        <w:rPr>
          <w:rFonts w:cs="Arial"/>
          <w:sz w:val="20"/>
        </w:rPr>
        <w:t xml:space="preserve">OCEAN has embedded GESI throughout its project design in </w:t>
      </w:r>
      <w:proofErr w:type="gramStart"/>
      <w:r w:rsidRPr="00A56B55">
        <w:rPr>
          <w:rFonts w:cs="Arial"/>
          <w:sz w:val="20"/>
        </w:rPr>
        <w:t>a number of</w:t>
      </w:r>
      <w:proofErr w:type="gramEnd"/>
      <w:r w:rsidRPr="00A56B55">
        <w:rPr>
          <w:rFonts w:cs="Arial"/>
          <w:sz w:val="20"/>
        </w:rPr>
        <w:t xml:space="preserve"> ways</w:t>
      </w:r>
      <w:r w:rsidR="000A3A2A" w:rsidRPr="00A56B55">
        <w:rPr>
          <w:rFonts w:cs="Arial"/>
          <w:sz w:val="20"/>
        </w:rPr>
        <w:t xml:space="preserve">. </w:t>
      </w:r>
      <w:r w:rsidR="00BA5245" w:rsidRPr="00A56B55">
        <w:rPr>
          <w:rFonts w:cs="Arial"/>
          <w:sz w:val="20"/>
        </w:rPr>
        <w:t>At programme and application-levels, these include:</w:t>
      </w:r>
    </w:p>
    <w:p w14:paraId="63D5CCB4" w14:textId="483D4D6A" w:rsidR="00BA5245" w:rsidRPr="00BA5245" w:rsidRDefault="00BA5245" w:rsidP="00AD1823">
      <w:pPr>
        <w:pStyle w:val="ListParagraph"/>
        <w:numPr>
          <w:ilvl w:val="1"/>
          <w:numId w:val="10"/>
        </w:numPr>
        <w:spacing w:after="160" w:line="276" w:lineRule="auto"/>
        <w:jc w:val="both"/>
        <w:rPr>
          <w:rFonts w:cs="Arial"/>
          <w:sz w:val="20"/>
        </w:rPr>
      </w:pPr>
      <w:r w:rsidRPr="00BA5245">
        <w:rPr>
          <w:rFonts w:cs="Arial"/>
          <w:b/>
          <w:bCs/>
          <w:sz w:val="20"/>
        </w:rPr>
        <w:t>Programme-level</w:t>
      </w:r>
      <w:r w:rsidRPr="00BA5245">
        <w:rPr>
          <w:rFonts w:cs="Arial"/>
          <w:sz w:val="20"/>
        </w:rPr>
        <w:t xml:space="preserve">: OCEAN has developed a GESI Action Plan, and has committed to being at minimum GESI sensitive, but has an ambition to be GESI transformative. OCEAN has included GESI in its theory of change, and </w:t>
      </w:r>
      <w:proofErr w:type="spellStart"/>
      <w:r w:rsidRPr="00BA5245">
        <w:rPr>
          <w:rFonts w:cs="Arial"/>
          <w:sz w:val="20"/>
        </w:rPr>
        <w:t>logframe</w:t>
      </w:r>
      <w:proofErr w:type="spellEnd"/>
      <w:r w:rsidRPr="00BA5245">
        <w:rPr>
          <w:rFonts w:cs="Arial"/>
          <w:sz w:val="20"/>
        </w:rPr>
        <w:t xml:space="preserve"> to ensure further accountability. GA is embedding GESI into all key processes and stages in the OCEAN application and project cycle. The core OCEAN team attended a learning session on GESI by </w:t>
      </w:r>
      <w:r w:rsidR="009D03B3">
        <w:rPr>
          <w:rFonts w:cs="Arial"/>
          <w:sz w:val="20"/>
        </w:rPr>
        <w:t>Defra’s</w:t>
      </w:r>
      <w:r w:rsidRPr="00BA5245">
        <w:rPr>
          <w:rFonts w:cs="Arial"/>
          <w:sz w:val="20"/>
        </w:rPr>
        <w:t xml:space="preserve"> Lead Social Development Advisor</w:t>
      </w:r>
      <w:r w:rsidR="009D03B3">
        <w:rPr>
          <w:rFonts w:cs="Arial"/>
          <w:sz w:val="20"/>
        </w:rPr>
        <w:t xml:space="preserve"> for ODA</w:t>
      </w:r>
      <w:r w:rsidR="00232FE4">
        <w:rPr>
          <w:rFonts w:cs="Arial"/>
          <w:sz w:val="20"/>
        </w:rPr>
        <w:t>.</w:t>
      </w:r>
    </w:p>
    <w:p w14:paraId="63E54136" w14:textId="72CFA42F" w:rsidR="00BA5245" w:rsidRDefault="00BA5245" w:rsidP="00AD1823">
      <w:pPr>
        <w:pStyle w:val="ListParagraph"/>
        <w:numPr>
          <w:ilvl w:val="1"/>
          <w:numId w:val="10"/>
        </w:numPr>
        <w:spacing w:after="160" w:line="276" w:lineRule="auto"/>
        <w:jc w:val="both"/>
        <w:rPr>
          <w:rFonts w:cs="Arial"/>
          <w:sz w:val="20"/>
        </w:rPr>
      </w:pPr>
      <w:r w:rsidRPr="00BA5245">
        <w:rPr>
          <w:rFonts w:cs="Arial"/>
          <w:b/>
          <w:bCs/>
          <w:sz w:val="20"/>
        </w:rPr>
        <w:t>Applications</w:t>
      </w:r>
      <w:r w:rsidRPr="00BA5245">
        <w:rPr>
          <w:rFonts w:cs="Arial"/>
          <w:sz w:val="20"/>
        </w:rPr>
        <w:t xml:space="preserve">: All application webinars &amp; workshops have provided information on the importance of promoting GESI, and applicants are required to consider GESI in their applications (a GESI question to promote applicants to analyse GESI context) and </w:t>
      </w:r>
      <w:proofErr w:type="spellStart"/>
      <w:r w:rsidRPr="00BA5245">
        <w:rPr>
          <w:rFonts w:cs="Arial"/>
          <w:sz w:val="20"/>
        </w:rPr>
        <w:t>logframes</w:t>
      </w:r>
      <w:proofErr w:type="spellEnd"/>
      <w:r w:rsidRPr="00BA5245">
        <w:rPr>
          <w:rFonts w:cs="Arial"/>
          <w:sz w:val="20"/>
        </w:rPr>
        <w:t xml:space="preserve"> (GESI disaggregated indicators). The OCEAN Expert Committee assess and score applications on their level of GESI awareness. GA has responded to applicants on GESI in webinars &amp; Helpdesk. GESI guidance is included in our Guidance Note to Applicants and MEL Guidance.</w:t>
      </w:r>
      <w:r>
        <w:rPr>
          <w:rFonts w:cs="Arial"/>
          <w:sz w:val="20"/>
        </w:rPr>
        <w:t xml:space="preserve"> </w:t>
      </w:r>
      <w:r w:rsidRPr="00BA5245">
        <w:rPr>
          <w:rFonts w:cs="Arial"/>
          <w:sz w:val="20"/>
        </w:rPr>
        <w:t xml:space="preserve">Applicants are strongly encouraged to add GESI indicators in their </w:t>
      </w:r>
      <w:proofErr w:type="spellStart"/>
      <w:r w:rsidRPr="00BA5245">
        <w:rPr>
          <w:rFonts w:cs="Arial"/>
          <w:sz w:val="20"/>
        </w:rPr>
        <w:t>logframes</w:t>
      </w:r>
      <w:proofErr w:type="spellEnd"/>
      <w:r w:rsidRPr="00BA5245">
        <w:rPr>
          <w:rFonts w:cs="Arial"/>
          <w:sz w:val="20"/>
        </w:rPr>
        <w:t xml:space="preserve"> and plan to collect GESI disaggregated data in their </w:t>
      </w:r>
      <w:proofErr w:type="spellStart"/>
      <w:r w:rsidRPr="00BA5245">
        <w:rPr>
          <w:rFonts w:cs="Arial"/>
          <w:sz w:val="20"/>
        </w:rPr>
        <w:t>logframes</w:t>
      </w:r>
      <w:proofErr w:type="spellEnd"/>
      <w:r w:rsidRPr="00BA5245">
        <w:rPr>
          <w:rFonts w:cs="Arial"/>
          <w:sz w:val="20"/>
        </w:rPr>
        <w:t xml:space="preserve">. Grantees will also be required to create GESI action plans in first months of the </w:t>
      </w:r>
      <w:proofErr w:type="gramStart"/>
      <w:r w:rsidRPr="00BA5245">
        <w:rPr>
          <w:rFonts w:cs="Arial"/>
          <w:sz w:val="20"/>
        </w:rPr>
        <w:t>project, and</w:t>
      </w:r>
      <w:proofErr w:type="gramEnd"/>
      <w:r w:rsidRPr="00BA5245">
        <w:rPr>
          <w:rFonts w:cs="Arial"/>
          <w:sz w:val="20"/>
        </w:rPr>
        <w:t xml:space="preserve"> will be given training on best practices for this</w:t>
      </w:r>
      <w:r w:rsidR="00232FE4">
        <w:rPr>
          <w:rFonts w:cs="Arial"/>
          <w:sz w:val="20"/>
        </w:rPr>
        <w:t>.</w:t>
      </w:r>
    </w:p>
    <w:p w14:paraId="232A9A67" w14:textId="22DAA69F" w:rsidR="00BB764B" w:rsidRDefault="00C86211" w:rsidP="00AD1823">
      <w:pPr>
        <w:pStyle w:val="ListParagraph"/>
        <w:numPr>
          <w:ilvl w:val="0"/>
          <w:numId w:val="17"/>
        </w:numPr>
        <w:spacing w:after="160" w:line="276" w:lineRule="auto"/>
        <w:jc w:val="both"/>
        <w:rPr>
          <w:rFonts w:cs="Arial"/>
          <w:sz w:val="20"/>
        </w:rPr>
      </w:pPr>
      <w:r>
        <w:rPr>
          <w:rFonts w:cs="Arial"/>
          <w:sz w:val="20"/>
        </w:rPr>
        <w:t xml:space="preserve">To help ensure equitable outcomes, </w:t>
      </w:r>
      <w:r w:rsidR="00BB764B">
        <w:rPr>
          <w:rFonts w:cs="Arial"/>
          <w:sz w:val="20"/>
        </w:rPr>
        <w:t xml:space="preserve">OCEAN </w:t>
      </w:r>
      <w:r w:rsidRPr="00C86211">
        <w:rPr>
          <w:rFonts w:cs="Arial"/>
          <w:sz w:val="20"/>
        </w:rPr>
        <w:t>actively encourages applicants and grantees to design and deliver projects in consultation and collaboration with target communities, and to analyse and monitor the needs of different groups via their GESI Action Plans</w:t>
      </w:r>
      <w:r w:rsidR="00232FE4">
        <w:rPr>
          <w:rFonts w:cs="Arial"/>
          <w:sz w:val="20"/>
        </w:rPr>
        <w:t>.</w:t>
      </w:r>
    </w:p>
    <w:p w14:paraId="49B83165" w14:textId="49F4D363" w:rsidR="00050BE7" w:rsidRDefault="00FF3474" w:rsidP="00AD1823">
      <w:pPr>
        <w:pStyle w:val="ListParagraph"/>
        <w:numPr>
          <w:ilvl w:val="0"/>
          <w:numId w:val="17"/>
        </w:numPr>
        <w:spacing w:after="160" w:line="276" w:lineRule="auto"/>
        <w:jc w:val="both"/>
        <w:rPr>
          <w:rFonts w:cs="Arial"/>
          <w:sz w:val="20"/>
        </w:rPr>
      </w:pPr>
      <w:r>
        <w:rPr>
          <w:rFonts w:cs="Arial"/>
          <w:sz w:val="20"/>
        </w:rPr>
        <w:t xml:space="preserve">In order to maximise OCEAN’s poverty </w:t>
      </w:r>
      <w:proofErr w:type="gramStart"/>
      <w:r>
        <w:rPr>
          <w:rFonts w:cs="Arial"/>
          <w:sz w:val="20"/>
        </w:rPr>
        <w:t>reduction</w:t>
      </w:r>
      <w:proofErr w:type="gramEnd"/>
      <w:r>
        <w:rPr>
          <w:rFonts w:cs="Arial"/>
          <w:sz w:val="20"/>
        </w:rPr>
        <w:t xml:space="preserve"> impact</w:t>
      </w:r>
      <w:r w:rsidR="00E3540D">
        <w:rPr>
          <w:rFonts w:cs="Arial"/>
          <w:sz w:val="20"/>
        </w:rPr>
        <w:t xml:space="preserve"> the OCEAN criteria will be updated</w:t>
      </w:r>
      <w:r>
        <w:rPr>
          <w:rFonts w:cs="Arial"/>
          <w:sz w:val="20"/>
        </w:rPr>
        <w:t xml:space="preserve"> ahead of Round 2</w:t>
      </w:r>
      <w:r w:rsidR="00E3540D">
        <w:rPr>
          <w:rFonts w:cs="Arial"/>
          <w:sz w:val="20"/>
        </w:rPr>
        <w:t xml:space="preserve"> to enhance the </w:t>
      </w:r>
      <w:r w:rsidR="00A764E5">
        <w:rPr>
          <w:rFonts w:cs="Arial"/>
          <w:sz w:val="20"/>
        </w:rPr>
        <w:t xml:space="preserve">robustness </w:t>
      </w:r>
      <w:r w:rsidR="0084489A">
        <w:rPr>
          <w:rFonts w:cs="Arial"/>
          <w:sz w:val="20"/>
        </w:rPr>
        <w:t xml:space="preserve">of assessment </w:t>
      </w:r>
      <w:r w:rsidR="00A764E5">
        <w:rPr>
          <w:rFonts w:cs="Arial"/>
          <w:sz w:val="20"/>
        </w:rPr>
        <w:t>for projects based in UMICs. Poverty assessment criteria will also be enhanced</w:t>
      </w:r>
      <w:r w:rsidR="0084489A">
        <w:rPr>
          <w:rFonts w:cs="Arial"/>
          <w:sz w:val="20"/>
        </w:rPr>
        <w:t xml:space="preserve"> with additional guidance for applicants produced.</w:t>
      </w:r>
    </w:p>
    <w:p w14:paraId="1C06F27B" w14:textId="30462DA6" w:rsidR="00A008CB" w:rsidRPr="00864D04" w:rsidRDefault="00A008CB" w:rsidP="00A008CB">
      <w:pPr>
        <w:spacing w:after="160" w:line="276" w:lineRule="auto"/>
        <w:jc w:val="both"/>
        <w:rPr>
          <w:rFonts w:cs="Arial"/>
          <w:b/>
          <w:bCs/>
          <w:i/>
          <w:iCs/>
          <w:sz w:val="22"/>
          <w:szCs w:val="22"/>
        </w:rPr>
      </w:pPr>
      <w:r w:rsidRPr="00A008CB">
        <w:rPr>
          <w:rFonts w:cs="Arial"/>
          <w:b/>
          <w:bCs/>
          <w:i/>
          <w:iCs/>
          <w:sz w:val="22"/>
          <w:szCs w:val="22"/>
        </w:rPr>
        <w:t>E.2.</w:t>
      </w:r>
      <w:r w:rsidRPr="00864D04">
        <w:rPr>
          <w:rFonts w:cs="Arial"/>
          <w:b/>
          <w:bCs/>
          <w:i/>
          <w:iCs/>
          <w:sz w:val="22"/>
          <w:szCs w:val="22"/>
        </w:rPr>
        <w:t>4</w:t>
      </w:r>
      <w:r w:rsidRPr="00A008CB">
        <w:rPr>
          <w:rFonts w:cs="Arial"/>
          <w:b/>
          <w:bCs/>
          <w:i/>
          <w:iCs/>
          <w:sz w:val="22"/>
          <w:szCs w:val="22"/>
        </w:rPr>
        <w:t xml:space="preserve"> </w:t>
      </w:r>
      <w:r w:rsidRPr="00864D04">
        <w:rPr>
          <w:rFonts w:cs="Arial"/>
          <w:b/>
          <w:bCs/>
          <w:i/>
          <w:iCs/>
          <w:sz w:val="22"/>
          <w:szCs w:val="22"/>
        </w:rPr>
        <w:t>Recommendations</w:t>
      </w:r>
    </w:p>
    <w:p w14:paraId="5B563CDF" w14:textId="3E3D092F" w:rsidR="00A008CB" w:rsidRPr="005520C0" w:rsidRDefault="00A008CB" w:rsidP="00A008CB">
      <w:pPr>
        <w:spacing w:after="160" w:line="276" w:lineRule="auto"/>
        <w:jc w:val="both"/>
        <w:rPr>
          <w:rFonts w:cs="Arial"/>
          <w:sz w:val="20"/>
          <w:szCs w:val="20"/>
        </w:rPr>
      </w:pPr>
      <w:r w:rsidRPr="005520C0">
        <w:rPr>
          <w:rFonts w:cs="Arial"/>
          <w:sz w:val="20"/>
          <w:szCs w:val="20"/>
        </w:rPr>
        <w:t xml:space="preserve">Considering the early stage of the programme, </w:t>
      </w:r>
      <w:r w:rsidR="009C0946" w:rsidRPr="005520C0">
        <w:rPr>
          <w:rFonts w:cs="Arial"/>
          <w:sz w:val="20"/>
          <w:szCs w:val="20"/>
        </w:rPr>
        <w:t xml:space="preserve">the picture for </w:t>
      </w:r>
      <w:proofErr w:type="spellStart"/>
      <w:r w:rsidR="009C0946" w:rsidRPr="005520C0">
        <w:rPr>
          <w:rFonts w:cs="Arial"/>
          <w:sz w:val="20"/>
          <w:szCs w:val="20"/>
        </w:rPr>
        <w:t>VfM</w:t>
      </w:r>
      <w:proofErr w:type="spellEnd"/>
      <w:r w:rsidR="009C0946" w:rsidRPr="005520C0">
        <w:rPr>
          <w:rFonts w:cs="Arial"/>
          <w:sz w:val="20"/>
          <w:szCs w:val="20"/>
        </w:rPr>
        <w:t xml:space="preserve"> is not complete. We will need to ensure processes are in place to continue to monitor </w:t>
      </w:r>
      <w:proofErr w:type="spellStart"/>
      <w:r w:rsidR="009C0946" w:rsidRPr="005520C0">
        <w:rPr>
          <w:rFonts w:cs="Arial"/>
          <w:sz w:val="20"/>
          <w:szCs w:val="20"/>
        </w:rPr>
        <w:t>VfM</w:t>
      </w:r>
      <w:proofErr w:type="spellEnd"/>
      <w:r w:rsidR="009C0946" w:rsidRPr="005520C0">
        <w:rPr>
          <w:rFonts w:cs="Arial"/>
          <w:sz w:val="20"/>
          <w:szCs w:val="20"/>
        </w:rPr>
        <w:t xml:space="preserve"> effectively in the next 12 months, particularly as grantees are brought on board and projects start. </w:t>
      </w:r>
      <w:r w:rsidR="00B92562" w:rsidRPr="005520C0">
        <w:rPr>
          <w:rFonts w:cs="Arial"/>
          <w:sz w:val="20"/>
          <w:szCs w:val="20"/>
        </w:rPr>
        <w:t>Key recommendations for these next 12 months include:</w:t>
      </w:r>
    </w:p>
    <w:p w14:paraId="09AD695D" w14:textId="6B9D1959" w:rsidR="00B92562" w:rsidRPr="00AC7310" w:rsidRDefault="00B92562" w:rsidP="00AD1823">
      <w:pPr>
        <w:pStyle w:val="ListParagraph"/>
        <w:numPr>
          <w:ilvl w:val="0"/>
          <w:numId w:val="16"/>
        </w:numPr>
        <w:spacing w:after="160" w:line="276" w:lineRule="auto"/>
        <w:jc w:val="both"/>
        <w:rPr>
          <w:rFonts w:cs="Arial"/>
          <w:sz w:val="20"/>
        </w:rPr>
      </w:pPr>
      <w:r w:rsidRPr="005520C0">
        <w:rPr>
          <w:rFonts w:cs="Arial"/>
          <w:b/>
          <w:bCs/>
          <w:sz w:val="20"/>
        </w:rPr>
        <w:t xml:space="preserve">Finalise and integrate the OCEAN </w:t>
      </w:r>
      <w:proofErr w:type="spellStart"/>
      <w:r w:rsidRPr="005520C0">
        <w:rPr>
          <w:rFonts w:cs="Arial"/>
          <w:b/>
          <w:bCs/>
          <w:sz w:val="20"/>
        </w:rPr>
        <w:t>VfM</w:t>
      </w:r>
      <w:proofErr w:type="spellEnd"/>
      <w:r w:rsidRPr="005520C0">
        <w:rPr>
          <w:rFonts w:cs="Arial"/>
          <w:b/>
          <w:bCs/>
          <w:sz w:val="20"/>
        </w:rPr>
        <w:t xml:space="preserve"> Strategy</w:t>
      </w:r>
      <w:r w:rsidR="009E3F79" w:rsidRPr="005520C0">
        <w:rPr>
          <w:rFonts w:cs="Arial"/>
          <w:sz w:val="20"/>
        </w:rPr>
        <w:t xml:space="preserve">. The OCEAN </w:t>
      </w:r>
      <w:proofErr w:type="spellStart"/>
      <w:r w:rsidR="009E3F79" w:rsidRPr="005520C0">
        <w:rPr>
          <w:rFonts w:cs="Arial"/>
          <w:sz w:val="20"/>
        </w:rPr>
        <w:t>VfM</w:t>
      </w:r>
      <w:proofErr w:type="spellEnd"/>
      <w:r w:rsidR="009E3F79" w:rsidRPr="005520C0">
        <w:rPr>
          <w:rFonts w:cs="Arial"/>
          <w:sz w:val="20"/>
        </w:rPr>
        <w:t xml:space="preserve"> Strategy should be completed in the coming </w:t>
      </w:r>
      <w:proofErr w:type="gramStart"/>
      <w:r w:rsidR="009E3F79" w:rsidRPr="005520C0">
        <w:rPr>
          <w:rFonts w:cs="Arial"/>
          <w:sz w:val="20"/>
        </w:rPr>
        <w:t>weeks, and</w:t>
      </w:r>
      <w:proofErr w:type="gramEnd"/>
      <w:r w:rsidR="009E3F79" w:rsidRPr="005520C0">
        <w:rPr>
          <w:rFonts w:cs="Arial"/>
          <w:sz w:val="20"/>
        </w:rPr>
        <w:t xml:space="preserve"> tested with the Independent Evaluator before integrating </w:t>
      </w:r>
      <w:r w:rsidR="009E3F79" w:rsidRPr="005520C0">
        <w:rPr>
          <w:rFonts w:cs="Arial"/>
          <w:sz w:val="20"/>
        </w:rPr>
        <w:lastRenderedPageBreak/>
        <w:t xml:space="preserve">into grantee </w:t>
      </w:r>
      <w:r w:rsidR="003C3A37" w:rsidRPr="005520C0">
        <w:rPr>
          <w:rFonts w:cs="Arial"/>
          <w:sz w:val="20"/>
        </w:rPr>
        <w:t>delivery</w:t>
      </w:r>
      <w:r w:rsidR="00256471">
        <w:rPr>
          <w:rFonts w:cs="Arial"/>
          <w:sz w:val="20"/>
        </w:rPr>
        <w:t>.</w:t>
      </w:r>
      <w:r w:rsidR="00BD7A38">
        <w:rPr>
          <w:rFonts w:cs="Arial"/>
          <w:sz w:val="20"/>
        </w:rPr>
        <w:t xml:space="preserve"> This includes </w:t>
      </w:r>
      <w:r w:rsidR="00BD7A38" w:rsidRPr="00BD7A38">
        <w:rPr>
          <w:rFonts w:cs="Arial"/>
          <w:sz w:val="20"/>
        </w:rPr>
        <w:t xml:space="preserve">the plan to integrate </w:t>
      </w:r>
      <w:proofErr w:type="spellStart"/>
      <w:r w:rsidR="00BD7A38" w:rsidRPr="00BD7A38">
        <w:rPr>
          <w:rFonts w:cs="Arial"/>
          <w:sz w:val="20"/>
        </w:rPr>
        <w:t>VfM</w:t>
      </w:r>
      <w:proofErr w:type="spellEnd"/>
      <w:r w:rsidR="00BD7A38" w:rsidRPr="00BD7A38">
        <w:rPr>
          <w:rFonts w:cs="Arial"/>
          <w:sz w:val="20"/>
        </w:rPr>
        <w:t xml:space="preserve"> scoring into the Expert Committee’s process</w:t>
      </w:r>
      <w:r w:rsidR="00BD7A38">
        <w:rPr>
          <w:rFonts w:cs="Arial"/>
          <w:sz w:val="20"/>
        </w:rPr>
        <w:t xml:space="preserve">, which </w:t>
      </w:r>
      <w:r w:rsidR="00BD7A38" w:rsidRPr="00BD7A38">
        <w:rPr>
          <w:rFonts w:cs="Arial"/>
          <w:sz w:val="20"/>
        </w:rPr>
        <w:t>will be important for ensuring selected projects are a reliable use of OCEAN funding.</w:t>
      </w:r>
    </w:p>
    <w:p w14:paraId="2390D71B" w14:textId="55B1FBD4" w:rsidR="009E3F79" w:rsidRDefault="009E3F79" w:rsidP="00AD1823">
      <w:pPr>
        <w:pStyle w:val="ListParagraph"/>
        <w:numPr>
          <w:ilvl w:val="0"/>
          <w:numId w:val="16"/>
        </w:numPr>
        <w:spacing w:after="160" w:line="276" w:lineRule="auto"/>
        <w:jc w:val="both"/>
        <w:rPr>
          <w:rFonts w:cs="Arial"/>
          <w:sz w:val="20"/>
        </w:rPr>
      </w:pPr>
      <w:r w:rsidRPr="005520C0">
        <w:rPr>
          <w:rFonts w:cs="Arial"/>
          <w:b/>
          <w:bCs/>
          <w:sz w:val="20"/>
        </w:rPr>
        <w:t>Finalise and integrate the OCEAN Standard Indicators Framework</w:t>
      </w:r>
      <w:r w:rsidR="003C3A37" w:rsidRPr="005520C0">
        <w:rPr>
          <w:rFonts w:cs="Arial"/>
          <w:sz w:val="20"/>
        </w:rPr>
        <w:t xml:space="preserve">. Similarly, the Standard Indicators Framework should be finalised and tested, before </w:t>
      </w:r>
      <w:r w:rsidR="00DF7564" w:rsidRPr="005520C0">
        <w:rPr>
          <w:rFonts w:cs="Arial"/>
          <w:sz w:val="20"/>
        </w:rPr>
        <w:t>sharing our expectations for reporting with grantees. This will help us stay on top of questions concerning effectiveness and will provide a more complete picture of the monetary benefits being achieved</w:t>
      </w:r>
      <w:r w:rsidR="00256471">
        <w:rPr>
          <w:rFonts w:cs="Arial"/>
          <w:sz w:val="20"/>
        </w:rPr>
        <w:t>.</w:t>
      </w:r>
    </w:p>
    <w:p w14:paraId="12A4886A" w14:textId="2F4C2B8D" w:rsidR="00FF388A" w:rsidRDefault="00FF388A" w:rsidP="00AD1823">
      <w:pPr>
        <w:pStyle w:val="ListParagraph"/>
        <w:numPr>
          <w:ilvl w:val="0"/>
          <w:numId w:val="16"/>
        </w:numPr>
        <w:spacing w:after="160" w:line="276" w:lineRule="auto"/>
        <w:jc w:val="both"/>
        <w:rPr>
          <w:rFonts w:cs="Arial"/>
          <w:sz w:val="20"/>
        </w:rPr>
      </w:pPr>
      <w:r>
        <w:rPr>
          <w:rFonts w:cs="Arial"/>
          <w:b/>
          <w:bCs/>
          <w:sz w:val="20"/>
        </w:rPr>
        <w:t>Finalise and integrate the OCEAN Learning Strategy</w:t>
      </w:r>
      <w:r w:rsidRPr="00FF388A">
        <w:rPr>
          <w:rFonts w:cs="Arial"/>
          <w:sz w:val="20"/>
        </w:rPr>
        <w:t>.</w:t>
      </w:r>
      <w:r>
        <w:rPr>
          <w:rFonts w:cs="Arial"/>
          <w:sz w:val="20"/>
        </w:rPr>
        <w:t xml:space="preserve"> This will help formalise the key learning processes, making sure that all OCEAN outputs are effectively used to deliver improvements across the programme and more widely. </w:t>
      </w:r>
      <w:r w:rsidR="00781234">
        <w:rPr>
          <w:rFonts w:cs="Arial"/>
          <w:sz w:val="20"/>
        </w:rPr>
        <w:t>It will also help grantees learn about effective methods and approaches, improving performance in future periods and making the achievement of target outcomes and impacts more likely</w:t>
      </w:r>
      <w:r w:rsidR="00256471">
        <w:rPr>
          <w:rFonts w:cs="Arial"/>
          <w:sz w:val="20"/>
        </w:rPr>
        <w:t>.</w:t>
      </w:r>
      <w:r w:rsidR="00FC04FB">
        <w:rPr>
          <w:rFonts w:cs="Arial"/>
          <w:sz w:val="20"/>
        </w:rPr>
        <w:t xml:space="preserve"> As with </w:t>
      </w:r>
      <w:r w:rsidR="00DF088B">
        <w:rPr>
          <w:rFonts w:cs="Arial"/>
          <w:sz w:val="20"/>
        </w:rPr>
        <w:t xml:space="preserve">the </w:t>
      </w:r>
      <w:proofErr w:type="spellStart"/>
      <w:r w:rsidR="00DF088B">
        <w:rPr>
          <w:rFonts w:cs="Arial"/>
          <w:sz w:val="20"/>
        </w:rPr>
        <w:t>VfM</w:t>
      </w:r>
      <w:proofErr w:type="spellEnd"/>
      <w:r w:rsidR="00DF088B">
        <w:rPr>
          <w:rFonts w:cs="Arial"/>
          <w:sz w:val="20"/>
        </w:rPr>
        <w:t xml:space="preserve"> Strategy and Standard Indicators, th</w:t>
      </w:r>
      <w:r w:rsidR="00295443">
        <w:rPr>
          <w:rFonts w:cs="Arial"/>
          <w:sz w:val="20"/>
        </w:rPr>
        <w:t>is will need to be reviewed on a regular basis to ensure it remains relevant and useful.</w:t>
      </w:r>
    </w:p>
    <w:p w14:paraId="1650A996" w14:textId="2BD37657" w:rsidR="00D16AA2" w:rsidRPr="001124A1" w:rsidRDefault="00D33FD1" w:rsidP="00D16AA2">
      <w:pPr>
        <w:pStyle w:val="ListParagraph"/>
        <w:numPr>
          <w:ilvl w:val="0"/>
          <w:numId w:val="16"/>
        </w:numPr>
        <w:spacing w:after="160" w:line="276" w:lineRule="auto"/>
        <w:jc w:val="both"/>
        <w:rPr>
          <w:rFonts w:cs="Arial"/>
          <w:sz w:val="20"/>
        </w:rPr>
      </w:pPr>
      <w:r>
        <w:rPr>
          <w:rFonts w:cs="Arial"/>
          <w:b/>
          <w:bCs/>
          <w:sz w:val="20"/>
        </w:rPr>
        <w:t xml:space="preserve">Ensure </w:t>
      </w:r>
      <w:r w:rsidR="000E1541">
        <w:rPr>
          <w:rFonts w:cs="Arial"/>
          <w:b/>
          <w:bCs/>
          <w:sz w:val="20"/>
        </w:rPr>
        <w:t xml:space="preserve">new </w:t>
      </w:r>
      <w:r>
        <w:rPr>
          <w:rFonts w:cs="Arial"/>
          <w:b/>
          <w:bCs/>
          <w:sz w:val="20"/>
        </w:rPr>
        <w:t xml:space="preserve">grantees meet </w:t>
      </w:r>
      <w:r w:rsidR="002A5E2D">
        <w:rPr>
          <w:rFonts w:cs="Arial"/>
          <w:b/>
          <w:bCs/>
          <w:sz w:val="20"/>
        </w:rPr>
        <w:t>MEL requirements</w:t>
      </w:r>
      <w:r w:rsidR="002A5E2D" w:rsidRPr="002A5E2D">
        <w:rPr>
          <w:rFonts w:cs="Arial"/>
          <w:sz w:val="20"/>
        </w:rPr>
        <w:t>.</w:t>
      </w:r>
      <w:r w:rsidR="002A5E2D">
        <w:rPr>
          <w:rFonts w:cs="Arial"/>
          <w:sz w:val="20"/>
        </w:rPr>
        <w:t xml:space="preserve"> As the first projects commence, it is essential that OCEAN reiterates the expectations around MEL (including the </w:t>
      </w:r>
      <w:proofErr w:type="spellStart"/>
      <w:r w:rsidR="002A5E2D">
        <w:rPr>
          <w:rFonts w:cs="Arial"/>
          <w:sz w:val="20"/>
        </w:rPr>
        <w:t>logframe</w:t>
      </w:r>
      <w:proofErr w:type="spellEnd"/>
      <w:r w:rsidR="002A5E2D">
        <w:rPr>
          <w:rFonts w:cs="Arial"/>
          <w:sz w:val="20"/>
        </w:rPr>
        <w:t xml:space="preserve"> reporting, Half-Year and Annual Reports), to ensure projects </w:t>
      </w:r>
      <w:proofErr w:type="gramStart"/>
      <w:r w:rsidR="002A5E2D">
        <w:rPr>
          <w:rFonts w:cs="Arial"/>
          <w:sz w:val="20"/>
        </w:rPr>
        <w:t>are able to</w:t>
      </w:r>
      <w:proofErr w:type="gramEnd"/>
      <w:r w:rsidR="00256471">
        <w:rPr>
          <w:rFonts w:cs="Arial"/>
          <w:sz w:val="20"/>
        </w:rPr>
        <w:t xml:space="preserve"> collect and</w:t>
      </w:r>
      <w:r w:rsidR="002A5E2D">
        <w:rPr>
          <w:rFonts w:cs="Arial"/>
          <w:sz w:val="20"/>
        </w:rPr>
        <w:t xml:space="preserve"> report strong and reliable data</w:t>
      </w:r>
      <w:r w:rsidR="00256471">
        <w:rPr>
          <w:rFonts w:cs="Arial"/>
          <w:sz w:val="20"/>
        </w:rPr>
        <w:t xml:space="preserve">. This will allow us to test for Value for Money in future periods, as we assess how grantees have performed against </w:t>
      </w:r>
      <w:proofErr w:type="spellStart"/>
      <w:r w:rsidR="00256471">
        <w:rPr>
          <w:rFonts w:cs="Arial"/>
          <w:sz w:val="20"/>
        </w:rPr>
        <w:t>logframe</w:t>
      </w:r>
      <w:proofErr w:type="spellEnd"/>
      <w:r w:rsidR="00256471">
        <w:rPr>
          <w:rFonts w:cs="Arial"/>
          <w:sz w:val="20"/>
        </w:rPr>
        <w:t xml:space="preserve"> targets, including </w:t>
      </w:r>
      <w:proofErr w:type="spellStart"/>
      <w:r w:rsidR="00256471">
        <w:rPr>
          <w:rFonts w:cs="Arial"/>
          <w:sz w:val="20"/>
        </w:rPr>
        <w:t>monetisable</w:t>
      </w:r>
      <w:proofErr w:type="spellEnd"/>
      <w:r w:rsidR="00256471">
        <w:rPr>
          <w:rFonts w:cs="Arial"/>
          <w:sz w:val="20"/>
        </w:rPr>
        <w:t xml:space="preserve"> outcomes and impacts.</w:t>
      </w:r>
      <w:r w:rsidR="002A5E2D">
        <w:rPr>
          <w:rFonts w:cs="Arial"/>
          <w:sz w:val="20"/>
        </w:rPr>
        <w:t xml:space="preserve"> </w:t>
      </w:r>
    </w:p>
    <w:p w14:paraId="42DE78AA" w14:textId="77777777" w:rsidR="00AB1F55" w:rsidRDefault="00AB1F55" w:rsidP="009021AD">
      <w:pPr>
        <w:spacing w:after="160" w:line="276" w:lineRule="auto"/>
        <w:rPr>
          <w:rFonts w:cs="Arial"/>
          <w:sz w:val="20"/>
        </w:rPr>
      </w:pPr>
    </w:p>
    <w:p w14:paraId="48AA6EA0" w14:textId="7BCF96BF" w:rsidR="00CD3D0C" w:rsidRDefault="00CD3D0C" w:rsidP="00832D6E">
      <w:pPr>
        <w:spacing w:after="160" w:line="259" w:lineRule="auto"/>
        <w:rPr>
          <w:rFonts w:cs="Arial"/>
          <w:sz w:val="20"/>
        </w:rPr>
      </w:pPr>
    </w:p>
    <w:p w14:paraId="6E2F7B5B" w14:textId="77777777" w:rsidR="00832D6E" w:rsidRDefault="00832D6E" w:rsidP="00832D6E">
      <w:pPr>
        <w:spacing w:after="160" w:line="259" w:lineRule="auto"/>
        <w:rPr>
          <w:rFonts w:cs="Arial"/>
          <w:sz w:val="20"/>
        </w:rPr>
      </w:pPr>
    </w:p>
    <w:p w14:paraId="3B682E92" w14:textId="33B72EFB" w:rsidR="0032447A" w:rsidRDefault="0032447A" w:rsidP="00832D6E">
      <w:pPr>
        <w:spacing w:after="160" w:line="259" w:lineRule="auto"/>
        <w:rPr>
          <w:rFonts w:cs="Arial"/>
          <w:sz w:val="20"/>
        </w:rPr>
        <w:sectPr w:rsidR="0032447A" w:rsidSect="006F3AE7">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709" w:left="1440" w:header="708" w:footer="708" w:gutter="0"/>
          <w:cols w:space="708"/>
          <w:docGrid w:linePitch="360"/>
        </w:sectPr>
      </w:pPr>
    </w:p>
    <w:p w14:paraId="7875B4D7" w14:textId="6E56ED86" w:rsidR="008A3D66" w:rsidRPr="008A3D66" w:rsidRDefault="008A3D66" w:rsidP="009021AD">
      <w:pPr>
        <w:spacing w:after="160" w:line="276" w:lineRule="auto"/>
        <w:rPr>
          <w:rFonts w:cs="Arial"/>
          <w:b/>
          <w:bCs/>
          <w:sz w:val="28"/>
          <w:szCs w:val="28"/>
        </w:rPr>
      </w:pPr>
      <w:r w:rsidRPr="008A3D66">
        <w:rPr>
          <w:rFonts w:cs="Arial"/>
          <w:b/>
          <w:bCs/>
          <w:sz w:val="28"/>
          <w:szCs w:val="28"/>
        </w:rPr>
        <w:lastRenderedPageBreak/>
        <w:t xml:space="preserve">ANNEXES </w:t>
      </w:r>
    </w:p>
    <w:p w14:paraId="2BF789B5" w14:textId="594E12FD" w:rsidR="008A3D66" w:rsidRPr="008A3D66" w:rsidRDefault="008A3D66" w:rsidP="009021AD">
      <w:pPr>
        <w:spacing w:after="160" w:line="276" w:lineRule="auto"/>
        <w:rPr>
          <w:rFonts w:cs="Arial"/>
          <w:b/>
          <w:bCs/>
        </w:rPr>
      </w:pPr>
      <w:r w:rsidRPr="008A3D66">
        <w:rPr>
          <w:rFonts w:cs="Arial"/>
          <w:b/>
          <w:bCs/>
        </w:rPr>
        <w:t xml:space="preserve">Annex </w:t>
      </w:r>
      <w:r w:rsidR="008F6110">
        <w:rPr>
          <w:rFonts w:cs="Arial"/>
          <w:b/>
          <w:bCs/>
        </w:rPr>
        <w:t>A</w:t>
      </w:r>
      <w:r w:rsidRPr="008A3D66">
        <w:rPr>
          <w:rFonts w:cs="Arial"/>
          <w:b/>
          <w:bCs/>
        </w:rPr>
        <w:t>: OCEAN Theory of Change</w:t>
      </w:r>
    </w:p>
    <w:p w14:paraId="1FB7A1CD" w14:textId="77777777" w:rsidR="0032447A" w:rsidRDefault="0032447A" w:rsidP="009021AD">
      <w:pPr>
        <w:spacing w:after="160" w:line="276" w:lineRule="auto"/>
        <w:rPr>
          <w:rFonts w:cs="Arial"/>
          <w:sz w:val="20"/>
        </w:rPr>
      </w:pPr>
    </w:p>
    <w:p w14:paraId="056D523C" w14:textId="77777777" w:rsidR="0032447A" w:rsidRDefault="0032447A" w:rsidP="009021AD">
      <w:pPr>
        <w:spacing w:after="160" w:line="276" w:lineRule="auto"/>
        <w:rPr>
          <w:rFonts w:cs="Arial"/>
          <w:sz w:val="20"/>
        </w:rPr>
      </w:pPr>
    </w:p>
    <w:p w14:paraId="26CF5DFF" w14:textId="6607D0CD" w:rsidR="0032447A" w:rsidRDefault="0032447A" w:rsidP="0032447A">
      <w:pPr>
        <w:spacing w:after="160" w:line="276" w:lineRule="auto"/>
        <w:jc w:val="center"/>
        <w:rPr>
          <w:rFonts w:cs="Arial"/>
          <w:sz w:val="20"/>
        </w:rPr>
        <w:sectPr w:rsidR="0032447A" w:rsidSect="0032447A">
          <w:pgSz w:w="16838" w:h="11906" w:orient="landscape" w:code="9"/>
          <w:pgMar w:top="1440" w:right="709" w:bottom="1440" w:left="709" w:header="709" w:footer="709" w:gutter="0"/>
          <w:cols w:space="708"/>
          <w:docGrid w:linePitch="360"/>
        </w:sectPr>
      </w:pPr>
      <w:r w:rsidRPr="0032447A">
        <w:rPr>
          <w:rFonts w:cs="Arial"/>
          <w:noProof/>
          <w:sz w:val="20"/>
        </w:rPr>
        <w:drawing>
          <wp:inline distT="0" distB="0" distL="0" distR="0" wp14:anchorId="54E247A0" wp14:editId="2B2AD489">
            <wp:extent cx="8017541" cy="4523967"/>
            <wp:effectExtent l="0" t="0" r="2540" b="0"/>
            <wp:docPr id="1231378848" name="Picture 1" descr="A diagram of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78848" name="Picture 1" descr="A diagram of text and words&#10;&#10;Description automatically generated with medium confidence"/>
                    <pic:cNvPicPr/>
                  </pic:nvPicPr>
                  <pic:blipFill>
                    <a:blip r:embed="rId22"/>
                    <a:stretch>
                      <a:fillRect/>
                    </a:stretch>
                  </pic:blipFill>
                  <pic:spPr>
                    <a:xfrm>
                      <a:off x="0" y="0"/>
                      <a:ext cx="8019817" cy="4525251"/>
                    </a:xfrm>
                    <a:prstGeom prst="rect">
                      <a:avLst/>
                    </a:prstGeom>
                  </pic:spPr>
                </pic:pic>
              </a:graphicData>
            </a:graphic>
          </wp:inline>
        </w:drawing>
      </w:r>
    </w:p>
    <w:p w14:paraId="5F0FDE1E" w14:textId="77777777" w:rsidR="00AB1F55" w:rsidRDefault="00AB1F55" w:rsidP="009021AD">
      <w:pPr>
        <w:spacing w:after="160" w:line="276" w:lineRule="auto"/>
        <w:rPr>
          <w:rFonts w:cs="Arial"/>
          <w:sz w:val="20"/>
        </w:rPr>
      </w:pPr>
    </w:p>
    <w:p w14:paraId="375D6FBB" w14:textId="5A16CE0F" w:rsidR="00C545D6" w:rsidRPr="008A3D66" w:rsidRDefault="00C545D6" w:rsidP="00C545D6">
      <w:pPr>
        <w:spacing w:after="160" w:line="276" w:lineRule="auto"/>
        <w:rPr>
          <w:rFonts w:cs="Arial"/>
          <w:b/>
          <w:bCs/>
        </w:rPr>
      </w:pPr>
      <w:r w:rsidRPr="008A3D66">
        <w:rPr>
          <w:rFonts w:cs="Arial"/>
          <w:b/>
          <w:bCs/>
        </w:rPr>
        <w:t xml:space="preserve">Annex </w:t>
      </w:r>
      <w:r w:rsidR="008F6110">
        <w:rPr>
          <w:rFonts w:cs="Arial"/>
          <w:b/>
          <w:bCs/>
        </w:rPr>
        <w:t>B</w:t>
      </w:r>
      <w:r w:rsidRPr="008A3D66">
        <w:rPr>
          <w:rFonts w:cs="Arial"/>
          <w:b/>
          <w:bCs/>
        </w:rPr>
        <w:t xml:space="preserve">: OCEAN </w:t>
      </w:r>
      <w:proofErr w:type="spellStart"/>
      <w:r>
        <w:rPr>
          <w:rFonts w:cs="Arial"/>
          <w:b/>
          <w:bCs/>
        </w:rPr>
        <w:t>Logframe</w:t>
      </w:r>
      <w:proofErr w:type="spellEnd"/>
    </w:p>
    <w:p w14:paraId="5BE45812" w14:textId="77777777" w:rsidR="00893C68" w:rsidRDefault="00893C68" w:rsidP="00C545D6">
      <w:pPr>
        <w:spacing w:after="160" w:line="276" w:lineRule="auto"/>
        <w:rPr>
          <w:rFonts w:cs="Arial"/>
          <w:b/>
          <w:bCs/>
        </w:rPr>
      </w:pPr>
    </w:p>
    <w:tbl>
      <w:tblPr>
        <w:tblW w:w="0" w:type="auto"/>
        <w:tblLayout w:type="fixed"/>
        <w:tblCellMar>
          <w:top w:w="15" w:type="dxa"/>
          <w:bottom w:w="15" w:type="dxa"/>
        </w:tblCellMar>
        <w:tblLook w:val="04A0" w:firstRow="1" w:lastRow="0" w:firstColumn="1" w:lastColumn="0" w:noHBand="0" w:noVBand="1"/>
      </w:tblPr>
      <w:tblGrid>
        <w:gridCol w:w="3397"/>
        <w:gridCol w:w="3402"/>
        <w:gridCol w:w="1418"/>
        <w:gridCol w:w="1134"/>
        <w:gridCol w:w="992"/>
        <w:gridCol w:w="992"/>
        <w:gridCol w:w="993"/>
        <w:gridCol w:w="992"/>
        <w:gridCol w:w="992"/>
        <w:gridCol w:w="1098"/>
      </w:tblGrid>
      <w:tr w:rsidR="00683DE9" w:rsidRPr="003B6264" w14:paraId="115FAAF7" w14:textId="77777777" w:rsidTr="00055203">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FAA2388" w14:textId="77777777" w:rsidR="00683DE9" w:rsidRPr="003B6264" w:rsidRDefault="00683DE9" w:rsidP="003B6264">
            <w:pPr>
              <w:rPr>
                <w:rFonts w:cs="Arial"/>
                <w:b/>
                <w:bCs/>
                <w:sz w:val="20"/>
                <w:szCs w:val="20"/>
                <w:lang w:eastAsia="en-GB"/>
              </w:rPr>
            </w:pPr>
            <w:r w:rsidRPr="003B6264">
              <w:rPr>
                <w:rFonts w:cs="Arial"/>
                <w:b/>
                <w:bCs/>
                <w:sz w:val="20"/>
                <w:szCs w:val="20"/>
                <w:lang w:eastAsia="en-GB"/>
              </w:rPr>
              <w:t>PROJECT TITLE</w:t>
            </w:r>
          </w:p>
        </w:tc>
        <w:tc>
          <w:tcPr>
            <w:tcW w:w="12013" w:type="dxa"/>
            <w:gridSpan w:val="9"/>
            <w:tcBorders>
              <w:top w:val="single" w:sz="4" w:space="0" w:color="auto"/>
              <w:left w:val="single" w:sz="4" w:space="0" w:color="auto"/>
              <w:bottom w:val="single" w:sz="4" w:space="0" w:color="auto"/>
              <w:right w:val="single" w:sz="4" w:space="0" w:color="auto"/>
            </w:tcBorders>
            <w:vAlign w:val="center"/>
            <w:hideMark/>
          </w:tcPr>
          <w:p w14:paraId="7198E394" w14:textId="4F281743" w:rsidR="00683DE9" w:rsidRPr="003B6264" w:rsidRDefault="00683DE9" w:rsidP="003B6264">
            <w:pPr>
              <w:rPr>
                <w:rFonts w:cs="Arial"/>
                <w:sz w:val="20"/>
                <w:szCs w:val="20"/>
                <w:lang w:eastAsia="en-GB"/>
              </w:rPr>
            </w:pPr>
            <w:r w:rsidRPr="003B6264">
              <w:rPr>
                <w:rFonts w:cs="Arial"/>
                <w:b/>
                <w:bCs/>
                <w:sz w:val="20"/>
                <w:szCs w:val="20"/>
                <w:lang w:eastAsia="en-GB"/>
              </w:rPr>
              <w:t>Ocean Community Empowerment and Nature fund</w:t>
            </w:r>
          </w:p>
        </w:tc>
      </w:tr>
      <w:tr w:rsidR="00683DE9" w:rsidRPr="003B6264" w14:paraId="1841C2AA"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1E2E857F" w14:textId="77777777" w:rsidR="003B6264" w:rsidRPr="003B6264" w:rsidRDefault="003B6264" w:rsidP="003B6264">
            <w:pPr>
              <w:rPr>
                <w:rFonts w:cs="Arial"/>
                <w:b/>
                <w:bCs/>
                <w:sz w:val="20"/>
                <w:szCs w:val="20"/>
                <w:lang w:eastAsia="en-GB"/>
              </w:rPr>
            </w:pPr>
            <w:r w:rsidRPr="003B6264">
              <w:rPr>
                <w:rFonts w:cs="Arial"/>
                <w:b/>
                <w:bCs/>
                <w:sz w:val="20"/>
                <w:szCs w:val="20"/>
                <w:lang w:eastAsia="en-GB"/>
              </w:rPr>
              <w:t>IMPACT</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9C422B7" w14:textId="77777777" w:rsidR="003B6264" w:rsidRPr="003B6264" w:rsidRDefault="003B6264" w:rsidP="003B6264">
            <w:pPr>
              <w:rPr>
                <w:rFonts w:cs="Arial"/>
                <w:b/>
                <w:bCs/>
                <w:sz w:val="20"/>
                <w:szCs w:val="20"/>
                <w:lang w:eastAsia="en-GB"/>
              </w:rPr>
            </w:pPr>
            <w:r w:rsidRPr="003B6264">
              <w:rPr>
                <w:rFonts w:cs="Arial"/>
                <w:b/>
                <w:bCs/>
                <w:sz w:val="20"/>
                <w:szCs w:val="20"/>
                <w:lang w:eastAsia="en-GB"/>
              </w:rPr>
              <w:t>Impact Indicator 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74AE8E"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B5962F7"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F366E6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6373D7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03EC1D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29F68B6"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88107E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917FC96"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78FE7512" w14:textId="77777777" w:rsidTr="00683DE9">
        <w:trPr>
          <w:trHeight w:val="345"/>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2DD5A1C4" w14:textId="77777777" w:rsidR="003B6264" w:rsidRPr="003B6264" w:rsidRDefault="003B6264" w:rsidP="003B6264">
            <w:pPr>
              <w:jc w:val="center"/>
              <w:rPr>
                <w:rFonts w:cs="Arial"/>
                <w:sz w:val="20"/>
                <w:szCs w:val="20"/>
                <w:lang w:eastAsia="en-GB"/>
              </w:rPr>
            </w:pPr>
            <w:r w:rsidRPr="003B6264">
              <w:rPr>
                <w:rFonts w:cs="Arial"/>
                <w:sz w:val="20"/>
                <w:szCs w:val="20"/>
                <w:lang w:eastAsia="en-GB"/>
              </w:rPr>
              <w:t>OCEAN supports vulnerable coastal communities, including marginalised groups, to have improved poverty and socio-economic outcomes and to be more resilient to climate change through building more sustainable relationships with their marine environments</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BA3E8" w14:textId="77777777" w:rsidR="003B6264" w:rsidRPr="003B6264" w:rsidRDefault="003B6264" w:rsidP="003B6264">
            <w:pPr>
              <w:rPr>
                <w:rFonts w:cs="Arial"/>
                <w:color w:val="000000"/>
                <w:sz w:val="20"/>
                <w:szCs w:val="20"/>
                <w:lang w:eastAsia="en-GB"/>
              </w:rPr>
            </w:pPr>
            <w:r w:rsidRPr="003B6264">
              <w:rPr>
                <w:rFonts w:cs="Arial"/>
                <w:b/>
                <w:bCs/>
                <w:color w:val="000000"/>
                <w:sz w:val="20"/>
                <w:szCs w:val="20"/>
                <w:lang w:eastAsia="en-GB"/>
              </w:rPr>
              <w:t xml:space="preserve">BPF KPI 6: </w:t>
            </w:r>
            <w:r w:rsidRPr="003B6264">
              <w:rPr>
                <w:rFonts w:cs="Arial"/>
                <w:color w:val="000000"/>
                <w:sz w:val="20"/>
                <w:szCs w:val="20"/>
                <w:lang w:eastAsia="en-GB"/>
              </w:rPr>
              <w:t>Area of marine ecosystems protected, enhanced or under sustainable management practices due to OCEAN finance (ha)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BBF4F8"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5BB180F8"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AD90BF"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96C361"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6D251D4"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D9A19F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E209EA"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9A34E45" w14:textId="77777777" w:rsidR="003B6264" w:rsidRPr="003B6264" w:rsidRDefault="003B6264" w:rsidP="003B6264">
            <w:pPr>
              <w:rPr>
                <w:rFonts w:cs="Arial"/>
                <w:sz w:val="20"/>
                <w:szCs w:val="20"/>
                <w:lang w:eastAsia="en-GB"/>
              </w:rPr>
            </w:pPr>
          </w:p>
        </w:tc>
      </w:tr>
      <w:tr w:rsidR="00683DE9" w:rsidRPr="003B6264" w14:paraId="5F2BF15F"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4DE22B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E74F0D"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D08DE0"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DF9049"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AF060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3881024"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5E012B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3BB87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E1FDAD0"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71A1889" w14:textId="77777777" w:rsidR="003B6264" w:rsidRPr="003B6264" w:rsidRDefault="003B6264" w:rsidP="003B6264">
            <w:pPr>
              <w:rPr>
                <w:rFonts w:cs="Arial"/>
                <w:sz w:val="20"/>
                <w:szCs w:val="20"/>
                <w:lang w:eastAsia="en-GB"/>
              </w:rPr>
            </w:pPr>
          </w:p>
        </w:tc>
      </w:tr>
      <w:tr w:rsidR="003B6264" w:rsidRPr="003B6264" w14:paraId="4BBF35FB"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3D7ACC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0CB512"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268B5EC3"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356158F9" w14:textId="77777777" w:rsidTr="00683DE9">
        <w:trPr>
          <w:trHeight w:val="12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186C18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BB9F6E"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DDFFFB4"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Hectares of marine ecosystem under sustainable management. </w:t>
            </w:r>
            <w:r w:rsidRPr="003B6264">
              <w:rPr>
                <w:rFonts w:cs="Arial"/>
                <w:b/>
                <w:bCs/>
                <w:sz w:val="20"/>
                <w:szCs w:val="20"/>
                <w:lang w:eastAsia="en-GB"/>
              </w:rPr>
              <w:t xml:space="preserve">Method: </w:t>
            </w:r>
            <w:r w:rsidRPr="003B6264">
              <w:rPr>
                <w:rFonts w:cs="Arial"/>
                <w:sz w:val="20"/>
                <w:szCs w:val="20"/>
                <w:lang w:eastAsia="en-GB"/>
              </w:rPr>
              <w:t xml:space="preserve">BPF KPI 6 - Area of marine ecosystems protected, enhanced or under sustainable management practices (disaggregated between MPAs and area under sustainable management; sustainable management theme - management, restoration or protection; ecosystem type; country/region). Method based on </w:t>
            </w:r>
            <w:r w:rsidRPr="003B6264">
              <w:rPr>
                <w:rFonts w:cs="Arial"/>
                <w:b/>
                <w:bCs/>
                <w:sz w:val="20"/>
                <w:szCs w:val="20"/>
                <w:lang w:eastAsia="en-GB"/>
              </w:rPr>
              <w:t>ICF KPI 17</w:t>
            </w:r>
            <w:r w:rsidRPr="003B6264">
              <w:rPr>
                <w:rFonts w:cs="Arial"/>
                <w:sz w:val="20"/>
                <w:szCs w:val="20"/>
                <w:lang w:eastAsia="en-GB"/>
              </w:rPr>
              <w:t xml:space="preserve">. </w:t>
            </w:r>
            <w:r w:rsidRPr="003B6264">
              <w:rPr>
                <w:rFonts w:cs="Arial"/>
                <w:b/>
                <w:bCs/>
                <w:sz w:val="20"/>
                <w:szCs w:val="20"/>
                <w:lang w:eastAsia="en-GB"/>
              </w:rPr>
              <w:t>Data and source</w:t>
            </w:r>
            <w:r w:rsidRPr="003B6264">
              <w:rPr>
                <w:rFonts w:cs="Arial"/>
                <w:sz w:val="20"/>
                <w:szCs w:val="20"/>
                <w:lang w:eastAsia="en-GB"/>
              </w:rPr>
              <w:t>: This will be collated from end of project reports from a standard indicator that projects will be required to collect if suitable for their intervention.</w:t>
            </w:r>
          </w:p>
        </w:tc>
      </w:tr>
      <w:tr w:rsidR="00683DE9" w:rsidRPr="003B6264" w14:paraId="4E8AC92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29F099B"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A4069E5" w14:textId="77777777" w:rsidR="003B6264" w:rsidRPr="003B6264" w:rsidRDefault="003B6264" w:rsidP="003B6264">
            <w:pPr>
              <w:rPr>
                <w:rFonts w:cs="Arial"/>
                <w:b/>
                <w:bCs/>
                <w:sz w:val="20"/>
                <w:szCs w:val="20"/>
                <w:lang w:eastAsia="en-GB"/>
              </w:rPr>
            </w:pPr>
            <w:r w:rsidRPr="003B6264">
              <w:rPr>
                <w:rFonts w:cs="Arial"/>
                <w:b/>
                <w:bCs/>
                <w:sz w:val="20"/>
                <w:szCs w:val="20"/>
                <w:lang w:eastAsia="en-GB"/>
              </w:rPr>
              <w:t>Impact Indicator 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2B4BAF"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C035C14"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7F04D7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8D9E000"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97311D4"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E7FC3D6"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688D01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9A3088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2499B2F3"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D54D502"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8BC2"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t xml:space="preserve">Equitable and inclusive improved climate outcomes </w:t>
            </w:r>
            <w:proofErr w:type="gramStart"/>
            <w:r w:rsidRPr="003B6264">
              <w:rPr>
                <w:rFonts w:cs="Arial"/>
                <w:color w:val="000000"/>
                <w:sz w:val="20"/>
                <w:szCs w:val="20"/>
                <w:lang w:eastAsia="en-GB"/>
              </w:rPr>
              <w:t>as a result of</w:t>
            </w:r>
            <w:proofErr w:type="gramEnd"/>
            <w:r w:rsidRPr="003B6264">
              <w:rPr>
                <w:rFonts w:cs="Arial"/>
                <w:color w:val="000000"/>
                <w:sz w:val="20"/>
                <w:szCs w:val="20"/>
                <w:lang w:eastAsia="en-GB"/>
              </w:rPr>
              <w:t xml:space="preserve"> OCEAN projects</w:t>
            </w:r>
            <w:r w:rsidRPr="003B6264">
              <w:rPr>
                <w:rFonts w:cs="Arial"/>
                <w:b/>
                <w:bCs/>
                <w:color w:val="000000"/>
                <w:sz w:val="20"/>
                <w:szCs w:val="20"/>
                <w:lang w:eastAsia="en-GB"/>
              </w:rPr>
              <w:t xml:space="preserve"> </w:t>
            </w:r>
            <w:r w:rsidRPr="003B6264">
              <w:rPr>
                <w:rFonts w:cs="Arial"/>
                <w:color w:val="000000"/>
                <w:sz w:val="20"/>
                <w:szCs w:val="20"/>
                <w:lang w:eastAsia="en-GB"/>
              </w:rPr>
              <w:t>[</w:t>
            </w:r>
            <w:r w:rsidRPr="003B6264">
              <w:rPr>
                <w:rFonts w:cs="Arial"/>
                <w:b/>
                <w:bCs/>
                <w:color w:val="000000"/>
                <w:sz w:val="20"/>
                <w:szCs w:val="20"/>
                <w:lang w:eastAsia="en-GB"/>
              </w:rPr>
              <w:t xml:space="preserve">BPF KPI 2.1: </w:t>
            </w:r>
            <w:r w:rsidRPr="003B6264">
              <w:rPr>
                <w:rFonts w:cs="Arial"/>
                <w:color w:val="000000"/>
                <w:sz w:val="20"/>
                <w:szCs w:val="20"/>
                <w:lang w:eastAsia="en-GB"/>
              </w:rPr>
              <w:t>Number of people with improved climate outcomes due to BPF finance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A901C"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0B4734C1"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BF748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E64385"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8B9356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42CCC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B764CE"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3A3239B" w14:textId="77777777" w:rsidR="003B6264" w:rsidRPr="003B6264" w:rsidRDefault="003B6264" w:rsidP="003B6264">
            <w:pPr>
              <w:rPr>
                <w:rFonts w:cs="Arial"/>
                <w:sz w:val="20"/>
                <w:szCs w:val="20"/>
                <w:lang w:eastAsia="en-GB"/>
              </w:rPr>
            </w:pPr>
          </w:p>
        </w:tc>
      </w:tr>
      <w:tr w:rsidR="00683DE9" w:rsidRPr="003B6264" w14:paraId="4FF4485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772CC40"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128106"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ECB1D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6FB68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BA846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764D11"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477635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2BA6A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A418AD"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E536271" w14:textId="77777777" w:rsidR="003B6264" w:rsidRPr="003B6264" w:rsidRDefault="003B6264" w:rsidP="003B6264">
            <w:pPr>
              <w:rPr>
                <w:rFonts w:cs="Arial"/>
                <w:sz w:val="20"/>
                <w:szCs w:val="20"/>
                <w:lang w:eastAsia="en-GB"/>
              </w:rPr>
            </w:pPr>
          </w:p>
        </w:tc>
      </w:tr>
      <w:tr w:rsidR="003B6264" w:rsidRPr="003B6264" w14:paraId="3EB8F637"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9890447"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761898"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759A624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3A47E196" w14:textId="77777777" w:rsidTr="00683DE9">
        <w:trPr>
          <w:trHeight w:val="96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8CA6D47"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CF19B4"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6C19F138"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Number of people with improved climate adaptation/resilience outcomes. </w:t>
            </w:r>
            <w:r w:rsidRPr="003B6264">
              <w:rPr>
                <w:rFonts w:cs="Arial"/>
                <w:b/>
                <w:bCs/>
                <w:sz w:val="20"/>
                <w:szCs w:val="20"/>
                <w:lang w:eastAsia="en-GB"/>
              </w:rPr>
              <w:t xml:space="preserve">Method: </w:t>
            </w:r>
            <w:r w:rsidRPr="003B6264">
              <w:rPr>
                <w:rFonts w:cs="Arial"/>
                <w:sz w:val="20"/>
                <w:szCs w:val="20"/>
                <w:lang w:eastAsia="en-GB"/>
              </w:rPr>
              <w:t xml:space="preserve">BPF KPI 2.1 - Number of people with improved outcomes - climate adaptation and climate resilience (ICF KPIs 1 and 4 - caution on double counting). </w:t>
            </w:r>
            <w:r w:rsidRPr="003B6264">
              <w:rPr>
                <w:rFonts w:cs="Arial"/>
                <w:b/>
                <w:bCs/>
                <w:sz w:val="20"/>
                <w:szCs w:val="20"/>
                <w:lang w:eastAsia="en-GB"/>
              </w:rPr>
              <w:t xml:space="preserve">Disaggregation: </w:t>
            </w:r>
            <w:r w:rsidRPr="003B6264">
              <w:rPr>
                <w:rFonts w:cs="Arial"/>
                <w:sz w:val="20"/>
                <w:szCs w:val="20"/>
                <w:lang w:eastAsia="en-GB"/>
              </w:rPr>
              <w:t xml:space="preserve">Sector; Gender and geography and if able disability; age; indigenous groups. </w:t>
            </w:r>
            <w:r w:rsidRPr="003B6264">
              <w:rPr>
                <w:rFonts w:cs="Arial"/>
                <w:b/>
                <w:bCs/>
                <w:sz w:val="20"/>
                <w:szCs w:val="20"/>
                <w:lang w:eastAsia="en-GB"/>
              </w:rPr>
              <w:t xml:space="preserve">Data and source: </w:t>
            </w:r>
            <w:r w:rsidRPr="003B6264">
              <w:rPr>
                <w:rFonts w:cs="Arial"/>
                <w:sz w:val="20"/>
                <w:szCs w:val="20"/>
                <w:lang w:eastAsia="en-GB"/>
              </w:rPr>
              <w:t>This will be collated from end of project reports from a standard indicator that projects will be required to collect if suitable for their intervention.</w:t>
            </w:r>
          </w:p>
        </w:tc>
      </w:tr>
      <w:tr w:rsidR="00683DE9" w:rsidRPr="003B6264" w14:paraId="2FFD7613"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2A6153A"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88934D3" w14:textId="77777777" w:rsidR="003B6264" w:rsidRPr="003B6264" w:rsidRDefault="003B6264" w:rsidP="003B6264">
            <w:pPr>
              <w:rPr>
                <w:rFonts w:cs="Arial"/>
                <w:b/>
                <w:bCs/>
                <w:sz w:val="20"/>
                <w:szCs w:val="20"/>
                <w:lang w:eastAsia="en-GB"/>
              </w:rPr>
            </w:pPr>
            <w:r w:rsidRPr="003B6264">
              <w:rPr>
                <w:rFonts w:cs="Arial"/>
                <w:b/>
                <w:bCs/>
                <w:sz w:val="20"/>
                <w:szCs w:val="20"/>
                <w:lang w:eastAsia="en-GB"/>
              </w:rPr>
              <w:t>Impact Indicator 3</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2BC6C13"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18B048C"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D3A3B3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DFE63FB"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34E541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EFD1A9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EF23F6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E77AB8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5C52D944"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9A78AAD"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FC52C"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t>Equitable and inclusive improvements in multidimensional poverty outcomes. [</w:t>
            </w:r>
            <w:r w:rsidRPr="003B6264">
              <w:rPr>
                <w:rFonts w:cs="Arial"/>
                <w:b/>
                <w:bCs/>
                <w:color w:val="000000"/>
                <w:sz w:val="20"/>
                <w:szCs w:val="20"/>
                <w:lang w:eastAsia="en-GB"/>
              </w:rPr>
              <w:t>BPF KPI 2.2:</w:t>
            </w:r>
            <w:r w:rsidRPr="003B6264">
              <w:rPr>
                <w:rFonts w:cs="Arial"/>
                <w:color w:val="000000"/>
                <w:sz w:val="20"/>
                <w:szCs w:val="20"/>
                <w:lang w:eastAsia="en-GB"/>
              </w:rPr>
              <w:t xml:space="preserve"> Number of people with improved poverty and socio-economic outcomes due to BPF finance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BF6E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38FC1EE3"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39C6E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91517C"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BEFBE4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763F83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136664B"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EFF1EF1" w14:textId="77777777" w:rsidR="003B6264" w:rsidRPr="003B6264" w:rsidRDefault="003B6264" w:rsidP="003B6264">
            <w:pPr>
              <w:rPr>
                <w:rFonts w:cs="Arial"/>
                <w:sz w:val="20"/>
                <w:szCs w:val="20"/>
                <w:lang w:eastAsia="en-GB"/>
              </w:rPr>
            </w:pPr>
          </w:p>
        </w:tc>
      </w:tr>
      <w:tr w:rsidR="00683DE9" w:rsidRPr="003B6264" w14:paraId="1FC43EE0"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165FE1C"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D27466"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C8738D"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05C3DD"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D37AE6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C29A8D0"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53E0AC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305E9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AAA392"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751FF83" w14:textId="77777777" w:rsidR="003B6264" w:rsidRPr="003B6264" w:rsidRDefault="003B6264" w:rsidP="003B6264">
            <w:pPr>
              <w:rPr>
                <w:rFonts w:cs="Arial"/>
                <w:sz w:val="20"/>
                <w:szCs w:val="20"/>
                <w:lang w:eastAsia="en-GB"/>
              </w:rPr>
            </w:pPr>
          </w:p>
        </w:tc>
      </w:tr>
      <w:tr w:rsidR="003B6264" w:rsidRPr="003B6264" w14:paraId="027BAF5B"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6ACDBA2"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72C1E5"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7D856B8B"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0ACD05F0" w14:textId="77777777" w:rsidTr="00683DE9">
        <w:trPr>
          <w:trHeight w:val="105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E02F346"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3BADA2"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3680EB3B"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Number of people with improved poverty/socio-economic outcomes. </w:t>
            </w:r>
            <w:r w:rsidRPr="003B6264">
              <w:rPr>
                <w:rFonts w:cs="Arial"/>
                <w:b/>
                <w:bCs/>
                <w:sz w:val="20"/>
                <w:szCs w:val="20"/>
                <w:lang w:eastAsia="en-GB"/>
              </w:rPr>
              <w:t xml:space="preserve">Method: </w:t>
            </w:r>
            <w:r w:rsidRPr="003B6264">
              <w:rPr>
                <w:rFonts w:cs="Arial"/>
                <w:sz w:val="20"/>
                <w:szCs w:val="20"/>
                <w:lang w:eastAsia="en-GB"/>
              </w:rPr>
              <w:t xml:space="preserve">BPF KPI 2.2 - Number of people with improved outcomes - poverty reduction. </w:t>
            </w:r>
            <w:r w:rsidRPr="003B6264">
              <w:rPr>
                <w:rFonts w:cs="Arial"/>
                <w:b/>
                <w:bCs/>
                <w:sz w:val="20"/>
                <w:szCs w:val="20"/>
                <w:lang w:eastAsia="en-GB"/>
              </w:rPr>
              <w:t>Disaggregation:</w:t>
            </w:r>
            <w:r w:rsidRPr="003B6264">
              <w:rPr>
                <w:rFonts w:cs="Arial"/>
                <w:sz w:val="20"/>
                <w:szCs w:val="20"/>
                <w:lang w:eastAsia="en-GB"/>
              </w:rPr>
              <w:t xml:space="preserve"> Income (DI KPI); Food security (DI KPI); Health and wellbeing; Sector; Gender and geography and if able disability; age; indigenous groups. </w:t>
            </w:r>
            <w:r w:rsidRPr="003B6264">
              <w:rPr>
                <w:rFonts w:cs="Arial"/>
                <w:b/>
                <w:bCs/>
                <w:sz w:val="20"/>
                <w:szCs w:val="20"/>
                <w:lang w:eastAsia="en-GB"/>
              </w:rPr>
              <w:t xml:space="preserve">Data and source: </w:t>
            </w:r>
            <w:r w:rsidRPr="003B6264">
              <w:rPr>
                <w:rFonts w:cs="Arial"/>
                <w:sz w:val="20"/>
                <w:szCs w:val="20"/>
                <w:lang w:eastAsia="en-GB"/>
              </w:rPr>
              <w:t>This will be collated from end of project reports from a standard indicator that projects will be required to collect if suitable for their intervention.</w:t>
            </w:r>
          </w:p>
        </w:tc>
      </w:tr>
      <w:tr w:rsidR="00683DE9" w:rsidRPr="003B6264" w14:paraId="10746344"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66970F2"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61EECEC" w14:textId="77777777" w:rsidR="003B6264" w:rsidRPr="003B6264" w:rsidRDefault="003B6264" w:rsidP="003B6264">
            <w:pPr>
              <w:rPr>
                <w:rFonts w:cs="Arial"/>
                <w:b/>
                <w:bCs/>
                <w:sz w:val="20"/>
                <w:szCs w:val="20"/>
                <w:lang w:eastAsia="en-GB"/>
              </w:rPr>
            </w:pPr>
            <w:r w:rsidRPr="003B6264">
              <w:rPr>
                <w:rFonts w:cs="Arial"/>
                <w:b/>
                <w:bCs/>
                <w:sz w:val="20"/>
                <w:szCs w:val="20"/>
                <w:lang w:eastAsia="en-GB"/>
              </w:rPr>
              <w:t>Impact Indicator 4</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B740110"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C5988CC"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1E1C69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D8D39F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DF5BD20"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765734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A035D8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E28DB5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62F72096"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C10F16E"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AFEFA" w14:textId="77777777" w:rsidR="003B6264" w:rsidRPr="003B6264" w:rsidRDefault="003B6264" w:rsidP="003B6264">
            <w:pPr>
              <w:rPr>
                <w:rFonts w:cs="Arial"/>
                <w:color w:val="000000"/>
                <w:sz w:val="20"/>
                <w:szCs w:val="20"/>
                <w:lang w:eastAsia="en-GB"/>
              </w:rPr>
            </w:pPr>
            <w:r w:rsidRPr="003B6264">
              <w:rPr>
                <w:rFonts w:cs="Arial"/>
                <w:b/>
                <w:bCs/>
                <w:color w:val="000000"/>
                <w:sz w:val="20"/>
                <w:szCs w:val="20"/>
                <w:lang w:eastAsia="en-GB"/>
              </w:rPr>
              <w:t xml:space="preserve">ICF KPI 15: </w:t>
            </w:r>
            <w:r w:rsidRPr="003B6264">
              <w:rPr>
                <w:rFonts w:cs="Arial"/>
                <w:color w:val="000000"/>
                <w:sz w:val="20"/>
                <w:szCs w:val="20"/>
                <w:lang w:eastAsia="en-GB"/>
              </w:rPr>
              <w:t>Extent to which OCEAN is likely to have a transformational impact (score)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47384"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70307FB8"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A09DE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FD725C0"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BD0076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B7B27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452DE2"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8FDFD9D" w14:textId="77777777" w:rsidR="003B6264" w:rsidRPr="003B6264" w:rsidRDefault="003B6264" w:rsidP="003B6264">
            <w:pPr>
              <w:rPr>
                <w:rFonts w:cs="Arial"/>
                <w:sz w:val="20"/>
                <w:szCs w:val="20"/>
                <w:lang w:eastAsia="en-GB"/>
              </w:rPr>
            </w:pPr>
          </w:p>
        </w:tc>
      </w:tr>
      <w:tr w:rsidR="00683DE9" w:rsidRPr="003B6264" w14:paraId="6FF25AE9"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DAA0F4E"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1A03FE"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180D40"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C13241"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B1D7E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B5AA04"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9482C2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D29FB2"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B454D1A"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CABA554" w14:textId="77777777" w:rsidR="003B6264" w:rsidRPr="003B6264" w:rsidRDefault="003B6264" w:rsidP="003B6264">
            <w:pPr>
              <w:rPr>
                <w:rFonts w:cs="Arial"/>
                <w:sz w:val="20"/>
                <w:szCs w:val="20"/>
                <w:lang w:eastAsia="en-GB"/>
              </w:rPr>
            </w:pPr>
          </w:p>
        </w:tc>
      </w:tr>
      <w:tr w:rsidR="003B6264" w:rsidRPr="003B6264" w14:paraId="31390D42"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F967CDA"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4099BB"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485648F0"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060F73EB" w14:textId="77777777" w:rsidTr="00683DE9">
        <w:trPr>
          <w:trHeight w:val="67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4BE704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E6ECD9"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5E19278F"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Score 1-5 based on ICF KPI 15 criteria. </w:t>
            </w:r>
            <w:r w:rsidRPr="003B6264">
              <w:rPr>
                <w:rFonts w:cs="Arial"/>
                <w:b/>
                <w:bCs/>
                <w:sz w:val="20"/>
                <w:szCs w:val="20"/>
                <w:lang w:eastAsia="en-GB"/>
              </w:rPr>
              <w:t xml:space="preserve">ICF KPI 15. </w:t>
            </w:r>
            <w:r w:rsidRPr="003B6264">
              <w:rPr>
                <w:rFonts w:cs="Arial"/>
                <w:sz w:val="20"/>
                <w:szCs w:val="20"/>
                <w:lang w:eastAsia="en-GB"/>
              </w:rPr>
              <w:t>Extent to which ICF intervention is likely to lead to Transformational Change. Can develop alongside Darwin impact indicator</w:t>
            </w:r>
            <w:r w:rsidRPr="003B6264">
              <w:rPr>
                <w:rFonts w:cs="Arial"/>
                <w:b/>
                <w:bCs/>
                <w:sz w:val="20"/>
                <w:szCs w:val="20"/>
                <w:lang w:eastAsia="en-GB"/>
              </w:rPr>
              <w:t>. Highlight GESI element</w:t>
            </w:r>
          </w:p>
        </w:tc>
      </w:tr>
      <w:tr w:rsidR="00683DE9" w:rsidRPr="003B6264" w14:paraId="62E7F9D4" w14:textId="77777777" w:rsidTr="00B24704">
        <w:trPr>
          <w:trHeight w:val="345"/>
        </w:trPr>
        <w:tc>
          <w:tcPr>
            <w:tcW w:w="15410" w:type="dxa"/>
            <w:gridSpan w:val="10"/>
            <w:tcBorders>
              <w:top w:val="single" w:sz="4" w:space="0" w:color="auto"/>
              <w:left w:val="single" w:sz="4" w:space="0" w:color="auto"/>
              <w:bottom w:val="single" w:sz="4" w:space="0" w:color="auto"/>
              <w:right w:val="single" w:sz="4" w:space="0" w:color="auto"/>
            </w:tcBorders>
            <w:vAlign w:val="center"/>
            <w:hideMark/>
          </w:tcPr>
          <w:p w14:paraId="38064092" w14:textId="77777777" w:rsidR="00683DE9" w:rsidRPr="003B6264" w:rsidRDefault="00683DE9" w:rsidP="003B6264">
            <w:pPr>
              <w:rPr>
                <w:rFonts w:cs="Arial"/>
                <w:sz w:val="20"/>
                <w:szCs w:val="20"/>
                <w:lang w:eastAsia="en-GB"/>
              </w:rPr>
            </w:pPr>
          </w:p>
        </w:tc>
      </w:tr>
      <w:tr w:rsidR="00683DE9" w:rsidRPr="003B6264" w14:paraId="04266D69"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8682B9B"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OUTCOME</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F5DC13C"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Outcome Indicator 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ACAF23D"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6BBE707"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19ABB5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812544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238B0F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3E9C6E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A80573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89EEE3C"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7CB0AB2C" w14:textId="77777777" w:rsidTr="00683DE9">
        <w:trPr>
          <w:trHeight w:val="34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400120" w14:textId="77777777" w:rsidR="003B6264" w:rsidRPr="003B6264" w:rsidRDefault="003B6264" w:rsidP="003B6264">
            <w:pPr>
              <w:jc w:val="center"/>
              <w:rPr>
                <w:rFonts w:cs="Arial"/>
                <w:sz w:val="20"/>
                <w:szCs w:val="20"/>
                <w:lang w:eastAsia="en-GB"/>
              </w:rPr>
            </w:pPr>
            <w:r w:rsidRPr="003B6264">
              <w:rPr>
                <w:rFonts w:cs="Arial"/>
                <w:sz w:val="20"/>
                <w:szCs w:val="20"/>
                <w:lang w:eastAsia="en-GB"/>
              </w:rPr>
              <w:t>Local communities and stakeholders manage marine resources sustainably, effectively, and inclusively, and using evidence and best practices to reduce multi-dimensional poverty, and improve marine environment and climate outcomes</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781A5E" w14:textId="77777777" w:rsidR="003B6264" w:rsidRPr="003B6264" w:rsidRDefault="003B6264" w:rsidP="003B6264">
            <w:pPr>
              <w:rPr>
                <w:rFonts w:cs="Arial"/>
                <w:sz w:val="20"/>
                <w:szCs w:val="20"/>
                <w:lang w:eastAsia="en-GB"/>
              </w:rPr>
            </w:pPr>
            <w:r w:rsidRPr="003B6264">
              <w:rPr>
                <w:rFonts w:cs="Arial"/>
                <w:sz w:val="20"/>
                <w:szCs w:val="20"/>
                <w:lang w:eastAsia="en-GB"/>
              </w:rPr>
              <w:t>Number of poverty and/or marine environment policies and strategies implemented by OCEAN projects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857A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38674A6E"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9F309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189190"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C95007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4026E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20686C"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152B32E" w14:textId="77777777" w:rsidR="003B6264" w:rsidRPr="003B6264" w:rsidRDefault="003B6264" w:rsidP="003B6264">
            <w:pPr>
              <w:rPr>
                <w:rFonts w:cs="Arial"/>
                <w:sz w:val="20"/>
                <w:szCs w:val="20"/>
                <w:lang w:eastAsia="en-GB"/>
              </w:rPr>
            </w:pPr>
          </w:p>
        </w:tc>
      </w:tr>
      <w:tr w:rsidR="00683DE9" w:rsidRPr="003B6264" w14:paraId="3871D101"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0A3B16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DA2838"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45B7B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A603B4"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E905E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935B62"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825A5D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58819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6FB506"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D80921B" w14:textId="77777777" w:rsidR="003B6264" w:rsidRPr="003B6264" w:rsidRDefault="003B6264" w:rsidP="003B6264">
            <w:pPr>
              <w:rPr>
                <w:rFonts w:cs="Arial"/>
                <w:sz w:val="20"/>
                <w:szCs w:val="20"/>
                <w:lang w:eastAsia="en-GB"/>
              </w:rPr>
            </w:pPr>
          </w:p>
        </w:tc>
      </w:tr>
      <w:tr w:rsidR="003B6264" w:rsidRPr="003B6264" w14:paraId="4D8CB4C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16BD9E0"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19216EE"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7C8676E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4948B3C1" w14:textId="77777777" w:rsidTr="00683DE9">
        <w:trPr>
          <w:trHeight w:val="6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A011123"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FB3E71"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297168C" w14:textId="77777777" w:rsidR="003B6264" w:rsidRPr="003B6264" w:rsidRDefault="003B6264" w:rsidP="003B6264">
            <w:pPr>
              <w:rPr>
                <w:rFonts w:cs="Arial"/>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Number of policies and strategies implemented by OCEAN projects. </w:t>
            </w:r>
            <w:r w:rsidRPr="003B6264">
              <w:rPr>
                <w:rFonts w:cs="Arial"/>
                <w:b/>
                <w:bCs/>
                <w:sz w:val="20"/>
                <w:szCs w:val="20"/>
                <w:lang w:eastAsia="en-GB"/>
              </w:rPr>
              <w:t>Disaggregation:</w:t>
            </w:r>
            <w:r w:rsidRPr="003B6264">
              <w:rPr>
                <w:rFonts w:cs="Arial"/>
                <w:sz w:val="20"/>
                <w:szCs w:val="20"/>
                <w:lang w:eastAsia="en-GB"/>
              </w:rPr>
              <w:t xml:space="preserve"> Unit (# Policies/strategies implemented by OCEAN projects); Type of policy or strategy; Level of policy or strategy (Local / regional / national / international); Organisation type and size</w:t>
            </w:r>
          </w:p>
        </w:tc>
      </w:tr>
      <w:tr w:rsidR="00683DE9" w:rsidRPr="003B6264" w14:paraId="3D8B9D1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524C41D"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E844D92"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Outcome Indicator 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4A0CD5A"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7F2E485"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C35683C"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7EC75D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5710A0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C9B6BD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185E0A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807C7D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6681E7EC"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01738FA"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5F1A7B0" w14:textId="77777777" w:rsidR="003B6264" w:rsidRPr="003B6264" w:rsidRDefault="003B6264" w:rsidP="003B6264">
            <w:pPr>
              <w:rPr>
                <w:rFonts w:cs="Arial"/>
                <w:sz w:val="20"/>
                <w:szCs w:val="20"/>
                <w:lang w:eastAsia="en-GB"/>
              </w:rPr>
            </w:pPr>
            <w:r w:rsidRPr="003B6264">
              <w:rPr>
                <w:rFonts w:cs="Arial"/>
                <w:sz w:val="20"/>
                <w:szCs w:val="20"/>
                <w:lang w:eastAsia="en-GB"/>
              </w:rPr>
              <w:t>Number of local stakeholders trained / supported in marine environmental protection or poverty reduction</w:t>
            </w:r>
          </w:p>
        </w:tc>
        <w:tc>
          <w:tcPr>
            <w:tcW w:w="1418" w:type="dxa"/>
            <w:tcBorders>
              <w:top w:val="single" w:sz="4" w:space="0" w:color="auto"/>
              <w:left w:val="nil"/>
              <w:bottom w:val="single" w:sz="4" w:space="0" w:color="auto"/>
              <w:right w:val="single" w:sz="4" w:space="0" w:color="auto"/>
            </w:tcBorders>
            <w:vAlign w:val="center"/>
            <w:hideMark/>
          </w:tcPr>
          <w:p w14:paraId="22BACEC0"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739A5DFC"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147C45"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F00FF3"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4A0AF8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7B78A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CFB27A"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4FE9AB4" w14:textId="77777777" w:rsidR="003B6264" w:rsidRPr="003B6264" w:rsidRDefault="003B6264" w:rsidP="003B6264">
            <w:pPr>
              <w:rPr>
                <w:rFonts w:cs="Arial"/>
                <w:sz w:val="20"/>
                <w:szCs w:val="20"/>
                <w:lang w:eastAsia="en-GB"/>
              </w:rPr>
            </w:pPr>
          </w:p>
        </w:tc>
      </w:tr>
      <w:tr w:rsidR="00683DE9" w:rsidRPr="003B6264" w14:paraId="1915CD9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0AB354F"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328D2BE" w14:textId="77777777" w:rsidR="003B6264" w:rsidRPr="003B6264" w:rsidRDefault="003B6264" w:rsidP="003B6264">
            <w:pPr>
              <w:rPr>
                <w:rFonts w:cs="Arial"/>
                <w:sz w:val="20"/>
                <w:szCs w:val="20"/>
                <w:lang w:eastAsia="en-GB"/>
              </w:rPr>
            </w:pPr>
          </w:p>
        </w:tc>
        <w:tc>
          <w:tcPr>
            <w:tcW w:w="1418" w:type="dxa"/>
            <w:tcBorders>
              <w:top w:val="single" w:sz="4" w:space="0" w:color="auto"/>
              <w:left w:val="nil"/>
              <w:bottom w:val="single" w:sz="4" w:space="0" w:color="auto"/>
              <w:right w:val="single" w:sz="4" w:space="0" w:color="auto"/>
            </w:tcBorders>
            <w:vAlign w:val="center"/>
            <w:hideMark/>
          </w:tcPr>
          <w:p w14:paraId="3029A1F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37132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E6FFF6"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F641B4"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5437F3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743F3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AAF454"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686C2D61" w14:textId="77777777" w:rsidR="003B6264" w:rsidRPr="003B6264" w:rsidRDefault="003B6264" w:rsidP="003B6264">
            <w:pPr>
              <w:rPr>
                <w:rFonts w:cs="Arial"/>
                <w:sz w:val="20"/>
                <w:szCs w:val="20"/>
                <w:lang w:eastAsia="en-GB"/>
              </w:rPr>
            </w:pPr>
          </w:p>
        </w:tc>
      </w:tr>
      <w:tr w:rsidR="003B6264" w:rsidRPr="003B6264" w14:paraId="5546A33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47DBEAC"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708C6FF"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46C6D783"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67AB3CAC" w14:textId="77777777" w:rsidTr="00683DE9">
        <w:trPr>
          <w:trHeight w:val="105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1F15585"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6A9A8B"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7EB7AE6B"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Number of local stakeholders trained / supported. </w:t>
            </w:r>
            <w:r w:rsidRPr="003B6264">
              <w:rPr>
                <w:rFonts w:cs="Arial"/>
                <w:b/>
                <w:bCs/>
                <w:sz w:val="20"/>
                <w:szCs w:val="20"/>
                <w:lang w:eastAsia="en-GB"/>
              </w:rPr>
              <w:t xml:space="preserve">Method: </w:t>
            </w:r>
            <w:r w:rsidRPr="003B6264">
              <w:rPr>
                <w:rFonts w:cs="Arial"/>
                <w:sz w:val="20"/>
                <w:szCs w:val="20"/>
                <w:lang w:eastAsia="en-GB"/>
              </w:rPr>
              <w:t>From GFCR 5.4: "Number of local practitioners trained / supported in habitat conservation, monitoring, management or restoration (e.g. community rangers)".</w:t>
            </w:r>
            <w:r w:rsidRPr="003B6264">
              <w:rPr>
                <w:rFonts w:cs="Arial"/>
                <w:b/>
                <w:bCs/>
                <w:sz w:val="20"/>
                <w:szCs w:val="20"/>
                <w:lang w:eastAsia="en-GB"/>
              </w:rPr>
              <w:t xml:space="preserve"> Disaggregation: </w:t>
            </w:r>
            <w:r w:rsidRPr="003B6264">
              <w:rPr>
                <w:rFonts w:cs="Arial"/>
                <w:sz w:val="20"/>
                <w:szCs w:val="20"/>
                <w:lang w:eastAsia="en-GB"/>
              </w:rPr>
              <w:t>OCEAN impact (directly vs indirectly impacted by OCEAN); Sector or theme of training/support; Type of training/support; GESI (Gender/age/location/disability status)</w:t>
            </w:r>
          </w:p>
        </w:tc>
      </w:tr>
      <w:tr w:rsidR="00683DE9" w:rsidRPr="003B6264" w14:paraId="75AF58F3"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F4391CA"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E3CBD29"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Outcome Indicator 3</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B31B260"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C94D69C"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4F9C7F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D78DF1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1125994"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8036AC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623BF8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477DEE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1FC5D709"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2F446FB"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53E9D1" w14:textId="77777777" w:rsidR="003B6264" w:rsidRPr="003B6264" w:rsidRDefault="003B6264" w:rsidP="003B6264">
            <w:pPr>
              <w:rPr>
                <w:rFonts w:cs="Arial"/>
                <w:color w:val="000000"/>
                <w:sz w:val="20"/>
                <w:szCs w:val="20"/>
                <w:lang w:eastAsia="en-GB"/>
              </w:rPr>
            </w:pPr>
            <w:r w:rsidRPr="003B6264">
              <w:rPr>
                <w:rFonts w:cs="Arial"/>
                <w:b/>
                <w:bCs/>
                <w:color w:val="000000"/>
                <w:sz w:val="20"/>
                <w:szCs w:val="20"/>
                <w:lang w:eastAsia="en-GB"/>
              </w:rPr>
              <w:t xml:space="preserve">BPF KPI 3: </w:t>
            </w:r>
            <w:r w:rsidRPr="003B6264">
              <w:rPr>
                <w:rFonts w:cs="Arial"/>
                <w:color w:val="000000"/>
                <w:sz w:val="20"/>
                <w:szCs w:val="20"/>
                <w:lang w:eastAsia="en-GB"/>
              </w:rPr>
              <w:t>Increased effective, equitable and sustainable representation and participation of coastal resources stakeholders in management (score 1-5)</w:t>
            </w:r>
          </w:p>
        </w:tc>
        <w:tc>
          <w:tcPr>
            <w:tcW w:w="1418" w:type="dxa"/>
            <w:tcBorders>
              <w:top w:val="single" w:sz="4" w:space="0" w:color="auto"/>
              <w:left w:val="nil"/>
              <w:bottom w:val="single" w:sz="4" w:space="0" w:color="auto"/>
              <w:right w:val="single" w:sz="4" w:space="0" w:color="auto"/>
            </w:tcBorders>
            <w:vAlign w:val="center"/>
            <w:hideMark/>
          </w:tcPr>
          <w:p w14:paraId="3E3DE093"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66DD4596"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C371B2"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ED8A36"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DC1D9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674FB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6A0BFB"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C5A5043" w14:textId="77777777" w:rsidR="003B6264" w:rsidRPr="003B6264" w:rsidRDefault="003B6264" w:rsidP="003B6264">
            <w:pPr>
              <w:rPr>
                <w:rFonts w:cs="Arial"/>
                <w:sz w:val="20"/>
                <w:szCs w:val="20"/>
                <w:lang w:eastAsia="en-GB"/>
              </w:rPr>
            </w:pPr>
          </w:p>
        </w:tc>
      </w:tr>
      <w:tr w:rsidR="00683DE9" w:rsidRPr="003B6264" w14:paraId="62809490"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3D72CB2"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DA5385"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nil"/>
              <w:bottom w:val="single" w:sz="4" w:space="0" w:color="auto"/>
              <w:right w:val="single" w:sz="4" w:space="0" w:color="auto"/>
            </w:tcBorders>
            <w:vAlign w:val="center"/>
            <w:hideMark/>
          </w:tcPr>
          <w:p w14:paraId="02C311A0"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87E7CB"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D400D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31C58D"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8746C9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576C9C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289B82"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5E2A27F" w14:textId="77777777" w:rsidR="003B6264" w:rsidRPr="003B6264" w:rsidRDefault="003B6264" w:rsidP="003B6264">
            <w:pPr>
              <w:rPr>
                <w:rFonts w:cs="Arial"/>
                <w:sz w:val="20"/>
                <w:szCs w:val="20"/>
                <w:lang w:eastAsia="en-GB"/>
              </w:rPr>
            </w:pPr>
          </w:p>
        </w:tc>
      </w:tr>
      <w:tr w:rsidR="003B6264" w:rsidRPr="003B6264" w14:paraId="24D7B795"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9D03B84"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8823AD"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35CD6CE7"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590C1CE7" w14:textId="77777777" w:rsidTr="00683DE9">
        <w:trPr>
          <w:trHeight w:val="139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2AA848F"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2AC029E" w14:textId="77777777" w:rsidR="003B6264" w:rsidRPr="003B6264" w:rsidRDefault="003B6264" w:rsidP="003B6264">
            <w:pPr>
              <w:rPr>
                <w:rFonts w:cs="Arial"/>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7BED48BB"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Score 1-5 showing how well OCEAN is performing against BPF KPI 3 GESI criteria. </w:t>
            </w:r>
            <w:r w:rsidRPr="003B6264">
              <w:rPr>
                <w:rFonts w:cs="Arial"/>
                <w:b/>
                <w:bCs/>
                <w:sz w:val="20"/>
                <w:szCs w:val="20"/>
                <w:lang w:eastAsia="en-GB"/>
              </w:rPr>
              <w:t>Method:</w:t>
            </w:r>
            <w:r w:rsidRPr="003B6264">
              <w:rPr>
                <w:rFonts w:cs="Arial"/>
                <w:sz w:val="20"/>
                <w:szCs w:val="20"/>
                <w:lang w:eastAsia="en-GB"/>
              </w:rPr>
              <w:t xml:space="preserve"> BPF KPI 3 - Increased effective and equitable representation and participation of coastal resources stakeholders in management (disaggregated between increased representative and effective systems of co-management; increased capacity of all resource users to participate in co-management; increased and/ or improved community organising). </w:t>
            </w:r>
            <w:r w:rsidRPr="003B6264">
              <w:rPr>
                <w:rFonts w:cs="Arial"/>
                <w:b/>
                <w:bCs/>
                <w:sz w:val="20"/>
                <w:szCs w:val="20"/>
                <w:lang w:eastAsia="en-GB"/>
              </w:rPr>
              <w:t>Data and source</w:t>
            </w:r>
            <w:r w:rsidRPr="003B6264">
              <w:rPr>
                <w:rFonts w:cs="Arial"/>
                <w:sz w:val="20"/>
                <w:szCs w:val="20"/>
                <w:lang w:eastAsia="en-GB"/>
              </w:rPr>
              <w:t>: Collated from end of project reports from GESI based measures across other indicators.</w:t>
            </w:r>
            <w:r w:rsidRPr="003B6264">
              <w:rPr>
                <w:rFonts w:cs="Arial"/>
                <w:b/>
                <w:bCs/>
                <w:sz w:val="20"/>
                <w:szCs w:val="20"/>
                <w:lang w:eastAsia="en-GB"/>
              </w:rPr>
              <w:t xml:space="preserve"> Targets and milestones </w:t>
            </w:r>
            <w:r w:rsidRPr="003B6264">
              <w:rPr>
                <w:rFonts w:cs="Arial"/>
                <w:sz w:val="20"/>
                <w:szCs w:val="20"/>
                <w:lang w:eastAsia="en-GB"/>
              </w:rPr>
              <w:t>will be established once the method has been developed. Evaluated alongside GESI frameworks</w:t>
            </w:r>
          </w:p>
        </w:tc>
      </w:tr>
      <w:tr w:rsidR="00683DE9" w:rsidRPr="003B6264" w14:paraId="138D05D2" w14:textId="77777777" w:rsidTr="009F3E6A">
        <w:trPr>
          <w:trHeight w:val="345"/>
        </w:trPr>
        <w:tc>
          <w:tcPr>
            <w:tcW w:w="15410" w:type="dxa"/>
            <w:gridSpan w:val="10"/>
            <w:tcBorders>
              <w:top w:val="single" w:sz="4" w:space="0" w:color="auto"/>
              <w:left w:val="single" w:sz="4" w:space="0" w:color="auto"/>
              <w:bottom w:val="single" w:sz="4" w:space="0" w:color="auto"/>
              <w:right w:val="single" w:sz="4" w:space="0" w:color="auto"/>
            </w:tcBorders>
            <w:vAlign w:val="center"/>
            <w:hideMark/>
          </w:tcPr>
          <w:p w14:paraId="3421E64E" w14:textId="77777777" w:rsidR="00683DE9" w:rsidRPr="003B6264" w:rsidRDefault="00683DE9" w:rsidP="003B6264">
            <w:pPr>
              <w:rPr>
                <w:rFonts w:cs="Arial"/>
                <w:sz w:val="20"/>
                <w:szCs w:val="20"/>
                <w:lang w:eastAsia="en-GB"/>
              </w:rPr>
            </w:pPr>
          </w:p>
        </w:tc>
      </w:tr>
      <w:tr w:rsidR="00683DE9" w:rsidRPr="003B6264" w14:paraId="33F299E8"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242507B5" w14:textId="77777777" w:rsidR="003B6264" w:rsidRPr="003B6264" w:rsidRDefault="003B6264" w:rsidP="003B6264">
            <w:pPr>
              <w:rPr>
                <w:rFonts w:cs="Arial"/>
                <w:b/>
                <w:bCs/>
                <w:sz w:val="20"/>
                <w:szCs w:val="20"/>
                <w:lang w:eastAsia="en-GB"/>
              </w:rPr>
            </w:pPr>
            <w:r w:rsidRPr="003B6264">
              <w:rPr>
                <w:rFonts w:cs="Arial"/>
                <w:b/>
                <w:bCs/>
                <w:sz w:val="20"/>
                <w:szCs w:val="20"/>
                <w:lang w:eastAsia="en-GB"/>
              </w:rPr>
              <w:t>INTERMEDIATE OUTCOME</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BA569FE" w14:textId="77777777" w:rsidR="003B6264" w:rsidRPr="003B6264" w:rsidRDefault="003B6264" w:rsidP="003B6264">
            <w:pPr>
              <w:rPr>
                <w:rFonts w:cs="Arial"/>
                <w:b/>
                <w:bCs/>
                <w:sz w:val="20"/>
                <w:szCs w:val="20"/>
                <w:lang w:eastAsia="en-GB"/>
              </w:rPr>
            </w:pPr>
            <w:r w:rsidRPr="003B6264">
              <w:rPr>
                <w:rFonts w:cs="Arial"/>
                <w:b/>
                <w:bCs/>
                <w:sz w:val="20"/>
                <w:szCs w:val="20"/>
                <w:lang w:eastAsia="en-GB"/>
              </w:rPr>
              <w:t>Intermediate Outcome Indicator 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3E01ACD"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7710908"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6745A9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8C40ECC"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4788DE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FEA044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FB22A5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10E7D8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265D5DC8" w14:textId="77777777" w:rsidTr="00683DE9">
        <w:trPr>
          <w:trHeight w:val="34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072867" w14:textId="77777777" w:rsidR="003B6264" w:rsidRPr="003B6264" w:rsidRDefault="003B6264" w:rsidP="003B6264">
            <w:pPr>
              <w:jc w:val="center"/>
              <w:rPr>
                <w:rFonts w:cs="Arial"/>
                <w:sz w:val="20"/>
                <w:szCs w:val="20"/>
                <w:lang w:eastAsia="en-GB"/>
              </w:rPr>
            </w:pPr>
            <w:r w:rsidRPr="003B6264">
              <w:rPr>
                <w:rFonts w:cs="Arial"/>
                <w:sz w:val="20"/>
                <w:szCs w:val="20"/>
                <w:lang w:eastAsia="en-GB"/>
              </w:rPr>
              <w:t>Increased capability and capacity in ODA eligible countries to design and deliver equitable and inclusive solutions aimed at marine protection and poverty reduction</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6A5F06E" w14:textId="77777777" w:rsidR="003B6264" w:rsidRPr="003B6264" w:rsidRDefault="003B6264" w:rsidP="003B6264">
            <w:pPr>
              <w:rPr>
                <w:rFonts w:cs="Arial"/>
                <w:sz w:val="20"/>
                <w:szCs w:val="20"/>
                <w:lang w:eastAsia="en-GB"/>
              </w:rPr>
            </w:pPr>
            <w:r w:rsidRPr="003B6264">
              <w:rPr>
                <w:rFonts w:cs="Arial"/>
                <w:sz w:val="20"/>
                <w:szCs w:val="20"/>
                <w:lang w:eastAsia="en-GB"/>
              </w:rPr>
              <w:t>Applicants &amp; Grantees report they have an improved ability to access funding since engaging with OCEAN.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56CEC"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26308615"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E94A04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D5BD08"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C18B5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C0B3B42"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ED24BA"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5A6AD91" w14:textId="77777777" w:rsidR="003B6264" w:rsidRPr="003B6264" w:rsidRDefault="003B6264" w:rsidP="003B6264">
            <w:pPr>
              <w:rPr>
                <w:rFonts w:cs="Arial"/>
                <w:sz w:val="20"/>
                <w:szCs w:val="20"/>
                <w:lang w:eastAsia="en-GB"/>
              </w:rPr>
            </w:pPr>
          </w:p>
        </w:tc>
      </w:tr>
      <w:tr w:rsidR="00683DE9" w:rsidRPr="003B6264" w14:paraId="39E95EF3"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6E38DC8"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C3207A"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C1B49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3A27F9"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1C65D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7C59B3"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78A0B62"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E3830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4273209"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5EB7529E" w14:textId="77777777" w:rsidR="003B6264" w:rsidRPr="003B6264" w:rsidRDefault="003B6264" w:rsidP="003B6264">
            <w:pPr>
              <w:rPr>
                <w:rFonts w:cs="Arial"/>
                <w:sz w:val="20"/>
                <w:szCs w:val="20"/>
                <w:lang w:eastAsia="en-GB"/>
              </w:rPr>
            </w:pPr>
          </w:p>
        </w:tc>
      </w:tr>
      <w:tr w:rsidR="003B6264" w:rsidRPr="003B6264" w14:paraId="02992107"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8EC6B2A"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D810C3"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6C07CEE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4BFAB17E" w14:textId="77777777" w:rsidTr="00683DE9">
        <w:trPr>
          <w:trHeight w:val="6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794CA81"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29A337"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02673220" w14:textId="77777777" w:rsidR="003B6264" w:rsidRPr="003B6264" w:rsidRDefault="003B6264" w:rsidP="003B6264">
            <w:pPr>
              <w:rPr>
                <w:rFonts w:cs="Arial"/>
                <w:b/>
                <w:bCs/>
                <w:color w:val="000000"/>
                <w:sz w:val="20"/>
                <w:szCs w:val="20"/>
                <w:lang w:eastAsia="en-GB"/>
              </w:rPr>
            </w:pPr>
            <w:r w:rsidRPr="003B6264">
              <w:rPr>
                <w:rFonts w:cs="Arial"/>
                <w:b/>
                <w:bCs/>
                <w:color w:val="000000"/>
                <w:sz w:val="20"/>
                <w:szCs w:val="20"/>
                <w:lang w:eastAsia="en-GB"/>
              </w:rPr>
              <w:t>Measure:</w:t>
            </w:r>
            <w:r w:rsidRPr="003B6264">
              <w:rPr>
                <w:rFonts w:cs="Arial"/>
                <w:color w:val="000000"/>
                <w:sz w:val="20"/>
                <w:szCs w:val="20"/>
                <w:lang w:eastAsia="en-GB"/>
              </w:rPr>
              <w:t xml:space="preserve"> % applicants and grantees reporting an improved ability to access funding. </w:t>
            </w:r>
            <w:r w:rsidRPr="003B6264">
              <w:rPr>
                <w:rFonts w:cs="Arial"/>
                <w:b/>
                <w:bCs/>
                <w:color w:val="000000"/>
                <w:sz w:val="20"/>
                <w:szCs w:val="20"/>
                <w:lang w:eastAsia="en-GB"/>
              </w:rPr>
              <w:t xml:space="preserve">Disaggregation: </w:t>
            </w:r>
            <w:r w:rsidRPr="003B6264">
              <w:rPr>
                <w:rFonts w:cs="Arial"/>
                <w:color w:val="000000"/>
                <w:sz w:val="20"/>
                <w:szCs w:val="20"/>
                <w:lang w:eastAsia="en-GB"/>
              </w:rPr>
              <w:t>Organisation size (small/medium/large - defined by average annual income); Successful/Unsuccessful applicants; Lead/Partner; First time funded (yes/no); Location (ODA/non-ODA); GESI (gender balance of organisation management); Age</w:t>
            </w:r>
          </w:p>
        </w:tc>
      </w:tr>
      <w:tr w:rsidR="00683DE9" w:rsidRPr="003B6264" w14:paraId="4DFDBFC1"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B780DA2"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7AFEF0B" w14:textId="77777777" w:rsidR="003B6264" w:rsidRPr="003B6264" w:rsidRDefault="003B6264" w:rsidP="003B6264">
            <w:pPr>
              <w:rPr>
                <w:rFonts w:cs="Arial"/>
                <w:b/>
                <w:bCs/>
                <w:sz w:val="20"/>
                <w:szCs w:val="20"/>
                <w:lang w:eastAsia="en-GB"/>
              </w:rPr>
            </w:pPr>
            <w:r w:rsidRPr="003B6264">
              <w:rPr>
                <w:rFonts w:cs="Arial"/>
                <w:b/>
                <w:bCs/>
                <w:sz w:val="20"/>
                <w:szCs w:val="20"/>
                <w:lang w:eastAsia="en-GB"/>
              </w:rPr>
              <w:t>Intermediate Outcome Indicator 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372681E"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71108C3"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389EDB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D716D4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379467B"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E91BDC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82AD7C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EA5E98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5B3E42D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AB240C8"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36C0130" w14:textId="77777777" w:rsidR="003B6264" w:rsidRPr="003B6264" w:rsidRDefault="003B6264" w:rsidP="003B6264">
            <w:pPr>
              <w:rPr>
                <w:rFonts w:cs="Arial"/>
                <w:sz w:val="20"/>
                <w:szCs w:val="20"/>
                <w:lang w:eastAsia="en-GB"/>
              </w:rPr>
            </w:pPr>
            <w:r w:rsidRPr="003B6264">
              <w:rPr>
                <w:rFonts w:cs="Arial"/>
                <w:sz w:val="20"/>
                <w:szCs w:val="20"/>
                <w:lang w:eastAsia="en-GB"/>
              </w:rPr>
              <w:t xml:space="preserve">Proportion of OCEAN projects that provide evidence of policy </w:t>
            </w:r>
            <w:r w:rsidRPr="003B6264">
              <w:rPr>
                <w:rFonts w:cs="Arial"/>
                <w:sz w:val="20"/>
                <w:szCs w:val="20"/>
                <w:lang w:eastAsia="en-GB"/>
              </w:rPr>
              <w:lastRenderedPageBreak/>
              <w:t xml:space="preserve">frameworks adopted and /or uptake of sustainable practices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661AF"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lastRenderedPageBreak/>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558E48D8"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8D713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3E2B25"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309F93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A9A2F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DDD997"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57F132FF" w14:textId="77777777" w:rsidR="003B6264" w:rsidRPr="003B6264" w:rsidRDefault="003B6264" w:rsidP="003B6264">
            <w:pPr>
              <w:jc w:val="right"/>
              <w:rPr>
                <w:rFonts w:cs="Arial"/>
                <w:sz w:val="20"/>
                <w:szCs w:val="20"/>
                <w:lang w:eastAsia="en-GB"/>
              </w:rPr>
            </w:pPr>
            <w:r w:rsidRPr="003B6264">
              <w:rPr>
                <w:rFonts w:cs="Arial"/>
                <w:sz w:val="20"/>
                <w:szCs w:val="20"/>
                <w:lang w:eastAsia="en-GB"/>
              </w:rPr>
              <w:t>50%</w:t>
            </w:r>
          </w:p>
        </w:tc>
      </w:tr>
      <w:tr w:rsidR="00683DE9" w:rsidRPr="003B6264" w14:paraId="68492E50"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E981D81"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B0DC6B"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04C6C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4A3B80"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D95F5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2C3FAA"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E931E2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F9476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3587A5"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AA1B27D" w14:textId="77777777" w:rsidR="003B6264" w:rsidRPr="003B6264" w:rsidRDefault="003B6264" w:rsidP="003B6264">
            <w:pPr>
              <w:rPr>
                <w:rFonts w:cs="Arial"/>
                <w:sz w:val="20"/>
                <w:szCs w:val="20"/>
                <w:lang w:eastAsia="en-GB"/>
              </w:rPr>
            </w:pPr>
          </w:p>
        </w:tc>
      </w:tr>
      <w:tr w:rsidR="003B6264" w:rsidRPr="003B6264" w14:paraId="6A95908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A82A926"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9FFAD5"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5166AA06"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0CB6AD5E" w14:textId="77777777" w:rsidTr="00683DE9">
        <w:trPr>
          <w:trHeight w:val="88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6D77267"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24C9297"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EA07509"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 of OCEAN projects that provide evidence of policy frameworks adopted/take up sustainable practices. </w:t>
            </w:r>
            <w:r w:rsidRPr="003B6264">
              <w:rPr>
                <w:rFonts w:cs="Arial"/>
                <w:b/>
                <w:bCs/>
                <w:sz w:val="20"/>
                <w:szCs w:val="20"/>
                <w:lang w:eastAsia="en-GB"/>
              </w:rPr>
              <w:t>Disaggregation:</w:t>
            </w:r>
            <w:r w:rsidRPr="003B6264">
              <w:rPr>
                <w:rFonts w:cs="Arial"/>
                <w:sz w:val="20"/>
                <w:szCs w:val="20"/>
                <w:lang w:eastAsia="en-GB"/>
              </w:rPr>
              <w:t xml:space="preserve"> Organisation size (small/medium/large - defined by average annual income); Lead/Partner; First time funded (yes/no); Location (ODA/non-ODA); GESI (gender balance of organisation management); Framework theme (climate/environment/people)</w:t>
            </w:r>
          </w:p>
        </w:tc>
      </w:tr>
      <w:tr w:rsidR="00683DE9" w:rsidRPr="003B6264" w14:paraId="35F32934"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725B37B"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C6368B2" w14:textId="77777777" w:rsidR="003B6264" w:rsidRPr="003B6264" w:rsidRDefault="003B6264" w:rsidP="003B6264">
            <w:pPr>
              <w:rPr>
                <w:rFonts w:cs="Arial"/>
                <w:b/>
                <w:bCs/>
                <w:sz w:val="20"/>
                <w:szCs w:val="20"/>
                <w:lang w:eastAsia="en-GB"/>
              </w:rPr>
            </w:pPr>
            <w:r w:rsidRPr="003B6264">
              <w:rPr>
                <w:rFonts w:cs="Arial"/>
                <w:b/>
                <w:bCs/>
                <w:sz w:val="20"/>
                <w:szCs w:val="20"/>
                <w:lang w:eastAsia="en-GB"/>
              </w:rPr>
              <w:t>Intermediate Outcome Indicator 3</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CB46DE5"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0E8E659"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1D9BD6C"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944B0F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B45368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949308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7D6BAC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3C92090"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407D8C78"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C807127"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81C705"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t>OCEAN projects are GESI sensitive, empowering and transformative</w:t>
            </w:r>
            <w:r w:rsidRPr="003B6264">
              <w:rPr>
                <w:rFonts w:cs="Arial"/>
                <w:color w:val="000000"/>
                <w:sz w:val="20"/>
                <w:szCs w:val="20"/>
                <w:lang w:eastAsia="en-GB"/>
              </w:rPr>
              <w:br/>
            </w:r>
            <w:r w:rsidRPr="003B6264">
              <w:rPr>
                <w:rFonts w:cs="Arial"/>
                <w:b/>
                <w:bCs/>
                <w:color w:val="000000"/>
                <w:sz w:val="20"/>
                <w:szCs w:val="20"/>
                <w:lang w:eastAsia="en-GB"/>
              </w:rPr>
              <w:t>a) Proportion of Community grants that are at least GESI sensitive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D138F"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441D2"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B7DEC4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DE5B93"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56BF2F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53C78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1AD79F"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6CEA430" w14:textId="77777777" w:rsidR="003B6264" w:rsidRPr="003B6264" w:rsidRDefault="003B6264" w:rsidP="003B6264">
            <w:pPr>
              <w:jc w:val="right"/>
              <w:rPr>
                <w:rFonts w:cs="Arial"/>
                <w:sz w:val="20"/>
                <w:szCs w:val="20"/>
                <w:lang w:eastAsia="en-GB"/>
              </w:rPr>
            </w:pPr>
            <w:r w:rsidRPr="003B6264">
              <w:rPr>
                <w:rFonts w:cs="Arial"/>
                <w:sz w:val="20"/>
                <w:szCs w:val="20"/>
                <w:lang w:eastAsia="en-GB"/>
              </w:rPr>
              <w:t>100%</w:t>
            </w:r>
          </w:p>
        </w:tc>
      </w:tr>
      <w:tr w:rsidR="00683DE9" w:rsidRPr="003B6264" w14:paraId="46A132FA"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B82B8ED"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FD3410"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C32D18"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A5BF0C"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F9EF43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0BDF69"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2869B8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0988D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D2C704"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229BF6A" w14:textId="77777777" w:rsidR="003B6264" w:rsidRPr="003B6264" w:rsidRDefault="003B6264" w:rsidP="003B6264">
            <w:pPr>
              <w:rPr>
                <w:rFonts w:cs="Arial"/>
                <w:sz w:val="20"/>
                <w:szCs w:val="20"/>
                <w:lang w:eastAsia="en-GB"/>
              </w:rPr>
            </w:pPr>
          </w:p>
        </w:tc>
      </w:tr>
      <w:tr w:rsidR="00683DE9" w:rsidRPr="003B6264" w14:paraId="0F46C88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12D8932"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F51DFA" w14:textId="77777777" w:rsidR="003B6264" w:rsidRPr="003B6264" w:rsidRDefault="003B6264" w:rsidP="003B6264">
            <w:pPr>
              <w:spacing w:after="240"/>
              <w:rPr>
                <w:rFonts w:cs="Arial"/>
                <w:b/>
                <w:bCs/>
                <w:sz w:val="20"/>
                <w:szCs w:val="20"/>
                <w:lang w:eastAsia="en-GB"/>
              </w:rPr>
            </w:pPr>
            <w:r w:rsidRPr="003B6264">
              <w:rPr>
                <w:rFonts w:cs="Arial"/>
                <w:b/>
                <w:bCs/>
                <w:sz w:val="20"/>
                <w:szCs w:val="20"/>
                <w:lang w:eastAsia="en-GB"/>
              </w:rPr>
              <w:t>b) Proportion of Partnership grants that are at least GESI empowering</w:t>
            </w:r>
            <w:r w:rsidRPr="003B6264">
              <w:rPr>
                <w:rFonts w:cs="Arial"/>
                <w:b/>
                <w:bCs/>
                <w:sz w:val="20"/>
                <w:szCs w:val="20"/>
                <w:lang w:eastAsia="en-GB"/>
              </w:rPr>
              <w:br/>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BDF5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4703D"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52A742"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E7534F"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873F0B8"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E66F6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4D855C"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201EF51" w14:textId="77777777" w:rsidR="003B6264" w:rsidRPr="003B6264" w:rsidRDefault="003B6264" w:rsidP="003B6264">
            <w:pPr>
              <w:jc w:val="right"/>
              <w:rPr>
                <w:rFonts w:cs="Arial"/>
                <w:sz w:val="20"/>
                <w:szCs w:val="20"/>
                <w:lang w:eastAsia="en-GB"/>
              </w:rPr>
            </w:pPr>
            <w:r w:rsidRPr="003B6264">
              <w:rPr>
                <w:rFonts w:cs="Arial"/>
                <w:sz w:val="20"/>
                <w:szCs w:val="20"/>
                <w:lang w:eastAsia="en-GB"/>
              </w:rPr>
              <w:t>100%</w:t>
            </w:r>
          </w:p>
        </w:tc>
      </w:tr>
      <w:tr w:rsidR="00683DE9" w:rsidRPr="003B6264" w14:paraId="21D4F17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9887FB2"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97AB86" w14:textId="77777777" w:rsidR="003B6264" w:rsidRPr="003B6264" w:rsidRDefault="003B6264" w:rsidP="003B6264">
            <w:pPr>
              <w:rPr>
                <w:rFonts w:cs="Arial"/>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9C280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B90B47"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F2A88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3898CF"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94B45DF"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C43B7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2A8B63"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1324D87" w14:textId="77777777" w:rsidR="003B6264" w:rsidRPr="003B6264" w:rsidRDefault="003B6264" w:rsidP="003B6264">
            <w:pPr>
              <w:rPr>
                <w:rFonts w:cs="Arial"/>
                <w:sz w:val="20"/>
                <w:szCs w:val="20"/>
                <w:lang w:eastAsia="en-GB"/>
              </w:rPr>
            </w:pPr>
          </w:p>
        </w:tc>
      </w:tr>
      <w:tr w:rsidR="003B6264" w:rsidRPr="003B6264" w14:paraId="04FBC4D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140F9C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BB88C2"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197A542B"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1238AD63" w14:textId="77777777" w:rsidTr="00683DE9">
        <w:trPr>
          <w:trHeight w:val="6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9BBF5D7"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D306FE"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CC0242E"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a) % of Community grants that are </w:t>
            </w:r>
            <w:proofErr w:type="spellStart"/>
            <w:r w:rsidRPr="003B6264">
              <w:rPr>
                <w:rFonts w:cs="Arial"/>
                <w:sz w:val="20"/>
                <w:szCs w:val="20"/>
                <w:lang w:eastAsia="en-GB"/>
              </w:rPr>
              <w:t>atleast</w:t>
            </w:r>
            <w:proofErr w:type="spellEnd"/>
            <w:r w:rsidRPr="003B6264">
              <w:rPr>
                <w:rFonts w:cs="Arial"/>
                <w:sz w:val="20"/>
                <w:szCs w:val="20"/>
                <w:lang w:eastAsia="en-GB"/>
              </w:rPr>
              <w:t xml:space="preserve"> GESI sensitive. b) % of Partnership grants that are at least GESI empowering. </w:t>
            </w:r>
            <w:r w:rsidRPr="003B6264">
              <w:rPr>
                <w:rFonts w:cs="Arial"/>
                <w:b/>
                <w:bCs/>
                <w:sz w:val="20"/>
                <w:szCs w:val="20"/>
                <w:lang w:eastAsia="en-GB"/>
              </w:rPr>
              <w:t xml:space="preserve">Disaggregation: </w:t>
            </w:r>
            <w:r w:rsidRPr="003B6264">
              <w:rPr>
                <w:rFonts w:cs="Arial"/>
                <w:sz w:val="20"/>
                <w:szCs w:val="20"/>
                <w:lang w:eastAsia="en-GB"/>
              </w:rPr>
              <w:t>Organisation size (small/medium/large - defined by average annual income); Lead/Partner; First time funded (yes/no); Location (ODA/non-ODA); GESI scoring</w:t>
            </w:r>
          </w:p>
        </w:tc>
      </w:tr>
      <w:tr w:rsidR="00683DE9" w:rsidRPr="003B6264" w14:paraId="616A0AF9" w14:textId="77777777" w:rsidTr="00C24C2E">
        <w:trPr>
          <w:trHeight w:val="345"/>
        </w:trPr>
        <w:tc>
          <w:tcPr>
            <w:tcW w:w="15410" w:type="dxa"/>
            <w:gridSpan w:val="10"/>
            <w:tcBorders>
              <w:top w:val="single" w:sz="4" w:space="0" w:color="auto"/>
              <w:left w:val="single" w:sz="4" w:space="0" w:color="auto"/>
              <w:bottom w:val="single" w:sz="4" w:space="0" w:color="auto"/>
              <w:right w:val="single" w:sz="4" w:space="0" w:color="auto"/>
            </w:tcBorders>
            <w:vAlign w:val="center"/>
            <w:hideMark/>
          </w:tcPr>
          <w:p w14:paraId="204064DC" w14:textId="77777777" w:rsidR="00683DE9" w:rsidRPr="003B6264" w:rsidRDefault="00683DE9" w:rsidP="003B6264">
            <w:pPr>
              <w:rPr>
                <w:rFonts w:cs="Arial"/>
                <w:sz w:val="20"/>
                <w:szCs w:val="20"/>
                <w:lang w:eastAsia="en-GB"/>
              </w:rPr>
            </w:pPr>
          </w:p>
        </w:tc>
      </w:tr>
      <w:tr w:rsidR="00683DE9" w:rsidRPr="003B6264" w14:paraId="285D08DA"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C33D9BF"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1</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C354A1B"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1.1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68BFDC"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4950A6D"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4BDD794"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2043CC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79B98D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743836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415576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1C6880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5C785E75" w14:textId="77777777" w:rsidTr="00683DE9">
        <w:trPr>
          <w:trHeight w:val="34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294F4A" w14:textId="77777777" w:rsidR="003B6264" w:rsidRPr="003B6264" w:rsidRDefault="003B6264" w:rsidP="003B6264">
            <w:pPr>
              <w:jc w:val="center"/>
              <w:rPr>
                <w:rFonts w:cs="Arial"/>
                <w:sz w:val="20"/>
                <w:szCs w:val="20"/>
                <w:lang w:eastAsia="en-GB"/>
              </w:rPr>
            </w:pPr>
            <w:r w:rsidRPr="003B6264">
              <w:rPr>
                <w:rFonts w:cs="Arial"/>
                <w:sz w:val="20"/>
                <w:szCs w:val="20"/>
                <w:lang w:eastAsia="en-GB"/>
              </w:rPr>
              <w:t xml:space="preserve">Organisations in ODA eligible countries have access to funding to address marine environment and poverty reduction challenges at a </w:t>
            </w:r>
            <w:proofErr w:type="gramStart"/>
            <w:r w:rsidRPr="003B6264">
              <w:rPr>
                <w:rFonts w:cs="Arial"/>
                <w:sz w:val="20"/>
                <w:szCs w:val="20"/>
                <w:lang w:eastAsia="en-GB"/>
              </w:rPr>
              <w:t>local-level</w:t>
            </w:r>
            <w:proofErr w:type="gramEnd"/>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39749" w14:textId="77777777" w:rsidR="003B6264" w:rsidRPr="003B6264" w:rsidRDefault="003B6264" w:rsidP="003B6264">
            <w:pPr>
              <w:rPr>
                <w:rFonts w:cs="Arial"/>
                <w:sz w:val="20"/>
                <w:szCs w:val="20"/>
                <w:lang w:eastAsia="en-GB"/>
              </w:rPr>
            </w:pPr>
            <w:r w:rsidRPr="003B6264">
              <w:rPr>
                <w:rFonts w:cs="Arial"/>
                <w:sz w:val="20"/>
                <w:szCs w:val="20"/>
                <w:lang w:eastAsia="en-GB"/>
              </w:rPr>
              <w:t>Volume of funding awarded: OCEAN commits £60m in grant funding to organisations working at a local level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F975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453E0447" w14:textId="77777777" w:rsidR="003B6264" w:rsidRPr="003B6264" w:rsidRDefault="003B6264" w:rsidP="003B6264">
            <w:pPr>
              <w:jc w:val="right"/>
              <w:rPr>
                <w:rFonts w:cs="Arial"/>
                <w:sz w:val="20"/>
                <w:szCs w:val="20"/>
                <w:lang w:eastAsia="en-GB"/>
              </w:rPr>
            </w:pPr>
            <w:r w:rsidRPr="003B6264">
              <w:rPr>
                <w:rFonts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36F48D" w14:textId="2C365704"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50C07C"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EF500E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2F9B8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6EFB3D"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DA92188" w14:textId="77777777" w:rsidR="003B6264" w:rsidRPr="003B6264" w:rsidRDefault="003B6264" w:rsidP="003B6264">
            <w:pPr>
              <w:jc w:val="right"/>
              <w:rPr>
                <w:rFonts w:cs="Arial"/>
                <w:sz w:val="20"/>
                <w:szCs w:val="20"/>
                <w:lang w:eastAsia="en-GB"/>
              </w:rPr>
            </w:pPr>
            <w:r w:rsidRPr="003B6264">
              <w:rPr>
                <w:rFonts w:cs="Arial"/>
                <w:sz w:val="20"/>
                <w:szCs w:val="20"/>
                <w:lang w:eastAsia="en-GB"/>
              </w:rPr>
              <w:t>£60,000,000</w:t>
            </w:r>
          </w:p>
        </w:tc>
      </w:tr>
      <w:tr w:rsidR="00683DE9" w:rsidRPr="003B6264" w14:paraId="23EC8A45"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0CC98AE"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40A0D73"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0B2BE21"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34F186" w14:textId="77777777" w:rsidR="003B6264" w:rsidRPr="003B6264" w:rsidRDefault="003B6264" w:rsidP="003B6264">
            <w:pPr>
              <w:jc w:val="right"/>
              <w:rPr>
                <w:rFonts w:cs="Arial"/>
                <w:sz w:val="20"/>
                <w:szCs w:val="20"/>
                <w:lang w:eastAsia="en-GB"/>
              </w:rPr>
            </w:pPr>
            <w:r w:rsidRPr="003B6264">
              <w:rPr>
                <w:rFonts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26CFC"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BBC814"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3F77A8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23C5D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6A73B1"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1E5474A" w14:textId="77777777" w:rsidR="003B6264" w:rsidRPr="003B6264" w:rsidRDefault="003B6264" w:rsidP="003B6264">
            <w:pPr>
              <w:rPr>
                <w:rFonts w:cs="Arial"/>
                <w:sz w:val="20"/>
                <w:szCs w:val="20"/>
                <w:lang w:eastAsia="en-GB"/>
              </w:rPr>
            </w:pPr>
          </w:p>
        </w:tc>
      </w:tr>
      <w:tr w:rsidR="003B6264" w:rsidRPr="003B6264" w14:paraId="4915C032"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4814F3C"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FC9864B"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6131A863"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1F217935" w14:textId="77777777" w:rsidTr="00683DE9">
        <w:trPr>
          <w:trHeight w:val="9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27B1D06"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15475F"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535FD955"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 (or proportion of total) committed in each year. </w:t>
            </w:r>
            <w:r w:rsidRPr="003B6264">
              <w:rPr>
                <w:rFonts w:cs="Arial"/>
                <w:b/>
                <w:bCs/>
                <w:sz w:val="20"/>
                <w:szCs w:val="20"/>
                <w:lang w:eastAsia="en-GB"/>
              </w:rPr>
              <w:t xml:space="preserve">Disaggregation: </w:t>
            </w:r>
            <w:r w:rsidRPr="003B6264">
              <w:rPr>
                <w:rFonts w:cs="Arial"/>
                <w:sz w:val="20"/>
                <w:szCs w:val="20"/>
                <w:lang w:eastAsia="en-GB"/>
              </w:rPr>
              <w:t>Funding pathway (Community/Partnership); Organisation size (small/medium/large - defined by average annual income); Lead/Partner; First time funded (yes/no); Location (ODA/non-ODA; single-country/multi-country); GESI (gender balance of organisation management); Age</w:t>
            </w:r>
          </w:p>
        </w:tc>
      </w:tr>
      <w:tr w:rsidR="00683DE9" w:rsidRPr="003B6264" w14:paraId="654CBA0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233AC3C"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3636CA9"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1.2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84C7AB1"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90BB656"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15ED98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ECB290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2F161A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13C56C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2D8F31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7F2B66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78FFC578" w14:textId="77777777" w:rsidTr="00683DE9">
        <w:trPr>
          <w:trHeight w:val="63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B8A71BE"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3A6AE1"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t xml:space="preserve">Volume of funding managed by local organisations: Local organisations receive OCEAN funds either by directly receiving a grant, or through managing a portion of the budget when partnering with a Lead organisation. </w:t>
            </w:r>
            <w:r w:rsidRPr="003B6264">
              <w:rPr>
                <w:rFonts w:cs="Arial"/>
                <w:color w:val="000000"/>
                <w:sz w:val="20"/>
                <w:szCs w:val="20"/>
                <w:lang w:eastAsia="en-GB"/>
              </w:rPr>
              <w:br/>
            </w:r>
            <w:r w:rsidRPr="003B6264">
              <w:rPr>
                <w:rFonts w:cs="Arial"/>
                <w:b/>
                <w:bCs/>
                <w:color w:val="000000"/>
                <w:sz w:val="20"/>
                <w:szCs w:val="20"/>
                <w:lang w:eastAsia="en-GB"/>
              </w:rPr>
              <w:t>a) Proportion of funds committed that are managed by small-medium organisations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2FFF2"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Community: 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C1C852"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2ED0B9" w14:textId="77777777" w:rsidR="003B6264" w:rsidRPr="003B6264" w:rsidRDefault="003B6264" w:rsidP="003B6264">
            <w:pPr>
              <w:jc w:val="right"/>
              <w:rPr>
                <w:rFonts w:cs="Arial"/>
                <w:sz w:val="20"/>
                <w:szCs w:val="20"/>
                <w:lang w:eastAsia="en-GB"/>
              </w:rPr>
            </w:pPr>
            <w:r w:rsidRPr="003B6264">
              <w:rPr>
                <w:rFonts w:cs="Arial"/>
                <w:sz w:val="20"/>
                <w:szCs w:val="20"/>
                <w:lang w:eastAsia="en-GB"/>
              </w:rPr>
              <w:t>Direct: 100%</w:t>
            </w:r>
            <w:r w:rsidRPr="003B6264">
              <w:rPr>
                <w:rFonts w:cs="Arial"/>
                <w:sz w:val="20"/>
                <w:szCs w:val="20"/>
                <w:lang w:eastAsia="en-GB"/>
              </w:rPr>
              <w:br/>
              <w:t>Indirect: N/A Yr1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0A285E"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EBB6BD9"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254B89"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CF893B"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0D07AB2" w14:textId="77777777" w:rsidR="003B6264" w:rsidRPr="003B6264" w:rsidRDefault="003B6264" w:rsidP="003B6264">
            <w:pPr>
              <w:jc w:val="right"/>
              <w:rPr>
                <w:rFonts w:cs="Arial"/>
                <w:sz w:val="20"/>
                <w:szCs w:val="20"/>
                <w:lang w:eastAsia="en-GB"/>
              </w:rPr>
            </w:pPr>
            <w:r w:rsidRPr="003B6264">
              <w:rPr>
                <w:rFonts w:cs="Arial"/>
                <w:sz w:val="20"/>
                <w:szCs w:val="20"/>
                <w:lang w:eastAsia="en-GB"/>
              </w:rPr>
              <w:t>100%</w:t>
            </w:r>
          </w:p>
        </w:tc>
      </w:tr>
      <w:tr w:rsidR="00683DE9" w:rsidRPr="003B6264" w14:paraId="47DA727C" w14:textId="77777777" w:rsidTr="00683DE9">
        <w:trPr>
          <w:trHeight w:val="61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7477F63"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EEB6EE"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ECAA9E"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Community: 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5A474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6DBE31" w14:textId="77777777" w:rsidR="003B6264" w:rsidRPr="003B6264" w:rsidRDefault="003B6264" w:rsidP="003B6264">
            <w:pPr>
              <w:jc w:val="right"/>
              <w:rPr>
                <w:rFonts w:cs="Arial"/>
                <w:sz w:val="20"/>
                <w:szCs w:val="20"/>
                <w:lang w:eastAsia="en-GB"/>
              </w:rPr>
            </w:pPr>
            <w:r w:rsidRPr="003B6264">
              <w:rPr>
                <w:rFonts w:cs="Arial"/>
                <w:sz w:val="20"/>
                <w:szCs w:val="20"/>
                <w:lang w:eastAsia="en-GB"/>
              </w:rPr>
              <w:t>Direct: 100%</w:t>
            </w:r>
            <w:r w:rsidRPr="003B6264">
              <w:rPr>
                <w:rFonts w:cs="Arial"/>
                <w:sz w:val="20"/>
                <w:szCs w:val="20"/>
                <w:lang w:eastAsia="en-GB"/>
              </w:rPr>
              <w:br/>
              <w:t>Indirect: N/A Yr1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26559D"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AAF2C85"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4BC4E8"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ECDC2E8"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6BB3B30" w14:textId="77777777" w:rsidR="003B6264" w:rsidRPr="003B6264" w:rsidRDefault="003B6264" w:rsidP="003B6264">
            <w:pPr>
              <w:jc w:val="right"/>
              <w:rPr>
                <w:rFonts w:cs="Arial"/>
                <w:sz w:val="20"/>
                <w:szCs w:val="20"/>
                <w:lang w:eastAsia="en-GB"/>
              </w:rPr>
            </w:pPr>
          </w:p>
        </w:tc>
      </w:tr>
      <w:tr w:rsidR="00683DE9" w:rsidRPr="003B6264" w14:paraId="06D84B9F" w14:textId="77777777" w:rsidTr="00683DE9">
        <w:trPr>
          <w:trHeight w:val="40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266D4E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02F4FD"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7D81E6"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Partnership: 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ED354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221E78" w14:textId="77777777" w:rsidR="003B6264" w:rsidRPr="003B6264" w:rsidRDefault="003B6264" w:rsidP="003B6264">
            <w:pPr>
              <w:jc w:val="right"/>
              <w:rPr>
                <w:rFonts w:cs="Arial"/>
                <w:sz w:val="20"/>
                <w:szCs w:val="20"/>
                <w:lang w:eastAsia="en-GB"/>
              </w:rPr>
            </w:pPr>
            <w:r w:rsidRPr="003B6264">
              <w:rPr>
                <w:rFonts w:cs="Arial"/>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F7991D"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EB9DE3B"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B8F381B"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681FE7"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59CAE52" w14:textId="77777777" w:rsidR="003B6264" w:rsidRPr="003B6264" w:rsidRDefault="003B6264" w:rsidP="003B6264">
            <w:pPr>
              <w:jc w:val="right"/>
              <w:rPr>
                <w:rFonts w:cs="Arial"/>
                <w:sz w:val="20"/>
                <w:szCs w:val="20"/>
                <w:lang w:eastAsia="en-GB"/>
              </w:rPr>
            </w:pPr>
          </w:p>
        </w:tc>
      </w:tr>
      <w:tr w:rsidR="00683DE9" w:rsidRPr="003B6264" w14:paraId="14870E1E" w14:textId="77777777" w:rsidTr="00683DE9">
        <w:trPr>
          <w:trHeight w:val="40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2D9BF58"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8E6FBA"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612DD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Partnership: 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7F024"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344B8C"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434797"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41E222D"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120CA3"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67B9F76"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6FA127F6" w14:textId="77777777" w:rsidR="003B6264" w:rsidRPr="003B6264" w:rsidRDefault="003B6264" w:rsidP="003B6264">
            <w:pPr>
              <w:jc w:val="right"/>
              <w:rPr>
                <w:rFonts w:cs="Arial"/>
                <w:sz w:val="20"/>
                <w:szCs w:val="20"/>
                <w:lang w:eastAsia="en-GB"/>
              </w:rPr>
            </w:pPr>
          </w:p>
        </w:tc>
      </w:tr>
      <w:tr w:rsidR="00683DE9" w:rsidRPr="003B6264" w14:paraId="2CDC20F0" w14:textId="77777777" w:rsidTr="00683DE9">
        <w:trPr>
          <w:trHeight w:val="36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C355138"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798D49" w14:textId="77777777" w:rsidR="003B6264" w:rsidRPr="003B6264" w:rsidRDefault="003B6264" w:rsidP="003B6264">
            <w:pPr>
              <w:spacing w:after="240"/>
              <w:rPr>
                <w:rFonts w:cs="Arial"/>
                <w:b/>
                <w:bCs/>
                <w:sz w:val="20"/>
                <w:szCs w:val="20"/>
                <w:lang w:eastAsia="en-GB"/>
              </w:rPr>
            </w:pPr>
            <w:r w:rsidRPr="003B6264">
              <w:rPr>
                <w:rFonts w:cs="Arial"/>
                <w:b/>
                <w:bCs/>
                <w:sz w:val="20"/>
                <w:szCs w:val="20"/>
                <w:lang w:eastAsia="en-GB"/>
              </w:rPr>
              <w:t>b) Proportion of grants led by organisations registered in ODA eligible countries</w:t>
            </w:r>
            <w:r w:rsidRPr="003B6264">
              <w:rPr>
                <w:rFonts w:cs="Arial"/>
                <w:b/>
                <w:bCs/>
                <w:sz w:val="20"/>
                <w:szCs w:val="20"/>
                <w:lang w:eastAsia="en-GB"/>
              </w:rPr>
              <w:br/>
            </w:r>
            <w:r w:rsidRPr="003B6264">
              <w:rPr>
                <w:rFonts w:cs="Arial"/>
                <w:b/>
                <w:bCs/>
                <w:sz w:val="20"/>
                <w:szCs w:val="20"/>
                <w:lang w:eastAsia="en-GB"/>
              </w:rPr>
              <w:br/>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E0F5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0F9D67"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164A9D" w14:textId="77777777" w:rsidR="003B6264" w:rsidRPr="003B6264" w:rsidRDefault="003B6264" w:rsidP="003B6264">
            <w:pPr>
              <w:jc w:val="right"/>
              <w:rPr>
                <w:rFonts w:cs="Arial"/>
                <w:sz w:val="20"/>
                <w:szCs w:val="20"/>
                <w:lang w:eastAsia="en-GB"/>
              </w:rPr>
            </w:pPr>
            <w:r w:rsidRPr="003B6264">
              <w:rPr>
                <w:rFonts w:cs="Arial"/>
                <w:sz w:val="20"/>
                <w:szCs w:val="20"/>
                <w:lang w:eastAsia="en-GB"/>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394CD8"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D45ABDA"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DE7235"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D034F2"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628BEBA6" w14:textId="77777777" w:rsidR="003B6264" w:rsidRPr="003B6264" w:rsidRDefault="003B6264" w:rsidP="003B6264">
            <w:pPr>
              <w:jc w:val="right"/>
              <w:rPr>
                <w:rFonts w:cs="Arial"/>
                <w:sz w:val="20"/>
                <w:szCs w:val="20"/>
                <w:lang w:eastAsia="en-GB"/>
              </w:rPr>
            </w:pPr>
            <w:r w:rsidRPr="003B6264">
              <w:rPr>
                <w:rFonts w:cs="Arial"/>
                <w:sz w:val="20"/>
                <w:szCs w:val="20"/>
                <w:lang w:eastAsia="en-GB"/>
              </w:rPr>
              <w:t>100%</w:t>
            </w:r>
          </w:p>
        </w:tc>
      </w:tr>
      <w:tr w:rsidR="00683DE9" w:rsidRPr="003B6264" w14:paraId="0EFB6C89" w14:textId="77777777" w:rsidTr="00683DE9">
        <w:trPr>
          <w:trHeight w:val="36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3E864A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6AA08D" w14:textId="77777777" w:rsidR="003B6264" w:rsidRPr="003B6264" w:rsidRDefault="003B6264" w:rsidP="003B6264">
            <w:pPr>
              <w:rPr>
                <w:rFonts w:cs="Arial"/>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9E3668"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9A3748"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47969A"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697CCA"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FE5527C"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9A37AF" w14:textId="77777777" w:rsidR="003B6264" w:rsidRPr="003B6264" w:rsidRDefault="003B6264" w:rsidP="003B6264">
            <w:pPr>
              <w:jc w:val="right"/>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6573034" w14:textId="77777777" w:rsidR="003B6264" w:rsidRPr="003B6264" w:rsidRDefault="003B6264" w:rsidP="003B6264">
            <w:pPr>
              <w:jc w:val="right"/>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9E13001" w14:textId="77777777" w:rsidR="003B6264" w:rsidRPr="003B6264" w:rsidRDefault="003B6264" w:rsidP="003B6264">
            <w:pPr>
              <w:jc w:val="right"/>
              <w:rPr>
                <w:rFonts w:cs="Arial"/>
                <w:sz w:val="20"/>
                <w:szCs w:val="20"/>
                <w:lang w:eastAsia="en-GB"/>
              </w:rPr>
            </w:pPr>
            <w:r w:rsidRPr="003B6264">
              <w:rPr>
                <w:rFonts w:cs="Arial"/>
                <w:sz w:val="20"/>
                <w:szCs w:val="20"/>
                <w:lang w:eastAsia="en-GB"/>
              </w:rPr>
              <w:t>50%</w:t>
            </w:r>
          </w:p>
        </w:tc>
      </w:tr>
      <w:tr w:rsidR="003B6264" w:rsidRPr="003B6264" w14:paraId="41769C12"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E7F72E6"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A67C50F"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59FFB2AE"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25243909" w14:textId="77777777" w:rsidTr="00683DE9">
        <w:trPr>
          <w:trHeight w:val="126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E4E36BA"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9675C2"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3C305471"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a) % of funds committed that are managed by small-medium </w:t>
            </w:r>
            <w:proofErr w:type="gramStart"/>
            <w:r w:rsidRPr="003B6264">
              <w:rPr>
                <w:rFonts w:cs="Arial"/>
                <w:sz w:val="20"/>
                <w:szCs w:val="20"/>
                <w:lang w:eastAsia="en-GB"/>
              </w:rPr>
              <w:t>organisations  -</w:t>
            </w:r>
            <w:proofErr w:type="gramEnd"/>
            <w:r w:rsidRPr="003B6264">
              <w:rPr>
                <w:rFonts w:cs="Arial"/>
                <w:sz w:val="20"/>
                <w:szCs w:val="20"/>
                <w:lang w:eastAsia="en-GB"/>
              </w:rPr>
              <w:t xml:space="preserve"> using lead organisation in Yr1; b) Proportion of grants led by organisations registered in ODA eligible countries - forecast in Yr1. </w:t>
            </w:r>
            <w:r w:rsidRPr="003B6264">
              <w:rPr>
                <w:rFonts w:cs="Arial"/>
                <w:b/>
                <w:bCs/>
                <w:sz w:val="20"/>
                <w:szCs w:val="20"/>
                <w:lang w:eastAsia="en-GB"/>
              </w:rPr>
              <w:t>Disaggregation:</w:t>
            </w:r>
            <w:r w:rsidRPr="003B6264">
              <w:rPr>
                <w:rFonts w:cs="Arial"/>
                <w:sz w:val="20"/>
                <w:szCs w:val="20"/>
                <w:lang w:eastAsia="en-GB"/>
              </w:rPr>
              <w:t xml:space="preserve"> Funding pathway (Community/Partnership); Organisation size (small/medium/large - defined by average annual income); Lead/Partner; First time funded (yes/no); Location (ODA/non-ODA); GESI (gender balance of organisation management); Age</w:t>
            </w:r>
          </w:p>
        </w:tc>
      </w:tr>
      <w:tr w:rsidR="00CE388C" w:rsidRPr="003B6264" w14:paraId="107A76C3" w14:textId="77777777" w:rsidTr="00683DE9">
        <w:trPr>
          <w:gridAfter w:val="8"/>
          <w:wAfter w:w="8611" w:type="dxa"/>
          <w:trHeight w:val="345"/>
        </w:trPr>
        <w:tc>
          <w:tcPr>
            <w:tcW w:w="3397" w:type="dxa"/>
            <w:tcBorders>
              <w:top w:val="single" w:sz="4" w:space="0" w:color="auto"/>
              <w:left w:val="single" w:sz="4" w:space="0" w:color="auto"/>
              <w:bottom w:val="single" w:sz="4" w:space="0" w:color="auto"/>
              <w:right w:val="nil"/>
            </w:tcBorders>
            <w:noWrap/>
            <w:vAlign w:val="center"/>
            <w:hideMark/>
          </w:tcPr>
          <w:p w14:paraId="79ACDAC5" w14:textId="77777777" w:rsidR="00CE388C" w:rsidRPr="003B6264" w:rsidRDefault="00CE388C" w:rsidP="003B6264">
            <w:pPr>
              <w:rPr>
                <w:rFonts w:cs="Arial"/>
                <w:b/>
                <w:bCs/>
                <w:sz w:val="20"/>
                <w:szCs w:val="20"/>
                <w:lang w:eastAsia="en-GB"/>
              </w:rPr>
            </w:pPr>
          </w:p>
        </w:tc>
        <w:tc>
          <w:tcPr>
            <w:tcW w:w="3402" w:type="dxa"/>
            <w:vMerge w:val="restart"/>
            <w:tcBorders>
              <w:top w:val="single" w:sz="4" w:space="0" w:color="auto"/>
              <w:left w:val="single" w:sz="4" w:space="0" w:color="auto"/>
              <w:bottom w:val="single" w:sz="4" w:space="0" w:color="auto"/>
              <w:right w:val="nil"/>
            </w:tcBorders>
            <w:shd w:val="clear" w:color="000000" w:fill="99CCFF"/>
            <w:vAlign w:val="center"/>
            <w:hideMark/>
          </w:tcPr>
          <w:p w14:paraId="7751A2DC" w14:textId="77777777" w:rsidR="00CE388C" w:rsidRPr="003B6264" w:rsidRDefault="00CE388C" w:rsidP="003B6264">
            <w:pPr>
              <w:rPr>
                <w:rFonts w:cs="Arial"/>
                <w:b/>
                <w:bCs/>
                <w:sz w:val="20"/>
                <w:szCs w:val="20"/>
                <w:lang w:eastAsia="en-GB"/>
              </w:rPr>
            </w:pPr>
            <w:r w:rsidRPr="003B6264">
              <w:rPr>
                <w:rFonts w:cs="Arial"/>
                <w:b/>
                <w:bCs/>
                <w:sz w:val="20"/>
                <w:szCs w:val="20"/>
                <w:lang w:eastAsia="en-GB"/>
              </w:rPr>
              <w:t>IMPACT WEIGHTING (%): 20</w:t>
            </w:r>
          </w:p>
        </w:tc>
      </w:tr>
      <w:tr w:rsidR="00CE388C" w:rsidRPr="003B6264" w14:paraId="09527D0F" w14:textId="77777777" w:rsidTr="006525C1">
        <w:trPr>
          <w:trHeight w:val="345"/>
        </w:trPr>
        <w:tc>
          <w:tcPr>
            <w:tcW w:w="3397" w:type="dxa"/>
            <w:tcBorders>
              <w:top w:val="single" w:sz="4" w:space="0" w:color="auto"/>
              <w:left w:val="single" w:sz="4" w:space="0" w:color="auto"/>
              <w:bottom w:val="single" w:sz="4" w:space="0" w:color="auto"/>
              <w:right w:val="nil"/>
            </w:tcBorders>
            <w:noWrap/>
            <w:vAlign w:val="center"/>
            <w:hideMark/>
          </w:tcPr>
          <w:p w14:paraId="452AD8ED" w14:textId="77777777" w:rsidR="00CE388C" w:rsidRPr="003B6264" w:rsidRDefault="00CE388C" w:rsidP="003B6264">
            <w:pPr>
              <w:rPr>
                <w:rFonts w:cs="Arial"/>
                <w:b/>
                <w:bCs/>
                <w:i/>
                <w:iCs/>
                <w:sz w:val="20"/>
                <w:szCs w:val="20"/>
                <w:lang w:eastAsia="en-GB"/>
              </w:rPr>
            </w:pPr>
          </w:p>
        </w:tc>
        <w:tc>
          <w:tcPr>
            <w:tcW w:w="3402" w:type="dxa"/>
            <w:vMerge/>
            <w:tcBorders>
              <w:top w:val="single" w:sz="4" w:space="0" w:color="auto"/>
              <w:left w:val="single" w:sz="4" w:space="0" w:color="auto"/>
              <w:bottom w:val="single" w:sz="4" w:space="0" w:color="auto"/>
              <w:right w:val="nil"/>
            </w:tcBorders>
            <w:vAlign w:val="center"/>
            <w:hideMark/>
          </w:tcPr>
          <w:p w14:paraId="17D0DDE2" w14:textId="77777777" w:rsidR="00CE388C" w:rsidRPr="003B6264" w:rsidRDefault="00CE388C"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A45F847" w14:textId="77777777" w:rsidR="00CE388C" w:rsidRPr="003B6264" w:rsidRDefault="00CE388C" w:rsidP="003B6264">
            <w:pPr>
              <w:rPr>
                <w:rFonts w:cs="Arial"/>
                <w:sz w:val="20"/>
                <w:szCs w:val="20"/>
                <w:lang w:eastAsia="en-GB"/>
              </w:rPr>
            </w:pPr>
          </w:p>
        </w:tc>
      </w:tr>
      <w:tr w:rsidR="00683DE9" w:rsidRPr="003B6264" w14:paraId="7324A233"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2765A08E"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2</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0CD2A0D"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2.1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9D2EC9E"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BCC5693"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921F6E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70AE4C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7F7516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5F9BAB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87D25CB"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41FCDB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7CFAB535" w14:textId="77777777" w:rsidTr="00683DE9">
        <w:trPr>
          <w:trHeight w:val="600"/>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F76DC" w14:textId="77777777" w:rsidR="003B6264" w:rsidRPr="003B6264" w:rsidRDefault="003B6264" w:rsidP="003B6264">
            <w:pPr>
              <w:jc w:val="center"/>
              <w:rPr>
                <w:rFonts w:cs="Arial"/>
                <w:sz w:val="20"/>
                <w:szCs w:val="20"/>
                <w:lang w:eastAsia="en-GB"/>
              </w:rPr>
            </w:pPr>
            <w:r w:rsidRPr="003B6264">
              <w:rPr>
                <w:rFonts w:cs="Arial"/>
                <w:sz w:val="20"/>
                <w:szCs w:val="20"/>
                <w:lang w:eastAsia="en-GB"/>
              </w:rPr>
              <w:t xml:space="preserve">Organisations and coastal communities in ODA eligible </w:t>
            </w:r>
            <w:r w:rsidRPr="003B6264">
              <w:rPr>
                <w:rFonts w:cs="Arial"/>
                <w:sz w:val="20"/>
                <w:szCs w:val="20"/>
                <w:lang w:eastAsia="en-GB"/>
              </w:rPr>
              <w:lastRenderedPageBreak/>
              <w:t xml:space="preserve">countries have access to guidance, training and support to build their capacity to address marine environment and poverty reduction challenges.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22FCB55"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lastRenderedPageBreak/>
              <w:t xml:space="preserve">Applicants and grantees use OCEAN training and guidance to </w:t>
            </w:r>
            <w:r w:rsidRPr="003B6264">
              <w:rPr>
                <w:rFonts w:cs="Arial"/>
                <w:color w:val="000000"/>
                <w:sz w:val="20"/>
                <w:szCs w:val="20"/>
                <w:lang w:eastAsia="en-GB"/>
              </w:rPr>
              <w:lastRenderedPageBreak/>
              <w:t>build their capacity to apply, design projects and effectively manage projects</w:t>
            </w:r>
            <w:r w:rsidRPr="003B6264">
              <w:rPr>
                <w:rFonts w:cs="Arial"/>
                <w:color w:val="000000"/>
                <w:sz w:val="20"/>
                <w:szCs w:val="20"/>
                <w:lang w:eastAsia="en-GB"/>
              </w:rPr>
              <w:br/>
            </w:r>
            <w:r w:rsidRPr="003B6264">
              <w:rPr>
                <w:rFonts w:cs="Arial"/>
                <w:b/>
                <w:bCs/>
                <w:color w:val="000000"/>
                <w:sz w:val="20"/>
                <w:szCs w:val="20"/>
                <w:lang w:eastAsia="en-GB"/>
              </w:rPr>
              <w:t>a) Number of applicants and grantees attending OCEAN training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86DEC"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lastRenderedPageBreak/>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08BDBBBF"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1D84D06" w14:textId="77777777" w:rsidR="003B6264" w:rsidRPr="003B6264" w:rsidRDefault="003B6264" w:rsidP="003B6264">
            <w:pPr>
              <w:jc w:val="right"/>
              <w:rPr>
                <w:rFonts w:cs="Arial"/>
                <w:sz w:val="20"/>
                <w:szCs w:val="20"/>
                <w:lang w:eastAsia="en-GB"/>
              </w:rPr>
            </w:pPr>
            <w:r w:rsidRPr="003B6264">
              <w:rPr>
                <w:rFonts w:cs="Arial"/>
                <w:sz w:val="20"/>
                <w:szCs w:val="20"/>
                <w:lang w:eastAsia="en-GB"/>
              </w:rPr>
              <w:t>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0FD9B1"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51F0E2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6FBB0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065C2FF"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AF67BDE" w14:textId="77777777" w:rsidR="003B6264" w:rsidRPr="003B6264" w:rsidRDefault="003B6264" w:rsidP="003B6264">
            <w:pPr>
              <w:rPr>
                <w:rFonts w:cs="Arial"/>
                <w:sz w:val="20"/>
                <w:szCs w:val="20"/>
                <w:lang w:eastAsia="en-GB"/>
              </w:rPr>
            </w:pPr>
          </w:p>
        </w:tc>
      </w:tr>
      <w:tr w:rsidR="00683DE9" w:rsidRPr="003B6264" w14:paraId="6E58AB92" w14:textId="77777777" w:rsidTr="00683DE9">
        <w:trPr>
          <w:trHeight w:val="166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906AFFC"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9A2898"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142516"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DF9CF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95F073" w14:textId="77777777" w:rsidR="003B6264" w:rsidRPr="003B6264" w:rsidRDefault="003B6264" w:rsidP="003B6264">
            <w:pPr>
              <w:rPr>
                <w:rFonts w:cs="Arial"/>
                <w:b/>
                <w:bCs/>
                <w:sz w:val="20"/>
                <w:szCs w:val="20"/>
                <w:lang w:eastAsia="en-GB"/>
              </w:rPr>
            </w:pPr>
            <w:r w:rsidRPr="003B6264">
              <w:rPr>
                <w:rFonts w:cs="Arial"/>
                <w:b/>
                <w:bCs/>
                <w:sz w:val="20"/>
                <w:szCs w:val="20"/>
                <w:lang w:eastAsia="en-GB"/>
              </w:rPr>
              <w:t>#Organisations attending application webinars/workshops:</w:t>
            </w:r>
            <w:r w:rsidRPr="003B6264">
              <w:rPr>
                <w:rFonts w:cs="Arial"/>
                <w:b/>
                <w:bCs/>
                <w:sz w:val="20"/>
                <w:szCs w:val="20"/>
                <w:lang w:eastAsia="en-GB"/>
              </w:rPr>
              <w:br/>
              <w:t>#Attendee Countries: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362625" w14:textId="77777777" w:rsidR="003B6264" w:rsidRPr="003B6264" w:rsidRDefault="003B6264" w:rsidP="003B6264">
            <w:pPr>
              <w:rPr>
                <w:rFonts w:cs="Arial"/>
                <w:b/>
                <w:bCs/>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462466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3321D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A67287"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1845FB7" w14:textId="77777777" w:rsidR="003B6264" w:rsidRPr="003B6264" w:rsidRDefault="003B6264" w:rsidP="003B6264">
            <w:pPr>
              <w:rPr>
                <w:rFonts w:cs="Arial"/>
                <w:sz w:val="20"/>
                <w:szCs w:val="20"/>
                <w:lang w:eastAsia="en-GB"/>
              </w:rPr>
            </w:pPr>
          </w:p>
        </w:tc>
      </w:tr>
      <w:tr w:rsidR="00683DE9" w:rsidRPr="003B6264" w14:paraId="3237BD9D" w14:textId="77777777" w:rsidTr="00683DE9">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ABAF3CD"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127F1BD" w14:textId="77777777" w:rsidR="003B6264" w:rsidRPr="003B6264" w:rsidRDefault="003B6264" w:rsidP="003B6264">
            <w:pPr>
              <w:spacing w:after="240"/>
              <w:rPr>
                <w:rFonts w:cs="Arial"/>
                <w:b/>
                <w:bCs/>
                <w:color w:val="000000"/>
                <w:sz w:val="20"/>
                <w:szCs w:val="20"/>
                <w:lang w:eastAsia="en-GB"/>
              </w:rPr>
            </w:pPr>
            <w:r w:rsidRPr="003B6264">
              <w:rPr>
                <w:rFonts w:cs="Arial"/>
                <w:b/>
                <w:bCs/>
                <w:color w:val="000000"/>
                <w:sz w:val="20"/>
                <w:szCs w:val="20"/>
                <w:lang w:eastAsia="en-GB"/>
              </w:rPr>
              <w:t>b) Number of applicants and grantees using OCEAN guidance</w:t>
            </w:r>
            <w:r w:rsidRPr="003B6264">
              <w:rPr>
                <w:rFonts w:cs="Arial"/>
                <w:b/>
                <w:bCs/>
                <w:color w:val="000000"/>
                <w:sz w:val="20"/>
                <w:szCs w:val="20"/>
                <w:lang w:eastAsia="en-GB"/>
              </w:rPr>
              <w:br/>
            </w:r>
          </w:p>
        </w:tc>
        <w:tc>
          <w:tcPr>
            <w:tcW w:w="1418" w:type="dxa"/>
            <w:tcBorders>
              <w:top w:val="single" w:sz="4" w:space="0" w:color="auto"/>
              <w:left w:val="single" w:sz="4" w:space="0" w:color="auto"/>
              <w:bottom w:val="single" w:sz="4" w:space="0" w:color="auto"/>
              <w:right w:val="single" w:sz="4" w:space="0" w:color="auto"/>
            </w:tcBorders>
            <w:vAlign w:val="center"/>
            <w:hideMark/>
          </w:tcPr>
          <w:p w14:paraId="0471B994"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E9150C"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D91C44" w14:textId="77777777" w:rsidR="003B6264" w:rsidRPr="003B6264" w:rsidRDefault="003B6264" w:rsidP="003B6264">
            <w:pPr>
              <w:jc w:val="right"/>
              <w:rPr>
                <w:rFonts w:cs="Arial"/>
                <w:sz w:val="20"/>
                <w:szCs w:val="20"/>
                <w:lang w:eastAsia="en-GB"/>
              </w:rPr>
            </w:pPr>
            <w:r w:rsidRPr="003B6264">
              <w:rPr>
                <w:rFonts w:cs="Arial"/>
                <w:sz w:val="20"/>
                <w:szCs w:val="20"/>
                <w:lang w:eastAsia="en-GB"/>
              </w:rPr>
              <w:t>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1E2B4E"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970179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44F36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3AE5F9"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5A9571B3" w14:textId="77777777" w:rsidR="003B6264" w:rsidRPr="003B6264" w:rsidRDefault="003B6264" w:rsidP="003B6264">
            <w:pPr>
              <w:rPr>
                <w:rFonts w:cs="Arial"/>
                <w:sz w:val="20"/>
                <w:szCs w:val="20"/>
                <w:lang w:eastAsia="en-GB"/>
              </w:rPr>
            </w:pPr>
          </w:p>
        </w:tc>
      </w:tr>
      <w:tr w:rsidR="00683DE9" w:rsidRPr="003B6264" w14:paraId="52780625" w14:textId="77777777" w:rsidTr="00683DE9">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F7204D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3110B5" w14:textId="77777777" w:rsidR="003B6264" w:rsidRPr="003B6264" w:rsidRDefault="003B6264" w:rsidP="003B6264">
            <w:pPr>
              <w:rPr>
                <w:rFonts w:cs="Arial"/>
                <w:b/>
                <w:bCs/>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95AF714"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C56F8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54E098"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#Downloads: </w:t>
            </w:r>
            <w:r w:rsidRPr="003B6264">
              <w:rPr>
                <w:rFonts w:cs="Arial"/>
                <w:sz w:val="20"/>
                <w:szCs w:val="20"/>
                <w:lang w:eastAsia="en-GB"/>
              </w:rPr>
              <w:t>6863 (Feb-Jun 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8EA6E" w14:textId="77777777" w:rsidR="003B6264" w:rsidRPr="003B6264" w:rsidRDefault="003B6264" w:rsidP="003B6264">
            <w:pPr>
              <w:rPr>
                <w:rFonts w:cs="Arial"/>
                <w:b/>
                <w:bCs/>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786552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7E89AB"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745BA9"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6ED2383" w14:textId="77777777" w:rsidR="003B6264" w:rsidRPr="003B6264" w:rsidRDefault="003B6264" w:rsidP="003B6264">
            <w:pPr>
              <w:rPr>
                <w:rFonts w:cs="Arial"/>
                <w:sz w:val="20"/>
                <w:szCs w:val="20"/>
                <w:lang w:eastAsia="en-GB"/>
              </w:rPr>
            </w:pPr>
          </w:p>
        </w:tc>
      </w:tr>
      <w:tr w:rsidR="003B6264" w:rsidRPr="003B6264" w14:paraId="582E896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190A410"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4F2E5DD" w14:textId="77777777" w:rsidR="003B6264" w:rsidRPr="003B6264" w:rsidRDefault="003B6264" w:rsidP="003B6264">
            <w:pPr>
              <w:rPr>
                <w:rFonts w:cs="Arial"/>
                <w:b/>
                <w:bCs/>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7568FFE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51F6C916" w14:textId="77777777" w:rsidTr="00683DE9">
        <w:trPr>
          <w:trHeight w:val="84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C5AF723"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C7B9B5" w14:textId="77777777" w:rsidR="003B6264" w:rsidRPr="003B6264" w:rsidRDefault="003B6264" w:rsidP="003B6264">
            <w:pPr>
              <w:rPr>
                <w:rFonts w:cs="Arial"/>
                <w:b/>
                <w:bCs/>
                <w:color w:val="000000"/>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412C0CE0"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a) Number of unique </w:t>
            </w:r>
            <w:r w:rsidRPr="003B6264">
              <w:rPr>
                <w:rFonts w:cs="Arial"/>
                <w:b/>
                <w:bCs/>
                <w:sz w:val="20"/>
                <w:szCs w:val="20"/>
                <w:lang w:eastAsia="en-GB"/>
              </w:rPr>
              <w:t>organisations</w:t>
            </w:r>
            <w:r w:rsidRPr="003B6264">
              <w:rPr>
                <w:rFonts w:cs="Arial"/>
                <w:sz w:val="20"/>
                <w:szCs w:val="20"/>
                <w:lang w:eastAsia="en-GB"/>
              </w:rPr>
              <w:t xml:space="preserve"> attending OCEAN training; b) number of downloads of guidance from OCEAN website. </w:t>
            </w:r>
            <w:r w:rsidRPr="003B6264">
              <w:rPr>
                <w:rFonts w:cs="Arial"/>
                <w:b/>
                <w:bCs/>
                <w:sz w:val="20"/>
                <w:szCs w:val="20"/>
                <w:lang w:eastAsia="en-GB"/>
              </w:rPr>
              <w:t xml:space="preserve">Disaggregation: </w:t>
            </w:r>
            <w:r w:rsidRPr="003B6264">
              <w:rPr>
                <w:rFonts w:cs="Arial"/>
                <w:sz w:val="20"/>
                <w:szCs w:val="20"/>
                <w:lang w:eastAsia="en-GB"/>
              </w:rPr>
              <w:t>Delivery type (</w:t>
            </w:r>
            <w:r w:rsidRPr="003B6264">
              <w:rPr>
                <w:rFonts w:cs="Arial"/>
                <w:b/>
                <w:bCs/>
                <w:sz w:val="20"/>
                <w:szCs w:val="20"/>
                <w:lang w:eastAsia="en-GB"/>
              </w:rPr>
              <w:t>webinar</w:t>
            </w:r>
            <w:r w:rsidRPr="003B6264">
              <w:rPr>
                <w:rFonts w:cs="Arial"/>
                <w:sz w:val="20"/>
                <w:szCs w:val="20"/>
                <w:lang w:eastAsia="en-GB"/>
              </w:rPr>
              <w:t>/in-person/written guidance); Training type (application/project delivery); Location (country of attendee); Language (En/Fr/Id/Pt/Es)</w:t>
            </w:r>
          </w:p>
        </w:tc>
      </w:tr>
      <w:tr w:rsidR="00683DE9" w:rsidRPr="003B6264" w14:paraId="3C5F542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38D376C"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B93E953"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2.2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46AECBE"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5091BD4"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97D4F9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762F07B"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9B060F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E85E6F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1FA3A6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79FE6A0"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1AFC2ED4" w14:textId="77777777" w:rsidTr="00683DE9">
        <w:trPr>
          <w:trHeight w:val="63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02D2A33"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FB8B6ED" w14:textId="77777777" w:rsidR="003B6264" w:rsidRPr="003B6264" w:rsidRDefault="003B6264" w:rsidP="003B6264">
            <w:pPr>
              <w:rPr>
                <w:rFonts w:cs="Arial"/>
                <w:color w:val="000000"/>
                <w:sz w:val="20"/>
                <w:szCs w:val="20"/>
                <w:lang w:eastAsia="en-GB"/>
              </w:rPr>
            </w:pPr>
            <w:r w:rsidRPr="003B6264">
              <w:rPr>
                <w:rFonts w:cs="Arial"/>
                <w:color w:val="000000"/>
                <w:sz w:val="20"/>
                <w:szCs w:val="20"/>
                <w:lang w:eastAsia="en-GB"/>
              </w:rPr>
              <w:t>Applicants and Grantees report that OCEAN training and guidance was relevant and useful - proportion reporting that training and support is relevant and useful</w:t>
            </w:r>
            <w:r w:rsidRPr="003B6264">
              <w:rPr>
                <w:rFonts w:cs="Arial"/>
                <w:color w:val="000000"/>
                <w:sz w:val="20"/>
                <w:szCs w:val="20"/>
                <w:lang w:eastAsia="en-GB"/>
              </w:rPr>
              <w:br/>
            </w:r>
            <w:r w:rsidRPr="003B6264">
              <w:rPr>
                <w:rFonts w:cs="Arial"/>
                <w:b/>
                <w:bCs/>
                <w:color w:val="000000"/>
                <w:sz w:val="20"/>
                <w:szCs w:val="20"/>
                <w:lang w:eastAsia="en-GB"/>
              </w:rPr>
              <w:t>a) Proportion reporting that OCEAN training is relevant and useful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4E781D"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6962DE74"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FCF3F7" w14:textId="77777777" w:rsidR="003B6264" w:rsidRPr="003B6264" w:rsidRDefault="003B6264" w:rsidP="003B6264">
            <w:pPr>
              <w:jc w:val="right"/>
              <w:rPr>
                <w:rFonts w:cs="Arial"/>
                <w:sz w:val="20"/>
                <w:szCs w:val="20"/>
                <w:lang w:eastAsia="en-GB"/>
              </w:rPr>
            </w:pPr>
            <w:r w:rsidRPr="003B6264">
              <w:rPr>
                <w:rFonts w:cs="Arial"/>
                <w:sz w:val="20"/>
                <w:szCs w:val="20"/>
                <w:lang w:eastAsia="en-GB"/>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280CD1"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2808FB5"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15EE2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5EB22D"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0E637ED" w14:textId="77777777" w:rsidR="003B6264" w:rsidRPr="003B6264" w:rsidRDefault="003B6264" w:rsidP="003B6264">
            <w:pPr>
              <w:rPr>
                <w:rFonts w:cs="Arial"/>
                <w:sz w:val="20"/>
                <w:szCs w:val="20"/>
                <w:lang w:eastAsia="en-GB"/>
              </w:rPr>
            </w:pPr>
          </w:p>
        </w:tc>
      </w:tr>
      <w:tr w:rsidR="00683DE9" w:rsidRPr="003B6264" w14:paraId="2E357180" w14:textId="77777777" w:rsidTr="00683DE9">
        <w:trPr>
          <w:trHeight w:val="12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79D498A"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1B2643" w14:textId="77777777" w:rsidR="003B6264" w:rsidRPr="003B6264" w:rsidRDefault="003B6264" w:rsidP="003B6264">
            <w:pP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97A28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429B69"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50F5D9" w14:textId="77777777" w:rsidR="003B6264" w:rsidRPr="003B6264" w:rsidRDefault="003B6264" w:rsidP="003B6264">
            <w:pPr>
              <w:rPr>
                <w:rFonts w:cs="Arial"/>
                <w:sz w:val="20"/>
                <w:szCs w:val="20"/>
                <w:lang w:eastAsia="en-GB"/>
              </w:rPr>
            </w:pPr>
            <w:r w:rsidRPr="003B6264">
              <w:rPr>
                <w:rFonts w:cs="Arial"/>
                <w:sz w:val="20"/>
                <w:szCs w:val="20"/>
                <w:lang w:eastAsia="en-GB"/>
              </w:rPr>
              <w:t xml:space="preserve">94% </w:t>
            </w:r>
            <w:r w:rsidRPr="003B6264">
              <w:rPr>
                <w:rFonts w:cs="Arial"/>
                <w:sz w:val="20"/>
                <w:szCs w:val="20"/>
                <w:lang w:eastAsia="en-GB"/>
              </w:rPr>
              <w:br/>
              <w:t>(</w:t>
            </w:r>
            <w:proofErr w:type="spellStart"/>
            <w:proofErr w:type="gramStart"/>
            <w:r w:rsidRPr="003B6264">
              <w:rPr>
                <w:rFonts w:cs="Arial"/>
                <w:sz w:val="20"/>
                <w:szCs w:val="20"/>
                <w:lang w:eastAsia="en-GB"/>
              </w:rPr>
              <w:t>source:Round</w:t>
            </w:r>
            <w:proofErr w:type="spellEnd"/>
            <w:proofErr w:type="gramEnd"/>
            <w:r w:rsidRPr="003B6264">
              <w:rPr>
                <w:rFonts w:cs="Arial"/>
                <w:sz w:val="20"/>
                <w:szCs w:val="20"/>
                <w:lang w:eastAsia="en-GB"/>
              </w:rPr>
              <w:t xml:space="preserve"> 1 Stage 1 Post-Applicati</w:t>
            </w:r>
            <w:r w:rsidRPr="003B6264">
              <w:rPr>
                <w:rFonts w:cs="Arial"/>
                <w:sz w:val="20"/>
                <w:szCs w:val="20"/>
                <w:lang w:eastAsia="en-GB"/>
              </w:rPr>
              <w:lastRenderedPageBreak/>
              <w:t>on Survey 2024,  392 respondents)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F42C1F"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C4D742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6D1225"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5DEE87"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794B01F" w14:textId="77777777" w:rsidR="003B6264" w:rsidRPr="003B6264" w:rsidRDefault="003B6264" w:rsidP="003B6264">
            <w:pPr>
              <w:rPr>
                <w:rFonts w:cs="Arial"/>
                <w:sz w:val="20"/>
                <w:szCs w:val="20"/>
                <w:lang w:eastAsia="en-GB"/>
              </w:rPr>
            </w:pPr>
          </w:p>
        </w:tc>
      </w:tr>
      <w:tr w:rsidR="00683DE9" w:rsidRPr="003B6264" w14:paraId="05475A44" w14:textId="77777777" w:rsidTr="00683DE9">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35005FA"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00236CA" w14:textId="77777777" w:rsidR="003B6264" w:rsidRPr="003B6264" w:rsidRDefault="003B6264" w:rsidP="003B6264">
            <w:pPr>
              <w:spacing w:after="240"/>
              <w:rPr>
                <w:rFonts w:cs="Arial"/>
                <w:b/>
                <w:bCs/>
                <w:sz w:val="20"/>
                <w:szCs w:val="20"/>
                <w:lang w:eastAsia="en-GB"/>
              </w:rPr>
            </w:pPr>
            <w:r w:rsidRPr="003B6264">
              <w:rPr>
                <w:rFonts w:cs="Arial"/>
                <w:b/>
                <w:bCs/>
                <w:sz w:val="20"/>
                <w:szCs w:val="20"/>
                <w:lang w:eastAsia="en-GB"/>
              </w:rPr>
              <w:t>b) Proportion reporting that OCEAN guidance is relevant and useful</w:t>
            </w:r>
            <w:r w:rsidRPr="003B6264">
              <w:rPr>
                <w:rFonts w:cs="Arial"/>
                <w:b/>
                <w:bCs/>
                <w:sz w:val="20"/>
                <w:szCs w:val="20"/>
                <w:lang w:eastAsia="en-GB"/>
              </w:rPr>
              <w:br/>
            </w:r>
            <w:r w:rsidRPr="003B6264">
              <w:rPr>
                <w:rFonts w:cs="Arial"/>
                <w:b/>
                <w:bCs/>
                <w:sz w:val="20"/>
                <w:szCs w:val="20"/>
                <w:lang w:eastAsia="en-GB"/>
              </w:rPr>
              <w:br/>
            </w:r>
            <w:r w:rsidRPr="003B6264">
              <w:rPr>
                <w:rFonts w:cs="Arial"/>
                <w:b/>
                <w:bCs/>
                <w:sz w:val="20"/>
                <w:szCs w:val="20"/>
                <w:lang w:eastAsia="en-GB"/>
              </w:rPr>
              <w:br/>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CBD99"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0264BC"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DF4516" w14:textId="77777777" w:rsidR="003B6264" w:rsidRPr="003B6264" w:rsidRDefault="003B6264" w:rsidP="003B6264">
            <w:pPr>
              <w:jc w:val="right"/>
              <w:rPr>
                <w:rFonts w:cs="Arial"/>
                <w:sz w:val="20"/>
                <w:szCs w:val="20"/>
                <w:lang w:eastAsia="en-GB"/>
              </w:rPr>
            </w:pPr>
            <w:r w:rsidRPr="003B6264">
              <w:rPr>
                <w:rFonts w:cs="Arial"/>
                <w:sz w:val="20"/>
                <w:szCs w:val="20"/>
                <w:lang w:eastAsia="en-GB"/>
              </w:rPr>
              <w:t>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6A06BA"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A90EE14"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0A4D4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449395"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noWrap/>
            <w:vAlign w:val="center"/>
            <w:hideMark/>
          </w:tcPr>
          <w:p w14:paraId="7CDEAAB2" w14:textId="77777777" w:rsidR="003B6264" w:rsidRPr="003B6264" w:rsidRDefault="003B6264" w:rsidP="003B6264">
            <w:pPr>
              <w:rPr>
                <w:rFonts w:cs="Arial"/>
                <w:sz w:val="20"/>
                <w:szCs w:val="20"/>
                <w:lang w:eastAsia="en-GB"/>
              </w:rPr>
            </w:pPr>
          </w:p>
        </w:tc>
      </w:tr>
      <w:tr w:rsidR="00683DE9" w:rsidRPr="003B6264" w14:paraId="61735956" w14:textId="77777777" w:rsidTr="00683DE9">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D5E8FE3"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C2BF3F" w14:textId="77777777" w:rsidR="003B6264" w:rsidRPr="003B6264" w:rsidRDefault="003B6264" w:rsidP="003B6264">
            <w:pPr>
              <w:rPr>
                <w:rFonts w:cs="Arial"/>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2FAE2C"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39C978"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F2C142" w14:textId="77777777" w:rsidR="003B6264" w:rsidRPr="003B6264" w:rsidRDefault="003B6264" w:rsidP="003B6264">
            <w:pPr>
              <w:rPr>
                <w:rFonts w:cs="Arial"/>
                <w:sz w:val="20"/>
                <w:szCs w:val="20"/>
                <w:lang w:eastAsia="en-GB"/>
              </w:rPr>
            </w:pPr>
            <w:r w:rsidRPr="003B6264">
              <w:rPr>
                <w:rFonts w:cs="Arial"/>
                <w:sz w:val="20"/>
                <w:szCs w:val="20"/>
                <w:lang w:eastAsia="en-GB"/>
              </w:rPr>
              <w:t>98% (</w:t>
            </w:r>
            <w:proofErr w:type="spellStart"/>
            <w:proofErr w:type="gramStart"/>
            <w:r w:rsidRPr="003B6264">
              <w:rPr>
                <w:rFonts w:cs="Arial"/>
                <w:sz w:val="20"/>
                <w:szCs w:val="20"/>
                <w:lang w:eastAsia="en-GB"/>
              </w:rPr>
              <w:t>source:Round</w:t>
            </w:r>
            <w:proofErr w:type="spellEnd"/>
            <w:proofErr w:type="gramEnd"/>
            <w:r w:rsidRPr="003B6264">
              <w:rPr>
                <w:rFonts w:cs="Arial"/>
                <w:sz w:val="20"/>
                <w:szCs w:val="20"/>
                <w:lang w:eastAsia="en-GB"/>
              </w:rPr>
              <w:t xml:space="preserve"> 1 Stage 1 Post-Application Survey 2024,  392 respondents)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ECD174"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F2C05C4"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E5F3A3"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C0A055"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noWrap/>
            <w:vAlign w:val="center"/>
            <w:hideMark/>
          </w:tcPr>
          <w:p w14:paraId="3ED3E134" w14:textId="77777777" w:rsidR="003B6264" w:rsidRPr="003B6264" w:rsidRDefault="003B6264" w:rsidP="003B6264">
            <w:pPr>
              <w:rPr>
                <w:rFonts w:cs="Arial"/>
                <w:sz w:val="20"/>
                <w:szCs w:val="20"/>
                <w:lang w:eastAsia="en-GB"/>
              </w:rPr>
            </w:pPr>
          </w:p>
        </w:tc>
      </w:tr>
      <w:tr w:rsidR="003B6264" w:rsidRPr="003B6264" w14:paraId="525B1C0A"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372318"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B4A03F1"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4186258B"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086F79AD" w14:textId="77777777" w:rsidTr="00683DE9">
        <w:trPr>
          <w:trHeight w:val="111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C4F7D9C"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927235" w14:textId="77777777" w:rsidR="003B6264" w:rsidRPr="003B6264" w:rsidRDefault="003B6264" w:rsidP="003B6264">
            <w:pPr>
              <w:rPr>
                <w:rFonts w:cs="Arial"/>
                <w:b/>
                <w:bCs/>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6D343F5B"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a) % applicants from R1S1 reporting that training and support is relevant and useful. b) % applicants from R1S1 reporting that OCEAN guidance is relevant and useful. </w:t>
            </w:r>
            <w:r w:rsidRPr="003B6264">
              <w:rPr>
                <w:rFonts w:cs="Arial"/>
                <w:b/>
                <w:bCs/>
                <w:sz w:val="20"/>
                <w:szCs w:val="20"/>
                <w:lang w:eastAsia="en-GB"/>
              </w:rPr>
              <w:t xml:space="preserve">Disaggregation: </w:t>
            </w:r>
            <w:r w:rsidRPr="003B6264">
              <w:rPr>
                <w:rFonts w:cs="Arial"/>
                <w:sz w:val="20"/>
                <w:szCs w:val="20"/>
                <w:lang w:eastAsia="en-GB"/>
              </w:rPr>
              <w:t xml:space="preserve">Unit (% reporting training and support/guidance was relevant and useful); Type (webinar/helpdesk/community/expert committee feedback on applications/feedback on reports/written guidance); GESI: gender, age, education? </w:t>
            </w:r>
            <w:r w:rsidRPr="003B6264">
              <w:rPr>
                <w:rFonts w:cs="Arial"/>
                <w:b/>
                <w:bCs/>
                <w:sz w:val="20"/>
                <w:szCs w:val="20"/>
                <w:lang w:eastAsia="en-GB"/>
              </w:rPr>
              <w:t xml:space="preserve">Method: </w:t>
            </w:r>
            <w:r w:rsidRPr="003B6264">
              <w:rPr>
                <w:rFonts w:cs="Arial"/>
                <w:sz w:val="20"/>
                <w:szCs w:val="20"/>
                <w:lang w:eastAsia="en-GB"/>
              </w:rPr>
              <w:t xml:space="preserve">survey </w:t>
            </w:r>
          </w:p>
        </w:tc>
      </w:tr>
      <w:tr w:rsidR="00683DE9" w:rsidRPr="003B6264" w14:paraId="4890DFAF"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79B9FD0"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84ED0B7"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2.3</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2A9FABC"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E04DA9C"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B43641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364BDB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AD022FB"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DDA9B72"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68A615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5C458D6"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779E9247"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8E22386"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679BB8D" w14:textId="77777777" w:rsidR="003B6264" w:rsidRPr="003B6264" w:rsidRDefault="003B6264" w:rsidP="003B6264">
            <w:pPr>
              <w:rPr>
                <w:rFonts w:cs="Arial"/>
                <w:sz w:val="20"/>
                <w:szCs w:val="20"/>
                <w:lang w:eastAsia="en-GB"/>
              </w:rPr>
            </w:pPr>
            <w:r w:rsidRPr="003B6264">
              <w:rPr>
                <w:rFonts w:cs="Arial"/>
                <w:sz w:val="20"/>
                <w:szCs w:val="20"/>
                <w:lang w:eastAsia="en-GB"/>
              </w:rPr>
              <w:t>Proportion of OCEAN projects that provide guidance, training and/or support services to communities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1CCB0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06A62F07"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66E4B4" w14:textId="77777777" w:rsidR="003B6264" w:rsidRPr="003B6264" w:rsidRDefault="003B6264" w:rsidP="003B6264">
            <w:pPr>
              <w:jc w:val="right"/>
              <w:rPr>
                <w:rFonts w:cs="Arial"/>
                <w:sz w:val="20"/>
                <w:szCs w:val="20"/>
                <w:lang w:eastAsia="en-GB"/>
              </w:rPr>
            </w:pPr>
            <w:r w:rsidRPr="003B6264">
              <w:rPr>
                <w:rFonts w:cs="Arial"/>
                <w:sz w:val="20"/>
                <w:szCs w:val="20"/>
                <w:lang w:eastAsia="en-GB"/>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099F7"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2FF8AF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8432A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9703CE"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E79F451" w14:textId="77777777" w:rsidR="003B6264" w:rsidRPr="003B6264" w:rsidRDefault="003B6264" w:rsidP="003B6264">
            <w:pPr>
              <w:jc w:val="right"/>
              <w:rPr>
                <w:rFonts w:cs="Arial"/>
                <w:sz w:val="20"/>
                <w:szCs w:val="20"/>
                <w:lang w:eastAsia="en-GB"/>
              </w:rPr>
            </w:pPr>
            <w:r w:rsidRPr="003B6264">
              <w:rPr>
                <w:rFonts w:cs="Arial"/>
                <w:sz w:val="20"/>
                <w:szCs w:val="20"/>
                <w:lang w:eastAsia="en-GB"/>
              </w:rPr>
              <w:t>100%</w:t>
            </w:r>
          </w:p>
        </w:tc>
      </w:tr>
      <w:tr w:rsidR="00683DE9" w:rsidRPr="003B6264" w14:paraId="1FD2D70C"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95E993E"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29A548"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B6991E"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1CE531"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918C13" w14:textId="77777777" w:rsidR="003B6264" w:rsidRPr="003B6264" w:rsidRDefault="003B6264" w:rsidP="003B6264">
            <w:pPr>
              <w:jc w:val="right"/>
              <w:rPr>
                <w:rFonts w:cs="Arial"/>
                <w:sz w:val="20"/>
                <w:szCs w:val="20"/>
                <w:lang w:eastAsia="en-GB"/>
              </w:rPr>
            </w:pPr>
            <w:r w:rsidRPr="003B6264">
              <w:rPr>
                <w:rFonts w:cs="Arial"/>
                <w:sz w:val="20"/>
                <w:szCs w:val="20"/>
                <w:lang w:eastAsia="en-GB"/>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B797BC"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44D141"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1C68C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BED7789"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00F8E4B" w14:textId="77777777" w:rsidR="003B6264" w:rsidRPr="003B6264" w:rsidRDefault="003B6264" w:rsidP="003B6264">
            <w:pPr>
              <w:rPr>
                <w:rFonts w:cs="Arial"/>
                <w:sz w:val="20"/>
                <w:szCs w:val="20"/>
                <w:lang w:eastAsia="en-GB"/>
              </w:rPr>
            </w:pPr>
          </w:p>
        </w:tc>
      </w:tr>
      <w:tr w:rsidR="003B6264" w:rsidRPr="003B6264" w14:paraId="1FE0A63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690AE50"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77C33CB"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62DBA89E"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314D10DB"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66122" w14:textId="77777777" w:rsidR="003B6264" w:rsidRPr="003B6264" w:rsidRDefault="003B6264" w:rsidP="003B6264">
            <w:pPr>
              <w:jc w:val="center"/>
              <w:rPr>
                <w:rFonts w:cs="Arial"/>
                <w:b/>
                <w:bCs/>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D90933"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4542DE0A"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Measure: </w:t>
            </w:r>
            <w:r w:rsidRPr="003B6264">
              <w:rPr>
                <w:rFonts w:cs="Arial"/>
                <w:sz w:val="20"/>
                <w:szCs w:val="20"/>
                <w:lang w:eastAsia="en-GB"/>
              </w:rPr>
              <w:t xml:space="preserve">% of OCEAN projects providing knowledge, training and support services. </w:t>
            </w:r>
            <w:r w:rsidRPr="003B6264">
              <w:rPr>
                <w:rFonts w:cs="Arial"/>
                <w:b/>
                <w:bCs/>
                <w:sz w:val="20"/>
                <w:szCs w:val="20"/>
                <w:lang w:eastAsia="en-GB"/>
              </w:rPr>
              <w:t xml:space="preserve">Disaggregation: </w:t>
            </w:r>
            <w:r w:rsidRPr="003B6264">
              <w:rPr>
                <w:rFonts w:cs="Arial"/>
                <w:sz w:val="20"/>
                <w:szCs w:val="20"/>
                <w:lang w:eastAsia="en-GB"/>
              </w:rPr>
              <w:t>Location; Type (training/service); GESI (gender/age/education level)</w:t>
            </w:r>
          </w:p>
        </w:tc>
      </w:tr>
      <w:tr w:rsidR="00CE388C" w:rsidRPr="003B6264" w14:paraId="3BB2CB44" w14:textId="77777777" w:rsidTr="00683DE9">
        <w:trPr>
          <w:gridAfter w:val="8"/>
          <w:wAfter w:w="8611" w:type="dxa"/>
          <w:trHeight w:val="345"/>
        </w:trPr>
        <w:tc>
          <w:tcPr>
            <w:tcW w:w="3397" w:type="dxa"/>
            <w:tcBorders>
              <w:top w:val="single" w:sz="4" w:space="0" w:color="auto"/>
              <w:left w:val="single" w:sz="4" w:space="0" w:color="auto"/>
              <w:bottom w:val="single" w:sz="4" w:space="0" w:color="auto"/>
              <w:right w:val="nil"/>
            </w:tcBorders>
            <w:noWrap/>
            <w:vAlign w:val="center"/>
            <w:hideMark/>
          </w:tcPr>
          <w:p w14:paraId="748C789F" w14:textId="77777777" w:rsidR="00CE388C" w:rsidRPr="003B6264" w:rsidRDefault="00CE388C" w:rsidP="003B6264">
            <w:pPr>
              <w:rPr>
                <w:rFonts w:cs="Arial"/>
                <w:b/>
                <w:bCs/>
                <w:sz w:val="20"/>
                <w:szCs w:val="20"/>
                <w:lang w:eastAsia="en-GB"/>
              </w:rPr>
            </w:pPr>
          </w:p>
        </w:tc>
        <w:tc>
          <w:tcPr>
            <w:tcW w:w="3402" w:type="dxa"/>
            <w:vMerge w:val="restart"/>
            <w:tcBorders>
              <w:top w:val="single" w:sz="4" w:space="0" w:color="auto"/>
              <w:left w:val="single" w:sz="4" w:space="0" w:color="auto"/>
              <w:bottom w:val="single" w:sz="4" w:space="0" w:color="auto"/>
              <w:right w:val="nil"/>
            </w:tcBorders>
            <w:shd w:val="clear" w:color="000000" w:fill="99CCFF"/>
            <w:vAlign w:val="center"/>
            <w:hideMark/>
          </w:tcPr>
          <w:p w14:paraId="4BFC6E83" w14:textId="77777777" w:rsidR="00CE388C" w:rsidRPr="003B6264" w:rsidRDefault="00CE388C" w:rsidP="003B6264">
            <w:pPr>
              <w:rPr>
                <w:rFonts w:cs="Arial"/>
                <w:b/>
                <w:bCs/>
                <w:sz w:val="20"/>
                <w:szCs w:val="20"/>
                <w:lang w:eastAsia="en-GB"/>
              </w:rPr>
            </w:pPr>
            <w:r w:rsidRPr="003B6264">
              <w:rPr>
                <w:rFonts w:cs="Arial"/>
                <w:b/>
                <w:bCs/>
                <w:sz w:val="20"/>
                <w:szCs w:val="20"/>
                <w:lang w:eastAsia="en-GB"/>
              </w:rPr>
              <w:t>IMPACT WEIGHTING (%): 40</w:t>
            </w:r>
          </w:p>
        </w:tc>
      </w:tr>
      <w:tr w:rsidR="00683DE9" w:rsidRPr="003B6264" w14:paraId="2E1FAD46" w14:textId="77777777" w:rsidTr="00683DE9">
        <w:trPr>
          <w:trHeight w:val="345"/>
        </w:trPr>
        <w:tc>
          <w:tcPr>
            <w:tcW w:w="3397" w:type="dxa"/>
            <w:tcBorders>
              <w:top w:val="single" w:sz="4" w:space="0" w:color="auto"/>
              <w:left w:val="single" w:sz="4" w:space="0" w:color="auto"/>
              <w:bottom w:val="single" w:sz="4" w:space="0" w:color="auto"/>
              <w:right w:val="nil"/>
            </w:tcBorders>
            <w:noWrap/>
            <w:vAlign w:val="center"/>
            <w:hideMark/>
          </w:tcPr>
          <w:p w14:paraId="552CCCFD" w14:textId="77777777" w:rsidR="003B6264" w:rsidRPr="003B6264" w:rsidRDefault="003B6264" w:rsidP="003B6264">
            <w:pPr>
              <w:rPr>
                <w:rFonts w:cs="Arial"/>
                <w:b/>
                <w:bCs/>
                <w:i/>
                <w:iCs/>
                <w:sz w:val="20"/>
                <w:szCs w:val="20"/>
                <w:lang w:eastAsia="en-GB"/>
              </w:rPr>
            </w:pPr>
          </w:p>
        </w:tc>
        <w:tc>
          <w:tcPr>
            <w:tcW w:w="3402" w:type="dxa"/>
            <w:vMerge/>
            <w:tcBorders>
              <w:top w:val="single" w:sz="4" w:space="0" w:color="auto"/>
              <w:left w:val="single" w:sz="4" w:space="0" w:color="auto"/>
              <w:bottom w:val="single" w:sz="4" w:space="0" w:color="auto"/>
              <w:right w:val="nil"/>
            </w:tcBorders>
            <w:vAlign w:val="center"/>
            <w:hideMark/>
          </w:tcPr>
          <w:p w14:paraId="32C0E538" w14:textId="77777777" w:rsidR="003B6264" w:rsidRPr="003B6264" w:rsidRDefault="003B6264" w:rsidP="003B6264">
            <w:pPr>
              <w:rPr>
                <w:rFonts w:cs="Arial"/>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2670FC" w14:textId="77777777" w:rsidR="003B6264" w:rsidRPr="003B6264" w:rsidRDefault="003B6264" w:rsidP="003B6264">
            <w:pPr>
              <w:rPr>
                <w:rFonts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C92CA5"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C2792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5AEA462" w14:textId="77777777" w:rsidR="003B6264" w:rsidRPr="003B6264" w:rsidRDefault="003B6264" w:rsidP="003B6264">
            <w:pPr>
              <w:rPr>
                <w:rFonts w:cs="Arial"/>
                <w:sz w:val="20"/>
                <w:szCs w:val="20"/>
                <w:lang w:eastAsia="en-GB"/>
              </w:rPr>
            </w:pP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14:paraId="77E52DEC" w14:textId="77777777" w:rsidR="003B6264" w:rsidRPr="003B6264" w:rsidRDefault="003B6264" w:rsidP="003B6264">
            <w:pPr>
              <w:rPr>
                <w:rFonts w:cs="Arial"/>
                <w:sz w:val="20"/>
                <w:szCs w:val="20"/>
                <w:lang w:eastAsia="en-GB"/>
              </w:rPr>
            </w:pPr>
          </w:p>
        </w:tc>
      </w:tr>
      <w:tr w:rsidR="00683DE9" w:rsidRPr="003B6264" w14:paraId="3E55F4FB" w14:textId="77777777" w:rsidTr="00683DE9">
        <w:trPr>
          <w:trHeight w:val="345"/>
        </w:trPr>
        <w:tc>
          <w:tcPr>
            <w:tcW w:w="339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16D6C42"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3</w:t>
            </w: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DDF0881"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3.1</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055FF41"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E2E118A"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863CC6C"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7A63DA7"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F97F12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30B5BE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5D28F7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9D7293E"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3821EAD0" w14:textId="77777777" w:rsidTr="00683DE9">
        <w:trPr>
          <w:trHeight w:val="34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429A3" w14:textId="77777777" w:rsidR="003B6264" w:rsidRPr="003B6264" w:rsidRDefault="003B6264" w:rsidP="003B6264">
            <w:pPr>
              <w:jc w:val="center"/>
              <w:rPr>
                <w:rFonts w:cs="Arial"/>
                <w:sz w:val="20"/>
                <w:szCs w:val="20"/>
                <w:lang w:eastAsia="en-GB"/>
              </w:rPr>
            </w:pPr>
            <w:r w:rsidRPr="003B6264">
              <w:rPr>
                <w:rFonts w:cs="Arial"/>
                <w:sz w:val="20"/>
                <w:szCs w:val="20"/>
                <w:lang w:eastAsia="en-GB"/>
              </w:rPr>
              <w:t>Networks, partnerships and learning processes are established, supporting knowledge and evidence exchange to address marine environment and poverty reduction challenges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EDE0DA1" w14:textId="77777777" w:rsidR="003B6264" w:rsidRPr="003B6264" w:rsidRDefault="003B6264" w:rsidP="003B6264">
            <w:pPr>
              <w:rPr>
                <w:rFonts w:cs="Arial"/>
                <w:sz w:val="20"/>
                <w:szCs w:val="20"/>
                <w:lang w:eastAsia="en-GB"/>
              </w:rPr>
            </w:pPr>
            <w:r w:rsidRPr="003B6264">
              <w:rPr>
                <w:rFonts w:cs="Arial"/>
                <w:sz w:val="20"/>
                <w:szCs w:val="20"/>
                <w:lang w:eastAsia="en-GB"/>
              </w:rPr>
              <w:t>Applicants and grantees use and engage on the OCEAN Learning and Networking Platform to get peer support, and to find and share opportunities for support and training external to OCEAN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DDB44"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2991A156" w14:textId="77777777" w:rsidR="003B6264" w:rsidRPr="003B6264" w:rsidRDefault="003B6264" w:rsidP="003B6264">
            <w:pPr>
              <w:jc w:val="right"/>
              <w:rPr>
                <w:rFonts w:cs="Arial"/>
                <w:sz w:val="20"/>
                <w:szCs w:val="20"/>
                <w:lang w:eastAsia="en-GB"/>
              </w:rPr>
            </w:pPr>
            <w:r w:rsidRPr="003B6264">
              <w:rPr>
                <w:rFonts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E72DB8" w14:textId="77777777" w:rsidR="003B6264" w:rsidRPr="003B6264" w:rsidRDefault="003B6264" w:rsidP="003B6264">
            <w:pPr>
              <w:jc w:val="right"/>
              <w:rPr>
                <w:rFonts w:cs="Arial"/>
                <w:sz w:val="20"/>
                <w:szCs w:val="20"/>
                <w:lang w:eastAsia="en-GB"/>
              </w:rPr>
            </w:pPr>
            <w:r w:rsidRPr="003B6264">
              <w:rPr>
                <w:rFonts w:cs="Arial"/>
                <w:sz w:val="20"/>
                <w:szCs w:val="20"/>
                <w:lang w:eastAsia="en-GB"/>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D1BEA5"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E8B6867"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531148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EE5CF5"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17106E3" w14:textId="77777777" w:rsidR="003B6264" w:rsidRPr="003B6264" w:rsidRDefault="003B6264" w:rsidP="003B6264">
            <w:pPr>
              <w:rPr>
                <w:rFonts w:cs="Arial"/>
                <w:sz w:val="20"/>
                <w:szCs w:val="20"/>
                <w:lang w:eastAsia="en-GB"/>
              </w:rPr>
            </w:pPr>
          </w:p>
        </w:tc>
      </w:tr>
      <w:tr w:rsidR="00683DE9" w:rsidRPr="003B6264" w14:paraId="01331803" w14:textId="77777777" w:rsidTr="00683DE9">
        <w:trPr>
          <w:trHeight w:val="78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839F7D2"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E4E6FE"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7E5E7D"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FBAE70"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5FCE0A" w14:textId="77777777" w:rsidR="003B6264" w:rsidRPr="003B6264" w:rsidRDefault="003B6264" w:rsidP="003B6264">
            <w:pPr>
              <w:rPr>
                <w:rFonts w:cs="Arial"/>
                <w:sz w:val="20"/>
                <w:szCs w:val="20"/>
                <w:lang w:eastAsia="en-GB"/>
              </w:rPr>
            </w:pPr>
            <w:r w:rsidRPr="003B6264">
              <w:rPr>
                <w:rFonts w:cs="Arial"/>
                <w:sz w:val="20"/>
                <w:szCs w:val="20"/>
                <w:lang w:eastAsia="en-GB"/>
              </w:rPr>
              <w:t>#OCEAN Grant Community members: 55</w:t>
            </w:r>
            <w:r w:rsidRPr="003B6264">
              <w:rPr>
                <w:rFonts w:cs="Arial"/>
                <w:sz w:val="20"/>
                <w:szCs w:val="20"/>
                <w:lang w:eastAsia="en-GB"/>
              </w:rPr>
              <w:br/>
              <w:t>Engagement: N/A year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7016D1"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B28512E"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BF11E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1F7E20"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03660F9" w14:textId="77777777" w:rsidR="003B6264" w:rsidRPr="003B6264" w:rsidRDefault="003B6264" w:rsidP="003B6264">
            <w:pPr>
              <w:rPr>
                <w:rFonts w:cs="Arial"/>
                <w:sz w:val="20"/>
                <w:szCs w:val="20"/>
                <w:lang w:eastAsia="en-GB"/>
              </w:rPr>
            </w:pPr>
          </w:p>
        </w:tc>
      </w:tr>
      <w:tr w:rsidR="003B6264" w:rsidRPr="003B6264" w14:paraId="72577B87"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02CDF9E"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8B7089"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24692FB2"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4277D833" w14:textId="77777777" w:rsidTr="00683DE9">
        <w:trPr>
          <w:trHeight w:val="6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2AEF45"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29DC0C"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6BEB71C1"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Disaggregation: </w:t>
            </w:r>
            <w:r w:rsidRPr="003B6264">
              <w:rPr>
                <w:rFonts w:cs="Arial"/>
                <w:sz w:val="20"/>
                <w:szCs w:val="20"/>
                <w:lang w:eastAsia="en-GB"/>
              </w:rPr>
              <w:t>Unit (% increase in active users); Pathway (Community/Partnership); Language (En/Fr/Id/Pt/Es); Location of community member; Engagement/reach metrics</w:t>
            </w:r>
          </w:p>
        </w:tc>
      </w:tr>
      <w:tr w:rsidR="00683DE9" w:rsidRPr="003B6264" w14:paraId="77029208"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AADE357"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BF726AB"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3.2</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3935273"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5CEE7EF"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DA493B8"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DC3AFC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73BD031"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CAED2BA"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9D6E4C3"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412F9B6"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6422A304" w14:textId="77777777" w:rsidTr="00683DE9">
        <w:trPr>
          <w:trHeight w:val="84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8A931B8"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DE54093" w14:textId="77777777" w:rsidR="003B6264" w:rsidRPr="003B6264" w:rsidRDefault="003B6264" w:rsidP="003B6264">
            <w:pPr>
              <w:rPr>
                <w:rFonts w:cs="Arial"/>
                <w:sz w:val="20"/>
                <w:szCs w:val="20"/>
                <w:lang w:eastAsia="en-GB"/>
              </w:rPr>
            </w:pPr>
            <w:r w:rsidRPr="003B6264">
              <w:rPr>
                <w:rFonts w:cs="Arial"/>
                <w:sz w:val="20"/>
                <w:szCs w:val="20"/>
                <w:lang w:eastAsia="en-GB"/>
              </w:rPr>
              <w:t>Processes are established to share OCEAN evidence and learnings with other existing Challenge Funds and Blue Planet Fund programmes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EB3458"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50441837" w14:textId="77777777" w:rsidR="003B6264" w:rsidRPr="003B6264" w:rsidRDefault="003B6264" w:rsidP="003B6264">
            <w:pPr>
              <w:jc w:val="right"/>
              <w:rPr>
                <w:rFonts w:cs="Arial"/>
                <w:sz w:val="20"/>
                <w:szCs w:val="20"/>
                <w:lang w:eastAsia="en-GB"/>
              </w:rPr>
            </w:pPr>
            <w:r w:rsidRPr="003B6264">
              <w:rPr>
                <w:rFonts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1E6BF" w14:textId="77777777" w:rsidR="003B6264" w:rsidRPr="003B6264" w:rsidRDefault="003B6264" w:rsidP="003B6264">
            <w:pPr>
              <w:jc w:val="right"/>
              <w:rPr>
                <w:rFonts w:cs="Arial"/>
                <w:sz w:val="20"/>
                <w:szCs w:val="20"/>
                <w:lang w:eastAsia="en-GB"/>
              </w:rPr>
            </w:pPr>
            <w:r w:rsidRPr="003B6264">
              <w:rPr>
                <w:rFonts w:cs="Arial"/>
                <w:sz w:val="20"/>
                <w:szCs w:val="20"/>
                <w:lang w:eastAsia="en-GB"/>
              </w:rPr>
              <w:t>Processes: 6</w:t>
            </w:r>
            <w:r w:rsidRPr="003B6264">
              <w:rPr>
                <w:rFonts w:cs="Arial"/>
                <w:sz w:val="20"/>
                <w:szCs w:val="20"/>
                <w:lang w:eastAsia="en-GB"/>
              </w:rPr>
              <w:br/>
              <w:t>Evidence Pieces: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DE1563"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7E7554C"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C038C0"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4DE60E"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C7F8BCB" w14:textId="77777777" w:rsidR="003B6264" w:rsidRPr="003B6264" w:rsidRDefault="003B6264" w:rsidP="003B6264">
            <w:pPr>
              <w:rPr>
                <w:rFonts w:cs="Arial"/>
                <w:sz w:val="20"/>
                <w:szCs w:val="20"/>
                <w:lang w:eastAsia="en-GB"/>
              </w:rPr>
            </w:pPr>
          </w:p>
        </w:tc>
      </w:tr>
      <w:tr w:rsidR="00683DE9" w:rsidRPr="003B6264" w14:paraId="515CB0E5"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FD4BA1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F455A1"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85E7B1"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641DA"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E905CA"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8FD5B2" w14:textId="77777777" w:rsidR="003B6264" w:rsidRPr="003B6264" w:rsidRDefault="003B6264" w:rsidP="003B6264">
            <w:pPr>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105FA2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5AD156"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01D8CEF"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8B48B9C" w14:textId="77777777" w:rsidR="003B6264" w:rsidRPr="003B6264" w:rsidRDefault="003B6264" w:rsidP="003B6264">
            <w:pPr>
              <w:rPr>
                <w:rFonts w:cs="Arial"/>
                <w:sz w:val="20"/>
                <w:szCs w:val="20"/>
                <w:lang w:eastAsia="en-GB"/>
              </w:rPr>
            </w:pPr>
          </w:p>
        </w:tc>
      </w:tr>
      <w:tr w:rsidR="003B6264" w:rsidRPr="003B6264" w14:paraId="1B5077F5"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BFB1722"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B35A4E"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6D9C2BFD"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571CA318" w14:textId="77777777" w:rsidTr="00683DE9">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916ACF8"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5F6A46B"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120EA6AB"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Disaggregation: </w:t>
            </w:r>
            <w:r w:rsidRPr="003B6264">
              <w:rPr>
                <w:rFonts w:cs="Arial"/>
                <w:sz w:val="20"/>
                <w:szCs w:val="20"/>
                <w:lang w:eastAsia="en-GB"/>
              </w:rPr>
              <w:t>Unit (number of knowledge products / evidence pieces produced by OCEAN that are shared with other challenge funds / BPF programmes); Delivery type (written reports/workshops/webinars/presentations); Subject area (BPF outcomes/poverty/GESI)</w:t>
            </w:r>
          </w:p>
        </w:tc>
      </w:tr>
      <w:tr w:rsidR="00683DE9" w:rsidRPr="003B6264" w14:paraId="4570AEEE"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0A9B9AC" w14:textId="77777777" w:rsidR="003B6264" w:rsidRPr="003B6264" w:rsidRDefault="003B6264" w:rsidP="003B6264">
            <w:pPr>
              <w:rPr>
                <w:rFonts w:cs="Arial"/>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A44A8D2" w14:textId="77777777" w:rsidR="003B6264" w:rsidRPr="003B6264" w:rsidRDefault="003B6264" w:rsidP="003B6264">
            <w:pPr>
              <w:rPr>
                <w:rFonts w:cs="Arial"/>
                <w:b/>
                <w:bCs/>
                <w:sz w:val="20"/>
                <w:szCs w:val="20"/>
                <w:lang w:eastAsia="en-GB"/>
              </w:rPr>
            </w:pPr>
            <w:r w:rsidRPr="003B6264">
              <w:rPr>
                <w:rFonts w:cs="Arial"/>
                <w:b/>
                <w:bCs/>
                <w:sz w:val="20"/>
                <w:szCs w:val="20"/>
                <w:lang w:eastAsia="en-GB"/>
              </w:rPr>
              <w:t>Output Indicator 3.3</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70D2FA6" w14:textId="77777777" w:rsidR="003B6264" w:rsidRPr="003B6264" w:rsidRDefault="003B6264" w:rsidP="003B6264">
            <w:pPr>
              <w:rPr>
                <w:rFonts w:cs="Arial"/>
                <w:b/>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FE9AA7E" w14:textId="77777777" w:rsidR="003B6264" w:rsidRPr="003B6264" w:rsidRDefault="003B6264" w:rsidP="003B6264">
            <w:pPr>
              <w:rPr>
                <w:rFonts w:cs="Arial"/>
                <w:b/>
                <w:bCs/>
                <w:sz w:val="20"/>
                <w:szCs w:val="20"/>
                <w:lang w:eastAsia="en-GB"/>
              </w:rPr>
            </w:pPr>
            <w:r w:rsidRPr="003B6264">
              <w:rPr>
                <w:rFonts w:cs="Arial"/>
                <w:b/>
                <w:bCs/>
                <w:sz w:val="20"/>
                <w:szCs w:val="20"/>
                <w:lang w:eastAsia="en-GB"/>
              </w:rPr>
              <w:t>Baseline</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23E61E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Aug-24</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E3FA17F"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Aug-25</w:t>
            </w:r>
          </w:p>
        </w:tc>
        <w:tc>
          <w:tcPr>
            <w:tcW w:w="993"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A233F95"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Aug-26</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54B04A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Aug-27</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9FF60F9"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Aug-28</w:t>
            </w:r>
          </w:p>
        </w:tc>
        <w:tc>
          <w:tcPr>
            <w:tcW w:w="10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53821AD" w14:textId="77777777" w:rsidR="003B6264" w:rsidRPr="003B6264" w:rsidRDefault="003B6264" w:rsidP="003B6264">
            <w:pPr>
              <w:jc w:val="right"/>
              <w:rPr>
                <w:rFonts w:cs="Arial"/>
                <w:b/>
                <w:bCs/>
                <w:sz w:val="20"/>
                <w:szCs w:val="20"/>
                <w:lang w:eastAsia="en-GB"/>
              </w:rPr>
            </w:pPr>
            <w:r w:rsidRPr="003B6264">
              <w:rPr>
                <w:rFonts w:cs="Arial"/>
                <w:b/>
                <w:bCs/>
                <w:sz w:val="20"/>
                <w:szCs w:val="20"/>
                <w:lang w:eastAsia="en-GB"/>
              </w:rPr>
              <w:t>Aug-29</w:t>
            </w:r>
          </w:p>
        </w:tc>
      </w:tr>
      <w:tr w:rsidR="00683DE9" w:rsidRPr="003B6264" w14:paraId="0FB3EEE8"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EF3CC70" w14:textId="77777777" w:rsidR="003B6264" w:rsidRPr="003B6264" w:rsidRDefault="003B6264" w:rsidP="003B6264">
            <w:pPr>
              <w:rPr>
                <w:rFonts w:cs="Arial"/>
                <w:sz w:val="20"/>
                <w:szCs w:val="20"/>
                <w:lang w:eastAsia="en-GB"/>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9F68E59" w14:textId="77777777" w:rsidR="003B6264" w:rsidRPr="003B6264" w:rsidRDefault="003B6264" w:rsidP="003B6264">
            <w:pPr>
              <w:rPr>
                <w:rFonts w:cs="Arial"/>
                <w:sz w:val="20"/>
                <w:szCs w:val="20"/>
                <w:lang w:eastAsia="en-GB"/>
              </w:rPr>
            </w:pPr>
            <w:r w:rsidRPr="003B6264">
              <w:rPr>
                <w:rFonts w:cs="Arial"/>
                <w:sz w:val="20"/>
                <w:szCs w:val="20"/>
                <w:lang w:eastAsia="en-GB"/>
              </w:rPr>
              <w:t>OCEAN projects produce and share accessible knowledge products related to marine environment and poverty reduction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FC5DF"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Planned</w:t>
            </w:r>
          </w:p>
        </w:tc>
        <w:tc>
          <w:tcPr>
            <w:tcW w:w="1134" w:type="dxa"/>
            <w:tcBorders>
              <w:top w:val="single" w:sz="4" w:space="0" w:color="auto"/>
              <w:left w:val="nil"/>
              <w:bottom w:val="single" w:sz="4" w:space="0" w:color="auto"/>
              <w:right w:val="nil"/>
            </w:tcBorders>
            <w:shd w:val="clear" w:color="000000" w:fill="D9D9D9"/>
            <w:noWrap/>
            <w:vAlign w:val="center"/>
            <w:hideMark/>
          </w:tcPr>
          <w:p w14:paraId="5216D82C"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6FF9DB" w14:textId="77777777" w:rsidR="003B6264" w:rsidRPr="003B6264" w:rsidRDefault="003B6264" w:rsidP="003B6264">
            <w:pPr>
              <w:jc w:val="right"/>
              <w:rPr>
                <w:rFonts w:cs="Arial"/>
                <w:sz w:val="20"/>
                <w:szCs w:val="20"/>
                <w:lang w:eastAsia="en-GB"/>
              </w:rPr>
            </w:pPr>
            <w:r w:rsidRPr="003B6264">
              <w:rPr>
                <w:rFonts w:cs="Arial"/>
                <w:sz w:val="20"/>
                <w:szCs w:val="20"/>
                <w:lang w:eastAsia="en-GB"/>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D139A6"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89D6F25"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ABDB01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1A21ED"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7944F52" w14:textId="77777777" w:rsidR="003B6264" w:rsidRPr="003B6264" w:rsidRDefault="003B6264" w:rsidP="003B6264">
            <w:pPr>
              <w:jc w:val="right"/>
              <w:rPr>
                <w:rFonts w:cs="Arial"/>
                <w:sz w:val="20"/>
                <w:szCs w:val="20"/>
                <w:lang w:eastAsia="en-GB"/>
              </w:rPr>
            </w:pPr>
            <w:r w:rsidRPr="003B6264">
              <w:rPr>
                <w:rFonts w:cs="Arial"/>
                <w:sz w:val="20"/>
                <w:szCs w:val="20"/>
                <w:lang w:eastAsia="en-GB"/>
              </w:rPr>
              <w:t>50%</w:t>
            </w:r>
          </w:p>
        </w:tc>
      </w:tr>
      <w:tr w:rsidR="00683DE9" w:rsidRPr="003B6264" w14:paraId="39F44254"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4E10656"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BCD2BB" w14:textId="77777777" w:rsidR="003B6264" w:rsidRPr="003B6264" w:rsidRDefault="003B6264" w:rsidP="003B6264">
            <w:pP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ED2055"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Achieved</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FE32E5" w14:textId="77777777" w:rsidR="003B6264" w:rsidRPr="003B6264" w:rsidRDefault="003B6264" w:rsidP="003B6264">
            <w:pPr>
              <w:jc w:val="center"/>
              <w:rPr>
                <w:rFonts w:cs="Arial"/>
                <w:b/>
                <w:bCs/>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F3691C" w14:textId="77777777" w:rsidR="003B6264" w:rsidRPr="003B6264" w:rsidRDefault="003B6264" w:rsidP="003B6264">
            <w:pPr>
              <w:jc w:val="right"/>
              <w:rPr>
                <w:rFonts w:cs="Arial"/>
                <w:sz w:val="20"/>
                <w:szCs w:val="20"/>
                <w:lang w:eastAsia="en-GB"/>
              </w:rPr>
            </w:pPr>
            <w:r w:rsidRPr="003B6264">
              <w:rPr>
                <w:rFonts w:cs="Arial"/>
                <w:sz w:val="20"/>
                <w:szCs w:val="20"/>
                <w:lang w:eastAsia="en-GB"/>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1442FF" w14:textId="77777777" w:rsidR="003B6264" w:rsidRPr="003B6264" w:rsidRDefault="003B6264" w:rsidP="003B6264">
            <w:pPr>
              <w:jc w:val="right"/>
              <w:rPr>
                <w:rFonts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75AF2B9"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1E84FD" w14:textId="77777777" w:rsidR="003B6264" w:rsidRPr="003B6264" w:rsidRDefault="003B6264" w:rsidP="003B6264">
            <w:pPr>
              <w:rPr>
                <w:rFonts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E0B953" w14:textId="77777777" w:rsidR="003B6264" w:rsidRPr="003B6264" w:rsidRDefault="003B6264" w:rsidP="003B6264">
            <w:pPr>
              <w:rPr>
                <w:rFonts w:cs="Arial"/>
                <w:sz w:val="20"/>
                <w:szCs w:val="20"/>
                <w:lang w:eastAsia="en-GB"/>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50326FB5" w14:textId="77777777" w:rsidR="003B6264" w:rsidRPr="003B6264" w:rsidRDefault="003B6264" w:rsidP="003B6264">
            <w:pPr>
              <w:rPr>
                <w:rFonts w:cs="Arial"/>
                <w:sz w:val="20"/>
                <w:szCs w:val="20"/>
                <w:lang w:eastAsia="en-GB"/>
              </w:rPr>
            </w:pPr>
          </w:p>
        </w:tc>
      </w:tr>
      <w:tr w:rsidR="003B6264" w:rsidRPr="003B6264" w14:paraId="4E84BD3D" w14:textId="77777777" w:rsidTr="00683DE9">
        <w:trPr>
          <w:trHeight w:val="34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AA1669B"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EA3D32"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shd w:val="clear" w:color="000000" w:fill="CCFFCC"/>
            <w:vAlign w:val="center"/>
            <w:hideMark/>
          </w:tcPr>
          <w:p w14:paraId="513A8ECA" w14:textId="77777777" w:rsidR="003B6264" w:rsidRPr="003B6264" w:rsidRDefault="003B6264" w:rsidP="003B6264">
            <w:pPr>
              <w:jc w:val="center"/>
              <w:rPr>
                <w:rFonts w:cs="Arial"/>
                <w:b/>
                <w:bCs/>
                <w:sz w:val="20"/>
                <w:szCs w:val="20"/>
                <w:lang w:eastAsia="en-GB"/>
              </w:rPr>
            </w:pPr>
            <w:r w:rsidRPr="003B6264">
              <w:rPr>
                <w:rFonts w:cs="Arial"/>
                <w:b/>
                <w:bCs/>
                <w:sz w:val="20"/>
                <w:szCs w:val="20"/>
                <w:lang w:eastAsia="en-GB"/>
              </w:rPr>
              <w:t>Data, sources and methods</w:t>
            </w:r>
          </w:p>
        </w:tc>
      </w:tr>
      <w:tr w:rsidR="003B6264" w:rsidRPr="003B6264" w14:paraId="007035B8" w14:textId="77777777" w:rsidTr="00683DE9">
        <w:trPr>
          <w:trHeight w:val="69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55CAF8A" w14:textId="77777777" w:rsidR="003B6264" w:rsidRPr="003B6264" w:rsidRDefault="003B6264" w:rsidP="003B6264">
            <w:pPr>
              <w:rPr>
                <w:rFonts w:cs="Arial"/>
                <w:sz w:val="20"/>
                <w:szCs w:val="20"/>
                <w:lang w:eastAsia="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C72DED" w14:textId="77777777" w:rsidR="003B6264" w:rsidRPr="003B6264" w:rsidRDefault="003B6264" w:rsidP="003B6264">
            <w:pPr>
              <w:rPr>
                <w:rFonts w:cs="Arial"/>
                <w:sz w:val="20"/>
                <w:szCs w:val="20"/>
                <w:lang w:eastAsia="en-GB"/>
              </w:rPr>
            </w:pPr>
          </w:p>
        </w:tc>
        <w:tc>
          <w:tcPr>
            <w:tcW w:w="8611" w:type="dxa"/>
            <w:gridSpan w:val="8"/>
            <w:tcBorders>
              <w:top w:val="single" w:sz="4" w:space="0" w:color="auto"/>
              <w:left w:val="single" w:sz="4" w:space="0" w:color="auto"/>
              <w:bottom w:val="single" w:sz="4" w:space="0" w:color="auto"/>
              <w:right w:val="single" w:sz="4" w:space="0" w:color="auto"/>
            </w:tcBorders>
            <w:vAlign w:val="center"/>
            <w:hideMark/>
          </w:tcPr>
          <w:p w14:paraId="7739D368" w14:textId="77777777" w:rsidR="003B6264" w:rsidRPr="003B6264" w:rsidRDefault="003B6264" w:rsidP="003B6264">
            <w:pPr>
              <w:rPr>
                <w:rFonts w:cs="Arial"/>
                <w:b/>
                <w:bCs/>
                <w:sz w:val="20"/>
                <w:szCs w:val="20"/>
                <w:lang w:eastAsia="en-GB"/>
              </w:rPr>
            </w:pPr>
            <w:r w:rsidRPr="003B6264">
              <w:rPr>
                <w:rFonts w:cs="Arial"/>
                <w:b/>
                <w:bCs/>
                <w:sz w:val="20"/>
                <w:szCs w:val="20"/>
                <w:lang w:eastAsia="en-GB"/>
              </w:rPr>
              <w:t xml:space="preserve">Disaggregation: </w:t>
            </w:r>
            <w:r w:rsidRPr="003B6264">
              <w:rPr>
                <w:rFonts w:cs="Arial"/>
                <w:sz w:val="20"/>
                <w:szCs w:val="20"/>
                <w:lang w:eastAsia="en-GB"/>
              </w:rPr>
              <w:t>Unit (% projects that produce knowledge products); Pathway (Community/Partnership); Type (newsletter, blog posts, case studies, peer-review publications); Language (En/Fr/Id/Pt/Es); Number of products (1-3, 4-5); Subject area (BPF outcomes/poverty/GESI)</w:t>
            </w:r>
          </w:p>
        </w:tc>
      </w:tr>
    </w:tbl>
    <w:p w14:paraId="21A4F098" w14:textId="77777777" w:rsidR="00893C68" w:rsidRPr="008A3D66" w:rsidRDefault="00893C68" w:rsidP="00C545D6">
      <w:pPr>
        <w:spacing w:after="160" w:line="276" w:lineRule="auto"/>
        <w:rPr>
          <w:rFonts w:cs="Arial"/>
          <w:b/>
          <w:bCs/>
        </w:rPr>
      </w:pPr>
    </w:p>
    <w:p w14:paraId="035102C3" w14:textId="77777777" w:rsidR="00AB1F55" w:rsidRDefault="00AB1F55" w:rsidP="009021AD">
      <w:pPr>
        <w:spacing w:after="160" w:line="276" w:lineRule="auto"/>
        <w:rPr>
          <w:rFonts w:cs="Arial"/>
          <w:sz w:val="20"/>
        </w:rPr>
      </w:pPr>
    </w:p>
    <w:p w14:paraId="1A1CBB58" w14:textId="77777777" w:rsidR="00AB1F55" w:rsidRDefault="00AB1F55" w:rsidP="009021AD">
      <w:pPr>
        <w:spacing w:after="160" w:line="276" w:lineRule="auto"/>
        <w:rPr>
          <w:rFonts w:cs="Arial"/>
          <w:sz w:val="20"/>
        </w:rPr>
      </w:pPr>
    </w:p>
    <w:p w14:paraId="07A707A6" w14:textId="77777777" w:rsidR="00AB1F55" w:rsidRDefault="00AB1F55" w:rsidP="009021AD">
      <w:pPr>
        <w:spacing w:after="160" w:line="276" w:lineRule="auto"/>
        <w:rPr>
          <w:rFonts w:cs="Arial"/>
          <w:sz w:val="20"/>
        </w:rPr>
      </w:pPr>
    </w:p>
    <w:p w14:paraId="17CA46A2" w14:textId="77777777" w:rsidR="00AB1F55" w:rsidRDefault="00AB1F55" w:rsidP="009021AD">
      <w:pPr>
        <w:spacing w:after="160" w:line="276" w:lineRule="auto"/>
        <w:rPr>
          <w:rFonts w:cs="Arial"/>
          <w:sz w:val="20"/>
        </w:rPr>
      </w:pPr>
    </w:p>
    <w:p w14:paraId="31BE94B7" w14:textId="77777777" w:rsidR="00AB1F55" w:rsidRDefault="00AB1F55" w:rsidP="009021AD">
      <w:pPr>
        <w:spacing w:after="160" w:line="276" w:lineRule="auto"/>
        <w:rPr>
          <w:rFonts w:cs="Arial"/>
          <w:sz w:val="20"/>
        </w:rPr>
      </w:pPr>
    </w:p>
    <w:p w14:paraId="1F91EE25" w14:textId="77777777" w:rsidR="00AB1F55" w:rsidRDefault="00AB1F55" w:rsidP="009021AD">
      <w:pPr>
        <w:spacing w:after="160" w:line="276" w:lineRule="auto"/>
        <w:rPr>
          <w:rFonts w:cs="Arial"/>
          <w:sz w:val="20"/>
        </w:rPr>
      </w:pPr>
    </w:p>
    <w:p w14:paraId="432DF4EA" w14:textId="77777777" w:rsidR="00AB1F55" w:rsidRDefault="00AB1F55" w:rsidP="009021AD">
      <w:pPr>
        <w:spacing w:after="160" w:line="276" w:lineRule="auto"/>
        <w:rPr>
          <w:rFonts w:cs="Arial"/>
          <w:sz w:val="20"/>
        </w:rPr>
      </w:pPr>
    </w:p>
    <w:p w14:paraId="52A65431" w14:textId="77777777" w:rsidR="00AB1F55" w:rsidRDefault="00AB1F55" w:rsidP="009021AD">
      <w:pPr>
        <w:spacing w:after="160" w:line="276" w:lineRule="auto"/>
        <w:rPr>
          <w:rFonts w:cs="Arial"/>
          <w:sz w:val="20"/>
        </w:rPr>
      </w:pPr>
    </w:p>
    <w:p w14:paraId="4C2C73F5" w14:textId="77777777" w:rsidR="00AB1F55" w:rsidRDefault="00AB1F55" w:rsidP="009021AD">
      <w:pPr>
        <w:spacing w:after="160" w:line="276" w:lineRule="auto"/>
        <w:rPr>
          <w:rFonts w:cs="Arial"/>
          <w:sz w:val="20"/>
        </w:rPr>
      </w:pPr>
    </w:p>
    <w:p w14:paraId="6F725207" w14:textId="12A8BDD0" w:rsidR="00AB1F55" w:rsidRDefault="00AB1F55" w:rsidP="00AB1F55">
      <w:pPr>
        <w:spacing w:after="160" w:line="276" w:lineRule="auto"/>
        <w:jc w:val="both"/>
        <w:rPr>
          <w:rFonts w:eastAsia="Arial" w:cs="Arial"/>
          <w:color w:val="000000" w:themeColor="text1"/>
          <w:sz w:val="20"/>
          <w:szCs w:val="20"/>
        </w:rPr>
      </w:pPr>
    </w:p>
    <w:p w14:paraId="75190A8F" w14:textId="77777777" w:rsidR="00AB1F55" w:rsidRDefault="00AB1F55" w:rsidP="00AB1F55">
      <w:pPr>
        <w:spacing w:after="160" w:line="276" w:lineRule="auto"/>
        <w:jc w:val="both"/>
        <w:rPr>
          <w:rFonts w:eastAsia="Arial" w:cs="Arial"/>
          <w:i/>
          <w:iCs/>
          <w:color w:val="000000" w:themeColor="text1"/>
          <w:sz w:val="20"/>
          <w:szCs w:val="20"/>
        </w:rPr>
      </w:pPr>
    </w:p>
    <w:p w14:paraId="4683B24F" w14:textId="77777777" w:rsidR="00AB1F55" w:rsidRPr="006555A4" w:rsidRDefault="00AB1F55" w:rsidP="009021AD">
      <w:pPr>
        <w:spacing w:after="160" w:line="276" w:lineRule="auto"/>
        <w:rPr>
          <w:rFonts w:cs="Arial"/>
          <w:sz w:val="20"/>
        </w:rPr>
      </w:pPr>
    </w:p>
    <w:sectPr w:rsidR="00AB1F55" w:rsidRPr="006555A4" w:rsidSect="00893C68">
      <w:pgSz w:w="16838" w:h="11906" w:orient="landscape"/>
      <w:pgMar w:top="1440" w:right="70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E9D1" w14:textId="77777777" w:rsidR="00374D6E" w:rsidRDefault="00374D6E" w:rsidP="006E5785">
      <w:r>
        <w:separator/>
      </w:r>
    </w:p>
  </w:endnote>
  <w:endnote w:type="continuationSeparator" w:id="0">
    <w:p w14:paraId="73C17441" w14:textId="77777777" w:rsidR="00374D6E" w:rsidRDefault="00374D6E" w:rsidP="006E5785">
      <w:r>
        <w:continuationSeparator/>
      </w:r>
    </w:p>
  </w:endnote>
  <w:endnote w:type="continuationNotice" w:id="1">
    <w:p w14:paraId="139A8589" w14:textId="77777777" w:rsidR="00374D6E" w:rsidRDefault="00374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B4E9" w14:textId="5B828044" w:rsidR="00C21E67" w:rsidRDefault="00C21E67">
    <w:pPr>
      <w:pStyle w:val="Footer"/>
    </w:pPr>
    <w:r>
      <w:rPr>
        <w:noProof/>
      </w:rPr>
      <mc:AlternateContent>
        <mc:Choice Requires="wps">
          <w:drawing>
            <wp:anchor distT="0" distB="0" distL="0" distR="0" simplePos="0" relativeHeight="251658244" behindDoc="0" locked="0" layoutInCell="1" allowOverlap="1" wp14:anchorId="387F8ED0" wp14:editId="6E80A05A">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663E0" w14:textId="29E24B4A"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7F8ED0"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57663E0" w14:textId="29E24B4A"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6C14" w14:textId="775D4306" w:rsidR="00C21E67" w:rsidRDefault="00C21E67">
    <w:pPr>
      <w:pStyle w:val="Footer"/>
    </w:pPr>
    <w:r>
      <w:rPr>
        <w:noProof/>
      </w:rPr>
      <mc:AlternateContent>
        <mc:Choice Requires="wps">
          <w:drawing>
            <wp:anchor distT="0" distB="0" distL="0" distR="0" simplePos="0" relativeHeight="251658245" behindDoc="0" locked="0" layoutInCell="1" allowOverlap="1" wp14:anchorId="4FE147CC" wp14:editId="79272AFD">
              <wp:simplePos x="914400" y="10071100"/>
              <wp:positionH relativeFrom="leftMargin">
                <wp:align>left</wp:align>
              </wp:positionH>
              <wp:positionV relativeFrom="paragraph">
                <wp:posOffset>635</wp:posOffset>
              </wp:positionV>
              <wp:extent cx="443865" cy="443865"/>
              <wp:effectExtent l="0" t="0" r="10160"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A5E7B" w14:textId="24176A7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E147CC"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344A5E7B" w14:textId="24176A7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2C0A" w14:textId="32386122" w:rsidR="00C21E67" w:rsidRDefault="00C21E67">
    <w:pPr>
      <w:pStyle w:val="Footer"/>
    </w:pPr>
    <w:r>
      <w:rPr>
        <w:noProof/>
      </w:rPr>
      <mc:AlternateContent>
        <mc:Choice Requires="wps">
          <w:drawing>
            <wp:anchor distT="0" distB="0" distL="0" distR="0" simplePos="0" relativeHeight="251658243" behindDoc="0" locked="0" layoutInCell="1" allowOverlap="1" wp14:anchorId="37F3217B" wp14:editId="3231602E">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11A74" w14:textId="7F80982C"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F3217B"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0A11A74" w14:textId="7F80982C"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8960" w14:textId="77777777" w:rsidR="00374D6E" w:rsidRDefault="00374D6E" w:rsidP="006E5785">
      <w:r>
        <w:separator/>
      </w:r>
    </w:p>
  </w:footnote>
  <w:footnote w:type="continuationSeparator" w:id="0">
    <w:p w14:paraId="7518ACDA" w14:textId="77777777" w:rsidR="00374D6E" w:rsidRDefault="00374D6E" w:rsidP="006E5785">
      <w:r>
        <w:continuationSeparator/>
      </w:r>
    </w:p>
  </w:footnote>
  <w:footnote w:type="continuationNotice" w:id="1">
    <w:p w14:paraId="3ABE64D7" w14:textId="77777777" w:rsidR="00374D6E" w:rsidRDefault="00374D6E"/>
  </w:footnote>
  <w:footnote w:id="2">
    <w:p w14:paraId="675277B3" w14:textId="13E3C53D" w:rsidR="00DA500D" w:rsidRDefault="00DA500D">
      <w:pPr>
        <w:pStyle w:val="FootnoteText"/>
      </w:pPr>
      <w:r>
        <w:rPr>
          <w:rStyle w:val="FootnoteReference"/>
        </w:rPr>
        <w:footnoteRef/>
      </w:r>
      <w:r>
        <w:t xml:space="preserve"> </w:t>
      </w:r>
      <w:r w:rsidRPr="00DA500D">
        <w:rPr>
          <w:rFonts w:ascii="Calibri" w:hAnsi="Calibri" w:cs="Calibri"/>
          <w:sz w:val="18"/>
          <w:szCs w:val="18"/>
          <w:shd w:val="clear" w:color="auto" w:fill="FFFFFF"/>
        </w:rPr>
        <w:t>Sumaila, U.R., M. Walsh, K. Hoareau, A. Cox, et al. (2020), </w:t>
      </w:r>
      <w:r w:rsidRPr="00DA500D">
        <w:rPr>
          <w:rFonts w:ascii="Calibri" w:hAnsi="Calibri" w:cs="Calibri"/>
          <w:i/>
          <w:iCs/>
          <w:sz w:val="18"/>
          <w:szCs w:val="18"/>
          <w:shd w:val="clear" w:color="auto" w:fill="FFFFFF"/>
        </w:rPr>
        <w:t>Ocean Finance: Financing the Transition to a Sustainable Ocean Economy</w:t>
      </w:r>
      <w:r w:rsidRPr="00DA500D">
        <w:rPr>
          <w:rFonts w:ascii="Calibri" w:hAnsi="Calibri" w:cs="Calibri"/>
          <w:sz w:val="18"/>
          <w:szCs w:val="18"/>
          <w:shd w:val="clear" w:color="auto" w:fill="FFFFFF"/>
        </w:rPr>
        <w:t>, Washington, DC: World Resources Institute</w:t>
      </w:r>
    </w:p>
  </w:footnote>
  <w:footnote w:id="3">
    <w:p w14:paraId="430915D2" w14:textId="30C2B5E3" w:rsidR="009C6A09" w:rsidRPr="00306C50" w:rsidRDefault="009C6A09">
      <w:pPr>
        <w:pStyle w:val="FootnoteText"/>
        <w:rPr>
          <w:sz w:val="16"/>
          <w:szCs w:val="16"/>
        </w:rPr>
      </w:pPr>
      <w:r w:rsidRPr="009C6A09">
        <w:rPr>
          <w:rStyle w:val="FootnoteReference"/>
          <w:sz w:val="12"/>
          <w:szCs w:val="12"/>
        </w:rPr>
        <w:footnoteRef/>
      </w:r>
      <w:r w:rsidRPr="009C6A09">
        <w:rPr>
          <w:sz w:val="12"/>
          <w:szCs w:val="12"/>
        </w:rPr>
        <w:t xml:space="preserve">   </w:t>
      </w:r>
      <w:r w:rsidRPr="00306C50">
        <w:rPr>
          <w:sz w:val="16"/>
          <w:szCs w:val="16"/>
        </w:rPr>
        <w:t>Likelihood: Very High (&gt;80%), High (&gt;50%&lt;80%), Medium (&gt;20%&lt;50%), Low (&gt;5%&lt;20%), Very Low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6F00" w14:textId="68E5794D" w:rsidR="00C21E67" w:rsidRDefault="00C21E67">
    <w:pPr>
      <w:pStyle w:val="Header"/>
    </w:pPr>
    <w:r>
      <w:rPr>
        <w:noProof/>
      </w:rPr>
      <mc:AlternateContent>
        <mc:Choice Requires="wps">
          <w:drawing>
            <wp:anchor distT="0" distB="0" distL="0" distR="0" simplePos="0" relativeHeight="251658241" behindDoc="0" locked="0" layoutInCell="1" allowOverlap="1" wp14:anchorId="466B6E3E" wp14:editId="5E21E81B">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A11A8" w14:textId="38641C0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6B6E3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65A11A8" w14:textId="38641C0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92EF" w14:textId="7F5B5ADD" w:rsidR="006E5785" w:rsidRDefault="00C21E67">
    <w:pPr>
      <w:pStyle w:val="Header"/>
    </w:pPr>
    <w:r>
      <w:rPr>
        <w:noProof/>
      </w:rPr>
      <mc:AlternateContent>
        <mc:Choice Requires="wps">
          <w:drawing>
            <wp:anchor distT="0" distB="0" distL="0" distR="0" simplePos="0" relativeHeight="251658242" behindDoc="0" locked="0" layoutInCell="1" allowOverlap="1" wp14:anchorId="6EB9D189" wp14:editId="64ACB243">
              <wp:simplePos x="914400" y="450850"/>
              <wp:positionH relativeFrom="leftMargin">
                <wp:align>left</wp:align>
              </wp:positionH>
              <wp:positionV relativeFrom="paragraph">
                <wp:posOffset>635</wp:posOffset>
              </wp:positionV>
              <wp:extent cx="443865" cy="443865"/>
              <wp:effectExtent l="0" t="0" r="10160"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A2A3" w14:textId="1D685103"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B9D18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A2CA2A3" w14:textId="1D685103"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C7FF" w14:textId="2D416E09" w:rsidR="00C21E67" w:rsidRDefault="00C21E67">
    <w:pPr>
      <w:pStyle w:val="Header"/>
    </w:pPr>
    <w:r>
      <w:rPr>
        <w:noProof/>
      </w:rPr>
      <mc:AlternateContent>
        <mc:Choice Requires="wps">
          <w:drawing>
            <wp:anchor distT="0" distB="0" distL="0" distR="0" simplePos="0" relativeHeight="251658240" behindDoc="0" locked="0" layoutInCell="1" allowOverlap="1" wp14:anchorId="4227164D" wp14:editId="5E84EC33">
              <wp:simplePos x="635" y="635"/>
              <wp:positionH relativeFrom="leftMargin">
                <wp:align>left</wp:align>
              </wp:positionH>
              <wp:positionV relativeFrom="paragraph">
                <wp:posOffset>635</wp:posOffset>
              </wp:positionV>
              <wp:extent cx="443865" cy="443865"/>
              <wp:effectExtent l="0" t="0" r="1016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7AD4D" w14:textId="2F504667"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27164D"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8C7AD4D" w14:textId="2F504667"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063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0C7C"/>
    <w:multiLevelType w:val="hybridMultilevel"/>
    <w:tmpl w:val="3AF418C8"/>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55EC0"/>
    <w:multiLevelType w:val="hybridMultilevel"/>
    <w:tmpl w:val="11A2BF46"/>
    <w:lvl w:ilvl="0" w:tplc="369E9D28">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9A5778"/>
    <w:multiLevelType w:val="hybridMultilevel"/>
    <w:tmpl w:val="6AAA57AA"/>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1C692"/>
    <w:multiLevelType w:val="hybridMultilevel"/>
    <w:tmpl w:val="1A8CACDC"/>
    <w:lvl w:ilvl="0" w:tplc="1D84B188">
      <w:start w:val="1"/>
      <w:numFmt w:val="decimal"/>
      <w:lvlText w:val="%1."/>
      <w:lvlJc w:val="left"/>
      <w:pPr>
        <w:ind w:left="720" w:hanging="360"/>
      </w:pPr>
    </w:lvl>
    <w:lvl w:ilvl="1" w:tplc="1F78821C">
      <w:start w:val="1"/>
      <w:numFmt w:val="lowerLetter"/>
      <w:lvlText w:val="%2."/>
      <w:lvlJc w:val="left"/>
      <w:pPr>
        <w:ind w:left="1440" w:hanging="360"/>
      </w:pPr>
    </w:lvl>
    <w:lvl w:ilvl="2" w:tplc="1362EC1C">
      <w:start w:val="1"/>
      <w:numFmt w:val="lowerRoman"/>
      <w:lvlText w:val="%3."/>
      <w:lvlJc w:val="right"/>
      <w:pPr>
        <w:ind w:left="2160" w:hanging="180"/>
      </w:pPr>
    </w:lvl>
    <w:lvl w:ilvl="3" w:tplc="6CDA71FC">
      <w:start w:val="1"/>
      <w:numFmt w:val="decimal"/>
      <w:lvlText w:val="%4."/>
      <w:lvlJc w:val="left"/>
      <w:pPr>
        <w:ind w:left="2880" w:hanging="360"/>
      </w:pPr>
    </w:lvl>
    <w:lvl w:ilvl="4" w:tplc="506A4862">
      <w:start w:val="1"/>
      <w:numFmt w:val="lowerLetter"/>
      <w:lvlText w:val="%5."/>
      <w:lvlJc w:val="left"/>
      <w:pPr>
        <w:ind w:left="3600" w:hanging="360"/>
      </w:pPr>
    </w:lvl>
    <w:lvl w:ilvl="5" w:tplc="54B03830">
      <w:start w:val="1"/>
      <w:numFmt w:val="lowerRoman"/>
      <w:lvlText w:val="%6."/>
      <w:lvlJc w:val="right"/>
      <w:pPr>
        <w:ind w:left="4320" w:hanging="180"/>
      </w:pPr>
    </w:lvl>
    <w:lvl w:ilvl="6" w:tplc="19008370">
      <w:start w:val="1"/>
      <w:numFmt w:val="decimal"/>
      <w:lvlText w:val="%7."/>
      <w:lvlJc w:val="left"/>
      <w:pPr>
        <w:ind w:left="5040" w:hanging="360"/>
      </w:pPr>
    </w:lvl>
    <w:lvl w:ilvl="7" w:tplc="FD34675C">
      <w:start w:val="1"/>
      <w:numFmt w:val="lowerLetter"/>
      <w:lvlText w:val="%8."/>
      <w:lvlJc w:val="left"/>
      <w:pPr>
        <w:ind w:left="5760" w:hanging="360"/>
      </w:pPr>
    </w:lvl>
    <w:lvl w:ilvl="8" w:tplc="B0EA95AE">
      <w:start w:val="1"/>
      <w:numFmt w:val="lowerRoman"/>
      <w:lvlText w:val="%9."/>
      <w:lvlJc w:val="right"/>
      <w:pPr>
        <w:ind w:left="6480" w:hanging="180"/>
      </w:pPr>
    </w:lvl>
  </w:abstractNum>
  <w:abstractNum w:abstractNumId="5" w15:restartNumberingAfterBreak="0">
    <w:nsid w:val="150064E6"/>
    <w:multiLevelType w:val="hybridMultilevel"/>
    <w:tmpl w:val="72F001A2"/>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AE33EF"/>
    <w:multiLevelType w:val="hybridMultilevel"/>
    <w:tmpl w:val="BADAC200"/>
    <w:lvl w:ilvl="0" w:tplc="369E9D2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6715D"/>
    <w:multiLevelType w:val="hybridMultilevel"/>
    <w:tmpl w:val="FD3A577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BD77D8"/>
    <w:multiLevelType w:val="hybridMultilevel"/>
    <w:tmpl w:val="B0AEA096"/>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E02219"/>
    <w:multiLevelType w:val="hybridMultilevel"/>
    <w:tmpl w:val="1A8CAC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08014C4"/>
    <w:multiLevelType w:val="hybridMultilevel"/>
    <w:tmpl w:val="A5E48B22"/>
    <w:lvl w:ilvl="0" w:tplc="369E9D2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320AC"/>
    <w:multiLevelType w:val="hybridMultilevel"/>
    <w:tmpl w:val="6602D4BA"/>
    <w:lvl w:ilvl="0" w:tplc="AF84D2F6">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C1787"/>
    <w:multiLevelType w:val="hybridMultilevel"/>
    <w:tmpl w:val="A1D044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A62665"/>
    <w:multiLevelType w:val="hybridMultilevel"/>
    <w:tmpl w:val="C6681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E00AB"/>
    <w:multiLevelType w:val="hybridMultilevel"/>
    <w:tmpl w:val="379A5A0A"/>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7C61C5"/>
    <w:multiLevelType w:val="hybridMultilevel"/>
    <w:tmpl w:val="7DDE3170"/>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124E80"/>
    <w:multiLevelType w:val="hybridMultilevel"/>
    <w:tmpl w:val="84E264FA"/>
    <w:lvl w:ilvl="0" w:tplc="369E9D2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1491B"/>
    <w:multiLevelType w:val="hybridMultilevel"/>
    <w:tmpl w:val="AD02C58A"/>
    <w:lvl w:ilvl="0" w:tplc="369E9D2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815096"/>
    <w:multiLevelType w:val="hybridMultilevel"/>
    <w:tmpl w:val="AC7A3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3795F"/>
    <w:multiLevelType w:val="hybridMultilevel"/>
    <w:tmpl w:val="154C486C"/>
    <w:lvl w:ilvl="0" w:tplc="369E9D2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693B4C"/>
    <w:multiLevelType w:val="hybridMultilevel"/>
    <w:tmpl w:val="950EBC1C"/>
    <w:lvl w:ilvl="0" w:tplc="369E9D2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F7031"/>
    <w:multiLevelType w:val="hybridMultilevel"/>
    <w:tmpl w:val="A5B0D8DA"/>
    <w:lvl w:ilvl="0" w:tplc="072223A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23803"/>
    <w:multiLevelType w:val="hybridMultilevel"/>
    <w:tmpl w:val="CE2CEAC6"/>
    <w:lvl w:ilvl="0" w:tplc="369E9D2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75454"/>
    <w:multiLevelType w:val="hybridMultilevel"/>
    <w:tmpl w:val="BD5630B4"/>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0E0ABF"/>
    <w:multiLevelType w:val="hybridMultilevel"/>
    <w:tmpl w:val="0D887996"/>
    <w:lvl w:ilvl="0" w:tplc="369E9D2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03D50"/>
    <w:multiLevelType w:val="hybridMultilevel"/>
    <w:tmpl w:val="3404010C"/>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AE5A28"/>
    <w:multiLevelType w:val="hybridMultilevel"/>
    <w:tmpl w:val="8D42AEFC"/>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9B2E4A"/>
    <w:multiLevelType w:val="hybridMultilevel"/>
    <w:tmpl w:val="8A7AEBBC"/>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751B1F"/>
    <w:multiLevelType w:val="hybridMultilevel"/>
    <w:tmpl w:val="3F342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C4761"/>
    <w:multiLevelType w:val="hybridMultilevel"/>
    <w:tmpl w:val="3E74788A"/>
    <w:lvl w:ilvl="0" w:tplc="369E9D28">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E14B80"/>
    <w:multiLevelType w:val="hybridMultilevel"/>
    <w:tmpl w:val="D062F094"/>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9E7B8A"/>
    <w:multiLevelType w:val="hybridMultilevel"/>
    <w:tmpl w:val="BF383B42"/>
    <w:lvl w:ilvl="0" w:tplc="369E9D28">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FC5861"/>
    <w:multiLevelType w:val="hybridMultilevel"/>
    <w:tmpl w:val="27425AB2"/>
    <w:lvl w:ilvl="0" w:tplc="369E9D2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984795">
    <w:abstractNumId w:val="7"/>
  </w:num>
  <w:num w:numId="2" w16cid:durableId="1162962177">
    <w:abstractNumId w:val="12"/>
  </w:num>
  <w:num w:numId="3" w16cid:durableId="678777278">
    <w:abstractNumId w:val="11"/>
  </w:num>
  <w:num w:numId="4" w16cid:durableId="595751654">
    <w:abstractNumId w:val="21"/>
  </w:num>
  <w:num w:numId="5" w16cid:durableId="310982897">
    <w:abstractNumId w:val="20"/>
  </w:num>
  <w:num w:numId="6" w16cid:durableId="755713297">
    <w:abstractNumId w:val="24"/>
  </w:num>
  <w:num w:numId="7" w16cid:durableId="1080906867">
    <w:abstractNumId w:val="0"/>
  </w:num>
  <w:num w:numId="8" w16cid:durableId="693192048">
    <w:abstractNumId w:val="6"/>
  </w:num>
  <w:num w:numId="9" w16cid:durableId="294022977">
    <w:abstractNumId w:val="22"/>
  </w:num>
  <w:num w:numId="10" w16cid:durableId="1758748033">
    <w:abstractNumId w:val="28"/>
  </w:num>
  <w:num w:numId="11" w16cid:durableId="1865821938">
    <w:abstractNumId w:val="4"/>
  </w:num>
  <w:num w:numId="12" w16cid:durableId="583682598">
    <w:abstractNumId w:val="13"/>
  </w:num>
  <w:num w:numId="13" w16cid:durableId="1937785672">
    <w:abstractNumId w:val="8"/>
  </w:num>
  <w:num w:numId="14" w16cid:durableId="200166729">
    <w:abstractNumId w:val="18"/>
  </w:num>
  <w:num w:numId="15" w16cid:durableId="380523659">
    <w:abstractNumId w:val="10"/>
  </w:num>
  <w:num w:numId="16" w16cid:durableId="898826630">
    <w:abstractNumId w:val="1"/>
  </w:num>
  <w:num w:numId="17" w16cid:durableId="718170372">
    <w:abstractNumId w:val="29"/>
  </w:num>
  <w:num w:numId="18" w16cid:durableId="485050463">
    <w:abstractNumId w:val="19"/>
  </w:num>
  <w:num w:numId="19" w16cid:durableId="1223523734">
    <w:abstractNumId w:val="17"/>
  </w:num>
  <w:num w:numId="20" w16cid:durableId="1197888584">
    <w:abstractNumId w:val="32"/>
  </w:num>
  <w:num w:numId="21" w16cid:durableId="1588880310">
    <w:abstractNumId w:val="25"/>
  </w:num>
  <w:num w:numId="22" w16cid:durableId="1557662074">
    <w:abstractNumId w:val="3"/>
  </w:num>
  <w:num w:numId="23" w16cid:durableId="194461284">
    <w:abstractNumId w:val="5"/>
  </w:num>
  <w:num w:numId="24" w16cid:durableId="1065959166">
    <w:abstractNumId w:val="30"/>
  </w:num>
  <w:num w:numId="25" w16cid:durableId="1213080948">
    <w:abstractNumId w:val="14"/>
  </w:num>
  <w:num w:numId="26" w16cid:durableId="386607595">
    <w:abstractNumId w:val="27"/>
  </w:num>
  <w:num w:numId="27" w16cid:durableId="1217739949">
    <w:abstractNumId w:val="2"/>
  </w:num>
  <w:num w:numId="28" w16cid:durableId="1903519873">
    <w:abstractNumId w:val="23"/>
  </w:num>
  <w:num w:numId="29" w16cid:durableId="476268135">
    <w:abstractNumId w:val="16"/>
  </w:num>
  <w:num w:numId="30" w16cid:durableId="1775247670">
    <w:abstractNumId w:val="26"/>
  </w:num>
  <w:num w:numId="31" w16cid:durableId="657005815">
    <w:abstractNumId w:val="31"/>
  </w:num>
  <w:num w:numId="32" w16cid:durableId="206184711">
    <w:abstractNumId w:val="15"/>
  </w:num>
  <w:num w:numId="33" w16cid:durableId="1284535404">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56A"/>
    <w:rsid w:val="00000FCE"/>
    <w:rsid w:val="0000192A"/>
    <w:rsid w:val="000020CD"/>
    <w:rsid w:val="00002E46"/>
    <w:rsid w:val="00003594"/>
    <w:rsid w:val="000039A4"/>
    <w:rsid w:val="00003FD1"/>
    <w:rsid w:val="00004C2F"/>
    <w:rsid w:val="000052F5"/>
    <w:rsid w:val="00005592"/>
    <w:rsid w:val="00006C94"/>
    <w:rsid w:val="000072B1"/>
    <w:rsid w:val="000111A1"/>
    <w:rsid w:val="00011474"/>
    <w:rsid w:val="00011684"/>
    <w:rsid w:val="00011D28"/>
    <w:rsid w:val="00012493"/>
    <w:rsid w:val="000125AC"/>
    <w:rsid w:val="000127D5"/>
    <w:rsid w:val="000138E4"/>
    <w:rsid w:val="00013D8D"/>
    <w:rsid w:val="00014016"/>
    <w:rsid w:val="0001415A"/>
    <w:rsid w:val="00014BCF"/>
    <w:rsid w:val="000156EA"/>
    <w:rsid w:val="00015E90"/>
    <w:rsid w:val="00016955"/>
    <w:rsid w:val="000175CD"/>
    <w:rsid w:val="00017A90"/>
    <w:rsid w:val="00017CB8"/>
    <w:rsid w:val="00020244"/>
    <w:rsid w:val="00020589"/>
    <w:rsid w:val="0002130C"/>
    <w:rsid w:val="000216A7"/>
    <w:rsid w:val="00022074"/>
    <w:rsid w:val="00022178"/>
    <w:rsid w:val="00022194"/>
    <w:rsid w:val="00022CB1"/>
    <w:rsid w:val="000232B9"/>
    <w:rsid w:val="000234D2"/>
    <w:rsid w:val="000237B1"/>
    <w:rsid w:val="00024017"/>
    <w:rsid w:val="0002410E"/>
    <w:rsid w:val="000242C4"/>
    <w:rsid w:val="00024A74"/>
    <w:rsid w:val="00024C98"/>
    <w:rsid w:val="000253DC"/>
    <w:rsid w:val="0002591B"/>
    <w:rsid w:val="00025B9B"/>
    <w:rsid w:val="0002705B"/>
    <w:rsid w:val="000273A0"/>
    <w:rsid w:val="0003041C"/>
    <w:rsid w:val="000317E2"/>
    <w:rsid w:val="0003189C"/>
    <w:rsid w:val="00031B56"/>
    <w:rsid w:val="000325E7"/>
    <w:rsid w:val="000327B9"/>
    <w:rsid w:val="00032A61"/>
    <w:rsid w:val="00033453"/>
    <w:rsid w:val="000334E4"/>
    <w:rsid w:val="00034C82"/>
    <w:rsid w:val="00034DA9"/>
    <w:rsid w:val="00034DDD"/>
    <w:rsid w:val="00035070"/>
    <w:rsid w:val="000360AA"/>
    <w:rsid w:val="000361D9"/>
    <w:rsid w:val="0003645E"/>
    <w:rsid w:val="00036699"/>
    <w:rsid w:val="00036757"/>
    <w:rsid w:val="00036A59"/>
    <w:rsid w:val="00037F3A"/>
    <w:rsid w:val="00040321"/>
    <w:rsid w:val="00040D72"/>
    <w:rsid w:val="00040E7F"/>
    <w:rsid w:val="000412E9"/>
    <w:rsid w:val="00041924"/>
    <w:rsid w:val="00042FE7"/>
    <w:rsid w:val="00043DF1"/>
    <w:rsid w:val="00043DFD"/>
    <w:rsid w:val="00044A21"/>
    <w:rsid w:val="00044FAA"/>
    <w:rsid w:val="000456E1"/>
    <w:rsid w:val="00045A7D"/>
    <w:rsid w:val="00045EA5"/>
    <w:rsid w:val="00046AF2"/>
    <w:rsid w:val="00047563"/>
    <w:rsid w:val="00047B9E"/>
    <w:rsid w:val="00050917"/>
    <w:rsid w:val="00050BE7"/>
    <w:rsid w:val="00050CFA"/>
    <w:rsid w:val="00050EDA"/>
    <w:rsid w:val="00051353"/>
    <w:rsid w:val="00051E5A"/>
    <w:rsid w:val="00053488"/>
    <w:rsid w:val="000536C7"/>
    <w:rsid w:val="00053EA2"/>
    <w:rsid w:val="00054ABD"/>
    <w:rsid w:val="000551E4"/>
    <w:rsid w:val="000558AB"/>
    <w:rsid w:val="0005595A"/>
    <w:rsid w:val="00055A85"/>
    <w:rsid w:val="000570F4"/>
    <w:rsid w:val="000575D9"/>
    <w:rsid w:val="0005768F"/>
    <w:rsid w:val="0006040A"/>
    <w:rsid w:val="00060519"/>
    <w:rsid w:val="00060C02"/>
    <w:rsid w:val="00062F2F"/>
    <w:rsid w:val="00063043"/>
    <w:rsid w:val="00063096"/>
    <w:rsid w:val="000634B2"/>
    <w:rsid w:val="00063648"/>
    <w:rsid w:val="00064360"/>
    <w:rsid w:val="000648AF"/>
    <w:rsid w:val="00064AF4"/>
    <w:rsid w:val="00064D5A"/>
    <w:rsid w:val="00065439"/>
    <w:rsid w:val="000659A6"/>
    <w:rsid w:val="00065B6D"/>
    <w:rsid w:val="00066EA5"/>
    <w:rsid w:val="000676D2"/>
    <w:rsid w:val="00070360"/>
    <w:rsid w:val="0007125A"/>
    <w:rsid w:val="000712EE"/>
    <w:rsid w:val="0007131D"/>
    <w:rsid w:val="00071851"/>
    <w:rsid w:val="000722E4"/>
    <w:rsid w:val="000726AE"/>
    <w:rsid w:val="000747D0"/>
    <w:rsid w:val="00074E9D"/>
    <w:rsid w:val="00075222"/>
    <w:rsid w:val="000761FC"/>
    <w:rsid w:val="00076A5F"/>
    <w:rsid w:val="00076A92"/>
    <w:rsid w:val="00077546"/>
    <w:rsid w:val="000808E5"/>
    <w:rsid w:val="00080F65"/>
    <w:rsid w:val="00081759"/>
    <w:rsid w:val="0008247C"/>
    <w:rsid w:val="0008248C"/>
    <w:rsid w:val="000824F2"/>
    <w:rsid w:val="000832B9"/>
    <w:rsid w:val="00083B2A"/>
    <w:rsid w:val="00083E2E"/>
    <w:rsid w:val="00084247"/>
    <w:rsid w:val="000846B5"/>
    <w:rsid w:val="00084A26"/>
    <w:rsid w:val="00084F3B"/>
    <w:rsid w:val="000851FD"/>
    <w:rsid w:val="000852B8"/>
    <w:rsid w:val="0008541E"/>
    <w:rsid w:val="000859B2"/>
    <w:rsid w:val="00086CB0"/>
    <w:rsid w:val="00087821"/>
    <w:rsid w:val="00087CC4"/>
    <w:rsid w:val="00090B4D"/>
    <w:rsid w:val="00091051"/>
    <w:rsid w:val="000913E7"/>
    <w:rsid w:val="0009144C"/>
    <w:rsid w:val="00091782"/>
    <w:rsid w:val="000917FF"/>
    <w:rsid w:val="000918DA"/>
    <w:rsid w:val="000919B3"/>
    <w:rsid w:val="00091E58"/>
    <w:rsid w:val="00091FD4"/>
    <w:rsid w:val="000924EC"/>
    <w:rsid w:val="000926C3"/>
    <w:rsid w:val="0009354C"/>
    <w:rsid w:val="0009389E"/>
    <w:rsid w:val="00095090"/>
    <w:rsid w:val="000956BC"/>
    <w:rsid w:val="00095CB1"/>
    <w:rsid w:val="000968E2"/>
    <w:rsid w:val="000974BD"/>
    <w:rsid w:val="00097CBE"/>
    <w:rsid w:val="000A016D"/>
    <w:rsid w:val="000A03C5"/>
    <w:rsid w:val="000A083D"/>
    <w:rsid w:val="000A0CE4"/>
    <w:rsid w:val="000A0F80"/>
    <w:rsid w:val="000A1119"/>
    <w:rsid w:val="000A2BA2"/>
    <w:rsid w:val="000A2EBD"/>
    <w:rsid w:val="000A3094"/>
    <w:rsid w:val="000A3A2A"/>
    <w:rsid w:val="000A3ACE"/>
    <w:rsid w:val="000A3C0C"/>
    <w:rsid w:val="000A3E50"/>
    <w:rsid w:val="000A4460"/>
    <w:rsid w:val="000A46BE"/>
    <w:rsid w:val="000A590A"/>
    <w:rsid w:val="000A5A67"/>
    <w:rsid w:val="000A63E1"/>
    <w:rsid w:val="000A6553"/>
    <w:rsid w:val="000A7421"/>
    <w:rsid w:val="000B00FD"/>
    <w:rsid w:val="000B0221"/>
    <w:rsid w:val="000B0BB5"/>
    <w:rsid w:val="000B112C"/>
    <w:rsid w:val="000B1D5C"/>
    <w:rsid w:val="000B2FB4"/>
    <w:rsid w:val="000B5CE9"/>
    <w:rsid w:val="000B5F6E"/>
    <w:rsid w:val="000B6305"/>
    <w:rsid w:val="000B72AB"/>
    <w:rsid w:val="000B78D8"/>
    <w:rsid w:val="000B7F2D"/>
    <w:rsid w:val="000C056C"/>
    <w:rsid w:val="000C0914"/>
    <w:rsid w:val="000C1B60"/>
    <w:rsid w:val="000C1FE7"/>
    <w:rsid w:val="000C28CA"/>
    <w:rsid w:val="000C2991"/>
    <w:rsid w:val="000C2ED6"/>
    <w:rsid w:val="000C321E"/>
    <w:rsid w:val="000C47ED"/>
    <w:rsid w:val="000C49E4"/>
    <w:rsid w:val="000C4B1F"/>
    <w:rsid w:val="000C4B39"/>
    <w:rsid w:val="000C53A9"/>
    <w:rsid w:val="000C5417"/>
    <w:rsid w:val="000C56AD"/>
    <w:rsid w:val="000C585F"/>
    <w:rsid w:val="000C5B99"/>
    <w:rsid w:val="000C5CBD"/>
    <w:rsid w:val="000C5E24"/>
    <w:rsid w:val="000C6376"/>
    <w:rsid w:val="000C65C3"/>
    <w:rsid w:val="000C6B87"/>
    <w:rsid w:val="000C6DE7"/>
    <w:rsid w:val="000C7255"/>
    <w:rsid w:val="000C76F8"/>
    <w:rsid w:val="000C7CBA"/>
    <w:rsid w:val="000D0572"/>
    <w:rsid w:val="000D16B6"/>
    <w:rsid w:val="000D174F"/>
    <w:rsid w:val="000D23D6"/>
    <w:rsid w:val="000D2706"/>
    <w:rsid w:val="000D3566"/>
    <w:rsid w:val="000D368C"/>
    <w:rsid w:val="000D385F"/>
    <w:rsid w:val="000D3EB4"/>
    <w:rsid w:val="000D597C"/>
    <w:rsid w:val="000D6039"/>
    <w:rsid w:val="000D67CF"/>
    <w:rsid w:val="000E0293"/>
    <w:rsid w:val="000E0560"/>
    <w:rsid w:val="000E0AAC"/>
    <w:rsid w:val="000E1030"/>
    <w:rsid w:val="000E1541"/>
    <w:rsid w:val="000E193B"/>
    <w:rsid w:val="000E1979"/>
    <w:rsid w:val="000E1BBC"/>
    <w:rsid w:val="000E2007"/>
    <w:rsid w:val="000E2121"/>
    <w:rsid w:val="000E2E9A"/>
    <w:rsid w:val="000E39EA"/>
    <w:rsid w:val="000E412C"/>
    <w:rsid w:val="000E42FB"/>
    <w:rsid w:val="000E4328"/>
    <w:rsid w:val="000E440A"/>
    <w:rsid w:val="000E46E8"/>
    <w:rsid w:val="000E4769"/>
    <w:rsid w:val="000E4786"/>
    <w:rsid w:val="000E5668"/>
    <w:rsid w:val="000E5811"/>
    <w:rsid w:val="000E5C78"/>
    <w:rsid w:val="000E5D0D"/>
    <w:rsid w:val="000E60D9"/>
    <w:rsid w:val="000E6103"/>
    <w:rsid w:val="000E6456"/>
    <w:rsid w:val="000E653A"/>
    <w:rsid w:val="000E7290"/>
    <w:rsid w:val="000E73C5"/>
    <w:rsid w:val="000F075D"/>
    <w:rsid w:val="000F0943"/>
    <w:rsid w:val="000F0DEB"/>
    <w:rsid w:val="000F17D9"/>
    <w:rsid w:val="000F2BCA"/>
    <w:rsid w:val="000F2FB6"/>
    <w:rsid w:val="000F3C9F"/>
    <w:rsid w:val="000F432B"/>
    <w:rsid w:val="000F49D2"/>
    <w:rsid w:val="000F5ADB"/>
    <w:rsid w:val="000F5EB4"/>
    <w:rsid w:val="000F612F"/>
    <w:rsid w:val="000F622D"/>
    <w:rsid w:val="000F64D0"/>
    <w:rsid w:val="000F6799"/>
    <w:rsid w:val="000F67ED"/>
    <w:rsid w:val="000F71B7"/>
    <w:rsid w:val="000F789B"/>
    <w:rsid w:val="000F79A4"/>
    <w:rsid w:val="00100256"/>
    <w:rsid w:val="00100325"/>
    <w:rsid w:val="00100B49"/>
    <w:rsid w:val="00100B77"/>
    <w:rsid w:val="00100F15"/>
    <w:rsid w:val="001014B2"/>
    <w:rsid w:val="001014BC"/>
    <w:rsid w:val="0010192D"/>
    <w:rsid w:val="00101FD3"/>
    <w:rsid w:val="0010328F"/>
    <w:rsid w:val="00104A6E"/>
    <w:rsid w:val="00105347"/>
    <w:rsid w:val="0010590C"/>
    <w:rsid w:val="00105C2F"/>
    <w:rsid w:val="00106356"/>
    <w:rsid w:val="0010650B"/>
    <w:rsid w:val="0010731C"/>
    <w:rsid w:val="0010753E"/>
    <w:rsid w:val="001079BA"/>
    <w:rsid w:val="00107B23"/>
    <w:rsid w:val="00107B2D"/>
    <w:rsid w:val="00107CB0"/>
    <w:rsid w:val="001102D4"/>
    <w:rsid w:val="00110A23"/>
    <w:rsid w:val="00110F2C"/>
    <w:rsid w:val="001110B4"/>
    <w:rsid w:val="00111390"/>
    <w:rsid w:val="001124A1"/>
    <w:rsid w:val="00112A72"/>
    <w:rsid w:val="00112AEF"/>
    <w:rsid w:val="00112F55"/>
    <w:rsid w:val="00114287"/>
    <w:rsid w:val="001153E4"/>
    <w:rsid w:val="00115893"/>
    <w:rsid w:val="00115D7B"/>
    <w:rsid w:val="00116AD0"/>
    <w:rsid w:val="00116C1F"/>
    <w:rsid w:val="001172D9"/>
    <w:rsid w:val="0011744D"/>
    <w:rsid w:val="00117D04"/>
    <w:rsid w:val="00120139"/>
    <w:rsid w:val="0012030F"/>
    <w:rsid w:val="00120ADE"/>
    <w:rsid w:val="00120D8D"/>
    <w:rsid w:val="00120E1C"/>
    <w:rsid w:val="00120E8A"/>
    <w:rsid w:val="00121216"/>
    <w:rsid w:val="00121C09"/>
    <w:rsid w:val="00122730"/>
    <w:rsid w:val="0012281F"/>
    <w:rsid w:val="00122DCE"/>
    <w:rsid w:val="0012315F"/>
    <w:rsid w:val="00123290"/>
    <w:rsid w:val="00123806"/>
    <w:rsid w:val="00124517"/>
    <w:rsid w:val="0012492A"/>
    <w:rsid w:val="00124EE7"/>
    <w:rsid w:val="0012520B"/>
    <w:rsid w:val="001258BC"/>
    <w:rsid w:val="00125CBC"/>
    <w:rsid w:val="00125D0F"/>
    <w:rsid w:val="00125F8D"/>
    <w:rsid w:val="0012633E"/>
    <w:rsid w:val="00126589"/>
    <w:rsid w:val="00127374"/>
    <w:rsid w:val="00127D82"/>
    <w:rsid w:val="001300EB"/>
    <w:rsid w:val="00130422"/>
    <w:rsid w:val="0013071B"/>
    <w:rsid w:val="00130C0A"/>
    <w:rsid w:val="00130C3C"/>
    <w:rsid w:val="00130DDF"/>
    <w:rsid w:val="00130ECC"/>
    <w:rsid w:val="001313CC"/>
    <w:rsid w:val="00131962"/>
    <w:rsid w:val="00131DF6"/>
    <w:rsid w:val="00134D99"/>
    <w:rsid w:val="00134E44"/>
    <w:rsid w:val="00135318"/>
    <w:rsid w:val="00135605"/>
    <w:rsid w:val="00135B80"/>
    <w:rsid w:val="00136111"/>
    <w:rsid w:val="0013684D"/>
    <w:rsid w:val="00136B08"/>
    <w:rsid w:val="00136E8A"/>
    <w:rsid w:val="001372FD"/>
    <w:rsid w:val="0013737A"/>
    <w:rsid w:val="001377D4"/>
    <w:rsid w:val="001378DB"/>
    <w:rsid w:val="00137CAF"/>
    <w:rsid w:val="00140095"/>
    <w:rsid w:val="00141922"/>
    <w:rsid w:val="00142D82"/>
    <w:rsid w:val="00142DFA"/>
    <w:rsid w:val="001434C6"/>
    <w:rsid w:val="00143502"/>
    <w:rsid w:val="00144257"/>
    <w:rsid w:val="00144889"/>
    <w:rsid w:val="00144FD8"/>
    <w:rsid w:val="001456F1"/>
    <w:rsid w:val="001468A9"/>
    <w:rsid w:val="001473BE"/>
    <w:rsid w:val="00147959"/>
    <w:rsid w:val="00150078"/>
    <w:rsid w:val="00150364"/>
    <w:rsid w:val="001504A7"/>
    <w:rsid w:val="001508DC"/>
    <w:rsid w:val="001515B5"/>
    <w:rsid w:val="001517DD"/>
    <w:rsid w:val="0015185A"/>
    <w:rsid w:val="00151D32"/>
    <w:rsid w:val="00151D50"/>
    <w:rsid w:val="00152C20"/>
    <w:rsid w:val="00152CB6"/>
    <w:rsid w:val="00153356"/>
    <w:rsid w:val="00153C0B"/>
    <w:rsid w:val="00154517"/>
    <w:rsid w:val="00154F53"/>
    <w:rsid w:val="0015592D"/>
    <w:rsid w:val="00155E13"/>
    <w:rsid w:val="00156043"/>
    <w:rsid w:val="00156569"/>
    <w:rsid w:val="001566DB"/>
    <w:rsid w:val="00157ABC"/>
    <w:rsid w:val="00157E5C"/>
    <w:rsid w:val="001611C9"/>
    <w:rsid w:val="0016151B"/>
    <w:rsid w:val="001617A1"/>
    <w:rsid w:val="00161F4C"/>
    <w:rsid w:val="00162312"/>
    <w:rsid w:val="0016253B"/>
    <w:rsid w:val="00163427"/>
    <w:rsid w:val="00163977"/>
    <w:rsid w:val="0016454E"/>
    <w:rsid w:val="00164CCA"/>
    <w:rsid w:val="001650A0"/>
    <w:rsid w:val="00165523"/>
    <w:rsid w:val="00165547"/>
    <w:rsid w:val="001662FF"/>
    <w:rsid w:val="001668D0"/>
    <w:rsid w:val="00166A07"/>
    <w:rsid w:val="00166AC3"/>
    <w:rsid w:val="001670B6"/>
    <w:rsid w:val="00167313"/>
    <w:rsid w:val="00167475"/>
    <w:rsid w:val="00167F7C"/>
    <w:rsid w:val="001701AC"/>
    <w:rsid w:val="00170720"/>
    <w:rsid w:val="00170A79"/>
    <w:rsid w:val="0017270D"/>
    <w:rsid w:val="00172AF7"/>
    <w:rsid w:val="00172BBF"/>
    <w:rsid w:val="00173390"/>
    <w:rsid w:val="00174051"/>
    <w:rsid w:val="00174C88"/>
    <w:rsid w:val="00174CEA"/>
    <w:rsid w:val="00174EED"/>
    <w:rsid w:val="001753E2"/>
    <w:rsid w:val="00175777"/>
    <w:rsid w:val="00175D53"/>
    <w:rsid w:val="001765C6"/>
    <w:rsid w:val="00176A97"/>
    <w:rsid w:val="00176CC0"/>
    <w:rsid w:val="001776DA"/>
    <w:rsid w:val="001776F0"/>
    <w:rsid w:val="0018018F"/>
    <w:rsid w:val="0018061B"/>
    <w:rsid w:val="00180A6E"/>
    <w:rsid w:val="00180B30"/>
    <w:rsid w:val="00180E1B"/>
    <w:rsid w:val="001814F7"/>
    <w:rsid w:val="00181D22"/>
    <w:rsid w:val="00182537"/>
    <w:rsid w:val="00182BCC"/>
    <w:rsid w:val="0018307E"/>
    <w:rsid w:val="0018362D"/>
    <w:rsid w:val="001838B6"/>
    <w:rsid w:val="00184507"/>
    <w:rsid w:val="00184874"/>
    <w:rsid w:val="00184964"/>
    <w:rsid w:val="00184AA3"/>
    <w:rsid w:val="00185B10"/>
    <w:rsid w:val="00185B5A"/>
    <w:rsid w:val="0018648D"/>
    <w:rsid w:val="001865DC"/>
    <w:rsid w:val="00186730"/>
    <w:rsid w:val="001869B1"/>
    <w:rsid w:val="00186DA9"/>
    <w:rsid w:val="00187D79"/>
    <w:rsid w:val="00191EBB"/>
    <w:rsid w:val="00192B61"/>
    <w:rsid w:val="00192D81"/>
    <w:rsid w:val="00192FD9"/>
    <w:rsid w:val="00193497"/>
    <w:rsid w:val="001934BD"/>
    <w:rsid w:val="001935E7"/>
    <w:rsid w:val="0019378D"/>
    <w:rsid w:val="00193B35"/>
    <w:rsid w:val="001940D0"/>
    <w:rsid w:val="0019473C"/>
    <w:rsid w:val="0019583B"/>
    <w:rsid w:val="00195C1C"/>
    <w:rsid w:val="00195C26"/>
    <w:rsid w:val="001961D0"/>
    <w:rsid w:val="001965F7"/>
    <w:rsid w:val="00196622"/>
    <w:rsid w:val="00196695"/>
    <w:rsid w:val="00196C1F"/>
    <w:rsid w:val="00196DE6"/>
    <w:rsid w:val="00196FCC"/>
    <w:rsid w:val="00196FD0"/>
    <w:rsid w:val="0019737E"/>
    <w:rsid w:val="0019774F"/>
    <w:rsid w:val="001A010E"/>
    <w:rsid w:val="001A0F07"/>
    <w:rsid w:val="001A15DB"/>
    <w:rsid w:val="001A17D9"/>
    <w:rsid w:val="001A1CD6"/>
    <w:rsid w:val="001A277A"/>
    <w:rsid w:val="001A285B"/>
    <w:rsid w:val="001A3893"/>
    <w:rsid w:val="001A3DDA"/>
    <w:rsid w:val="001A3F2E"/>
    <w:rsid w:val="001A4AD2"/>
    <w:rsid w:val="001A4D13"/>
    <w:rsid w:val="001A503B"/>
    <w:rsid w:val="001A5738"/>
    <w:rsid w:val="001A71D1"/>
    <w:rsid w:val="001A72F1"/>
    <w:rsid w:val="001A7AF4"/>
    <w:rsid w:val="001A7AF9"/>
    <w:rsid w:val="001A7F04"/>
    <w:rsid w:val="001B07D3"/>
    <w:rsid w:val="001B0C6C"/>
    <w:rsid w:val="001B142C"/>
    <w:rsid w:val="001B1BCF"/>
    <w:rsid w:val="001B1CD1"/>
    <w:rsid w:val="001B2983"/>
    <w:rsid w:val="001B2A40"/>
    <w:rsid w:val="001B2DAA"/>
    <w:rsid w:val="001B3425"/>
    <w:rsid w:val="001B3A6C"/>
    <w:rsid w:val="001B3D29"/>
    <w:rsid w:val="001B493B"/>
    <w:rsid w:val="001B64B3"/>
    <w:rsid w:val="001B65DC"/>
    <w:rsid w:val="001B673A"/>
    <w:rsid w:val="001B6861"/>
    <w:rsid w:val="001B6C06"/>
    <w:rsid w:val="001B6D6B"/>
    <w:rsid w:val="001B6DC8"/>
    <w:rsid w:val="001B76C5"/>
    <w:rsid w:val="001B7B4E"/>
    <w:rsid w:val="001B7B7E"/>
    <w:rsid w:val="001C01B7"/>
    <w:rsid w:val="001C02BC"/>
    <w:rsid w:val="001C0535"/>
    <w:rsid w:val="001C0940"/>
    <w:rsid w:val="001C0998"/>
    <w:rsid w:val="001C2996"/>
    <w:rsid w:val="001C3143"/>
    <w:rsid w:val="001C52FA"/>
    <w:rsid w:val="001C532E"/>
    <w:rsid w:val="001C5840"/>
    <w:rsid w:val="001C58A1"/>
    <w:rsid w:val="001C5F0C"/>
    <w:rsid w:val="001C68C5"/>
    <w:rsid w:val="001C6A3A"/>
    <w:rsid w:val="001C7055"/>
    <w:rsid w:val="001C7681"/>
    <w:rsid w:val="001C79F9"/>
    <w:rsid w:val="001C7E07"/>
    <w:rsid w:val="001D02C8"/>
    <w:rsid w:val="001D0747"/>
    <w:rsid w:val="001D0B5F"/>
    <w:rsid w:val="001D0CA4"/>
    <w:rsid w:val="001D0DCD"/>
    <w:rsid w:val="001D1884"/>
    <w:rsid w:val="001D18A3"/>
    <w:rsid w:val="001D1AFD"/>
    <w:rsid w:val="001D1B14"/>
    <w:rsid w:val="001D2415"/>
    <w:rsid w:val="001D26B0"/>
    <w:rsid w:val="001D28C3"/>
    <w:rsid w:val="001D29D5"/>
    <w:rsid w:val="001D36A5"/>
    <w:rsid w:val="001D40EC"/>
    <w:rsid w:val="001D44DE"/>
    <w:rsid w:val="001D5270"/>
    <w:rsid w:val="001D56BC"/>
    <w:rsid w:val="001D5B15"/>
    <w:rsid w:val="001D60C3"/>
    <w:rsid w:val="001D6913"/>
    <w:rsid w:val="001D6955"/>
    <w:rsid w:val="001D6BF4"/>
    <w:rsid w:val="001D6CE8"/>
    <w:rsid w:val="001D7600"/>
    <w:rsid w:val="001D784F"/>
    <w:rsid w:val="001D7936"/>
    <w:rsid w:val="001E026F"/>
    <w:rsid w:val="001E0475"/>
    <w:rsid w:val="001E0CE0"/>
    <w:rsid w:val="001E10CE"/>
    <w:rsid w:val="001E2399"/>
    <w:rsid w:val="001E294E"/>
    <w:rsid w:val="001E2B3D"/>
    <w:rsid w:val="001E38A2"/>
    <w:rsid w:val="001E3F17"/>
    <w:rsid w:val="001E4C8C"/>
    <w:rsid w:val="001E5207"/>
    <w:rsid w:val="001E5621"/>
    <w:rsid w:val="001E58CE"/>
    <w:rsid w:val="001E5CB6"/>
    <w:rsid w:val="001E5D5F"/>
    <w:rsid w:val="001F03CB"/>
    <w:rsid w:val="001F0887"/>
    <w:rsid w:val="001F0C3D"/>
    <w:rsid w:val="001F0CB3"/>
    <w:rsid w:val="001F1422"/>
    <w:rsid w:val="001F1759"/>
    <w:rsid w:val="001F24F3"/>
    <w:rsid w:val="001F3159"/>
    <w:rsid w:val="001F44C1"/>
    <w:rsid w:val="001F48B8"/>
    <w:rsid w:val="001F4A76"/>
    <w:rsid w:val="001F53E7"/>
    <w:rsid w:val="001F55E4"/>
    <w:rsid w:val="001F562C"/>
    <w:rsid w:val="001F576F"/>
    <w:rsid w:val="001F7001"/>
    <w:rsid w:val="001F7662"/>
    <w:rsid w:val="001F7A10"/>
    <w:rsid w:val="00200214"/>
    <w:rsid w:val="002007EE"/>
    <w:rsid w:val="00200BAB"/>
    <w:rsid w:val="00200D63"/>
    <w:rsid w:val="00200EF6"/>
    <w:rsid w:val="002016D7"/>
    <w:rsid w:val="0020257A"/>
    <w:rsid w:val="00202661"/>
    <w:rsid w:val="00202C66"/>
    <w:rsid w:val="00202CFC"/>
    <w:rsid w:val="00202D90"/>
    <w:rsid w:val="002039C0"/>
    <w:rsid w:val="00203F34"/>
    <w:rsid w:val="00203FBC"/>
    <w:rsid w:val="00204946"/>
    <w:rsid w:val="002053B1"/>
    <w:rsid w:val="002053B2"/>
    <w:rsid w:val="00207162"/>
    <w:rsid w:val="00207239"/>
    <w:rsid w:val="002075D9"/>
    <w:rsid w:val="002078B9"/>
    <w:rsid w:val="00211F61"/>
    <w:rsid w:val="00212407"/>
    <w:rsid w:val="0021257D"/>
    <w:rsid w:val="0021264A"/>
    <w:rsid w:val="002126FA"/>
    <w:rsid w:val="00212E30"/>
    <w:rsid w:val="002130BD"/>
    <w:rsid w:val="00213E4A"/>
    <w:rsid w:val="00214170"/>
    <w:rsid w:val="00214320"/>
    <w:rsid w:val="00214A31"/>
    <w:rsid w:val="00214A43"/>
    <w:rsid w:val="00215300"/>
    <w:rsid w:val="002154C3"/>
    <w:rsid w:val="00216029"/>
    <w:rsid w:val="002163A8"/>
    <w:rsid w:val="00216A4F"/>
    <w:rsid w:val="00216BAE"/>
    <w:rsid w:val="002172CE"/>
    <w:rsid w:val="00217DB8"/>
    <w:rsid w:val="00217F0E"/>
    <w:rsid w:val="00220395"/>
    <w:rsid w:val="00220627"/>
    <w:rsid w:val="0022134F"/>
    <w:rsid w:val="00221BC0"/>
    <w:rsid w:val="00221F3D"/>
    <w:rsid w:val="002223E2"/>
    <w:rsid w:val="00222E29"/>
    <w:rsid w:val="00223822"/>
    <w:rsid w:val="00223C4D"/>
    <w:rsid w:val="002241F3"/>
    <w:rsid w:val="00224327"/>
    <w:rsid w:val="00224D5B"/>
    <w:rsid w:val="00225E53"/>
    <w:rsid w:val="00225E8C"/>
    <w:rsid w:val="00226232"/>
    <w:rsid w:val="00226409"/>
    <w:rsid w:val="002266E9"/>
    <w:rsid w:val="00227210"/>
    <w:rsid w:val="00227703"/>
    <w:rsid w:val="00227AF8"/>
    <w:rsid w:val="00227BB7"/>
    <w:rsid w:val="002303AC"/>
    <w:rsid w:val="00230882"/>
    <w:rsid w:val="00230A75"/>
    <w:rsid w:val="0023111D"/>
    <w:rsid w:val="002318B6"/>
    <w:rsid w:val="0023215F"/>
    <w:rsid w:val="0023222A"/>
    <w:rsid w:val="0023241D"/>
    <w:rsid w:val="00232547"/>
    <w:rsid w:val="00232E2C"/>
    <w:rsid w:val="00232FE4"/>
    <w:rsid w:val="00233310"/>
    <w:rsid w:val="0023372B"/>
    <w:rsid w:val="00234D03"/>
    <w:rsid w:val="002352A2"/>
    <w:rsid w:val="00236E85"/>
    <w:rsid w:val="00236EC2"/>
    <w:rsid w:val="002373C5"/>
    <w:rsid w:val="0023749E"/>
    <w:rsid w:val="00237A3F"/>
    <w:rsid w:val="00237B2D"/>
    <w:rsid w:val="00237FCD"/>
    <w:rsid w:val="002407D5"/>
    <w:rsid w:val="00242B5F"/>
    <w:rsid w:val="0024320E"/>
    <w:rsid w:val="002432DA"/>
    <w:rsid w:val="002433C3"/>
    <w:rsid w:val="00243A64"/>
    <w:rsid w:val="00243B0E"/>
    <w:rsid w:val="00244254"/>
    <w:rsid w:val="00244EB1"/>
    <w:rsid w:val="00244F41"/>
    <w:rsid w:val="00245A86"/>
    <w:rsid w:val="00245A95"/>
    <w:rsid w:val="00246063"/>
    <w:rsid w:val="0024628B"/>
    <w:rsid w:val="00246576"/>
    <w:rsid w:val="00246587"/>
    <w:rsid w:val="00246939"/>
    <w:rsid w:val="00246D7D"/>
    <w:rsid w:val="00247051"/>
    <w:rsid w:val="002470C5"/>
    <w:rsid w:val="00247636"/>
    <w:rsid w:val="002477A1"/>
    <w:rsid w:val="00247D75"/>
    <w:rsid w:val="00250B38"/>
    <w:rsid w:val="00250C48"/>
    <w:rsid w:val="002514A2"/>
    <w:rsid w:val="00251EB4"/>
    <w:rsid w:val="002524EB"/>
    <w:rsid w:val="00252BDC"/>
    <w:rsid w:val="002532F9"/>
    <w:rsid w:val="002533F5"/>
    <w:rsid w:val="00253CA7"/>
    <w:rsid w:val="0025448F"/>
    <w:rsid w:val="00255031"/>
    <w:rsid w:val="00255383"/>
    <w:rsid w:val="00255857"/>
    <w:rsid w:val="00255D4E"/>
    <w:rsid w:val="002561DC"/>
    <w:rsid w:val="00256471"/>
    <w:rsid w:val="00257462"/>
    <w:rsid w:val="00260363"/>
    <w:rsid w:val="002606DF"/>
    <w:rsid w:val="00260C5E"/>
    <w:rsid w:val="00261BF0"/>
    <w:rsid w:val="00262201"/>
    <w:rsid w:val="00262395"/>
    <w:rsid w:val="00262BF9"/>
    <w:rsid w:val="00262C91"/>
    <w:rsid w:val="002634A3"/>
    <w:rsid w:val="00263C9D"/>
    <w:rsid w:val="00264457"/>
    <w:rsid w:val="0026445D"/>
    <w:rsid w:val="002647D7"/>
    <w:rsid w:val="00266096"/>
    <w:rsid w:val="002661B8"/>
    <w:rsid w:val="00266308"/>
    <w:rsid w:val="00266657"/>
    <w:rsid w:val="002668E8"/>
    <w:rsid w:val="002671FA"/>
    <w:rsid w:val="0026747B"/>
    <w:rsid w:val="00267637"/>
    <w:rsid w:val="00267AEF"/>
    <w:rsid w:val="00267C5C"/>
    <w:rsid w:val="00270178"/>
    <w:rsid w:val="00270244"/>
    <w:rsid w:val="00270932"/>
    <w:rsid w:val="00271BDF"/>
    <w:rsid w:val="0027224E"/>
    <w:rsid w:val="002725CF"/>
    <w:rsid w:val="0027260E"/>
    <w:rsid w:val="00272ADB"/>
    <w:rsid w:val="002739FF"/>
    <w:rsid w:val="00274745"/>
    <w:rsid w:val="00275500"/>
    <w:rsid w:val="002759E1"/>
    <w:rsid w:val="00276064"/>
    <w:rsid w:val="0027607C"/>
    <w:rsid w:val="002766CA"/>
    <w:rsid w:val="00276A50"/>
    <w:rsid w:val="00276BEF"/>
    <w:rsid w:val="00277598"/>
    <w:rsid w:val="0027797A"/>
    <w:rsid w:val="00280243"/>
    <w:rsid w:val="00280306"/>
    <w:rsid w:val="00280C99"/>
    <w:rsid w:val="00281227"/>
    <w:rsid w:val="002814CC"/>
    <w:rsid w:val="002816BC"/>
    <w:rsid w:val="0028199C"/>
    <w:rsid w:val="00281F98"/>
    <w:rsid w:val="00282004"/>
    <w:rsid w:val="00282204"/>
    <w:rsid w:val="00282578"/>
    <w:rsid w:val="00282659"/>
    <w:rsid w:val="00282A26"/>
    <w:rsid w:val="002843B4"/>
    <w:rsid w:val="002843D4"/>
    <w:rsid w:val="00284C83"/>
    <w:rsid w:val="00284CF8"/>
    <w:rsid w:val="00284F23"/>
    <w:rsid w:val="00285042"/>
    <w:rsid w:val="0028531F"/>
    <w:rsid w:val="00285555"/>
    <w:rsid w:val="00285571"/>
    <w:rsid w:val="00285E42"/>
    <w:rsid w:val="00286041"/>
    <w:rsid w:val="0028677E"/>
    <w:rsid w:val="0028686E"/>
    <w:rsid w:val="00286C2E"/>
    <w:rsid w:val="00286F53"/>
    <w:rsid w:val="00287140"/>
    <w:rsid w:val="00287270"/>
    <w:rsid w:val="00287B5F"/>
    <w:rsid w:val="002901AE"/>
    <w:rsid w:val="00290BB6"/>
    <w:rsid w:val="0029100A"/>
    <w:rsid w:val="00291908"/>
    <w:rsid w:val="00291CC8"/>
    <w:rsid w:val="002920AF"/>
    <w:rsid w:val="00292561"/>
    <w:rsid w:val="0029279A"/>
    <w:rsid w:val="00292910"/>
    <w:rsid w:val="00292B05"/>
    <w:rsid w:val="00292B33"/>
    <w:rsid w:val="00293855"/>
    <w:rsid w:val="00293990"/>
    <w:rsid w:val="002939C9"/>
    <w:rsid w:val="00293E78"/>
    <w:rsid w:val="00293F6A"/>
    <w:rsid w:val="002940AF"/>
    <w:rsid w:val="00295443"/>
    <w:rsid w:val="00295EFD"/>
    <w:rsid w:val="00297035"/>
    <w:rsid w:val="0029727A"/>
    <w:rsid w:val="002978D5"/>
    <w:rsid w:val="00297901"/>
    <w:rsid w:val="00297F44"/>
    <w:rsid w:val="002A0337"/>
    <w:rsid w:val="002A070D"/>
    <w:rsid w:val="002A0D2A"/>
    <w:rsid w:val="002A11AE"/>
    <w:rsid w:val="002A1312"/>
    <w:rsid w:val="002A1D44"/>
    <w:rsid w:val="002A3527"/>
    <w:rsid w:val="002A3A05"/>
    <w:rsid w:val="002A3D48"/>
    <w:rsid w:val="002A3F85"/>
    <w:rsid w:val="002A432A"/>
    <w:rsid w:val="002A49B4"/>
    <w:rsid w:val="002A4C83"/>
    <w:rsid w:val="002A4CD4"/>
    <w:rsid w:val="002A4DB0"/>
    <w:rsid w:val="002A5906"/>
    <w:rsid w:val="002A5B4E"/>
    <w:rsid w:val="002A5E2D"/>
    <w:rsid w:val="002A682B"/>
    <w:rsid w:val="002A7A1D"/>
    <w:rsid w:val="002B0466"/>
    <w:rsid w:val="002B0538"/>
    <w:rsid w:val="002B0D80"/>
    <w:rsid w:val="002B0DC1"/>
    <w:rsid w:val="002B113A"/>
    <w:rsid w:val="002B11BC"/>
    <w:rsid w:val="002B1D32"/>
    <w:rsid w:val="002B1EAF"/>
    <w:rsid w:val="002B20B2"/>
    <w:rsid w:val="002B2173"/>
    <w:rsid w:val="002B2C6B"/>
    <w:rsid w:val="002B2EBC"/>
    <w:rsid w:val="002B3252"/>
    <w:rsid w:val="002B3339"/>
    <w:rsid w:val="002B354D"/>
    <w:rsid w:val="002B356E"/>
    <w:rsid w:val="002B3F06"/>
    <w:rsid w:val="002B4009"/>
    <w:rsid w:val="002B44C4"/>
    <w:rsid w:val="002B470B"/>
    <w:rsid w:val="002B4B2C"/>
    <w:rsid w:val="002B4C4E"/>
    <w:rsid w:val="002B5031"/>
    <w:rsid w:val="002B5230"/>
    <w:rsid w:val="002B5276"/>
    <w:rsid w:val="002B53AC"/>
    <w:rsid w:val="002B5A06"/>
    <w:rsid w:val="002B61AA"/>
    <w:rsid w:val="002B61B8"/>
    <w:rsid w:val="002B629B"/>
    <w:rsid w:val="002B730C"/>
    <w:rsid w:val="002B731D"/>
    <w:rsid w:val="002B73C7"/>
    <w:rsid w:val="002B760D"/>
    <w:rsid w:val="002B77B8"/>
    <w:rsid w:val="002B7818"/>
    <w:rsid w:val="002B7C72"/>
    <w:rsid w:val="002C10D2"/>
    <w:rsid w:val="002C1342"/>
    <w:rsid w:val="002C196F"/>
    <w:rsid w:val="002C2808"/>
    <w:rsid w:val="002C294A"/>
    <w:rsid w:val="002C330E"/>
    <w:rsid w:val="002C3509"/>
    <w:rsid w:val="002C366B"/>
    <w:rsid w:val="002C3BAD"/>
    <w:rsid w:val="002C41CB"/>
    <w:rsid w:val="002C4457"/>
    <w:rsid w:val="002C4736"/>
    <w:rsid w:val="002C4763"/>
    <w:rsid w:val="002C4838"/>
    <w:rsid w:val="002C4972"/>
    <w:rsid w:val="002C51DD"/>
    <w:rsid w:val="002C52E7"/>
    <w:rsid w:val="002C55D2"/>
    <w:rsid w:val="002C6264"/>
    <w:rsid w:val="002C635A"/>
    <w:rsid w:val="002C640E"/>
    <w:rsid w:val="002C6EB0"/>
    <w:rsid w:val="002C78D5"/>
    <w:rsid w:val="002C7ABB"/>
    <w:rsid w:val="002C7E21"/>
    <w:rsid w:val="002D0577"/>
    <w:rsid w:val="002D097D"/>
    <w:rsid w:val="002D09D0"/>
    <w:rsid w:val="002D1A1C"/>
    <w:rsid w:val="002D20D8"/>
    <w:rsid w:val="002D2305"/>
    <w:rsid w:val="002D23FB"/>
    <w:rsid w:val="002D2AD0"/>
    <w:rsid w:val="002D31FB"/>
    <w:rsid w:val="002D358A"/>
    <w:rsid w:val="002D36D0"/>
    <w:rsid w:val="002D3BF3"/>
    <w:rsid w:val="002D4122"/>
    <w:rsid w:val="002D458B"/>
    <w:rsid w:val="002D4A1B"/>
    <w:rsid w:val="002D4C99"/>
    <w:rsid w:val="002D4FF0"/>
    <w:rsid w:val="002D5531"/>
    <w:rsid w:val="002D5974"/>
    <w:rsid w:val="002D5993"/>
    <w:rsid w:val="002D7223"/>
    <w:rsid w:val="002D7336"/>
    <w:rsid w:val="002D735D"/>
    <w:rsid w:val="002D7941"/>
    <w:rsid w:val="002E09D0"/>
    <w:rsid w:val="002E0F20"/>
    <w:rsid w:val="002E1246"/>
    <w:rsid w:val="002E13A3"/>
    <w:rsid w:val="002E1802"/>
    <w:rsid w:val="002E1E24"/>
    <w:rsid w:val="002E2781"/>
    <w:rsid w:val="002E28E7"/>
    <w:rsid w:val="002E29D5"/>
    <w:rsid w:val="002E2AE3"/>
    <w:rsid w:val="002E33F4"/>
    <w:rsid w:val="002E34CB"/>
    <w:rsid w:val="002E4290"/>
    <w:rsid w:val="002E4467"/>
    <w:rsid w:val="002E4548"/>
    <w:rsid w:val="002E4A31"/>
    <w:rsid w:val="002E4C02"/>
    <w:rsid w:val="002E4CAF"/>
    <w:rsid w:val="002E5674"/>
    <w:rsid w:val="002E57E7"/>
    <w:rsid w:val="002E5A6B"/>
    <w:rsid w:val="002E5D10"/>
    <w:rsid w:val="002E5EC4"/>
    <w:rsid w:val="002E60BC"/>
    <w:rsid w:val="002E6BC1"/>
    <w:rsid w:val="002E76B8"/>
    <w:rsid w:val="002F00CC"/>
    <w:rsid w:val="002F04DC"/>
    <w:rsid w:val="002F09FD"/>
    <w:rsid w:val="002F0E9D"/>
    <w:rsid w:val="002F1F55"/>
    <w:rsid w:val="002F200A"/>
    <w:rsid w:val="002F2600"/>
    <w:rsid w:val="002F26DC"/>
    <w:rsid w:val="002F2B00"/>
    <w:rsid w:val="002F2BEE"/>
    <w:rsid w:val="002F305F"/>
    <w:rsid w:val="002F307B"/>
    <w:rsid w:val="002F318B"/>
    <w:rsid w:val="002F3506"/>
    <w:rsid w:val="002F39A7"/>
    <w:rsid w:val="002F3B2A"/>
    <w:rsid w:val="002F3D8B"/>
    <w:rsid w:val="002F405C"/>
    <w:rsid w:val="002F47FE"/>
    <w:rsid w:val="002F4D4D"/>
    <w:rsid w:val="002F52DE"/>
    <w:rsid w:val="002F56E4"/>
    <w:rsid w:val="002F59E1"/>
    <w:rsid w:val="002F5A02"/>
    <w:rsid w:val="0030084E"/>
    <w:rsid w:val="00300DBE"/>
    <w:rsid w:val="00302037"/>
    <w:rsid w:val="0030226B"/>
    <w:rsid w:val="0030276C"/>
    <w:rsid w:val="00302E61"/>
    <w:rsid w:val="00302F90"/>
    <w:rsid w:val="003037C6"/>
    <w:rsid w:val="003038A4"/>
    <w:rsid w:val="00303F36"/>
    <w:rsid w:val="00305685"/>
    <w:rsid w:val="003061A0"/>
    <w:rsid w:val="003062EC"/>
    <w:rsid w:val="003067EF"/>
    <w:rsid w:val="00306C50"/>
    <w:rsid w:val="00307271"/>
    <w:rsid w:val="003111D0"/>
    <w:rsid w:val="003113E3"/>
    <w:rsid w:val="003116D1"/>
    <w:rsid w:val="003117F3"/>
    <w:rsid w:val="00312185"/>
    <w:rsid w:val="0031273C"/>
    <w:rsid w:val="00312E18"/>
    <w:rsid w:val="0031516B"/>
    <w:rsid w:val="003152A7"/>
    <w:rsid w:val="00315ECB"/>
    <w:rsid w:val="00315F18"/>
    <w:rsid w:val="00316931"/>
    <w:rsid w:val="00316D0C"/>
    <w:rsid w:val="003173A5"/>
    <w:rsid w:val="00317C2F"/>
    <w:rsid w:val="00317CF7"/>
    <w:rsid w:val="0032017E"/>
    <w:rsid w:val="003219D2"/>
    <w:rsid w:val="00323289"/>
    <w:rsid w:val="0032447A"/>
    <w:rsid w:val="003246B7"/>
    <w:rsid w:val="00324FE7"/>
    <w:rsid w:val="00325832"/>
    <w:rsid w:val="00325BDF"/>
    <w:rsid w:val="00325D04"/>
    <w:rsid w:val="00326410"/>
    <w:rsid w:val="0032691D"/>
    <w:rsid w:val="00326EBC"/>
    <w:rsid w:val="0032769A"/>
    <w:rsid w:val="003279A0"/>
    <w:rsid w:val="00327A03"/>
    <w:rsid w:val="0033027C"/>
    <w:rsid w:val="00330A2C"/>
    <w:rsid w:val="00330B94"/>
    <w:rsid w:val="00332987"/>
    <w:rsid w:val="0033320F"/>
    <w:rsid w:val="0033326B"/>
    <w:rsid w:val="0033364E"/>
    <w:rsid w:val="003336A3"/>
    <w:rsid w:val="003343C1"/>
    <w:rsid w:val="00334489"/>
    <w:rsid w:val="00334592"/>
    <w:rsid w:val="00335286"/>
    <w:rsid w:val="0033570F"/>
    <w:rsid w:val="003361C8"/>
    <w:rsid w:val="003361EF"/>
    <w:rsid w:val="00336774"/>
    <w:rsid w:val="003368F9"/>
    <w:rsid w:val="00337BAD"/>
    <w:rsid w:val="00340909"/>
    <w:rsid w:val="00340ADB"/>
    <w:rsid w:val="00341238"/>
    <w:rsid w:val="00341251"/>
    <w:rsid w:val="003416B4"/>
    <w:rsid w:val="003419AF"/>
    <w:rsid w:val="003419F2"/>
    <w:rsid w:val="00341D46"/>
    <w:rsid w:val="00341F63"/>
    <w:rsid w:val="0034244F"/>
    <w:rsid w:val="00342A98"/>
    <w:rsid w:val="00342ABE"/>
    <w:rsid w:val="00342ECC"/>
    <w:rsid w:val="00343070"/>
    <w:rsid w:val="0034387E"/>
    <w:rsid w:val="00343B75"/>
    <w:rsid w:val="00343C66"/>
    <w:rsid w:val="003445ED"/>
    <w:rsid w:val="003452D1"/>
    <w:rsid w:val="003453D9"/>
    <w:rsid w:val="00345D4E"/>
    <w:rsid w:val="003468E3"/>
    <w:rsid w:val="00346E95"/>
    <w:rsid w:val="003470E1"/>
    <w:rsid w:val="0034786D"/>
    <w:rsid w:val="00347CD1"/>
    <w:rsid w:val="003507A1"/>
    <w:rsid w:val="003508F9"/>
    <w:rsid w:val="00350A2F"/>
    <w:rsid w:val="003516A3"/>
    <w:rsid w:val="00351A39"/>
    <w:rsid w:val="0035200A"/>
    <w:rsid w:val="0035265E"/>
    <w:rsid w:val="00352ABE"/>
    <w:rsid w:val="00352ED4"/>
    <w:rsid w:val="0035391D"/>
    <w:rsid w:val="00353ABC"/>
    <w:rsid w:val="00353DDF"/>
    <w:rsid w:val="00354381"/>
    <w:rsid w:val="00354EDD"/>
    <w:rsid w:val="0035502F"/>
    <w:rsid w:val="0035508F"/>
    <w:rsid w:val="0035572C"/>
    <w:rsid w:val="003565D7"/>
    <w:rsid w:val="00357ABC"/>
    <w:rsid w:val="0036001D"/>
    <w:rsid w:val="003601FC"/>
    <w:rsid w:val="003609BA"/>
    <w:rsid w:val="0036123C"/>
    <w:rsid w:val="003614D5"/>
    <w:rsid w:val="003617AB"/>
    <w:rsid w:val="00361B5D"/>
    <w:rsid w:val="00362774"/>
    <w:rsid w:val="00362B1F"/>
    <w:rsid w:val="00362F8E"/>
    <w:rsid w:val="00363A88"/>
    <w:rsid w:val="00363AD9"/>
    <w:rsid w:val="00363E36"/>
    <w:rsid w:val="00364418"/>
    <w:rsid w:val="003648D1"/>
    <w:rsid w:val="00364B21"/>
    <w:rsid w:val="0036582A"/>
    <w:rsid w:val="003665B3"/>
    <w:rsid w:val="00366C10"/>
    <w:rsid w:val="00367D00"/>
    <w:rsid w:val="00367F75"/>
    <w:rsid w:val="00370661"/>
    <w:rsid w:val="00370BB7"/>
    <w:rsid w:val="00371756"/>
    <w:rsid w:val="003717FD"/>
    <w:rsid w:val="00371AE3"/>
    <w:rsid w:val="00372021"/>
    <w:rsid w:val="003725C0"/>
    <w:rsid w:val="00372878"/>
    <w:rsid w:val="003729DC"/>
    <w:rsid w:val="003733BC"/>
    <w:rsid w:val="00373620"/>
    <w:rsid w:val="00373D94"/>
    <w:rsid w:val="00374243"/>
    <w:rsid w:val="00374885"/>
    <w:rsid w:val="003749ED"/>
    <w:rsid w:val="00374BBA"/>
    <w:rsid w:val="00374D6E"/>
    <w:rsid w:val="00375287"/>
    <w:rsid w:val="00375321"/>
    <w:rsid w:val="00375C01"/>
    <w:rsid w:val="0037646E"/>
    <w:rsid w:val="0037655F"/>
    <w:rsid w:val="003766F1"/>
    <w:rsid w:val="0037676D"/>
    <w:rsid w:val="00377888"/>
    <w:rsid w:val="003803E5"/>
    <w:rsid w:val="00380D1F"/>
    <w:rsid w:val="00380D38"/>
    <w:rsid w:val="003811ED"/>
    <w:rsid w:val="003813DE"/>
    <w:rsid w:val="00381797"/>
    <w:rsid w:val="003817EB"/>
    <w:rsid w:val="00381827"/>
    <w:rsid w:val="00381E1B"/>
    <w:rsid w:val="00381EA7"/>
    <w:rsid w:val="00381EAC"/>
    <w:rsid w:val="003820DA"/>
    <w:rsid w:val="003829D1"/>
    <w:rsid w:val="00382B6B"/>
    <w:rsid w:val="00384004"/>
    <w:rsid w:val="003841E7"/>
    <w:rsid w:val="00384505"/>
    <w:rsid w:val="00384FBC"/>
    <w:rsid w:val="00385719"/>
    <w:rsid w:val="00385747"/>
    <w:rsid w:val="003863A4"/>
    <w:rsid w:val="0038657A"/>
    <w:rsid w:val="0038697A"/>
    <w:rsid w:val="003873FB"/>
    <w:rsid w:val="003875DF"/>
    <w:rsid w:val="0039104E"/>
    <w:rsid w:val="0039130A"/>
    <w:rsid w:val="003913A5"/>
    <w:rsid w:val="003915AD"/>
    <w:rsid w:val="00391C7D"/>
    <w:rsid w:val="00392ABB"/>
    <w:rsid w:val="00393218"/>
    <w:rsid w:val="00393A21"/>
    <w:rsid w:val="00393BC3"/>
    <w:rsid w:val="00393F27"/>
    <w:rsid w:val="00394AEC"/>
    <w:rsid w:val="00394D96"/>
    <w:rsid w:val="00394DC1"/>
    <w:rsid w:val="00394FF3"/>
    <w:rsid w:val="003954BC"/>
    <w:rsid w:val="003956E5"/>
    <w:rsid w:val="00396214"/>
    <w:rsid w:val="00396435"/>
    <w:rsid w:val="00397700"/>
    <w:rsid w:val="0039776B"/>
    <w:rsid w:val="00397DE4"/>
    <w:rsid w:val="00397E89"/>
    <w:rsid w:val="003A0392"/>
    <w:rsid w:val="003A05B7"/>
    <w:rsid w:val="003A0755"/>
    <w:rsid w:val="003A1231"/>
    <w:rsid w:val="003A1DB6"/>
    <w:rsid w:val="003A25D8"/>
    <w:rsid w:val="003A3066"/>
    <w:rsid w:val="003A3108"/>
    <w:rsid w:val="003A39B3"/>
    <w:rsid w:val="003A3F38"/>
    <w:rsid w:val="003A4038"/>
    <w:rsid w:val="003A495F"/>
    <w:rsid w:val="003A4B34"/>
    <w:rsid w:val="003A4D66"/>
    <w:rsid w:val="003A50A0"/>
    <w:rsid w:val="003A56FC"/>
    <w:rsid w:val="003A5DC4"/>
    <w:rsid w:val="003A62B6"/>
    <w:rsid w:val="003A631A"/>
    <w:rsid w:val="003A6385"/>
    <w:rsid w:val="003A646E"/>
    <w:rsid w:val="003A6AA7"/>
    <w:rsid w:val="003B0046"/>
    <w:rsid w:val="003B0182"/>
    <w:rsid w:val="003B06D7"/>
    <w:rsid w:val="003B0DF3"/>
    <w:rsid w:val="003B23B2"/>
    <w:rsid w:val="003B2702"/>
    <w:rsid w:val="003B2961"/>
    <w:rsid w:val="003B29D7"/>
    <w:rsid w:val="003B3302"/>
    <w:rsid w:val="003B3FD9"/>
    <w:rsid w:val="003B47DA"/>
    <w:rsid w:val="003B4F55"/>
    <w:rsid w:val="003B594B"/>
    <w:rsid w:val="003B5A1D"/>
    <w:rsid w:val="003B6264"/>
    <w:rsid w:val="003B68C8"/>
    <w:rsid w:val="003B6B0F"/>
    <w:rsid w:val="003C0371"/>
    <w:rsid w:val="003C0756"/>
    <w:rsid w:val="003C0837"/>
    <w:rsid w:val="003C09AE"/>
    <w:rsid w:val="003C0E61"/>
    <w:rsid w:val="003C14C6"/>
    <w:rsid w:val="003C15C0"/>
    <w:rsid w:val="003C1F0C"/>
    <w:rsid w:val="003C290C"/>
    <w:rsid w:val="003C2DCD"/>
    <w:rsid w:val="003C2F54"/>
    <w:rsid w:val="003C34A7"/>
    <w:rsid w:val="003C3A37"/>
    <w:rsid w:val="003C4104"/>
    <w:rsid w:val="003C44FB"/>
    <w:rsid w:val="003C5519"/>
    <w:rsid w:val="003C5837"/>
    <w:rsid w:val="003C6460"/>
    <w:rsid w:val="003C6755"/>
    <w:rsid w:val="003C679C"/>
    <w:rsid w:val="003C690F"/>
    <w:rsid w:val="003C6A02"/>
    <w:rsid w:val="003C6D0E"/>
    <w:rsid w:val="003C6E0D"/>
    <w:rsid w:val="003C7326"/>
    <w:rsid w:val="003C736B"/>
    <w:rsid w:val="003C753F"/>
    <w:rsid w:val="003C7892"/>
    <w:rsid w:val="003C7A38"/>
    <w:rsid w:val="003C7CF0"/>
    <w:rsid w:val="003D01EC"/>
    <w:rsid w:val="003D0526"/>
    <w:rsid w:val="003D0969"/>
    <w:rsid w:val="003D0B85"/>
    <w:rsid w:val="003D0DFC"/>
    <w:rsid w:val="003D131B"/>
    <w:rsid w:val="003D1AE4"/>
    <w:rsid w:val="003D1F15"/>
    <w:rsid w:val="003D2965"/>
    <w:rsid w:val="003D2CFC"/>
    <w:rsid w:val="003D3558"/>
    <w:rsid w:val="003D42F7"/>
    <w:rsid w:val="003D4661"/>
    <w:rsid w:val="003D4B6D"/>
    <w:rsid w:val="003D5345"/>
    <w:rsid w:val="003D5569"/>
    <w:rsid w:val="003D615F"/>
    <w:rsid w:val="003D626E"/>
    <w:rsid w:val="003D6EAA"/>
    <w:rsid w:val="003D78D6"/>
    <w:rsid w:val="003D7B38"/>
    <w:rsid w:val="003E045A"/>
    <w:rsid w:val="003E1230"/>
    <w:rsid w:val="003E18B2"/>
    <w:rsid w:val="003E2270"/>
    <w:rsid w:val="003E2672"/>
    <w:rsid w:val="003E2BF3"/>
    <w:rsid w:val="003E2D6D"/>
    <w:rsid w:val="003E364C"/>
    <w:rsid w:val="003E45C2"/>
    <w:rsid w:val="003E474E"/>
    <w:rsid w:val="003E47FD"/>
    <w:rsid w:val="003E4B25"/>
    <w:rsid w:val="003E51B3"/>
    <w:rsid w:val="003E61DE"/>
    <w:rsid w:val="003E64A8"/>
    <w:rsid w:val="003E6825"/>
    <w:rsid w:val="003E7163"/>
    <w:rsid w:val="003E7FB3"/>
    <w:rsid w:val="003F00EA"/>
    <w:rsid w:val="003F18A1"/>
    <w:rsid w:val="003F1B52"/>
    <w:rsid w:val="003F1CD8"/>
    <w:rsid w:val="003F20F3"/>
    <w:rsid w:val="003F2467"/>
    <w:rsid w:val="003F2E10"/>
    <w:rsid w:val="003F3165"/>
    <w:rsid w:val="003F317B"/>
    <w:rsid w:val="003F3768"/>
    <w:rsid w:val="003F3892"/>
    <w:rsid w:val="003F389D"/>
    <w:rsid w:val="003F3AD5"/>
    <w:rsid w:val="003F3F92"/>
    <w:rsid w:val="003F52E7"/>
    <w:rsid w:val="003F552F"/>
    <w:rsid w:val="003F5BFE"/>
    <w:rsid w:val="003F5C00"/>
    <w:rsid w:val="003F5CEB"/>
    <w:rsid w:val="003F60E0"/>
    <w:rsid w:val="003F6FD9"/>
    <w:rsid w:val="003F7085"/>
    <w:rsid w:val="003F7098"/>
    <w:rsid w:val="003F73C7"/>
    <w:rsid w:val="003F7B9F"/>
    <w:rsid w:val="00402139"/>
    <w:rsid w:val="0040217B"/>
    <w:rsid w:val="004021B8"/>
    <w:rsid w:val="00402671"/>
    <w:rsid w:val="004027C3"/>
    <w:rsid w:val="00402E4B"/>
    <w:rsid w:val="00403050"/>
    <w:rsid w:val="0040337E"/>
    <w:rsid w:val="00403B31"/>
    <w:rsid w:val="0040456E"/>
    <w:rsid w:val="0040456F"/>
    <w:rsid w:val="00404F16"/>
    <w:rsid w:val="00405AB8"/>
    <w:rsid w:val="00406169"/>
    <w:rsid w:val="0040650E"/>
    <w:rsid w:val="0040696F"/>
    <w:rsid w:val="00407400"/>
    <w:rsid w:val="00407534"/>
    <w:rsid w:val="004076EC"/>
    <w:rsid w:val="00407873"/>
    <w:rsid w:val="00407914"/>
    <w:rsid w:val="00407CA9"/>
    <w:rsid w:val="00411841"/>
    <w:rsid w:val="00411852"/>
    <w:rsid w:val="00412384"/>
    <w:rsid w:val="0041258F"/>
    <w:rsid w:val="00412F24"/>
    <w:rsid w:val="004132D6"/>
    <w:rsid w:val="004138E5"/>
    <w:rsid w:val="00413A55"/>
    <w:rsid w:val="00414146"/>
    <w:rsid w:val="004149B3"/>
    <w:rsid w:val="0041589A"/>
    <w:rsid w:val="00415F1A"/>
    <w:rsid w:val="00416378"/>
    <w:rsid w:val="004163E3"/>
    <w:rsid w:val="0041645B"/>
    <w:rsid w:val="00416E9F"/>
    <w:rsid w:val="00416F54"/>
    <w:rsid w:val="00417109"/>
    <w:rsid w:val="0041735A"/>
    <w:rsid w:val="00417697"/>
    <w:rsid w:val="0042005E"/>
    <w:rsid w:val="004200AC"/>
    <w:rsid w:val="00420D4F"/>
    <w:rsid w:val="00421575"/>
    <w:rsid w:val="004217BF"/>
    <w:rsid w:val="004218C7"/>
    <w:rsid w:val="0042332C"/>
    <w:rsid w:val="0042411D"/>
    <w:rsid w:val="00424E1A"/>
    <w:rsid w:val="00424EEF"/>
    <w:rsid w:val="00425A98"/>
    <w:rsid w:val="00426740"/>
    <w:rsid w:val="00427064"/>
    <w:rsid w:val="00430739"/>
    <w:rsid w:val="00430827"/>
    <w:rsid w:val="00430DE4"/>
    <w:rsid w:val="00431003"/>
    <w:rsid w:val="00431499"/>
    <w:rsid w:val="0043153C"/>
    <w:rsid w:val="00431680"/>
    <w:rsid w:val="0043188F"/>
    <w:rsid w:val="00431AB8"/>
    <w:rsid w:val="00431DF2"/>
    <w:rsid w:val="00431ED2"/>
    <w:rsid w:val="00431F99"/>
    <w:rsid w:val="004324FA"/>
    <w:rsid w:val="004325B3"/>
    <w:rsid w:val="0043276D"/>
    <w:rsid w:val="00432B11"/>
    <w:rsid w:val="00432C0E"/>
    <w:rsid w:val="00433045"/>
    <w:rsid w:val="00433155"/>
    <w:rsid w:val="00433B0E"/>
    <w:rsid w:val="004348FA"/>
    <w:rsid w:val="00434A70"/>
    <w:rsid w:val="00434EE3"/>
    <w:rsid w:val="00435747"/>
    <w:rsid w:val="00435DA0"/>
    <w:rsid w:val="00437C77"/>
    <w:rsid w:val="00440646"/>
    <w:rsid w:val="004408A4"/>
    <w:rsid w:val="00441F4A"/>
    <w:rsid w:val="00442043"/>
    <w:rsid w:val="00442C62"/>
    <w:rsid w:val="00442C67"/>
    <w:rsid w:val="00442E9D"/>
    <w:rsid w:val="00443C83"/>
    <w:rsid w:val="00444038"/>
    <w:rsid w:val="0044565D"/>
    <w:rsid w:val="0044602F"/>
    <w:rsid w:val="00446A07"/>
    <w:rsid w:val="00446D90"/>
    <w:rsid w:val="0045039D"/>
    <w:rsid w:val="00451213"/>
    <w:rsid w:val="004514B7"/>
    <w:rsid w:val="00451667"/>
    <w:rsid w:val="004517FC"/>
    <w:rsid w:val="00451BCB"/>
    <w:rsid w:val="004521A1"/>
    <w:rsid w:val="004521DD"/>
    <w:rsid w:val="004523EA"/>
    <w:rsid w:val="004524AB"/>
    <w:rsid w:val="00453893"/>
    <w:rsid w:val="00453962"/>
    <w:rsid w:val="00453ED7"/>
    <w:rsid w:val="00455E2F"/>
    <w:rsid w:val="00456017"/>
    <w:rsid w:val="004575E8"/>
    <w:rsid w:val="00460092"/>
    <w:rsid w:val="00460106"/>
    <w:rsid w:val="004611AB"/>
    <w:rsid w:val="00461272"/>
    <w:rsid w:val="0046143E"/>
    <w:rsid w:val="00461FD7"/>
    <w:rsid w:val="00462240"/>
    <w:rsid w:val="00462D0A"/>
    <w:rsid w:val="00462DBE"/>
    <w:rsid w:val="00462F17"/>
    <w:rsid w:val="00463470"/>
    <w:rsid w:val="004634CC"/>
    <w:rsid w:val="00463DBB"/>
    <w:rsid w:val="00464111"/>
    <w:rsid w:val="0046483F"/>
    <w:rsid w:val="00465435"/>
    <w:rsid w:val="00465995"/>
    <w:rsid w:val="00466124"/>
    <w:rsid w:val="00466CAB"/>
    <w:rsid w:val="0046732B"/>
    <w:rsid w:val="00467949"/>
    <w:rsid w:val="00467BB9"/>
    <w:rsid w:val="00467D8E"/>
    <w:rsid w:val="00470697"/>
    <w:rsid w:val="004709CB"/>
    <w:rsid w:val="004714DA"/>
    <w:rsid w:val="0047152D"/>
    <w:rsid w:val="004716F4"/>
    <w:rsid w:val="00471C30"/>
    <w:rsid w:val="00471D57"/>
    <w:rsid w:val="00472299"/>
    <w:rsid w:val="004723AB"/>
    <w:rsid w:val="00472725"/>
    <w:rsid w:val="00472994"/>
    <w:rsid w:val="00472B17"/>
    <w:rsid w:val="00473147"/>
    <w:rsid w:val="0047338C"/>
    <w:rsid w:val="00473666"/>
    <w:rsid w:val="00473A5F"/>
    <w:rsid w:val="00475702"/>
    <w:rsid w:val="00475747"/>
    <w:rsid w:val="00476AAC"/>
    <w:rsid w:val="00477268"/>
    <w:rsid w:val="00477CDD"/>
    <w:rsid w:val="00477E32"/>
    <w:rsid w:val="0048011A"/>
    <w:rsid w:val="00480955"/>
    <w:rsid w:val="004821A7"/>
    <w:rsid w:val="00482382"/>
    <w:rsid w:val="0048243D"/>
    <w:rsid w:val="00482453"/>
    <w:rsid w:val="00482F1A"/>
    <w:rsid w:val="0048325E"/>
    <w:rsid w:val="004832B8"/>
    <w:rsid w:val="00483770"/>
    <w:rsid w:val="0048386F"/>
    <w:rsid w:val="00483C1B"/>
    <w:rsid w:val="0048422D"/>
    <w:rsid w:val="00484351"/>
    <w:rsid w:val="004854A0"/>
    <w:rsid w:val="00485B19"/>
    <w:rsid w:val="00485FA3"/>
    <w:rsid w:val="00486A06"/>
    <w:rsid w:val="004871FE"/>
    <w:rsid w:val="004901C7"/>
    <w:rsid w:val="004902D4"/>
    <w:rsid w:val="00490457"/>
    <w:rsid w:val="004912FC"/>
    <w:rsid w:val="004915C1"/>
    <w:rsid w:val="00491D73"/>
    <w:rsid w:val="00492247"/>
    <w:rsid w:val="00493A25"/>
    <w:rsid w:val="00493B77"/>
    <w:rsid w:val="0049411B"/>
    <w:rsid w:val="00494220"/>
    <w:rsid w:val="004943D7"/>
    <w:rsid w:val="00494806"/>
    <w:rsid w:val="00494FB2"/>
    <w:rsid w:val="00495284"/>
    <w:rsid w:val="004957AD"/>
    <w:rsid w:val="004958FB"/>
    <w:rsid w:val="004959E1"/>
    <w:rsid w:val="00495C97"/>
    <w:rsid w:val="00496846"/>
    <w:rsid w:val="004969F1"/>
    <w:rsid w:val="00496B22"/>
    <w:rsid w:val="00496C10"/>
    <w:rsid w:val="00496F89"/>
    <w:rsid w:val="0049725E"/>
    <w:rsid w:val="004978FD"/>
    <w:rsid w:val="004979B5"/>
    <w:rsid w:val="004A144F"/>
    <w:rsid w:val="004A24AB"/>
    <w:rsid w:val="004A2ED5"/>
    <w:rsid w:val="004A2F19"/>
    <w:rsid w:val="004A3C6A"/>
    <w:rsid w:val="004A46BE"/>
    <w:rsid w:val="004A488D"/>
    <w:rsid w:val="004A4B1D"/>
    <w:rsid w:val="004A4CCD"/>
    <w:rsid w:val="004A4D34"/>
    <w:rsid w:val="004A523A"/>
    <w:rsid w:val="004A57D2"/>
    <w:rsid w:val="004A64EC"/>
    <w:rsid w:val="004A654E"/>
    <w:rsid w:val="004B0983"/>
    <w:rsid w:val="004B0A3E"/>
    <w:rsid w:val="004B0AFD"/>
    <w:rsid w:val="004B0DB3"/>
    <w:rsid w:val="004B107B"/>
    <w:rsid w:val="004B1400"/>
    <w:rsid w:val="004B1660"/>
    <w:rsid w:val="004B184A"/>
    <w:rsid w:val="004B1F48"/>
    <w:rsid w:val="004B277A"/>
    <w:rsid w:val="004B2B82"/>
    <w:rsid w:val="004B3658"/>
    <w:rsid w:val="004B4481"/>
    <w:rsid w:val="004B4D4C"/>
    <w:rsid w:val="004B5643"/>
    <w:rsid w:val="004B5C3C"/>
    <w:rsid w:val="004B5EA2"/>
    <w:rsid w:val="004B709B"/>
    <w:rsid w:val="004B70F1"/>
    <w:rsid w:val="004B7B89"/>
    <w:rsid w:val="004B7D45"/>
    <w:rsid w:val="004B7F11"/>
    <w:rsid w:val="004C07E9"/>
    <w:rsid w:val="004C0F6C"/>
    <w:rsid w:val="004C24B9"/>
    <w:rsid w:val="004C2555"/>
    <w:rsid w:val="004C25DD"/>
    <w:rsid w:val="004C3783"/>
    <w:rsid w:val="004C41E2"/>
    <w:rsid w:val="004C447D"/>
    <w:rsid w:val="004C49B0"/>
    <w:rsid w:val="004C520A"/>
    <w:rsid w:val="004C5425"/>
    <w:rsid w:val="004C5D48"/>
    <w:rsid w:val="004C737D"/>
    <w:rsid w:val="004C744B"/>
    <w:rsid w:val="004C74E6"/>
    <w:rsid w:val="004D0145"/>
    <w:rsid w:val="004D1D1D"/>
    <w:rsid w:val="004D3145"/>
    <w:rsid w:val="004D3303"/>
    <w:rsid w:val="004D3AF4"/>
    <w:rsid w:val="004D4919"/>
    <w:rsid w:val="004D4B44"/>
    <w:rsid w:val="004D4C87"/>
    <w:rsid w:val="004D6334"/>
    <w:rsid w:val="004D67B4"/>
    <w:rsid w:val="004D6991"/>
    <w:rsid w:val="004D6C8C"/>
    <w:rsid w:val="004D6FAD"/>
    <w:rsid w:val="004D75DB"/>
    <w:rsid w:val="004D7BEB"/>
    <w:rsid w:val="004E020E"/>
    <w:rsid w:val="004E099F"/>
    <w:rsid w:val="004E0CEA"/>
    <w:rsid w:val="004E16C5"/>
    <w:rsid w:val="004E1D1A"/>
    <w:rsid w:val="004E2214"/>
    <w:rsid w:val="004E2260"/>
    <w:rsid w:val="004E2482"/>
    <w:rsid w:val="004E27BA"/>
    <w:rsid w:val="004E2DAC"/>
    <w:rsid w:val="004E41EE"/>
    <w:rsid w:val="004E482B"/>
    <w:rsid w:val="004E4BC5"/>
    <w:rsid w:val="004E561C"/>
    <w:rsid w:val="004E5804"/>
    <w:rsid w:val="004E5AC3"/>
    <w:rsid w:val="004E71A8"/>
    <w:rsid w:val="004E7434"/>
    <w:rsid w:val="004E7646"/>
    <w:rsid w:val="004E785F"/>
    <w:rsid w:val="004E7BFA"/>
    <w:rsid w:val="004F1367"/>
    <w:rsid w:val="004F1746"/>
    <w:rsid w:val="004F1D38"/>
    <w:rsid w:val="004F2490"/>
    <w:rsid w:val="004F25D5"/>
    <w:rsid w:val="004F299C"/>
    <w:rsid w:val="004F2ABC"/>
    <w:rsid w:val="004F2E63"/>
    <w:rsid w:val="004F2FFC"/>
    <w:rsid w:val="004F3393"/>
    <w:rsid w:val="004F34B4"/>
    <w:rsid w:val="004F39CA"/>
    <w:rsid w:val="004F3FD0"/>
    <w:rsid w:val="004F55F5"/>
    <w:rsid w:val="004F5C8A"/>
    <w:rsid w:val="004F6323"/>
    <w:rsid w:val="004F667D"/>
    <w:rsid w:val="004F6EA1"/>
    <w:rsid w:val="004F734D"/>
    <w:rsid w:val="004F7380"/>
    <w:rsid w:val="004F73DF"/>
    <w:rsid w:val="004F788C"/>
    <w:rsid w:val="004F7A88"/>
    <w:rsid w:val="004F7C9F"/>
    <w:rsid w:val="00500584"/>
    <w:rsid w:val="00500722"/>
    <w:rsid w:val="00500E75"/>
    <w:rsid w:val="005017D9"/>
    <w:rsid w:val="00501841"/>
    <w:rsid w:val="00501A9E"/>
    <w:rsid w:val="00501EDE"/>
    <w:rsid w:val="00502F20"/>
    <w:rsid w:val="00503137"/>
    <w:rsid w:val="00503470"/>
    <w:rsid w:val="00503801"/>
    <w:rsid w:val="005038CE"/>
    <w:rsid w:val="00503C6D"/>
    <w:rsid w:val="00506B26"/>
    <w:rsid w:val="00506C99"/>
    <w:rsid w:val="00507322"/>
    <w:rsid w:val="0050764D"/>
    <w:rsid w:val="00510249"/>
    <w:rsid w:val="005105F9"/>
    <w:rsid w:val="00510A10"/>
    <w:rsid w:val="00510C39"/>
    <w:rsid w:val="00511047"/>
    <w:rsid w:val="005117B0"/>
    <w:rsid w:val="00512A15"/>
    <w:rsid w:val="00512ADA"/>
    <w:rsid w:val="005136EF"/>
    <w:rsid w:val="00513763"/>
    <w:rsid w:val="00513791"/>
    <w:rsid w:val="00513E43"/>
    <w:rsid w:val="005147EF"/>
    <w:rsid w:val="005149FC"/>
    <w:rsid w:val="00515104"/>
    <w:rsid w:val="00515173"/>
    <w:rsid w:val="00515199"/>
    <w:rsid w:val="005151DB"/>
    <w:rsid w:val="0051571D"/>
    <w:rsid w:val="00516888"/>
    <w:rsid w:val="005170E2"/>
    <w:rsid w:val="005176B1"/>
    <w:rsid w:val="00517C64"/>
    <w:rsid w:val="0052057E"/>
    <w:rsid w:val="00520E5C"/>
    <w:rsid w:val="00520EDA"/>
    <w:rsid w:val="00521194"/>
    <w:rsid w:val="00523547"/>
    <w:rsid w:val="00523E55"/>
    <w:rsid w:val="00523F45"/>
    <w:rsid w:val="00524564"/>
    <w:rsid w:val="00524BEB"/>
    <w:rsid w:val="00525463"/>
    <w:rsid w:val="005263D8"/>
    <w:rsid w:val="0052640A"/>
    <w:rsid w:val="00527045"/>
    <w:rsid w:val="005272FE"/>
    <w:rsid w:val="00527885"/>
    <w:rsid w:val="005300B5"/>
    <w:rsid w:val="005300D2"/>
    <w:rsid w:val="00530110"/>
    <w:rsid w:val="005303B8"/>
    <w:rsid w:val="00530490"/>
    <w:rsid w:val="00530C0E"/>
    <w:rsid w:val="005312CB"/>
    <w:rsid w:val="00531AA0"/>
    <w:rsid w:val="00531DE2"/>
    <w:rsid w:val="00531DE9"/>
    <w:rsid w:val="00532102"/>
    <w:rsid w:val="005321E7"/>
    <w:rsid w:val="0053258A"/>
    <w:rsid w:val="0053274E"/>
    <w:rsid w:val="00533374"/>
    <w:rsid w:val="005337CF"/>
    <w:rsid w:val="00533B61"/>
    <w:rsid w:val="00533DAF"/>
    <w:rsid w:val="0053422A"/>
    <w:rsid w:val="005349EB"/>
    <w:rsid w:val="00535522"/>
    <w:rsid w:val="0053605C"/>
    <w:rsid w:val="00536242"/>
    <w:rsid w:val="00536390"/>
    <w:rsid w:val="00536C91"/>
    <w:rsid w:val="00536F76"/>
    <w:rsid w:val="0053742B"/>
    <w:rsid w:val="005377D5"/>
    <w:rsid w:val="00537C96"/>
    <w:rsid w:val="00540AB4"/>
    <w:rsid w:val="00540B8E"/>
    <w:rsid w:val="00541132"/>
    <w:rsid w:val="0054120A"/>
    <w:rsid w:val="0054126F"/>
    <w:rsid w:val="00541B7A"/>
    <w:rsid w:val="00541D3E"/>
    <w:rsid w:val="0054214B"/>
    <w:rsid w:val="0054215C"/>
    <w:rsid w:val="005422DF"/>
    <w:rsid w:val="00542A4D"/>
    <w:rsid w:val="00542EF4"/>
    <w:rsid w:val="00543B1F"/>
    <w:rsid w:val="00543EF0"/>
    <w:rsid w:val="0054409E"/>
    <w:rsid w:val="005440E3"/>
    <w:rsid w:val="00544468"/>
    <w:rsid w:val="0054477C"/>
    <w:rsid w:val="0054525E"/>
    <w:rsid w:val="005457A3"/>
    <w:rsid w:val="005457E8"/>
    <w:rsid w:val="00545D63"/>
    <w:rsid w:val="00546043"/>
    <w:rsid w:val="00546948"/>
    <w:rsid w:val="00547176"/>
    <w:rsid w:val="00547401"/>
    <w:rsid w:val="005478D1"/>
    <w:rsid w:val="00547921"/>
    <w:rsid w:val="00547944"/>
    <w:rsid w:val="00547E0C"/>
    <w:rsid w:val="00547E21"/>
    <w:rsid w:val="00550B6D"/>
    <w:rsid w:val="005520C0"/>
    <w:rsid w:val="0055362E"/>
    <w:rsid w:val="00553CA2"/>
    <w:rsid w:val="005552C6"/>
    <w:rsid w:val="00555634"/>
    <w:rsid w:val="0055563B"/>
    <w:rsid w:val="0055656E"/>
    <w:rsid w:val="00556A3A"/>
    <w:rsid w:val="00556AC2"/>
    <w:rsid w:val="00557231"/>
    <w:rsid w:val="00557B91"/>
    <w:rsid w:val="00557EF9"/>
    <w:rsid w:val="00557F3D"/>
    <w:rsid w:val="005609CE"/>
    <w:rsid w:val="00560C71"/>
    <w:rsid w:val="005610F1"/>
    <w:rsid w:val="005616AD"/>
    <w:rsid w:val="00561D0C"/>
    <w:rsid w:val="00561FC4"/>
    <w:rsid w:val="00562703"/>
    <w:rsid w:val="00562C7E"/>
    <w:rsid w:val="00562EC6"/>
    <w:rsid w:val="005638A7"/>
    <w:rsid w:val="0056397F"/>
    <w:rsid w:val="00563C05"/>
    <w:rsid w:val="00563F7B"/>
    <w:rsid w:val="00564178"/>
    <w:rsid w:val="005645A1"/>
    <w:rsid w:val="005645AA"/>
    <w:rsid w:val="0056523F"/>
    <w:rsid w:val="00565F53"/>
    <w:rsid w:val="0056600A"/>
    <w:rsid w:val="005662F2"/>
    <w:rsid w:val="005669CD"/>
    <w:rsid w:val="00566B3D"/>
    <w:rsid w:val="00566EAE"/>
    <w:rsid w:val="00567704"/>
    <w:rsid w:val="00567AF6"/>
    <w:rsid w:val="005702F1"/>
    <w:rsid w:val="00570900"/>
    <w:rsid w:val="00570CF6"/>
    <w:rsid w:val="00570F47"/>
    <w:rsid w:val="00571102"/>
    <w:rsid w:val="00571212"/>
    <w:rsid w:val="00571A44"/>
    <w:rsid w:val="00572B40"/>
    <w:rsid w:val="00572C9F"/>
    <w:rsid w:val="0057312B"/>
    <w:rsid w:val="005731D3"/>
    <w:rsid w:val="00573BC9"/>
    <w:rsid w:val="00574EEC"/>
    <w:rsid w:val="005777F6"/>
    <w:rsid w:val="00577A44"/>
    <w:rsid w:val="00577B96"/>
    <w:rsid w:val="00580912"/>
    <w:rsid w:val="005812E3"/>
    <w:rsid w:val="00581B02"/>
    <w:rsid w:val="00581DB2"/>
    <w:rsid w:val="00581EC5"/>
    <w:rsid w:val="00581EFA"/>
    <w:rsid w:val="00582B07"/>
    <w:rsid w:val="00582C42"/>
    <w:rsid w:val="00582E72"/>
    <w:rsid w:val="00583112"/>
    <w:rsid w:val="0058388B"/>
    <w:rsid w:val="00584BBE"/>
    <w:rsid w:val="005857F2"/>
    <w:rsid w:val="005862F5"/>
    <w:rsid w:val="00586B93"/>
    <w:rsid w:val="0058705F"/>
    <w:rsid w:val="0058721C"/>
    <w:rsid w:val="0059061E"/>
    <w:rsid w:val="0059069E"/>
    <w:rsid w:val="005910FD"/>
    <w:rsid w:val="00591C5E"/>
    <w:rsid w:val="00591E96"/>
    <w:rsid w:val="005926FD"/>
    <w:rsid w:val="005928AC"/>
    <w:rsid w:val="00594D8B"/>
    <w:rsid w:val="005950F1"/>
    <w:rsid w:val="005955D5"/>
    <w:rsid w:val="00595B51"/>
    <w:rsid w:val="00595DBF"/>
    <w:rsid w:val="00596956"/>
    <w:rsid w:val="00597016"/>
    <w:rsid w:val="0059734E"/>
    <w:rsid w:val="005975C6"/>
    <w:rsid w:val="00597774"/>
    <w:rsid w:val="005A0324"/>
    <w:rsid w:val="005A0685"/>
    <w:rsid w:val="005A08FB"/>
    <w:rsid w:val="005A0C90"/>
    <w:rsid w:val="005A0D70"/>
    <w:rsid w:val="005A17FF"/>
    <w:rsid w:val="005A2218"/>
    <w:rsid w:val="005A235E"/>
    <w:rsid w:val="005A28EE"/>
    <w:rsid w:val="005A314E"/>
    <w:rsid w:val="005A3C09"/>
    <w:rsid w:val="005A5BAA"/>
    <w:rsid w:val="005A7254"/>
    <w:rsid w:val="005A7CFF"/>
    <w:rsid w:val="005A7F3E"/>
    <w:rsid w:val="005B0872"/>
    <w:rsid w:val="005B1640"/>
    <w:rsid w:val="005B1B78"/>
    <w:rsid w:val="005B1D0A"/>
    <w:rsid w:val="005B2975"/>
    <w:rsid w:val="005B29D5"/>
    <w:rsid w:val="005B3674"/>
    <w:rsid w:val="005B3D4D"/>
    <w:rsid w:val="005B3DFC"/>
    <w:rsid w:val="005B4C07"/>
    <w:rsid w:val="005B5EF9"/>
    <w:rsid w:val="005B62FC"/>
    <w:rsid w:val="005B63FF"/>
    <w:rsid w:val="005B7503"/>
    <w:rsid w:val="005C0D3E"/>
    <w:rsid w:val="005C0E60"/>
    <w:rsid w:val="005C1776"/>
    <w:rsid w:val="005C1EAC"/>
    <w:rsid w:val="005C25DC"/>
    <w:rsid w:val="005C3001"/>
    <w:rsid w:val="005C33F8"/>
    <w:rsid w:val="005C34CC"/>
    <w:rsid w:val="005C4A1E"/>
    <w:rsid w:val="005C6F8A"/>
    <w:rsid w:val="005C710E"/>
    <w:rsid w:val="005C7375"/>
    <w:rsid w:val="005C7469"/>
    <w:rsid w:val="005C7DD4"/>
    <w:rsid w:val="005C7F80"/>
    <w:rsid w:val="005D0D5E"/>
    <w:rsid w:val="005D12BD"/>
    <w:rsid w:val="005D1AEA"/>
    <w:rsid w:val="005D1BAE"/>
    <w:rsid w:val="005D1F77"/>
    <w:rsid w:val="005D20E5"/>
    <w:rsid w:val="005D2A0D"/>
    <w:rsid w:val="005D2B23"/>
    <w:rsid w:val="005D2BAB"/>
    <w:rsid w:val="005D3954"/>
    <w:rsid w:val="005D3975"/>
    <w:rsid w:val="005D3A02"/>
    <w:rsid w:val="005D3BD2"/>
    <w:rsid w:val="005D3E94"/>
    <w:rsid w:val="005D401A"/>
    <w:rsid w:val="005D4E2E"/>
    <w:rsid w:val="005D59FF"/>
    <w:rsid w:val="005D5D3E"/>
    <w:rsid w:val="005D6277"/>
    <w:rsid w:val="005D6549"/>
    <w:rsid w:val="005D6EC4"/>
    <w:rsid w:val="005E004C"/>
    <w:rsid w:val="005E00F2"/>
    <w:rsid w:val="005E02CB"/>
    <w:rsid w:val="005E1050"/>
    <w:rsid w:val="005E16C2"/>
    <w:rsid w:val="005E1974"/>
    <w:rsid w:val="005E1B67"/>
    <w:rsid w:val="005E21EB"/>
    <w:rsid w:val="005E223D"/>
    <w:rsid w:val="005E23F8"/>
    <w:rsid w:val="005E2D19"/>
    <w:rsid w:val="005E2E5E"/>
    <w:rsid w:val="005E335F"/>
    <w:rsid w:val="005E3AAE"/>
    <w:rsid w:val="005E3C1F"/>
    <w:rsid w:val="005E3E0B"/>
    <w:rsid w:val="005E3FEC"/>
    <w:rsid w:val="005E40D7"/>
    <w:rsid w:val="005E4146"/>
    <w:rsid w:val="005E423F"/>
    <w:rsid w:val="005E45B3"/>
    <w:rsid w:val="005E48A7"/>
    <w:rsid w:val="005E4AC7"/>
    <w:rsid w:val="005E514C"/>
    <w:rsid w:val="005E690C"/>
    <w:rsid w:val="005E697B"/>
    <w:rsid w:val="005E6A3E"/>
    <w:rsid w:val="005E6B3C"/>
    <w:rsid w:val="005E6B80"/>
    <w:rsid w:val="005E7100"/>
    <w:rsid w:val="005E78A8"/>
    <w:rsid w:val="005E78F6"/>
    <w:rsid w:val="005E7B5C"/>
    <w:rsid w:val="005E7D79"/>
    <w:rsid w:val="005F00DD"/>
    <w:rsid w:val="005F102C"/>
    <w:rsid w:val="005F120D"/>
    <w:rsid w:val="005F2026"/>
    <w:rsid w:val="005F2E61"/>
    <w:rsid w:val="005F3BB9"/>
    <w:rsid w:val="005F4297"/>
    <w:rsid w:val="005F4CB4"/>
    <w:rsid w:val="005F594A"/>
    <w:rsid w:val="005F599D"/>
    <w:rsid w:val="005F5F13"/>
    <w:rsid w:val="005F6E2E"/>
    <w:rsid w:val="005F7157"/>
    <w:rsid w:val="005F77D1"/>
    <w:rsid w:val="006008AB"/>
    <w:rsid w:val="00600938"/>
    <w:rsid w:val="00601248"/>
    <w:rsid w:val="006017DA"/>
    <w:rsid w:val="00602440"/>
    <w:rsid w:val="00602C9E"/>
    <w:rsid w:val="0060311F"/>
    <w:rsid w:val="0060344F"/>
    <w:rsid w:val="006034E6"/>
    <w:rsid w:val="00604432"/>
    <w:rsid w:val="00604732"/>
    <w:rsid w:val="00604934"/>
    <w:rsid w:val="00604E78"/>
    <w:rsid w:val="00604EEB"/>
    <w:rsid w:val="00605DFB"/>
    <w:rsid w:val="006061E7"/>
    <w:rsid w:val="00606E7F"/>
    <w:rsid w:val="00607C5F"/>
    <w:rsid w:val="0061001C"/>
    <w:rsid w:val="00610241"/>
    <w:rsid w:val="006103CB"/>
    <w:rsid w:val="00610969"/>
    <w:rsid w:val="00610BA5"/>
    <w:rsid w:val="00610DC4"/>
    <w:rsid w:val="00610F49"/>
    <w:rsid w:val="006112DF"/>
    <w:rsid w:val="00611878"/>
    <w:rsid w:val="00611E11"/>
    <w:rsid w:val="006124AD"/>
    <w:rsid w:val="006131A3"/>
    <w:rsid w:val="0061357A"/>
    <w:rsid w:val="00614CB4"/>
    <w:rsid w:val="00615164"/>
    <w:rsid w:val="00615905"/>
    <w:rsid w:val="006162F8"/>
    <w:rsid w:val="006168F8"/>
    <w:rsid w:val="00616CE5"/>
    <w:rsid w:val="006177BB"/>
    <w:rsid w:val="00617C76"/>
    <w:rsid w:val="00620234"/>
    <w:rsid w:val="006203C4"/>
    <w:rsid w:val="00620BE2"/>
    <w:rsid w:val="006216E0"/>
    <w:rsid w:val="006223BF"/>
    <w:rsid w:val="00622760"/>
    <w:rsid w:val="00622AC7"/>
    <w:rsid w:val="00622F27"/>
    <w:rsid w:val="00623A4F"/>
    <w:rsid w:val="006247C6"/>
    <w:rsid w:val="00624B9F"/>
    <w:rsid w:val="00624D6D"/>
    <w:rsid w:val="00625135"/>
    <w:rsid w:val="00625349"/>
    <w:rsid w:val="00625AE0"/>
    <w:rsid w:val="00626003"/>
    <w:rsid w:val="006268ED"/>
    <w:rsid w:val="00626974"/>
    <w:rsid w:val="00626D22"/>
    <w:rsid w:val="0062750B"/>
    <w:rsid w:val="006276E8"/>
    <w:rsid w:val="00630101"/>
    <w:rsid w:val="0063049B"/>
    <w:rsid w:val="006306F0"/>
    <w:rsid w:val="00630767"/>
    <w:rsid w:val="00630AC8"/>
    <w:rsid w:val="00630EE2"/>
    <w:rsid w:val="006310A1"/>
    <w:rsid w:val="0063148F"/>
    <w:rsid w:val="00631F35"/>
    <w:rsid w:val="0063315F"/>
    <w:rsid w:val="00633459"/>
    <w:rsid w:val="006334B7"/>
    <w:rsid w:val="00633B94"/>
    <w:rsid w:val="006345F2"/>
    <w:rsid w:val="00634B36"/>
    <w:rsid w:val="00634DE5"/>
    <w:rsid w:val="00634F98"/>
    <w:rsid w:val="006358A7"/>
    <w:rsid w:val="00635E3D"/>
    <w:rsid w:val="00635F13"/>
    <w:rsid w:val="00637031"/>
    <w:rsid w:val="006378F7"/>
    <w:rsid w:val="006407A4"/>
    <w:rsid w:val="00640DAC"/>
    <w:rsid w:val="006411F0"/>
    <w:rsid w:val="00641261"/>
    <w:rsid w:val="00642CA8"/>
    <w:rsid w:val="0064300A"/>
    <w:rsid w:val="006433D4"/>
    <w:rsid w:val="0064404F"/>
    <w:rsid w:val="0064408D"/>
    <w:rsid w:val="00644418"/>
    <w:rsid w:val="0064492C"/>
    <w:rsid w:val="00644FA8"/>
    <w:rsid w:val="006451CC"/>
    <w:rsid w:val="006453DC"/>
    <w:rsid w:val="00645420"/>
    <w:rsid w:val="00645DC5"/>
    <w:rsid w:val="00647294"/>
    <w:rsid w:val="0064753A"/>
    <w:rsid w:val="00647AC1"/>
    <w:rsid w:val="006508DD"/>
    <w:rsid w:val="00650A98"/>
    <w:rsid w:val="00651163"/>
    <w:rsid w:val="0065156F"/>
    <w:rsid w:val="00651E41"/>
    <w:rsid w:val="0065211D"/>
    <w:rsid w:val="00652EF2"/>
    <w:rsid w:val="006547F8"/>
    <w:rsid w:val="00654DB0"/>
    <w:rsid w:val="006552E2"/>
    <w:rsid w:val="006555A4"/>
    <w:rsid w:val="00655718"/>
    <w:rsid w:val="0065574E"/>
    <w:rsid w:val="00656D25"/>
    <w:rsid w:val="00656DA3"/>
    <w:rsid w:val="0065712B"/>
    <w:rsid w:val="00657CBD"/>
    <w:rsid w:val="00660453"/>
    <w:rsid w:val="006604B3"/>
    <w:rsid w:val="00661959"/>
    <w:rsid w:val="00662072"/>
    <w:rsid w:val="00662B23"/>
    <w:rsid w:val="00663059"/>
    <w:rsid w:val="006631B9"/>
    <w:rsid w:val="0066328F"/>
    <w:rsid w:val="00663AD0"/>
    <w:rsid w:val="00664051"/>
    <w:rsid w:val="00664AEE"/>
    <w:rsid w:val="00664E79"/>
    <w:rsid w:val="00665565"/>
    <w:rsid w:val="00665B35"/>
    <w:rsid w:val="006665DA"/>
    <w:rsid w:val="006666F6"/>
    <w:rsid w:val="00666B94"/>
    <w:rsid w:val="00666E11"/>
    <w:rsid w:val="00667525"/>
    <w:rsid w:val="006678C1"/>
    <w:rsid w:val="0066797E"/>
    <w:rsid w:val="0067011E"/>
    <w:rsid w:val="006707CF"/>
    <w:rsid w:val="00670D7E"/>
    <w:rsid w:val="00670E1C"/>
    <w:rsid w:val="00670F34"/>
    <w:rsid w:val="00670F39"/>
    <w:rsid w:val="006710CF"/>
    <w:rsid w:val="006715ED"/>
    <w:rsid w:val="006718F5"/>
    <w:rsid w:val="00671C45"/>
    <w:rsid w:val="00672C93"/>
    <w:rsid w:val="00674192"/>
    <w:rsid w:val="00674F3D"/>
    <w:rsid w:val="006753EC"/>
    <w:rsid w:val="00675468"/>
    <w:rsid w:val="00675D2C"/>
    <w:rsid w:val="00675F5C"/>
    <w:rsid w:val="0067623E"/>
    <w:rsid w:val="006768A2"/>
    <w:rsid w:val="006775E1"/>
    <w:rsid w:val="00677820"/>
    <w:rsid w:val="00680658"/>
    <w:rsid w:val="00680CDC"/>
    <w:rsid w:val="00681220"/>
    <w:rsid w:val="006814C0"/>
    <w:rsid w:val="006814DE"/>
    <w:rsid w:val="00681AE0"/>
    <w:rsid w:val="00681BF2"/>
    <w:rsid w:val="00681E76"/>
    <w:rsid w:val="006829C1"/>
    <w:rsid w:val="00682C84"/>
    <w:rsid w:val="00682D50"/>
    <w:rsid w:val="00683387"/>
    <w:rsid w:val="0068358E"/>
    <w:rsid w:val="0068383F"/>
    <w:rsid w:val="00683921"/>
    <w:rsid w:val="006839BA"/>
    <w:rsid w:val="00683DE9"/>
    <w:rsid w:val="00683EDD"/>
    <w:rsid w:val="00683F61"/>
    <w:rsid w:val="0068402D"/>
    <w:rsid w:val="0068556F"/>
    <w:rsid w:val="00685A3C"/>
    <w:rsid w:val="006870F5"/>
    <w:rsid w:val="0068716C"/>
    <w:rsid w:val="006872A0"/>
    <w:rsid w:val="006872C9"/>
    <w:rsid w:val="006907F1"/>
    <w:rsid w:val="00690B1A"/>
    <w:rsid w:val="00690D1A"/>
    <w:rsid w:val="0069132C"/>
    <w:rsid w:val="00691827"/>
    <w:rsid w:val="00691A58"/>
    <w:rsid w:val="00691B36"/>
    <w:rsid w:val="00691BBB"/>
    <w:rsid w:val="00691BED"/>
    <w:rsid w:val="00692674"/>
    <w:rsid w:val="0069309C"/>
    <w:rsid w:val="006932D3"/>
    <w:rsid w:val="00693350"/>
    <w:rsid w:val="00693505"/>
    <w:rsid w:val="00693788"/>
    <w:rsid w:val="0069382D"/>
    <w:rsid w:val="00693A04"/>
    <w:rsid w:val="006943A8"/>
    <w:rsid w:val="0069538C"/>
    <w:rsid w:val="00695873"/>
    <w:rsid w:val="006978C4"/>
    <w:rsid w:val="00697919"/>
    <w:rsid w:val="00697BAA"/>
    <w:rsid w:val="006A04D1"/>
    <w:rsid w:val="006A0838"/>
    <w:rsid w:val="006A0EDB"/>
    <w:rsid w:val="006A1BD4"/>
    <w:rsid w:val="006A27DA"/>
    <w:rsid w:val="006A37C3"/>
    <w:rsid w:val="006A3860"/>
    <w:rsid w:val="006A386A"/>
    <w:rsid w:val="006A4D95"/>
    <w:rsid w:val="006A4F94"/>
    <w:rsid w:val="006A506C"/>
    <w:rsid w:val="006A577E"/>
    <w:rsid w:val="006A61A0"/>
    <w:rsid w:val="006A6DBD"/>
    <w:rsid w:val="006A7396"/>
    <w:rsid w:val="006A74FE"/>
    <w:rsid w:val="006A76BF"/>
    <w:rsid w:val="006A7950"/>
    <w:rsid w:val="006A7BA1"/>
    <w:rsid w:val="006A7CF9"/>
    <w:rsid w:val="006B01BE"/>
    <w:rsid w:val="006B11E8"/>
    <w:rsid w:val="006B1223"/>
    <w:rsid w:val="006B248E"/>
    <w:rsid w:val="006B2685"/>
    <w:rsid w:val="006B2BE4"/>
    <w:rsid w:val="006B3A93"/>
    <w:rsid w:val="006B3CE7"/>
    <w:rsid w:val="006B4824"/>
    <w:rsid w:val="006B617E"/>
    <w:rsid w:val="006B6949"/>
    <w:rsid w:val="006B6AE0"/>
    <w:rsid w:val="006B6CBF"/>
    <w:rsid w:val="006B6D54"/>
    <w:rsid w:val="006B70DE"/>
    <w:rsid w:val="006C065E"/>
    <w:rsid w:val="006C06BB"/>
    <w:rsid w:val="006C06EB"/>
    <w:rsid w:val="006C0DD6"/>
    <w:rsid w:val="006C1116"/>
    <w:rsid w:val="006C230C"/>
    <w:rsid w:val="006C371D"/>
    <w:rsid w:val="006C3A77"/>
    <w:rsid w:val="006C3A91"/>
    <w:rsid w:val="006C4093"/>
    <w:rsid w:val="006C41C9"/>
    <w:rsid w:val="006C45F8"/>
    <w:rsid w:val="006C47D1"/>
    <w:rsid w:val="006C4ED6"/>
    <w:rsid w:val="006C5A89"/>
    <w:rsid w:val="006C6406"/>
    <w:rsid w:val="006C6AEA"/>
    <w:rsid w:val="006C6F65"/>
    <w:rsid w:val="006C79B3"/>
    <w:rsid w:val="006C7C57"/>
    <w:rsid w:val="006C7F02"/>
    <w:rsid w:val="006D096D"/>
    <w:rsid w:val="006D1A5E"/>
    <w:rsid w:val="006D2784"/>
    <w:rsid w:val="006D2BA1"/>
    <w:rsid w:val="006D3921"/>
    <w:rsid w:val="006D42FA"/>
    <w:rsid w:val="006D46D9"/>
    <w:rsid w:val="006D545C"/>
    <w:rsid w:val="006D5507"/>
    <w:rsid w:val="006D5B3D"/>
    <w:rsid w:val="006D5F7C"/>
    <w:rsid w:val="006D5FDB"/>
    <w:rsid w:val="006D70BD"/>
    <w:rsid w:val="006D7160"/>
    <w:rsid w:val="006D77E5"/>
    <w:rsid w:val="006E0361"/>
    <w:rsid w:val="006E038C"/>
    <w:rsid w:val="006E03AB"/>
    <w:rsid w:val="006E07A2"/>
    <w:rsid w:val="006E084E"/>
    <w:rsid w:val="006E0864"/>
    <w:rsid w:val="006E1862"/>
    <w:rsid w:val="006E22CD"/>
    <w:rsid w:val="006E3012"/>
    <w:rsid w:val="006E385B"/>
    <w:rsid w:val="006E3962"/>
    <w:rsid w:val="006E3C61"/>
    <w:rsid w:val="006E3D54"/>
    <w:rsid w:val="006E3F7C"/>
    <w:rsid w:val="006E4559"/>
    <w:rsid w:val="006E487D"/>
    <w:rsid w:val="006E4CF6"/>
    <w:rsid w:val="006E54CC"/>
    <w:rsid w:val="006E5785"/>
    <w:rsid w:val="006E62B5"/>
    <w:rsid w:val="006E74C9"/>
    <w:rsid w:val="006E76B8"/>
    <w:rsid w:val="006E78E8"/>
    <w:rsid w:val="006E7D0E"/>
    <w:rsid w:val="006E7DB6"/>
    <w:rsid w:val="006E7E9E"/>
    <w:rsid w:val="006F05D2"/>
    <w:rsid w:val="006F0866"/>
    <w:rsid w:val="006F11D9"/>
    <w:rsid w:val="006F1E86"/>
    <w:rsid w:val="006F2348"/>
    <w:rsid w:val="006F2E47"/>
    <w:rsid w:val="006F34AD"/>
    <w:rsid w:val="006F3AE7"/>
    <w:rsid w:val="006F3D5C"/>
    <w:rsid w:val="006F3FD5"/>
    <w:rsid w:val="006F41C7"/>
    <w:rsid w:val="006F4470"/>
    <w:rsid w:val="006F466D"/>
    <w:rsid w:val="006F4816"/>
    <w:rsid w:val="006F4F9A"/>
    <w:rsid w:val="006F4FAF"/>
    <w:rsid w:val="006F50BC"/>
    <w:rsid w:val="006F50E6"/>
    <w:rsid w:val="006F54DA"/>
    <w:rsid w:val="006F5977"/>
    <w:rsid w:val="006F5C1C"/>
    <w:rsid w:val="006F6DC4"/>
    <w:rsid w:val="006F7252"/>
    <w:rsid w:val="006F769C"/>
    <w:rsid w:val="00700820"/>
    <w:rsid w:val="00700E9B"/>
    <w:rsid w:val="00701561"/>
    <w:rsid w:val="0070184A"/>
    <w:rsid w:val="00701FE7"/>
    <w:rsid w:val="007022BD"/>
    <w:rsid w:val="0070261C"/>
    <w:rsid w:val="0070295F"/>
    <w:rsid w:val="00702B8B"/>
    <w:rsid w:val="00702C4F"/>
    <w:rsid w:val="00702DC7"/>
    <w:rsid w:val="00703955"/>
    <w:rsid w:val="00703FCF"/>
    <w:rsid w:val="0070485C"/>
    <w:rsid w:val="007056DD"/>
    <w:rsid w:val="0070577B"/>
    <w:rsid w:val="00705E64"/>
    <w:rsid w:val="00706D73"/>
    <w:rsid w:val="00706E60"/>
    <w:rsid w:val="007076E3"/>
    <w:rsid w:val="00707BB3"/>
    <w:rsid w:val="00710119"/>
    <w:rsid w:val="007101A0"/>
    <w:rsid w:val="007103AF"/>
    <w:rsid w:val="00711AE8"/>
    <w:rsid w:val="00711E96"/>
    <w:rsid w:val="00712566"/>
    <w:rsid w:val="0071267C"/>
    <w:rsid w:val="00712785"/>
    <w:rsid w:val="00713103"/>
    <w:rsid w:val="0071321A"/>
    <w:rsid w:val="00713C5B"/>
    <w:rsid w:val="00714199"/>
    <w:rsid w:val="00714600"/>
    <w:rsid w:val="007156D9"/>
    <w:rsid w:val="0071596C"/>
    <w:rsid w:val="00715A1F"/>
    <w:rsid w:val="00716651"/>
    <w:rsid w:val="0071720A"/>
    <w:rsid w:val="00717BDD"/>
    <w:rsid w:val="007208A3"/>
    <w:rsid w:val="007209BF"/>
    <w:rsid w:val="00721120"/>
    <w:rsid w:val="0072184F"/>
    <w:rsid w:val="007219B4"/>
    <w:rsid w:val="007219EA"/>
    <w:rsid w:val="00722583"/>
    <w:rsid w:val="00722CFF"/>
    <w:rsid w:val="00723E7E"/>
    <w:rsid w:val="007245DB"/>
    <w:rsid w:val="00724A51"/>
    <w:rsid w:val="00724B3F"/>
    <w:rsid w:val="0072558C"/>
    <w:rsid w:val="00726305"/>
    <w:rsid w:val="00726AB4"/>
    <w:rsid w:val="00727412"/>
    <w:rsid w:val="00727887"/>
    <w:rsid w:val="00727AC5"/>
    <w:rsid w:val="00727CC2"/>
    <w:rsid w:val="0073035C"/>
    <w:rsid w:val="00732159"/>
    <w:rsid w:val="00732474"/>
    <w:rsid w:val="007327EC"/>
    <w:rsid w:val="00732C0C"/>
    <w:rsid w:val="00732FA5"/>
    <w:rsid w:val="0073338D"/>
    <w:rsid w:val="00733622"/>
    <w:rsid w:val="00733819"/>
    <w:rsid w:val="00734653"/>
    <w:rsid w:val="0073484C"/>
    <w:rsid w:val="00734C00"/>
    <w:rsid w:val="00734C4F"/>
    <w:rsid w:val="00734D42"/>
    <w:rsid w:val="00735373"/>
    <w:rsid w:val="00735807"/>
    <w:rsid w:val="00735B89"/>
    <w:rsid w:val="007364A4"/>
    <w:rsid w:val="00736BC6"/>
    <w:rsid w:val="0073705D"/>
    <w:rsid w:val="007375D3"/>
    <w:rsid w:val="00737D0F"/>
    <w:rsid w:val="00740448"/>
    <w:rsid w:val="00740792"/>
    <w:rsid w:val="00740ECF"/>
    <w:rsid w:val="00741232"/>
    <w:rsid w:val="0074127F"/>
    <w:rsid w:val="00741B24"/>
    <w:rsid w:val="00742522"/>
    <w:rsid w:val="00742C89"/>
    <w:rsid w:val="00743A8A"/>
    <w:rsid w:val="00743C99"/>
    <w:rsid w:val="00744532"/>
    <w:rsid w:val="00744A7A"/>
    <w:rsid w:val="0074584F"/>
    <w:rsid w:val="00745E78"/>
    <w:rsid w:val="00745E9C"/>
    <w:rsid w:val="00745F8C"/>
    <w:rsid w:val="0074614B"/>
    <w:rsid w:val="007464E9"/>
    <w:rsid w:val="00746620"/>
    <w:rsid w:val="00746FA4"/>
    <w:rsid w:val="007474FD"/>
    <w:rsid w:val="007475D1"/>
    <w:rsid w:val="00750A09"/>
    <w:rsid w:val="00751490"/>
    <w:rsid w:val="00751DA9"/>
    <w:rsid w:val="007521C9"/>
    <w:rsid w:val="0075223C"/>
    <w:rsid w:val="00752369"/>
    <w:rsid w:val="00752392"/>
    <w:rsid w:val="007523D9"/>
    <w:rsid w:val="007527DB"/>
    <w:rsid w:val="00752B76"/>
    <w:rsid w:val="007539A0"/>
    <w:rsid w:val="00753B12"/>
    <w:rsid w:val="0075408C"/>
    <w:rsid w:val="00754954"/>
    <w:rsid w:val="007550DF"/>
    <w:rsid w:val="00755622"/>
    <w:rsid w:val="007563F3"/>
    <w:rsid w:val="0075643E"/>
    <w:rsid w:val="007565C2"/>
    <w:rsid w:val="007600CD"/>
    <w:rsid w:val="00760384"/>
    <w:rsid w:val="00760392"/>
    <w:rsid w:val="00760406"/>
    <w:rsid w:val="00760999"/>
    <w:rsid w:val="0076125D"/>
    <w:rsid w:val="00761641"/>
    <w:rsid w:val="00761AF1"/>
    <w:rsid w:val="00761CBE"/>
    <w:rsid w:val="00761DF2"/>
    <w:rsid w:val="00761E6A"/>
    <w:rsid w:val="00763075"/>
    <w:rsid w:val="0076321C"/>
    <w:rsid w:val="00763A2F"/>
    <w:rsid w:val="00763E45"/>
    <w:rsid w:val="00763EE9"/>
    <w:rsid w:val="00764DE5"/>
    <w:rsid w:val="00764E4D"/>
    <w:rsid w:val="00765AB0"/>
    <w:rsid w:val="00765D46"/>
    <w:rsid w:val="00766C2E"/>
    <w:rsid w:val="00767652"/>
    <w:rsid w:val="00767948"/>
    <w:rsid w:val="007703FE"/>
    <w:rsid w:val="0077083A"/>
    <w:rsid w:val="00772139"/>
    <w:rsid w:val="0077226D"/>
    <w:rsid w:val="007722DF"/>
    <w:rsid w:val="007727D8"/>
    <w:rsid w:val="00772C26"/>
    <w:rsid w:val="00773E73"/>
    <w:rsid w:val="007745F3"/>
    <w:rsid w:val="00774B94"/>
    <w:rsid w:val="00774BCE"/>
    <w:rsid w:val="00775043"/>
    <w:rsid w:val="0077582F"/>
    <w:rsid w:val="00775A4C"/>
    <w:rsid w:val="00775A98"/>
    <w:rsid w:val="00775DD6"/>
    <w:rsid w:val="00776395"/>
    <w:rsid w:val="00776782"/>
    <w:rsid w:val="00776D97"/>
    <w:rsid w:val="007773C3"/>
    <w:rsid w:val="007777FB"/>
    <w:rsid w:val="00777901"/>
    <w:rsid w:val="007801C6"/>
    <w:rsid w:val="0078049D"/>
    <w:rsid w:val="00780897"/>
    <w:rsid w:val="00780933"/>
    <w:rsid w:val="00780EB4"/>
    <w:rsid w:val="00781234"/>
    <w:rsid w:val="00781EF4"/>
    <w:rsid w:val="00781F45"/>
    <w:rsid w:val="007824DC"/>
    <w:rsid w:val="007824E0"/>
    <w:rsid w:val="00782606"/>
    <w:rsid w:val="0078287E"/>
    <w:rsid w:val="007829E8"/>
    <w:rsid w:val="00782C30"/>
    <w:rsid w:val="00782C6B"/>
    <w:rsid w:val="00783334"/>
    <w:rsid w:val="0078350C"/>
    <w:rsid w:val="0078362B"/>
    <w:rsid w:val="00783669"/>
    <w:rsid w:val="007838C7"/>
    <w:rsid w:val="00783A24"/>
    <w:rsid w:val="0078472C"/>
    <w:rsid w:val="00785030"/>
    <w:rsid w:val="00785350"/>
    <w:rsid w:val="0078644B"/>
    <w:rsid w:val="00786BC5"/>
    <w:rsid w:val="00786D03"/>
    <w:rsid w:val="00786D22"/>
    <w:rsid w:val="00786DB5"/>
    <w:rsid w:val="007873B7"/>
    <w:rsid w:val="00787AEB"/>
    <w:rsid w:val="0079031D"/>
    <w:rsid w:val="00790932"/>
    <w:rsid w:val="00790C16"/>
    <w:rsid w:val="00791CBE"/>
    <w:rsid w:val="00792036"/>
    <w:rsid w:val="00792597"/>
    <w:rsid w:val="00792608"/>
    <w:rsid w:val="00792813"/>
    <w:rsid w:val="00792820"/>
    <w:rsid w:val="00792E6C"/>
    <w:rsid w:val="00793994"/>
    <w:rsid w:val="00793FCF"/>
    <w:rsid w:val="00794B93"/>
    <w:rsid w:val="00795021"/>
    <w:rsid w:val="007956AF"/>
    <w:rsid w:val="007956C7"/>
    <w:rsid w:val="00795D20"/>
    <w:rsid w:val="00795EA9"/>
    <w:rsid w:val="007962AF"/>
    <w:rsid w:val="007967FD"/>
    <w:rsid w:val="00796BDD"/>
    <w:rsid w:val="007974EE"/>
    <w:rsid w:val="007977AF"/>
    <w:rsid w:val="007A06B7"/>
    <w:rsid w:val="007A09BB"/>
    <w:rsid w:val="007A0DAB"/>
    <w:rsid w:val="007A0EB9"/>
    <w:rsid w:val="007A112F"/>
    <w:rsid w:val="007A133D"/>
    <w:rsid w:val="007A140A"/>
    <w:rsid w:val="007A147A"/>
    <w:rsid w:val="007A18B5"/>
    <w:rsid w:val="007A2D9C"/>
    <w:rsid w:val="007A31E5"/>
    <w:rsid w:val="007A3C17"/>
    <w:rsid w:val="007A3FCD"/>
    <w:rsid w:val="007A511F"/>
    <w:rsid w:val="007A5270"/>
    <w:rsid w:val="007A5F88"/>
    <w:rsid w:val="007A608B"/>
    <w:rsid w:val="007B03EB"/>
    <w:rsid w:val="007B09DE"/>
    <w:rsid w:val="007B0EAB"/>
    <w:rsid w:val="007B10F3"/>
    <w:rsid w:val="007B15DD"/>
    <w:rsid w:val="007B1882"/>
    <w:rsid w:val="007B1BBB"/>
    <w:rsid w:val="007B1F06"/>
    <w:rsid w:val="007B20CD"/>
    <w:rsid w:val="007B236F"/>
    <w:rsid w:val="007B2BF0"/>
    <w:rsid w:val="007B3C8F"/>
    <w:rsid w:val="007B3FB7"/>
    <w:rsid w:val="007B4E31"/>
    <w:rsid w:val="007B4EF9"/>
    <w:rsid w:val="007B519E"/>
    <w:rsid w:val="007B6475"/>
    <w:rsid w:val="007B6E71"/>
    <w:rsid w:val="007B6F5C"/>
    <w:rsid w:val="007B7A67"/>
    <w:rsid w:val="007C022D"/>
    <w:rsid w:val="007C052A"/>
    <w:rsid w:val="007C0DDD"/>
    <w:rsid w:val="007C1094"/>
    <w:rsid w:val="007C17AB"/>
    <w:rsid w:val="007C19E1"/>
    <w:rsid w:val="007C28EF"/>
    <w:rsid w:val="007C3072"/>
    <w:rsid w:val="007C31EB"/>
    <w:rsid w:val="007C4BA8"/>
    <w:rsid w:val="007C4C34"/>
    <w:rsid w:val="007C514B"/>
    <w:rsid w:val="007C52C8"/>
    <w:rsid w:val="007C5F86"/>
    <w:rsid w:val="007C67EF"/>
    <w:rsid w:val="007C71AB"/>
    <w:rsid w:val="007C7CFA"/>
    <w:rsid w:val="007D03BB"/>
    <w:rsid w:val="007D049C"/>
    <w:rsid w:val="007D0558"/>
    <w:rsid w:val="007D06A2"/>
    <w:rsid w:val="007D0AC1"/>
    <w:rsid w:val="007D17FE"/>
    <w:rsid w:val="007D1807"/>
    <w:rsid w:val="007D20A5"/>
    <w:rsid w:val="007D2173"/>
    <w:rsid w:val="007D21B5"/>
    <w:rsid w:val="007D25C3"/>
    <w:rsid w:val="007D2B39"/>
    <w:rsid w:val="007D2C12"/>
    <w:rsid w:val="007D2DDC"/>
    <w:rsid w:val="007D2E57"/>
    <w:rsid w:val="007D3520"/>
    <w:rsid w:val="007D35F0"/>
    <w:rsid w:val="007D447A"/>
    <w:rsid w:val="007D4495"/>
    <w:rsid w:val="007D45C4"/>
    <w:rsid w:val="007D490F"/>
    <w:rsid w:val="007D51C2"/>
    <w:rsid w:val="007D5526"/>
    <w:rsid w:val="007D55B1"/>
    <w:rsid w:val="007D5B0C"/>
    <w:rsid w:val="007D605E"/>
    <w:rsid w:val="007D60FC"/>
    <w:rsid w:val="007D654B"/>
    <w:rsid w:val="007D6651"/>
    <w:rsid w:val="007D6E6D"/>
    <w:rsid w:val="007D7DC9"/>
    <w:rsid w:val="007E0C42"/>
    <w:rsid w:val="007E0DA1"/>
    <w:rsid w:val="007E17E3"/>
    <w:rsid w:val="007E217D"/>
    <w:rsid w:val="007E2324"/>
    <w:rsid w:val="007E2692"/>
    <w:rsid w:val="007E2911"/>
    <w:rsid w:val="007E2980"/>
    <w:rsid w:val="007E2D9C"/>
    <w:rsid w:val="007E30C3"/>
    <w:rsid w:val="007E3AFE"/>
    <w:rsid w:val="007E3D14"/>
    <w:rsid w:val="007E3D21"/>
    <w:rsid w:val="007E4EDB"/>
    <w:rsid w:val="007E52A2"/>
    <w:rsid w:val="007E5941"/>
    <w:rsid w:val="007E690F"/>
    <w:rsid w:val="007E7755"/>
    <w:rsid w:val="007E797D"/>
    <w:rsid w:val="007F082A"/>
    <w:rsid w:val="007F0C5E"/>
    <w:rsid w:val="007F115E"/>
    <w:rsid w:val="007F1249"/>
    <w:rsid w:val="007F135A"/>
    <w:rsid w:val="007F1A96"/>
    <w:rsid w:val="007F1E84"/>
    <w:rsid w:val="007F1EA2"/>
    <w:rsid w:val="007F23A5"/>
    <w:rsid w:val="007F25FD"/>
    <w:rsid w:val="007F2AF1"/>
    <w:rsid w:val="007F3612"/>
    <w:rsid w:val="007F3DA8"/>
    <w:rsid w:val="007F5352"/>
    <w:rsid w:val="007F6140"/>
    <w:rsid w:val="007F664F"/>
    <w:rsid w:val="007F6719"/>
    <w:rsid w:val="007F6D02"/>
    <w:rsid w:val="007F7520"/>
    <w:rsid w:val="007F773C"/>
    <w:rsid w:val="007F7943"/>
    <w:rsid w:val="007F7E5C"/>
    <w:rsid w:val="0080012C"/>
    <w:rsid w:val="008004EA"/>
    <w:rsid w:val="008006D6"/>
    <w:rsid w:val="008006EF"/>
    <w:rsid w:val="00800919"/>
    <w:rsid w:val="00800BA3"/>
    <w:rsid w:val="00801795"/>
    <w:rsid w:val="008017ED"/>
    <w:rsid w:val="00801AD0"/>
    <w:rsid w:val="00801D55"/>
    <w:rsid w:val="00802750"/>
    <w:rsid w:val="00802884"/>
    <w:rsid w:val="00802A05"/>
    <w:rsid w:val="00802D7F"/>
    <w:rsid w:val="00803F20"/>
    <w:rsid w:val="0080421A"/>
    <w:rsid w:val="0080426D"/>
    <w:rsid w:val="00804757"/>
    <w:rsid w:val="008055BE"/>
    <w:rsid w:val="008059D4"/>
    <w:rsid w:val="00805B85"/>
    <w:rsid w:val="0080689F"/>
    <w:rsid w:val="00806A90"/>
    <w:rsid w:val="00806EBC"/>
    <w:rsid w:val="0080760E"/>
    <w:rsid w:val="00810580"/>
    <w:rsid w:val="008106DC"/>
    <w:rsid w:val="00810CAE"/>
    <w:rsid w:val="00811B8E"/>
    <w:rsid w:val="00811C11"/>
    <w:rsid w:val="00811CF4"/>
    <w:rsid w:val="00811DB3"/>
    <w:rsid w:val="00812267"/>
    <w:rsid w:val="008123EB"/>
    <w:rsid w:val="008125CC"/>
    <w:rsid w:val="00812C2F"/>
    <w:rsid w:val="00812DB8"/>
    <w:rsid w:val="008133AE"/>
    <w:rsid w:val="00813D3D"/>
    <w:rsid w:val="00813E40"/>
    <w:rsid w:val="008140A5"/>
    <w:rsid w:val="0081455E"/>
    <w:rsid w:val="0081544F"/>
    <w:rsid w:val="00816C2A"/>
    <w:rsid w:val="008172C4"/>
    <w:rsid w:val="0081773D"/>
    <w:rsid w:val="00817C36"/>
    <w:rsid w:val="00817C79"/>
    <w:rsid w:val="00817DB7"/>
    <w:rsid w:val="00820E37"/>
    <w:rsid w:val="00821423"/>
    <w:rsid w:val="00821E18"/>
    <w:rsid w:val="00821F70"/>
    <w:rsid w:val="00822611"/>
    <w:rsid w:val="008228AA"/>
    <w:rsid w:val="00822B64"/>
    <w:rsid w:val="00822D28"/>
    <w:rsid w:val="00822DCF"/>
    <w:rsid w:val="0082339A"/>
    <w:rsid w:val="008238B0"/>
    <w:rsid w:val="00823A7C"/>
    <w:rsid w:val="00823F20"/>
    <w:rsid w:val="00824CE7"/>
    <w:rsid w:val="00825897"/>
    <w:rsid w:val="008260A8"/>
    <w:rsid w:val="008262A3"/>
    <w:rsid w:val="008262DE"/>
    <w:rsid w:val="00826BAE"/>
    <w:rsid w:val="00827438"/>
    <w:rsid w:val="0082758D"/>
    <w:rsid w:val="00827880"/>
    <w:rsid w:val="00830337"/>
    <w:rsid w:val="00830D4B"/>
    <w:rsid w:val="00831127"/>
    <w:rsid w:val="00832167"/>
    <w:rsid w:val="008324E2"/>
    <w:rsid w:val="00832D6E"/>
    <w:rsid w:val="00832EAF"/>
    <w:rsid w:val="008330AD"/>
    <w:rsid w:val="0083316C"/>
    <w:rsid w:val="008332EF"/>
    <w:rsid w:val="00833CB2"/>
    <w:rsid w:val="00834B16"/>
    <w:rsid w:val="008366F5"/>
    <w:rsid w:val="00836C9B"/>
    <w:rsid w:val="00837426"/>
    <w:rsid w:val="0083744C"/>
    <w:rsid w:val="00837468"/>
    <w:rsid w:val="00837522"/>
    <w:rsid w:val="008378D5"/>
    <w:rsid w:val="00837BC0"/>
    <w:rsid w:val="00841E88"/>
    <w:rsid w:val="00842124"/>
    <w:rsid w:val="00842C00"/>
    <w:rsid w:val="00843172"/>
    <w:rsid w:val="008434F3"/>
    <w:rsid w:val="00843684"/>
    <w:rsid w:val="00843729"/>
    <w:rsid w:val="00844688"/>
    <w:rsid w:val="0084489A"/>
    <w:rsid w:val="00844A5B"/>
    <w:rsid w:val="008453CC"/>
    <w:rsid w:val="00845AEA"/>
    <w:rsid w:val="00845E1C"/>
    <w:rsid w:val="00846AE3"/>
    <w:rsid w:val="008473BD"/>
    <w:rsid w:val="008473FD"/>
    <w:rsid w:val="00847550"/>
    <w:rsid w:val="00847D4B"/>
    <w:rsid w:val="00847F9D"/>
    <w:rsid w:val="008501C5"/>
    <w:rsid w:val="008503FA"/>
    <w:rsid w:val="008504E5"/>
    <w:rsid w:val="00850790"/>
    <w:rsid w:val="00850806"/>
    <w:rsid w:val="00851243"/>
    <w:rsid w:val="008512F7"/>
    <w:rsid w:val="008519D1"/>
    <w:rsid w:val="00851B20"/>
    <w:rsid w:val="00851DD6"/>
    <w:rsid w:val="008523D1"/>
    <w:rsid w:val="0085270C"/>
    <w:rsid w:val="0085305B"/>
    <w:rsid w:val="0085342E"/>
    <w:rsid w:val="008535A7"/>
    <w:rsid w:val="008536EA"/>
    <w:rsid w:val="00853D37"/>
    <w:rsid w:val="0085425B"/>
    <w:rsid w:val="00854B67"/>
    <w:rsid w:val="00854BB5"/>
    <w:rsid w:val="00854C55"/>
    <w:rsid w:val="00854F34"/>
    <w:rsid w:val="00854FD6"/>
    <w:rsid w:val="00854FE1"/>
    <w:rsid w:val="0085573F"/>
    <w:rsid w:val="00856657"/>
    <w:rsid w:val="008573BD"/>
    <w:rsid w:val="008578BF"/>
    <w:rsid w:val="00857B91"/>
    <w:rsid w:val="00857E87"/>
    <w:rsid w:val="008609F3"/>
    <w:rsid w:val="00860E27"/>
    <w:rsid w:val="008610BC"/>
    <w:rsid w:val="008615C7"/>
    <w:rsid w:val="00861DCD"/>
    <w:rsid w:val="00861FD3"/>
    <w:rsid w:val="0086217E"/>
    <w:rsid w:val="008627AF"/>
    <w:rsid w:val="00862FED"/>
    <w:rsid w:val="00863075"/>
    <w:rsid w:val="008631DF"/>
    <w:rsid w:val="008635F0"/>
    <w:rsid w:val="00863670"/>
    <w:rsid w:val="0086383E"/>
    <w:rsid w:val="00863AE4"/>
    <w:rsid w:val="008640AC"/>
    <w:rsid w:val="008645D1"/>
    <w:rsid w:val="00864911"/>
    <w:rsid w:val="0086492D"/>
    <w:rsid w:val="00864D04"/>
    <w:rsid w:val="00865000"/>
    <w:rsid w:val="008659EE"/>
    <w:rsid w:val="00865C95"/>
    <w:rsid w:val="00866070"/>
    <w:rsid w:val="00866C9E"/>
    <w:rsid w:val="00866EE6"/>
    <w:rsid w:val="0086705E"/>
    <w:rsid w:val="00867337"/>
    <w:rsid w:val="00867DB0"/>
    <w:rsid w:val="00867DE8"/>
    <w:rsid w:val="0087099D"/>
    <w:rsid w:val="00871673"/>
    <w:rsid w:val="00871BA8"/>
    <w:rsid w:val="00871FC8"/>
    <w:rsid w:val="00872605"/>
    <w:rsid w:val="0087294A"/>
    <w:rsid w:val="00873107"/>
    <w:rsid w:val="00874085"/>
    <w:rsid w:val="00874C9C"/>
    <w:rsid w:val="00874DD5"/>
    <w:rsid w:val="0087545C"/>
    <w:rsid w:val="00875B58"/>
    <w:rsid w:val="00876566"/>
    <w:rsid w:val="0087692D"/>
    <w:rsid w:val="00876EAC"/>
    <w:rsid w:val="00877DCB"/>
    <w:rsid w:val="00880668"/>
    <w:rsid w:val="00880986"/>
    <w:rsid w:val="00880BC4"/>
    <w:rsid w:val="00881039"/>
    <w:rsid w:val="00881343"/>
    <w:rsid w:val="008815C5"/>
    <w:rsid w:val="00881DBE"/>
    <w:rsid w:val="00881F9C"/>
    <w:rsid w:val="00882B76"/>
    <w:rsid w:val="008830EA"/>
    <w:rsid w:val="00883694"/>
    <w:rsid w:val="008839A1"/>
    <w:rsid w:val="00883FE1"/>
    <w:rsid w:val="0088404A"/>
    <w:rsid w:val="0088481D"/>
    <w:rsid w:val="00884C80"/>
    <w:rsid w:val="00884D6B"/>
    <w:rsid w:val="00884DA0"/>
    <w:rsid w:val="008853FF"/>
    <w:rsid w:val="00885681"/>
    <w:rsid w:val="00885D47"/>
    <w:rsid w:val="0088656E"/>
    <w:rsid w:val="00886712"/>
    <w:rsid w:val="00886D7E"/>
    <w:rsid w:val="00886DFB"/>
    <w:rsid w:val="00886E17"/>
    <w:rsid w:val="0089006E"/>
    <w:rsid w:val="008900DC"/>
    <w:rsid w:val="008902CE"/>
    <w:rsid w:val="008904E0"/>
    <w:rsid w:val="00890EA9"/>
    <w:rsid w:val="008911B1"/>
    <w:rsid w:val="008918BC"/>
    <w:rsid w:val="00891C8D"/>
    <w:rsid w:val="0089210D"/>
    <w:rsid w:val="008925B6"/>
    <w:rsid w:val="0089353F"/>
    <w:rsid w:val="00893A9F"/>
    <w:rsid w:val="00893C33"/>
    <w:rsid w:val="00893C68"/>
    <w:rsid w:val="00894028"/>
    <w:rsid w:val="00894235"/>
    <w:rsid w:val="0089426E"/>
    <w:rsid w:val="008950C9"/>
    <w:rsid w:val="0089510A"/>
    <w:rsid w:val="00895B78"/>
    <w:rsid w:val="00895F85"/>
    <w:rsid w:val="008966BF"/>
    <w:rsid w:val="00896E7B"/>
    <w:rsid w:val="008A02EA"/>
    <w:rsid w:val="008A0620"/>
    <w:rsid w:val="008A2782"/>
    <w:rsid w:val="008A3818"/>
    <w:rsid w:val="008A3D66"/>
    <w:rsid w:val="008A4F7A"/>
    <w:rsid w:val="008A5150"/>
    <w:rsid w:val="008A52C5"/>
    <w:rsid w:val="008A5329"/>
    <w:rsid w:val="008A5568"/>
    <w:rsid w:val="008A56DE"/>
    <w:rsid w:val="008A595B"/>
    <w:rsid w:val="008A5CDB"/>
    <w:rsid w:val="008A687D"/>
    <w:rsid w:val="008A69B2"/>
    <w:rsid w:val="008A6B12"/>
    <w:rsid w:val="008A7A5A"/>
    <w:rsid w:val="008A7B3D"/>
    <w:rsid w:val="008A7DAB"/>
    <w:rsid w:val="008A7F15"/>
    <w:rsid w:val="008B00BB"/>
    <w:rsid w:val="008B0932"/>
    <w:rsid w:val="008B0AB2"/>
    <w:rsid w:val="008B2465"/>
    <w:rsid w:val="008B24B7"/>
    <w:rsid w:val="008B2833"/>
    <w:rsid w:val="008B3196"/>
    <w:rsid w:val="008B3362"/>
    <w:rsid w:val="008B3385"/>
    <w:rsid w:val="008B36C5"/>
    <w:rsid w:val="008B45A2"/>
    <w:rsid w:val="008B4608"/>
    <w:rsid w:val="008B548C"/>
    <w:rsid w:val="008B5593"/>
    <w:rsid w:val="008B5E2A"/>
    <w:rsid w:val="008B5F21"/>
    <w:rsid w:val="008B5FBC"/>
    <w:rsid w:val="008B6563"/>
    <w:rsid w:val="008B6961"/>
    <w:rsid w:val="008B6BDA"/>
    <w:rsid w:val="008B6DBB"/>
    <w:rsid w:val="008B6EBD"/>
    <w:rsid w:val="008B7042"/>
    <w:rsid w:val="008B7250"/>
    <w:rsid w:val="008B756C"/>
    <w:rsid w:val="008B7F16"/>
    <w:rsid w:val="008C0951"/>
    <w:rsid w:val="008C0ADC"/>
    <w:rsid w:val="008C23E7"/>
    <w:rsid w:val="008C30A3"/>
    <w:rsid w:val="008C3B8F"/>
    <w:rsid w:val="008C3E40"/>
    <w:rsid w:val="008C4257"/>
    <w:rsid w:val="008C44C7"/>
    <w:rsid w:val="008C4B53"/>
    <w:rsid w:val="008C5A50"/>
    <w:rsid w:val="008C5CDE"/>
    <w:rsid w:val="008C601D"/>
    <w:rsid w:val="008C6546"/>
    <w:rsid w:val="008C65EE"/>
    <w:rsid w:val="008C673A"/>
    <w:rsid w:val="008C71FB"/>
    <w:rsid w:val="008C730A"/>
    <w:rsid w:val="008C7A0D"/>
    <w:rsid w:val="008D1806"/>
    <w:rsid w:val="008D1F1E"/>
    <w:rsid w:val="008D239F"/>
    <w:rsid w:val="008D2D81"/>
    <w:rsid w:val="008D31E3"/>
    <w:rsid w:val="008D33E4"/>
    <w:rsid w:val="008D38EC"/>
    <w:rsid w:val="008D43A9"/>
    <w:rsid w:val="008D4B27"/>
    <w:rsid w:val="008D4FA0"/>
    <w:rsid w:val="008D5956"/>
    <w:rsid w:val="008D5EDB"/>
    <w:rsid w:val="008D6F84"/>
    <w:rsid w:val="008D704A"/>
    <w:rsid w:val="008D7755"/>
    <w:rsid w:val="008D7C9E"/>
    <w:rsid w:val="008E07EC"/>
    <w:rsid w:val="008E08DA"/>
    <w:rsid w:val="008E13B0"/>
    <w:rsid w:val="008E15E3"/>
    <w:rsid w:val="008E2236"/>
    <w:rsid w:val="008E29B4"/>
    <w:rsid w:val="008E2CF7"/>
    <w:rsid w:val="008E33F8"/>
    <w:rsid w:val="008E34FF"/>
    <w:rsid w:val="008E39FF"/>
    <w:rsid w:val="008E48F3"/>
    <w:rsid w:val="008E4975"/>
    <w:rsid w:val="008E4C93"/>
    <w:rsid w:val="008E4F00"/>
    <w:rsid w:val="008E4F8C"/>
    <w:rsid w:val="008E5191"/>
    <w:rsid w:val="008E5AA7"/>
    <w:rsid w:val="008E5C18"/>
    <w:rsid w:val="008E5CD3"/>
    <w:rsid w:val="008E5D1F"/>
    <w:rsid w:val="008E6575"/>
    <w:rsid w:val="008F016E"/>
    <w:rsid w:val="008F0867"/>
    <w:rsid w:val="008F08B2"/>
    <w:rsid w:val="008F0F05"/>
    <w:rsid w:val="008F1926"/>
    <w:rsid w:val="008F2C5B"/>
    <w:rsid w:val="008F2CD1"/>
    <w:rsid w:val="008F35E5"/>
    <w:rsid w:val="008F376A"/>
    <w:rsid w:val="008F3D67"/>
    <w:rsid w:val="008F3FE9"/>
    <w:rsid w:val="008F514F"/>
    <w:rsid w:val="008F54B1"/>
    <w:rsid w:val="008F56AC"/>
    <w:rsid w:val="008F5ACD"/>
    <w:rsid w:val="008F5F6E"/>
    <w:rsid w:val="008F5F91"/>
    <w:rsid w:val="008F6086"/>
    <w:rsid w:val="008F6110"/>
    <w:rsid w:val="008F6129"/>
    <w:rsid w:val="008F63CB"/>
    <w:rsid w:val="008F681F"/>
    <w:rsid w:val="008F6B60"/>
    <w:rsid w:val="008F6E1F"/>
    <w:rsid w:val="008F7A53"/>
    <w:rsid w:val="008F7E89"/>
    <w:rsid w:val="00900431"/>
    <w:rsid w:val="00900924"/>
    <w:rsid w:val="00901FCE"/>
    <w:rsid w:val="00901FE3"/>
    <w:rsid w:val="009021AD"/>
    <w:rsid w:val="00902513"/>
    <w:rsid w:val="00903017"/>
    <w:rsid w:val="009030D1"/>
    <w:rsid w:val="0090395C"/>
    <w:rsid w:val="00903CF3"/>
    <w:rsid w:val="00903D53"/>
    <w:rsid w:val="009043F1"/>
    <w:rsid w:val="00904AAD"/>
    <w:rsid w:val="00905E44"/>
    <w:rsid w:val="00906450"/>
    <w:rsid w:val="00907491"/>
    <w:rsid w:val="0090772D"/>
    <w:rsid w:val="00907DB4"/>
    <w:rsid w:val="009113AF"/>
    <w:rsid w:val="00911E2A"/>
    <w:rsid w:val="0091254E"/>
    <w:rsid w:val="009126BD"/>
    <w:rsid w:val="0091334C"/>
    <w:rsid w:val="009137FD"/>
    <w:rsid w:val="00914C88"/>
    <w:rsid w:val="00914E05"/>
    <w:rsid w:val="00914F2D"/>
    <w:rsid w:val="009153BE"/>
    <w:rsid w:val="00915943"/>
    <w:rsid w:val="00915BDD"/>
    <w:rsid w:val="00915E59"/>
    <w:rsid w:val="00915F5F"/>
    <w:rsid w:val="00916820"/>
    <w:rsid w:val="00916A28"/>
    <w:rsid w:val="00916E71"/>
    <w:rsid w:val="009170A0"/>
    <w:rsid w:val="009209E3"/>
    <w:rsid w:val="00921500"/>
    <w:rsid w:val="009221BF"/>
    <w:rsid w:val="009231A5"/>
    <w:rsid w:val="00923579"/>
    <w:rsid w:val="009238C6"/>
    <w:rsid w:val="00923A02"/>
    <w:rsid w:val="0092439A"/>
    <w:rsid w:val="00924538"/>
    <w:rsid w:val="00924EC1"/>
    <w:rsid w:val="00925C3A"/>
    <w:rsid w:val="0092616A"/>
    <w:rsid w:val="0092642E"/>
    <w:rsid w:val="009264B1"/>
    <w:rsid w:val="00926A56"/>
    <w:rsid w:val="00926A72"/>
    <w:rsid w:val="009270D9"/>
    <w:rsid w:val="009270E3"/>
    <w:rsid w:val="00930C16"/>
    <w:rsid w:val="00930CE6"/>
    <w:rsid w:val="00931CBA"/>
    <w:rsid w:val="00931F07"/>
    <w:rsid w:val="0093226E"/>
    <w:rsid w:val="00932C8F"/>
    <w:rsid w:val="0093318C"/>
    <w:rsid w:val="00933927"/>
    <w:rsid w:val="00933DA3"/>
    <w:rsid w:val="00933E22"/>
    <w:rsid w:val="00934022"/>
    <w:rsid w:val="00934138"/>
    <w:rsid w:val="009353E4"/>
    <w:rsid w:val="00935744"/>
    <w:rsid w:val="00936BC7"/>
    <w:rsid w:val="00937D70"/>
    <w:rsid w:val="009404E9"/>
    <w:rsid w:val="009407C3"/>
    <w:rsid w:val="009410A1"/>
    <w:rsid w:val="00941155"/>
    <w:rsid w:val="009426B6"/>
    <w:rsid w:val="00943108"/>
    <w:rsid w:val="0094310A"/>
    <w:rsid w:val="009433E7"/>
    <w:rsid w:val="0094341E"/>
    <w:rsid w:val="00943F02"/>
    <w:rsid w:val="009442F5"/>
    <w:rsid w:val="0094460A"/>
    <w:rsid w:val="0094522F"/>
    <w:rsid w:val="00945BAB"/>
    <w:rsid w:val="00945E29"/>
    <w:rsid w:val="00946785"/>
    <w:rsid w:val="00946E99"/>
    <w:rsid w:val="009472C7"/>
    <w:rsid w:val="0094731A"/>
    <w:rsid w:val="00950184"/>
    <w:rsid w:val="00951EB6"/>
    <w:rsid w:val="00951FBE"/>
    <w:rsid w:val="009521DD"/>
    <w:rsid w:val="00952854"/>
    <w:rsid w:val="0095368F"/>
    <w:rsid w:val="009537EB"/>
    <w:rsid w:val="00953AE8"/>
    <w:rsid w:val="00953C09"/>
    <w:rsid w:val="009541E0"/>
    <w:rsid w:val="00954EAE"/>
    <w:rsid w:val="009552B4"/>
    <w:rsid w:val="00955E62"/>
    <w:rsid w:val="009565C2"/>
    <w:rsid w:val="00956B25"/>
    <w:rsid w:val="0095749F"/>
    <w:rsid w:val="00957C5B"/>
    <w:rsid w:val="00957FAF"/>
    <w:rsid w:val="00960B3B"/>
    <w:rsid w:val="0096193C"/>
    <w:rsid w:val="00961BD8"/>
    <w:rsid w:val="00961C93"/>
    <w:rsid w:val="00961CFA"/>
    <w:rsid w:val="00961DFC"/>
    <w:rsid w:val="00961E9E"/>
    <w:rsid w:val="009629BE"/>
    <w:rsid w:val="00963D2A"/>
    <w:rsid w:val="00963E1E"/>
    <w:rsid w:val="00964C18"/>
    <w:rsid w:val="00964EAB"/>
    <w:rsid w:val="0096539F"/>
    <w:rsid w:val="00965E1B"/>
    <w:rsid w:val="00965F80"/>
    <w:rsid w:val="00967607"/>
    <w:rsid w:val="009679EF"/>
    <w:rsid w:val="009702C1"/>
    <w:rsid w:val="0097083D"/>
    <w:rsid w:val="00971903"/>
    <w:rsid w:val="00971F8D"/>
    <w:rsid w:val="00971F92"/>
    <w:rsid w:val="00972429"/>
    <w:rsid w:val="00972AF3"/>
    <w:rsid w:val="009737AE"/>
    <w:rsid w:val="009743A2"/>
    <w:rsid w:val="00975163"/>
    <w:rsid w:val="009755AF"/>
    <w:rsid w:val="00975793"/>
    <w:rsid w:val="00975A24"/>
    <w:rsid w:val="00975D77"/>
    <w:rsid w:val="00975EDF"/>
    <w:rsid w:val="00975F91"/>
    <w:rsid w:val="009770C0"/>
    <w:rsid w:val="0097739D"/>
    <w:rsid w:val="009774E5"/>
    <w:rsid w:val="00977DFC"/>
    <w:rsid w:val="009807FB"/>
    <w:rsid w:val="0098093F"/>
    <w:rsid w:val="0098123F"/>
    <w:rsid w:val="009812EA"/>
    <w:rsid w:val="00981E7F"/>
    <w:rsid w:val="00982BAC"/>
    <w:rsid w:val="009833EE"/>
    <w:rsid w:val="00983512"/>
    <w:rsid w:val="00983BA5"/>
    <w:rsid w:val="00983FD2"/>
    <w:rsid w:val="00984757"/>
    <w:rsid w:val="00984775"/>
    <w:rsid w:val="0098484D"/>
    <w:rsid w:val="009855F6"/>
    <w:rsid w:val="00985693"/>
    <w:rsid w:val="00985928"/>
    <w:rsid w:val="00985D9A"/>
    <w:rsid w:val="00985FBB"/>
    <w:rsid w:val="009862C1"/>
    <w:rsid w:val="00986494"/>
    <w:rsid w:val="00986B4F"/>
    <w:rsid w:val="009873F3"/>
    <w:rsid w:val="00987723"/>
    <w:rsid w:val="0099011D"/>
    <w:rsid w:val="0099074C"/>
    <w:rsid w:val="009908CC"/>
    <w:rsid w:val="00991943"/>
    <w:rsid w:val="00992A1B"/>
    <w:rsid w:val="00994265"/>
    <w:rsid w:val="0099460B"/>
    <w:rsid w:val="00994EAF"/>
    <w:rsid w:val="0099561F"/>
    <w:rsid w:val="00995705"/>
    <w:rsid w:val="00995E5F"/>
    <w:rsid w:val="00996167"/>
    <w:rsid w:val="00996767"/>
    <w:rsid w:val="0099678D"/>
    <w:rsid w:val="00996959"/>
    <w:rsid w:val="00997DA1"/>
    <w:rsid w:val="00997F70"/>
    <w:rsid w:val="009A0036"/>
    <w:rsid w:val="009A0559"/>
    <w:rsid w:val="009A0D41"/>
    <w:rsid w:val="009A0E4B"/>
    <w:rsid w:val="009A0EFC"/>
    <w:rsid w:val="009A1FB1"/>
    <w:rsid w:val="009A1FE6"/>
    <w:rsid w:val="009A2A14"/>
    <w:rsid w:val="009A2D1C"/>
    <w:rsid w:val="009A2E9E"/>
    <w:rsid w:val="009A2FB5"/>
    <w:rsid w:val="009A31A3"/>
    <w:rsid w:val="009A3E4F"/>
    <w:rsid w:val="009A3F93"/>
    <w:rsid w:val="009A42E3"/>
    <w:rsid w:val="009A4461"/>
    <w:rsid w:val="009A465E"/>
    <w:rsid w:val="009A4DAA"/>
    <w:rsid w:val="009A4EDF"/>
    <w:rsid w:val="009A5064"/>
    <w:rsid w:val="009A50D5"/>
    <w:rsid w:val="009A5EAD"/>
    <w:rsid w:val="009A60E6"/>
    <w:rsid w:val="009A654C"/>
    <w:rsid w:val="009A6A10"/>
    <w:rsid w:val="009A6A75"/>
    <w:rsid w:val="009A6AF5"/>
    <w:rsid w:val="009A7570"/>
    <w:rsid w:val="009A7B30"/>
    <w:rsid w:val="009B0214"/>
    <w:rsid w:val="009B0B53"/>
    <w:rsid w:val="009B0E2B"/>
    <w:rsid w:val="009B13CD"/>
    <w:rsid w:val="009B1A71"/>
    <w:rsid w:val="009B1D21"/>
    <w:rsid w:val="009B26A2"/>
    <w:rsid w:val="009B29E3"/>
    <w:rsid w:val="009B3118"/>
    <w:rsid w:val="009B3643"/>
    <w:rsid w:val="009B372F"/>
    <w:rsid w:val="009B38E9"/>
    <w:rsid w:val="009B3E37"/>
    <w:rsid w:val="009B438F"/>
    <w:rsid w:val="009B500B"/>
    <w:rsid w:val="009B5E86"/>
    <w:rsid w:val="009B6AAF"/>
    <w:rsid w:val="009B743E"/>
    <w:rsid w:val="009B787E"/>
    <w:rsid w:val="009C04E2"/>
    <w:rsid w:val="009C0756"/>
    <w:rsid w:val="009C0946"/>
    <w:rsid w:val="009C0A85"/>
    <w:rsid w:val="009C0C03"/>
    <w:rsid w:val="009C0DC5"/>
    <w:rsid w:val="009C100E"/>
    <w:rsid w:val="009C1194"/>
    <w:rsid w:val="009C13E1"/>
    <w:rsid w:val="009C287E"/>
    <w:rsid w:val="009C2A1E"/>
    <w:rsid w:val="009C346D"/>
    <w:rsid w:val="009C4ABA"/>
    <w:rsid w:val="009C4FD6"/>
    <w:rsid w:val="009C5E7C"/>
    <w:rsid w:val="009C651D"/>
    <w:rsid w:val="009C6723"/>
    <w:rsid w:val="009C6A09"/>
    <w:rsid w:val="009C73CD"/>
    <w:rsid w:val="009C7C4F"/>
    <w:rsid w:val="009D03B3"/>
    <w:rsid w:val="009D04F9"/>
    <w:rsid w:val="009D081D"/>
    <w:rsid w:val="009D1DB6"/>
    <w:rsid w:val="009D1F2E"/>
    <w:rsid w:val="009D247C"/>
    <w:rsid w:val="009D26A4"/>
    <w:rsid w:val="009D26AE"/>
    <w:rsid w:val="009D27B5"/>
    <w:rsid w:val="009D32E2"/>
    <w:rsid w:val="009D3415"/>
    <w:rsid w:val="009D3539"/>
    <w:rsid w:val="009D3BFA"/>
    <w:rsid w:val="009D3D7B"/>
    <w:rsid w:val="009D3FF7"/>
    <w:rsid w:val="009D41C7"/>
    <w:rsid w:val="009D4F48"/>
    <w:rsid w:val="009D5555"/>
    <w:rsid w:val="009D572C"/>
    <w:rsid w:val="009D5DCF"/>
    <w:rsid w:val="009D644B"/>
    <w:rsid w:val="009D6CA0"/>
    <w:rsid w:val="009D75FF"/>
    <w:rsid w:val="009D7724"/>
    <w:rsid w:val="009E0479"/>
    <w:rsid w:val="009E0C1D"/>
    <w:rsid w:val="009E0F42"/>
    <w:rsid w:val="009E1133"/>
    <w:rsid w:val="009E12F5"/>
    <w:rsid w:val="009E1FF5"/>
    <w:rsid w:val="009E21F4"/>
    <w:rsid w:val="009E25E3"/>
    <w:rsid w:val="009E26F5"/>
    <w:rsid w:val="009E2BB7"/>
    <w:rsid w:val="009E3707"/>
    <w:rsid w:val="009E3C9A"/>
    <w:rsid w:val="009E3F79"/>
    <w:rsid w:val="009E4649"/>
    <w:rsid w:val="009E471C"/>
    <w:rsid w:val="009E523C"/>
    <w:rsid w:val="009E5720"/>
    <w:rsid w:val="009E636F"/>
    <w:rsid w:val="009E667C"/>
    <w:rsid w:val="009E6882"/>
    <w:rsid w:val="009E6927"/>
    <w:rsid w:val="009E6A64"/>
    <w:rsid w:val="009E73A9"/>
    <w:rsid w:val="009E74AB"/>
    <w:rsid w:val="009E7DFE"/>
    <w:rsid w:val="009F0844"/>
    <w:rsid w:val="009F0DCE"/>
    <w:rsid w:val="009F0E71"/>
    <w:rsid w:val="009F1C5A"/>
    <w:rsid w:val="009F2B69"/>
    <w:rsid w:val="009F2FA8"/>
    <w:rsid w:val="009F302F"/>
    <w:rsid w:val="009F33BD"/>
    <w:rsid w:val="009F3657"/>
    <w:rsid w:val="009F3923"/>
    <w:rsid w:val="009F3AFD"/>
    <w:rsid w:val="009F5019"/>
    <w:rsid w:val="009F50C7"/>
    <w:rsid w:val="009F53E3"/>
    <w:rsid w:val="009F55A1"/>
    <w:rsid w:val="009F5A78"/>
    <w:rsid w:val="009F5FA3"/>
    <w:rsid w:val="009F603B"/>
    <w:rsid w:val="009F6898"/>
    <w:rsid w:val="009F6A60"/>
    <w:rsid w:val="009F6A8F"/>
    <w:rsid w:val="009F6FD2"/>
    <w:rsid w:val="009F7492"/>
    <w:rsid w:val="009F7985"/>
    <w:rsid w:val="00A00143"/>
    <w:rsid w:val="00A00161"/>
    <w:rsid w:val="00A00242"/>
    <w:rsid w:val="00A008CB"/>
    <w:rsid w:val="00A00B41"/>
    <w:rsid w:val="00A02033"/>
    <w:rsid w:val="00A027C7"/>
    <w:rsid w:val="00A03A3D"/>
    <w:rsid w:val="00A03B0E"/>
    <w:rsid w:val="00A04035"/>
    <w:rsid w:val="00A0428A"/>
    <w:rsid w:val="00A04332"/>
    <w:rsid w:val="00A04A73"/>
    <w:rsid w:val="00A05076"/>
    <w:rsid w:val="00A05556"/>
    <w:rsid w:val="00A05A26"/>
    <w:rsid w:val="00A05D71"/>
    <w:rsid w:val="00A05FC5"/>
    <w:rsid w:val="00A06592"/>
    <w:rsid w:val="00A069F2"/>
    <w:rsid w:val="00A06D92"/>
    <w:rsid w:val="00A06E75"/>
    <w:rsid w:val="00A073C4"/>
    <w:rsid w:val="00A07E71"/>
    <w:rsid w:val="00A100E3"/>
    <w:rsid w:val="00A106F5"/>
    <w:rsid w:val="00A10CBF"/>
    <w:rsid w:val="00A113A8"/>
    <w:rsid w:val="00A1171D"/>
    <w:rsid w:val="00A1174B"/>
    <w:rsid w:val="00A11834"/>
    <w:rsid w:val="00A11DBD"/>
    <w:rsid w:val="00A1206C"/>
    <w:rsid w:val="00A124BC"/>
    <w:rsid w:val="00A12C8C"/>
    <w:rsid w:val="00A13084"/>
    <w:rsid w:val="00A13603"/>
    <w:rsid w:val="00A14049"/>
    <w:rsid w:val="00A14E04"/>
    <w:rsid w:val="00A14EA3"/>
    <w:rsid w:val="00A1510E"/>
    <w:rsid w:val="00A15799"/>
    <w:rsid w:val="00A15A0E"/>
    <w:rsid w:val="00A162E8"/>
    <w:rsid w:val="00A16668"/>
    <w:rsid w:val="00A16C9A"/>
    <w:rsid w:val="00A17044"/>
    <w:rsid w:val="00A17078"/>
    <w:rsid w:val="00A1769A"/>
    <w:rsid w:val="00A17749"/>
    <w:rsid w:val="00A2013B"/>
    <w:rsid w:val="00A21B14"/>
    <w:rsid w:val="00A2208F"/>
    <w:rsid w:val="00A224AF"/>
    <w:rsid w:val="00A2257B"/>
    <w:rsid w:val="00A225F6"/>
    <w:rsid w:val="00A22EAC"/>
    <w:rsid w:val="00A2333A"/>
    <w:rsid w:val="00A2388C"/>
    <w:rsid w:val="00A23AA5"/>
    <w:rsid w:val="00A248F1"/>
    <w:rsid w:val="00A24E11"/>
    <w:rsid w:val="00A25350"/>
    <w:rsid w:val="00A25870"/>
    <w:rsid w:val="00A259FB"/>
    <w:rsid w:val="00A25E67"/>
    <w:rsid w:val="00A25FFD"/>
    <w:rsid w:val="00A267E8"/>
    <w:rsid w:val="00A27329"/>
    <w:rsid w:val="00A275EA"/>
    <w:rsid w:val="00A30329"/>
    <w:rsid w:val="00A30FE5"/>
    <w:rsid w:val="00A31B27"/>
    <w:rsid w:val="00A31C26"/>
    <w:rsid w:val="00A32074"/>
    <w:rsid w:val="00A32A35"/>
    <w:rsid w:val="00A3384A"/>
    <w:rsid w:val="00A33A7C"/>
    <w:rsid w:val="00A33A85"/>
    <w:rsid w:val="00A33A9B"/>
    <w:rsid w:val="00A33AA8"/>
    <w:rsid w:val="00A35027"/>
    <w:rsid w:val="00A35F84"/>
    <w:rsid w:val="00A368F6"/>
    <w:rsid w:val="00A36D44"/>
    <w:rsid w:val="00A36D96"/>
    <w:rsid w:val="00A36FE7"/>
    <w:rsid w:val="00A373C0"/>
    <w:rsid w:val="00A378FD"/>
    <w:rsid w:val="00A403E5"/>
    <w:rsid w:val="00A4092D"/>
    <w:rsid w:val="00A412F5"/>
    <w:rsid w:val="00A426F7"/>
    <w:rsid w:val="00A431DD"/>
    <w:rsid w:val="00A433B0"/>
    <w:rsid w:val="00A43F70"/>
    <w:rsid w:val="00A442C9"/>
    <w:rsid w:val="00A44A35"/>
    <w:rsid w:val="00A44B46"/>
    <w:rsid w:val="00A44E81"/>
    <w:rsid w:val="00A4574C"/>
    <w:rsid w:val="00A46450"/>
    <w:rsid w:val="00A46529"/>
    <w:rsid w:val="00A46F0A"/>
    <w:rsid w:val="00A46F16"/>
    <w:rsid w:val="00A47752"/>
    <w:rsid w:val="00A47D3C"/>
    <w:rsid w:val="00A509F5"/>
    <w:rsid w:val="00A50F2B"/>
    <w:rsid w:val="00A51364"/>
    <w:rsid w:val="00A51D71"/>
    <w:rsid w:val="00A5202E"/>
    <w:rsid w:val="00A5230F"/>
    <w:rsid w:val="00A52468"/>
    <w:rsid w:val="00A53703"/>
    <w:rsid w:val="00A54FA7"/>
    <w:rsid w:val="00A557BF"/>
    <w:rsid w:val="00A55829"/>
    <w:rsid w:val="00A55C5C"/>
    <w:rsid w:val="00A565BF"/>
    <w:rsid w:val="00A56B55"/>
    <w:rsid w:val="00A56EA7"/>
    <w:rsid w:val="00A574A0"/>
    <w:rsid w:val="00A574A9"/>
    <w:rsid w:val="00A57657"/>
    <w:rsid w:val="00A5782A"/>
    <w:rsid w:val="00A57B53"/>
    <w:rsid w:val="00A57D51"/>
    <w:rsid w:val="00A57FC3"/>
    <w:rsid w:val="00A60927"/>
    <w:rsid w:val="00A61048"/>
    <w:rsid w:val="00A61479"/>
    <w:rsid w:val="00A62B26"/>
    <w:rsid w:val="00A62D49"/>
    <w:rsid w:val="00A62E3E"/>
    <w:rsid w:val="00A62E81"/>
    <w:rsid w:val="00A63AC1"/>
    <w:rsid w:val="00A63D4D"/>
    <w:rsid w:val="00A64203"/>
    <w:rsid w:val="00A64AF3"/>
    <w:rsid w:val="00A64B04"/>
    <w:rsid w:val="00A6552E"/>
    <w:rsid w:val="00A65532"/>
    <w:rsid w:val="00A665DE"/>
    <w:rsid w:val="00A6662B"/>
    <w:rsid w:val="00A66B27"/>
    <w:rsid w:val="00A66EDF"/>
    <w:rsid w:val="00A66FB5"/>
    <w:rsid w:val="00A67047"/>
    <w:rsid w:val="00A67652"/>
    <w:rsid w:val="00A67E06"/>
    <w:rsid w:val="00A67E97"/>
    <w:rsid w:val="00A703E1"/>
    <w:rsid w:val="00A70665"/>
    <w:rsid w:val="00A709BE"/>
    <w:rsid w:val="00A712F0"/>
    <w:rsid w:val="00A71944"/>
    <w:rsid w:val="00A71A21"/>
    <w:rsid w:val="00A71A81"/>
    <w:rsid w:val="00A71AB4"/>
    <w:rsid w:val="00A71E0A"/>
    <w:rsid w:val="00A724BE"/>
    <w:rsid w:val="00A72558"/>
    <w:rsid w:val="00A72578"/>
    <w:rsid w:val="00A7342C"/>
    <w:rsid w:val="00A73B10"/>
    <w:rsid w:val="00A73B18"/>
    <w:rsid w:val="00A73F0C"/>
    <w:rsid w:val="00A760BD"/>
    <w:rsid w:val="00A76260"/>
    <w:rsid w:val="00A762F7"/>
    <w:rsid w:val="00A764E5"/>
    <w:rsid w:val="00A767E4"/>
    <w:rsid w:val="00A7692A"/>
    <w:rsid w:val="00A76C82"/>
    <w:rsid w:val="00A76CE2"/>
    <w:rsid w:val="00A77D27"/>
    <w:rsid w:val="00A77DDE"/>
    <w:rsid w:val="00A80475"/>
    <w:rsid w:val="00A8090F"/>
    <w:rsid w:val="00A80B78"/>
    <w:rsid w:val="00A80F5C"/>
    <w:rsid w:val="00A8104E"/>
    <w:rsid w:val="00A8121F"/>
    <w:rsid w:val="00A81EB5"/>
    <w:rsid w:val="00A822AE"/>
    <w:rsid w:val="00A829D3"/>
    <w:rsid w:val="00A82B18"/>
    <w:rsid w:val="00A83778"/>
    <w:rsid w:val="00A83C57"/>
    <w:rsid w:val="00A841E1"/>
    <w:rsid w:val="00A842DF"/>
    <w:rsid w:val="00A84A6A"/>
    <w:rsid w:val="00A84D62"/>
    <w:rsid w:val="00A84DDE"/>
    <w:rsid w:val="00A86110"/>
    <w:rsid w:val="00A8694E"/>
    <w:rsid w:val="00A86F85"/>
    <w:rsid w:val="00A8738B"/>
    <w:rsid w:val="00A87629"/>
    <w:rsid w:val="00A92397"/>
    <w:rsid w:val="00A92577"/>
    <w:rsid w:val="00A92AB6"/>
    <w:rsid w:val="00A92DEA"/>
    <w:rsid w:val="00A93455"/>
    <w:rsid w:val="00A938C4"/>
    <w:rsid w:val="00A942BB"/>
    <w:rsid w:val="00A943D5"/>
    <w:rsid w:val="00A9463E"/>
    <w:rsid w:val="00A94894"/>
    <w:rsid w:val="00A94912"/>
    <w:rsid w:val="00A96C78"/>
    <w:rsid w:val="00A96D54"/>
    <w:rsid w:val="00A97709"/>
    <w:rsid w:val="00A979E6"/>
    <w:rsid w:val="00AA0763"/>
    <w:rsid w:val="00AA0766"/>
    <w:rsid w:val="00AA0C78"/>
    <w:rsid w:val="00AA232F"/>
    <w:rsid w:val="00AA38A0"/>
    <w:rsid w:val="00AA4685"/>
    <w:rsid w:val="00AA4912"/>
    <w:rsid w:val="00AA4C94"/>
    <w:rsid w:val="00AA4ED5"/>
    <w:rsid w:val="00AA5A15"/>
    <w:rsid w:val="00AA63B4"/>
    <w:rsid w:val="00AA6490"/>
    <w:rsid w:val="00AA6515"/>
    <w:rsid w:val="00AA6F04"/>
    <w:rsid w:val="00AA70CF"/>
    <w:rsid w:val="00AA75C9"/>
    <w:rsid w:val="00AB02A8"/>
    <w:rsid w:val="00AB04D8"/>
    <w:rsid w:val="00AB05AA"/>
    <w:rsid w:val="00AB1F55"/>
    <w:rsid w:val="00AB236E"/>
    <w:rsid w:val="00AB29B9"/>
    <w:rsid w:val="00AB2B6B"/>
    <w:rsid w:val="00AB3494"/>
    <w:rsid w:val="00AB4E21"/>
    <w:rsid w:val="00AB4E83"/>
    <w:rsid w:val="00AB5676"/>
    <w:rsid w:val="00AB5833"/>
    <w:rsid w:val="00AB5E9E"/>
    <w:rsid w:val="00AB5F5E"/>
    <w:rsid w:val="00AB6240"/>
    <w:rsid w:val="00AB6372"/>
    <w:rsid w:val="00AB6414"/>
    <w:rsid w:val="00AB6A07"/>
    <w:rsid w:val="00AB6B8C"/>
    <w:rsid w:val="00AC06AD"/>
    <w:rsid w:val="00AC075F"/>
    <w:rsid w:val="00AC0C7D"/>
    <w:rsid w:val="00AC1156"/>
    <w:rsid w:val="00AC19F1"/>
    <w:rsid w:val="00AC2609"/>
    <w:rsid w:val="00AC2B68"/>
    <w:rsid w:val="00AC393C"/>
    <w:rsid w:val="00AC3B9E"/>
    <w:rsid w:val="00AC4892"/>
    <w:rsid w:val="00AC4ADF"/>
    <w:rsid w:val="00AC50CA"/>
    <w:rsid w:val="00AC5359"/>
    <w:rsid w:val="00AC5436"/>
    <w:rsid w:val="00AC5DA2"/>
    <w:rsid w:val="00AC60F9"/>
    <w:rsid w:val="00AC61B2"/>
    <w:rsid w:val="00AC7310"/>
    <w:rsid w:val="00AC7EC5"/>
    <w:rsid w:val="00AD00FA"/>
    <w:rsid w:val="00AD040D"/>
    <w:rsid w:val="00AD11E2"/>
    <w:rsid w:val="00AD1324"/>
    <w:rsid w:val="00AD1697"/>
    <w:rsid w:val="00AD1823"/>
    <w:rsid w:val="00AD1907"/>
    <w:rsid w:val="00AD1A30"/>
    <w:rsid w:val="00AD1C32"/>
    <w:rsid w:val="00AD1D7C"/>
    <w:rsid w:val="00AD234E"/>
    <w:rsid w:val="00AD2542"/>
    <w:rsid w:val="00AD28AE"/>
    <w:rsid w:val="00AD2C64"/>
    <w:rsid w:val="00AD3310"/>
    <w:rsid w:val="00AD3798"/>
    <w:rsid w:val="00AD3927"/>
    <w:rsid w:val="00AD3BAE"/>
    <w:rsid w:val="00AD3F27"/>
    <w:rsid w:val="00AD42F4"/>
    <w:rsid w:val="00AD489D"/>
    <w:rsid w:val="00AD4A1C"/>
    <w:rsid w:val="00AD4CC9"/>
    <w:rsid w:val="00AD4D2D"/>
    <w:rsid w:val="00AD5529"/>
    <w:rsid w:val="00AD5D57"/>
    <w:rsid w:val="00AD5EF4"/>
    <w:rsid w:val="00AD6053"/>
    <w:rsid w:val="00AD642C"/>
    <w:rsid w:val="00AD7BBD"/>
    <w:rsid w:val="00AE11BD"/>
    <w:rsid w:val="00AE132B"/>
    <w:rsid w:val="00AE15CC"/>
    <w:rsid w:val="00AE16D2"/>
    <w:rsid w:val="00AE1EA6"/>
    <w:rsid w:val="00AE1F45"/>
    <w:rsid w:val="00AE29E4"/>
    <w:rsid w:val="00AE2E05"/>
    <w:rsid w:val="00AE37BD"/>
    <w:rsid w:val="00AE3830"/>
    <w:rsid w:val="00AE3CD4"/>
    <w:rsid w:val="00AE421A"/>
    <w:rsid w:val="00AE46EF"/>
    <w:rsid w:val="00AE4D36"/>
    <w:rsid w:val="00AE54C3"/>
    <w:rsid w:val="00AE57CF"/>
    <w:rsid w:val="00AE593B"/>
    <w:rsid w:val="00AE5AEC"/>
    <w:rsid w:val="00AE65BA"/>
    <w:rsid w:val="00AE6877"/>
    <w:rsid w:val="00AE6B4B"/>
    <w:rsid w:val="00AE6F26"/>
    <w:rsid w:val="00AE6FBF"/>
    <w:rsid w:val="00AE7653"/>
    <w:rsid w:val="00AF00C1"/>
    <w:rsid w:val="00AF03CD"/>
    <w:rsid w:val="00AF045E"/>
    <w:rsid w:val="00AF0C0F"/>
    <w:rsid w:val="00AF0D29"/>
    <w:rsid w:val="00AF0E0F"/>
    <w:rsid w:val="00AF1C0E"/>
    <w:rsid w:val="00AF23CB"/>
    <w:rsid w:val="00AF28E8"/>
    <w:rsid w:val="00AF2A5C"/>
    <w:rsid w:val="00AF2D7A"/>
    <w:rsid w:val="00AF3008"/>
    <w:rsid w:val="00AF3889"/>
    <w:rsid w:val="00AF3A1C"/>
    <w:rsid w:val="00AF3A4C"/>
    <w:rsid w:val="00AF3DD4"/>
    <w:rsid w:val="00AF4005"/>
    <w:rsid w:val="00AF4479"/>
    <w:rsid w:val="00AF46E3"/>
    <w:rsid w:val="00AF4B21"/>
    <w:rsid w:val="00AF53B0"/>
    <w:rsid w:val="00AF56FB"/>
    <w:rsid w:val="00AF5E67"/>
    <w:rsid w:val="00AF6ACE"/>
    <w:rsid w:val="00AF6C87"/>
    <w:rsid w:val="00AF6CAB"/>
    <w:rsid w:val="00AF7A5B"/>
    <w:rsid w:val="00AF7B48"/>
    <w:rsid w:val="00B0023F"/>
    <w:rsid w:val="00B002F6"/>
    <w:rsid w:val="00B00419"/>
    <w:rsid w:val="00B00D2B"/>
    <w:rsid w:val="00B012C3"/>
    <w:rsid w:val="00B0150C"/>
    <w:rsid w:val="00B02397"/>
    <w:rsid w:val="00B02963"/>
    <w:rsid w:val="00B02E72"/>
    <w:rsid w:val="00B03041"/>
    <w:rsid w:val="00B04000"/>
    <w:rsid w:val="00B04760"/>
    <w:rsid w:val="00B047A7"/>
    <w:rsid w:val="00B04D18"/>
    <w:rsid w:val="00B050B4"/>
    <w:rsid w:val="00B05809"/>
    <w:rsid w:val="00B0641B"/>
    <w:rsid w:val="00B067BC"/>
    <w:rsid w:val="00B06D54"/>
    <w:rsid w:val="00B07E11"/>
    <w:rsid w:val="00B118BA"/>
    <w:rsid w:val="00B11BE8"/>
    <w:rsid w:val="00B13333"/>
    <w:rsid w:val="00B13418"/>
    <w:rsid w:val="00B1351F"/>
    <w:rsid w:val="00B13575"/>
    <w:rsid w:val="00B136C2"/>
    <w:rsid w:val="00B13871"/>
    <w:rsid w:val="00B14C0E"/>
    <w:rsid w:val="00B15DEF"/>
    <w:rsid w:val="00B15F8B"/>
    <w:rsid w:val="00B164CC"/>
    <w:rsid w:val="00B16C88"/>
    <w:rsid w:val="00B177A4"/>
    <w:rsid w:val="00B177F3"/>
    <w:rsid w:val="00B212FB"/>
    <w:rsid w:val="00B213DD"/>
    <w:rsid w:val="00B219D5"/>
    <w:rsid w:val="00B21E7D"/>
    <w:rsid w:val="00B222B9"/>
    <w:rsid w:val="00B22462"/>
    <w:rsid w:val="00B23EEB"/>
    <w:rsid w:val="00B24425"/>
    <w:rsid w:val="00B2446F"/>
    <w:rsid w:val="00B24BB2"/>
    <w:rsid w:val="00B25176"/>
    <w:rsid w:val="00B2546B"/>
    <w:rsid w:val="00B2654A"/>
    <w:rsid w:val="00B275D3"/>
    <w:rsid w:val="00B2799A"/>
    <w:rsid w:val="00B27D82"/>
    <w:rsid w:val="00B305B5"/>
    <w:rsid w:val="00B30688"/>
    <w:rsid w:val="00B308C2"/>
    <w:rsid w:val="00B30D66"/>
    <w:rsid w:val="00B3107D"/>
    <w:rsid w:val="00B31699"/>
    <w:rsid w:val="00B32316"/>
    <w:rsid w:val="00B325D4"/>
    <w:rsid w:val="00B32C19"/>
    <w:rsid w:val="00B3464B"/>
    <w:rsid w:val="00B34880"/>
    <w:rsid w:val="00B34D81"/>
    <w:rsid w:val="00B3577A"/>
    <w:rsid w:val="00B35819"/>
    <w:rsid w:val="00B36E10"/>
    <w:rsid w:val="00B372A3"/>
    <w:rsid w:val="00B3756F"/>
    <w:rsid w:val="00B40061"/>
    <w:rsid w:val="00B40594"/>
    <w:rsid w:val="00B408F7"/>
    <w:rsid w:val="00B40E54"/>
    <w:rsid w:val="00B40F36"/>
    <w:rsid w:val="00B40F88"/>
    <w:rsid w:val="00B4171E"/>
    <w:rsid w:val="00B4172C"/>
    <w:rsid w:val="00B42DC4"/>
    <w:rsid w:val="00B430B2"/>
    <w:rsid w:val="00B435D5"/>
    <w:rsid w:val="00B4378E"/>
    <w:rsid w:val="00B448B2"/>
    <w:rsid w:val="00B45607"/>
    <w:rsid w:val="00B4571C"/>
    <w:rsid w:val="00B459BC"/>
    <w:rsid w:val="00B45D95"/>
    <w:rsid w:val="00B468E2"/>
    <w:rsid w:val="00B46AC9"/>
    <w:rsid w:val="00B46CC9"/>
    <w:rsid w:val="00B47AC9"/>
    <w:rsid w:val="00B50726"/>
    <w:rsid w:val="00B511F0"/>
    <w:rsid w:val="00B516D4"/>
    <w:rsid w:val="00B517DB"/>
    <w:rsid w:val="00B51DF7"/>
    <w:rsid w:val="00B5272E"/>
    <w:rsid w:val="00B52A90"/>
    <w:rsid w:val="00B52EB2"/>
    <w:rsid w:val="00B5335E"/>
    <w:rsid w:val="00B53402"/>
    <w:rsid w:val="00B54BA1"/>
    <w:rsid w:val="00B54EF3"/>
    <w:rsid w:val="00B55ECF"/>
    <w:rsid w:val="00B560B5"/>
    <w:rsid w:val="00B566B6"/>
    <w:rsid w:val="00B56F42"/>
    <w:rsid w:val="00B60094"/>
    <w:rsid w:val="00B60A25"/>
    <w:rsid w:val="00B60CDD"/>
    <w:rsid w:val="00B6194E"/>
    <w:rsid w:val="00B61D10"/>
    <w:rsid w:val="00B6200B"/>
    <w:rsid w:val="00B62064"/>
    <w:rsid w:val="00B6232A"/>
    <w:rsid w:val="00B62C18"/>
    <w:rsid w:val="00B63E77"/>
    <w:rsid w:val="00B64E12"/>
    <w:rsid w:val="00B65915"/>
    <w:rsid w:val="00B6755D"/>
    <w:rsid w:val="00B678A0"/>
    <w:rsid w:val="00B678A2"/>
    <w:rsid w:val="00B67B23"/>
    <w:rsid w:val="00B7035D"/>
    <w:rsid w:val="00B7066E"/>
    <w:rsid w:val="00B70836"/>
    <w:rsid w:val="00B70DFC"/>
    <w:rsid w:val="00B710DA"/>
    <w:rsid w:val="00B7112C"/>
    <w:rsid w:val="00B71175"/>
    <w:rsid w:val="00B7173D"/>
    <w:rsid w:val="00B71C23"/>
    <w:rsid w:val="00B7211A"/>
    <w:rsid w:val="00B72460"/>
    <w:rsid w:val="00B724A2"/>
    <w:rsid w:val="00B72B5F"/>
    <w:rsid w:val="00B73444"/>
    <w:rsid w:val="00B738B8"/>
    <w:rsid w:val="00B73B78"/>
    <w:rsid w:val="00B741F9"/>
    <w:rsid w:val="00B74655"/>
    <w:rsid w:val="00B74F7F"/>
    <w:rsid w:val="00B75110"/>
    <w:rsid w:val="00B75A36"/>
    <w:rsid w:val="00B767A5"/>
    <w:rsid w:val="00B76B87"/>
    <w:rsid w:val="00B77181"/>
    <w:rsid w:val="00B772D4"/>
    <w:rsid w:val="00B77A6F"/>
    <w:rsid w:val="00B805A4"/>
    <w:rsid w:val="00B80733"/>
    <w:rsid w:val="00B8074C"/>
    <w:rsid w:val="00B80DC8"/>
    <w:rsid w:val="00B8198E"/>
    <w:rsid w:val="00B81B79"/>
    <w:rsid w:val="00B81BCE"/>
    <w:rsid w:val="00B81E35"/>
    <w:rsid w:val="00B821F4"/>
    <w:rsid w:val="00B825A0"/>
    <w:rsid w:val="00B8265E"/>
    <w:rsid w:val="00B82B66"/>
    <w:rsid w:val="00B8332B"/>
    <w:rsid w:val="00B83421"/>
    <w:rsid w:val="00B83795"/>
    <w:rsid w:val="00B83BA4"/>
    <w:rsid w:val="00B85907"/>
    <w:rsid w:val="00B85E2D"/>
    <w:rsid w:val="00B86FA8"/>
    <w:rsid w:val="00B87458"/>
    <w:rsid w:val="00B874E6"/>
    <w:rsid w:val="00B8750B"/>
    <w:rsid w:val="00B87C46"/>
    <w:rsid w:val="00B87C54"/>
    <w:rsid w:val="00B87DB0"/>
    <w:rsid w:val="00B909C3"/>
    <w:rsid w:val="00B91C78"/>
    <w:rsid w:val="00B920FB"/>
    <w:rsid w:val="00B92562"/>
    <w:rsid w:val="00B925DC"/>
    <w:rsid w:val="00B92C98"/>
    <w:rsid w:val="00B939E5"/>
    <w:rsid w:val="00B93D1B"/>
    <w:rsid w:val="00B93D53"/>
    <w:rsid w:val="00B94468"/>
    <w:rsid w:val="00B949F3"/>
    <w:rsid w:val="00B94BD0"/>
    <w:rsid w:val="00B952CB"/>
    <w:rsid w:val="00B955F8"/>
    <w:rsid w:val="00B95868"/>
    <w:rsid w:val="00B95D39"/>
    <w:rsid w:val="00B9623A"/>
    <w:rsid w:val="00B96DB9"/>
    <w:rsid w:val="00B97021"/>
    <w:rsid w:val="00B972A3"/>
    <w:rsid w:val="00B97328"/>
    <w:rsid w:val="00B978F4"/>
    <w:rsid w:val="00BA0220"/>
    <w:rsid w:val="00BA07F2"/>
    <w:rsid w:val="00BA0979"/>
    <w:rsid w:val="00BA0CBC"/>
    <w:rsid w:val="00BA124C"/>
    <w:rsid w:val="00BA1B19"/>
    <w:rsid w:val="00BA1F51"/>
    <w:rsid w:val="00BA2095"/>
    <w:rsid w:val="00BA2112"/>
    <w:rsid w:val="00BA2261"/>
    <w:rsid w:val="00BA2D78"/>
    <w:rsid w:val="00BA2D97"/>
    <w:rsid w:val="00BA2DA1"/>
    <w:rsid w:val="00BA4BF1"/>
    <w:rsid w:val="00BA516C"/>
    <w:rsid w:val="00BA5245"/>
    <w:rsid w:val="00BA5291"/>
    <w:rsid w:val="00BA5630"/>
    <w:rsid w:val="00BA57D3"/>
    <w:rsid w:val="00BA5AC4"/>
    <w:rsid w:val="00BA696E"/>
    <w:rsid w:val="00BA7BD2"/>
    <w:rsid w:val="00BA7C73"/>
    <w:rsid w:val="00BA7D55"/>
    <w:rsid w:val="00BB0975"/>
    <w:rsid w:val="00BB0BE4"/>
    <w:rsid w:val="00BB1CF6"/>
    <w:rsid w:val="00BB1E2E"/>
    <w:rsid w:val="00BB1E43"/>
    <w:rsid w:val="00BB226A"/>
    <w:rsid w:val="00BB24F8"/>
    <w:rsid w:val="00BB276F"/>
    <w:rsid w:val="00BB2ACB"/>
    <w:rsid w:val="00BB31FD"/>
    <w:rsid w:val="00BB3540"/>
    <w:rsid w:val="00BB3843"/>
    <w:rsid w:val="00BB3C5D"/>
    <w:rsid w:val="00BB3CDC"/>
    <w:rsid w:val="00BB3E67"/>
    <w:rsid w:val="00BB404A"/>
    <w:rsid w:val="00BB51B1"/>
    <w:rsid w:val="00BB527C"/>
    <w:rsid w:val="00BB53DE"/>
    <w:rsid w:val="00BB5481"/>
    <w:rsid w:val="00BB5943"/>
    <w:rsid w:val="00BB5A5E"/>
    <w:rsid w:val="00BB5D6E"/>
    <w:rsid w:val="00BB5E2A"/>
    <w:rsid w:val="00BB60E9"/>
    <w:rsid w:val="00BB69AF"/>
    <w:rsid w:val="00BB6AEB"/>
    <w:rsid w:val="00BB71FA"/>
    <w:rsid w:val="00BB764B"/>
    <w:rsid w:val="00BB76CB"/>
    <w:rsid w:val="00BB7785"/>
    <w:rsid w:val="00BB7C50"/>
    <w:rsid w:val="00BB7CA1"/>
    <w:rsid w:val="00BC05FF"/>
    <w:rsid w:val="00BC0722"/>
    <w:rsid w:val="00BC0AAA"/>
    <w:rsid w:val="00BC0C63"/>
    <w:rsid w:val="00BC1196"/>
    <w:rsid w:val="00BC13FD"/>
    <w:rsid w:val="00BC1C11"/>
    <w:rsid w:val="00BC2208"/>
    <w:rsid w:val="00BC2250"/>
    <w:rsid w:val="00BC2638"/>
    <w:rsid w:val="00BC2F9B"/>
    <w:rsid w:val="00BC4048"/>
    <w:rsid w:val="00BC41F5"/>
    <w:rsid w:val="00BC42B8"/>
    <w:rsid w:val="00BC43F9"/>
    <w:rsid w:val="00BC465C"/>
    <w:rsid w:val="00BC502F"/>
    <w:rsid w:val="00BC521C"/>
    <w:rsid w:val="00BC548E"/>
    <w:rsid w:val="00BC58D7"/>
    <w:rsid w:val="00BC5D18"/>
    <w:rsid w:val="00BC5D58"/>
    <w:rsid w:val="00BC5F5A"/>
    <w:rsid w:val="00BC6A55"/>
    <w:rsid w:val="00BC6C8F"/>
    <w:rsid w:val="00BC702A"/>
    <w:rsid w:val="00BC75AF"/>
    <w:rsid w:val="00BC7B47"/>
    <w:rsid w:val="00BD0042"/>
    <w:rsid w:val="00BD0488"/>
    <w:rsid w:val="00BD0D22"/>
    <w:rsid w:val="00BD1805"/>
    <w:rsid w:val="00BD1B46"/>
    <w:rsid w:val="00BD1E24"/>
    <w:rsid w:val="00BD2EA4"/>
    <w:rsid w:val="00BD326C"/>
    <w:rsid w:val="00BD3598"/>
    <w:rsid w:val="00BD3F28"/>
    <w:rsid w:val="00BD4C66"/>
    <w:rsid w:val="00BD4F87"/>
    <w:rsid w:val="00BD523B"/>
    <w:rsid w:val="00BD5961"/>
    <w:rsid w:val="00BD5D9F"/>
    <w:rsid w:val="00BD6259"/>
    <w:rsid w:val="00BD6579"/>
    <w:rsid w:val="00BD67F8"/>
    <w:rsid w:val="00BD6F91"/>
    <w:rsid w:val="00BD6FD3"/>
    <w:rsid w:val="00BD720A"/>
    <w:rsid w:val="00BD77E2"/>
    <w:rsid w:val="00BD7A38"/>
    <w:rsid w:val="00BE0474"/>
    <w:rsid w:val="00BE1A95"/>
    <w:rsid w:val="00BE1AF9"/>
    <w:rsid w:val="00BE1E66"/>
    <w:rsid w:val="00BE23A2"/>
    <w:rsid w:val="00BE2A93"/>
    <w:rsid w:val="00BE39EF"/>
    <w:rsid w:val="00BE3A08"/>
    <w:rsid w:val="00BE4BA6"/>
    <w:rsid w:val="00BE5670"/>
    <w:rsid w:val="00BE5787"/>
    <w:rsid w:val="00BE5945"/>
    <w:rsid w:val="00BE62C2"/>
    <w:rsid w:val="00BE649F"/>
    <w:rsid w:val="00BE6D4C"/>
    <w:rsid w:val="00BE6D83"/>
    <w:rsid w:val="00BE7403"/>
    <w:rsid w:val="00BE7511"/>
    <w:rsid w:val="00BF191A"/>
    <w:rsid w:val="00BF1F9D"/>
    <w:rsid w:val="00BF2727"/>
    <w:rsid w:val="00BF2880"/>
    <w:rsid w:val="00BF2B06"/>
    <w:rsid w:val="00BF33E1"/>
    <w:rsid w:val="00BF3636"/>
    <w:rsid w:val="00BF3A23"/>
    <w:rsid w:val="00BF3AB8"/>
    <w:rsid w:val="00BF3F23"/>
    <w:rsid w:val="00BF424C"/>
    <w:rsid w:val="00BF4533"/>
    <w:rsid w:val="00BF45D0"/>
    <w:rsid w:val="00BF5F81"/>
    <w:rsid w:val="00BF6084"/>
    <w:rsid w:val="00BF641D"/>
    <w:rsid w:val="00BF6830"/>
    <w:rsid w:val="00BF6B31"/>
    <w:rsid w:val="00BF734F"/>
    <w:rsid w:val="00BF7FDE"/>
    <w:rsid w:val="00C00542"/>
    <w:rsid w:val="00C005C2"/>
    <w:rsid w:val="00C00D14"/>
    <w:rsid w:val="00C02E9D"/>
    <w:rsid w:val="00C03006"/>
    <w:rsid w:val="00C037A4"/>
    <w:rsid w:val="00C041CE"/>
    <w:rsid w:val="00C04B62"/>
    <w:rsid w:val="00C04ED2"/>
    <w:rsid w:val="00C04F82"/>
    <w:rsid w:val="00C057E7"/>
    <w:rsid w:val="00C060D4"/>
    <w:rsid w:val="00C0638B"/>
    <w:rsid w:val="00C0776F"/>
    <w:rsid w:val="00C07E92"/>
    <w:rsid w:val="00C1009F"/>
    <w:rsid w:val="00C11B8A"/>
    <w:rsid w:val="00C11C2C"/>
    <w:rsid w:val="00C11D51"/>
    <w:rsid w:val="00C1229A"/>
    <w:rsid w:val="00C12FC6"/>
    <w:rsid w:val="00C1363A"/>
    <w:rsid w:val="00C14273"/>
    <w:rsid w:val="00C14A17"/>
    <w:rsid w:val="00C14AE1"/>
    <w:rsid w:val="00C1525D"/>
    <w:rsid w:val="00C15840"/>
    <w:rsid w:val="00C1595B"/>
    <w:rsid w:val="00C15CF2"/>
    <w:rsid w:val="00C163D2"/>
    <w:rsid w:val="00C16952"/>
    <w:rsid w:val="00C16DDE"/>
    <w:rsid w:val="00C17009"/>
    <w:rsid w:val="00C17578"/>
    <w:rsid w:val="00C17695"/>
    <w:rsid w:val="00C177A3"/>
    <w:rsid w:val="00C200DC"/>
    <w:rsid w:val="00C2096A"/>
    <w:rsid w:val="00C20DEC"/>
    <w:rsid w:val="00C20ED3"/>
    <w:rsid w:val="00C21E67"/>
    <w:rsid w:val="00C221BD"/>
    <w:rsid w:val="00C2264D"/>
    <w:rsid w:val="00C22DA4"/>
    <w:rsid w:val="00C22ECD"/>
    <w:rsid w:val="00C22F50"/>
    <w:rsid w:val="00C230F8"/>
    <w:rsid w:val="00C232CE"/>
    <w:rsid w:val="00C234A6"/>
    <w:rsid w:val="00C24441"/>
    <w:rsid w:val="00C24663"/>
    <w:rsid w:val="00C247CC"/>
    <w:rsid w:val="00C24C48"/>
    <w:rsid w:val="00C25290"/>
    <w:rsid w:val="00C265E4"/>
    <w:rsid w:val="00C272A4"/>
    <w:rsid w:val="00C2757D"/>
    <w:rsid w:val="00C2775C"/>
    <w:rsid w:val="00C27F05"/>
    <w:rsid w:val="00C300BD"/>
    <w:rsid w:val="00C30387"/>
    <w:rsid w:val="00C306EE"/>
    <w:rsid w:val="00C31ADE"/>
    <w:rsid w:val="00C31E5A"/>
    <w:rsid w:val="00C32100"/>
    <w:rsid w:val="00C32A87"/>
    <w:rsid w:val="00C32F26"/>
    <w:rsid w:val="00C33D71"/>
    <w:rsid w:val="00C3420A"/>
    <w:rsid w:val="00C34D05"/>
    <w:rsid w:val="00C35181"/>
    <w:rsid w:val="00C351B4"/>
    <w:rsid w:val="00C35DF2"/>
    <w:rsid w:val="00C36218"/>
    <w:rsid w:val="00C36403"/>
    <w:rsid w:val="00C36828"/>
    <w:rsid w:val="00C36DF1"/>
    <w:rsid w:val="00C36E9F"/>
    <w:rsid w:val="00C370BA"/>
    <w:rsid w:val="00C371FC"/>
    <w:rsid w:val="00C3734A"/>
    <w:rsid w:val="00C37FC9"/>
    <w:rsid w:val="00C401AE"/>
    <w:rsid w:val="00C4074E"/>
    <w:rsid w:val="00C40B40"/>
    <w:rsid w:val="00C41733"/>
    <w:rsid w:val="00C41778"/>
    <w:rsid w:val="00C4178A"/>
    <w:rsid w:val="00C425DF"/>
    <w:rsid w:val="00C42C12"/>
    <w:rsid w:val="00C42D3E"/>
    <w:rsid w:val="00C42E39"/>
    <w:rsid w:val="00C46317"/>
    <w:rsid w:val="00C46874"/>
    <w:rsid w:val="00C46B82"/>
    <w:rsid w:val="00C46C0A"/>
    <w:rsid w:val="00C46E73"/>
    <w:rsid w:val="00C478EF"/>
    <w:rsid w:val="00C47E25"/>
    <w:rsid w:val="00C50203"/>
    <w:rsid w:val="00C50262"/>
    <w:rsid w:val="00C50371"/>
    <w:rsid w:val="00C504CA"/>
    <w:rsid w:val="00C51A4F"/>
    <w:rsid w:val="00C51AA6"/>
    <w:rsid w:val="00C51C7B"/>
    <w:rsid w:val="00C52213"/>
    <w:rsid w:val="00C526D9"/>
    <w:rsid w:val="00C52C23"/>
    <w:rsid w:val="00C52D5B"/>
    <w:rsid w:val="00C53431"/>
    <w:rsid w:val="00C535DB"/>
    <w:rsid w:val="00C53724"/>
    <w:rsid w:val="00C53978"/>
    <w:rsid w:val="00C545D6"/>
    <w:rsid w:val="00C54F05"/>
    <w:rsid w:val="00C5541F"/>
    <w:rsid w:val="00C55EBA"/>
    <w:rsid w:val="00C56068"/>
    <w:rsid w:val="00C56279"/>
    <w:rsid w:val="00C56B0D"/>
    <w:rsid w:val="00C57331"/>
    <w:rsid w:val="00C57376"/>
    <w:rsid w:val="00C576AC"/>
    <w:rsid w:val="00C57CAC"/>
    <w:rsid w:val="00C57FA9"/>
    <w:rsid w:val="00C612E2"/>
    <w:rsid w:val="00C6166E"/>
    <w:rsid w:val="00C6172A"/>
    <w:rsid w:val="00C61AA5"/>
    <w:rsid w:val="00C623BC"/>
    <w:rsid w:val="00C6337F"/>
    <w:rsid w:val="00C63475"/>
    <w:rsid w:val="00C637CB"/>
    <w:rsid w:val="00C637EA"/>
    <w:rsid w:val="00C63ACB"/>
    <w:rsid w:val="00C65575"/>
    <w:rsid w:val="00C65EAF"/>
    <w:rsid w:val="00C664E9"/>
    <w:rsid w:val="00C6773E"/>
    <w:rsid w:val="00C67985"/>
    <w:rsid w:val="00C7008E"/>
    <w:rsid w:val="00C718D6"/>
    <w:rsid w:val="00C71C25"/>
    <w:rsid w:val="00C71DDC"/>
    <w:rsid w:val="00C71F40"/>
    <w:rsid w:val="00C720EE"/>
    <w:rsid w:val="00C7252B"/>
    <w:rsid w:val="00C72754"/>
    <w:rsid w:val="00C730CA"/>
    <w:rsid w:val="00C73533"/>
    <w:rsid w:val="00C735B9"/>
    <w:rsid w:val="00C7479F"/>
    <w:rsid w:val="00C74AC0"/>
    <w:rsid w:val="00C752F7"/>
    <w:rsid w:val="00C75539"/>
    <w:rsid w:val="00C756E2"/>
    <w:rsid w:val="00C7672D"/>
    <w:rsid w:val="00C775B4"/>
    <w:rsid w:val="00C80121"/>
    <w:rsid w:val="00C803E8"/>
    <w:rsid w:val="00C80E47"/>
    <w:rsid w:val="00C810CE"/>
    <w:rsid w:val="00C8196D"/>
    <w:rsid w:val="00C81E67"/>
    <w:rsid w:val="00C81FB4"/>
    <w:rsid w:val="00C826D2"/>
    <w:rsid w:val="00C8383A"/>
    <w:rsid w:val="00C85918"/>
    <w:rsid w:val="00C85EA0"/>
    <w:rsid w:val="00C85FE5"/>
    <w:rsid w:val="00C86211"/>
    <w:rsid w:val="00C86432"/>
    <w:rsid w:val="00C86881"/>
    <w:rsid w:val="00C87763"/>
    <w:rsid w:val="00C87B1C"/>
    <w:rsid w:val="00C9004F"/>
    <w:rsid w:val="00C90605"/>
    <w:rsid w:val="00C90867"/>
    <w:rsid w:val="00C90888"/>
    <w:rsid w:val="00C909E0"/>
    <w:rsid w:val="00C90D4F"/>
    <w:rsid w:val="00C90F98"/>
    <w:rsid w:val="00C914BB"/>
    <w:rsid w:val="00C91869"/>
    <w:rsid w:val="00C91D26"/>
    <w:rsid w:val="00C92550"/>
    <w:rsid w:val="00C9267B"/>
    <w:rsid w:val="00C9269A"/>
    <w:rsid w:val="00C928DF"/>
    <w:rsid w:val="00C929C4"/>
    <w:rsid w:val="00C92C89"/>
    <w:rsid w:val="00C92C93"/>
    <w:rsid w:val="00C9323C"/>
    <w:rsid w:val="00C93BC1"/>
    <w:rsid w:val="00C949B4"/>
    <w:rsid w:val="00C9510D"/>
    <w:rsid w:val="00C95222"/>
    <w:rsid w:val="00C95990"/>
    <w:rsid w:val="00C96844"/>
    <w:rsid w:val="00C96E68"/>
    <w:rsid w:val="00C97C7A"/>
    <w:rsid w:val="00C97F31"/>
    <w:rsid w:val="00CA0E1E"/>
    <w:rsid w:val="00CA155E"/>
    <w:rsid w:val="00CA2A54"/>
    <w:rsid w:val="00CA2A6E"/>
    <w:rsid w:val="00CA3346"/>
    <w:rsid w:val="00CA3C26"/>
    <w:rsid w:val="00CA50F4"/>
    <w:rsid w:val="00CA5254"/>
    <w:rsid w:val="00CA5269"/>
    <w:rsid w:val="00CA60CB"/>
    <w:rsid w:val="00CA68C9"/>
    <w:rsid w:val="00CA73B5"/>
    <w:rsid w:val="00CA78A1"/>
    <w:rsid w:val="00CA79AB"/>
    <w:rsid w:val="00CA7ADE"/>
    <w:rsid w:val="00CA7B59"/>
    <w:rsid w:val="00CA7FB7"/>
    <w:rsid w:val="00CB0D8B"/>
    <w:rsid w:val="00CB16CB"/>
    <w:rsid w:val="00CB1EB4"/>
    <w:rsid w:val="00CB2618"/>
    <w:rsid w:val="00CB2BF2"/>
    <w:rsid w:val="00CB31E4"/>
    <w:rsid w:val="00CB34C1"/>
    <w:rsid w:val="00CB39AC"/>
    <w:rsid w:val="00CB3E7C"/>
    <w:rsid w:val="00CB4A3C"/>
    <w:rsid w:val="00CB50BA"/>
    <w:rsid w:val="00CB518C"/>
    <w:rsid w:val="00CB5FAF"/>
    <w:rsid w:val="00CB6193"/>
    <w:rsid w:val="00CB61B9"/>
    <w:rsid w:val="00CB6877"/>
    <w:rsid w:val="00CB6893"/>
    <w:rsid w:val="00CB7097"/>
    <w:rsid w:val="00CB7131"/>
    <w:rsid w:val="00CC00D8"/>
    <w:rsid w:val="00CC0D1C"/>
    <w:rsid w:val="00CC120A"/>
    <w:rsid w:val="00CC1B70"/>
    <w:rsid w:val="00CC23F4"/>
    <w:rsid w:val="00CC39A8"/>
    <w:rsid w:val="00CC3A6B"/>
    <w:rsid w:val="00CC3AEE"/>
    <w:rsid w:val="00CC3DAC"/>
    <w:rsid w:val="00CC3E17"/>
    <w:rsid w:val="00CC407C"/>
    <w:rsid w:val="00CC4296"/>
    <w:rsid w:val="00CC4473"/>
    <w:rsid w:val="00CC49C6"/>
    <w:rsid w:val="00CC4B3F"/>
    <w:rsid w:val="00CC5009"/>
    <w:rsid w:val="00CC53EE"/>
    <w:rsid w:val="00CC5E1B"/>
    <w:rsid w:val="00CC6489"/>
    <w:rsid w:val="00CC6AE7"/>
    <w:rsid w:val="00CC6BCC"/>
    <w:rsid w:val="00CC6C04"/>
    <w:rsid w:val="00CC714D"/>
    <w:rsid w:val="00CC7322"/>
    <w:rsid w:val="00CC74A7"/>
    <w:rsid w:val="00CC7D4F"/>
    <w:rsid w:val="00CD07A7"/>
    <w:rsid w:val="00CD0B54"/>
    <w:rsid w:val="00CD16B8"/>
    <w:rsid w:val="00CD1767"/>
    <w:rsid w:val="00CD1ADA"/>
    <w:rsid w:val="00CD1BA6"/>
    <w:rsid w:val="00CD1D22"/>
    <w:rsid w:val="00CD2790"/>
    <w:rsid w:val="00CD3B1D"/>
    <w:rsid w:val="00CD3D0C"/>
    <w:rsid w:val="00CD424E"/>
    <w:rsid w:val="00CD4BE1"/>
    <w:rsid w:val="00CD6493"/>
    <w:rsid w:val="00CD71DB"/>
    <w:rsid w:val="00CD7202"/>
    <w:rsid w:val="00CD7442"/>
    <w:rsid w:val="00CE0F68"/>
    <w:rsid w:val="00CE1359"/>
    <w:rsid w:val="00CE15B7"/>
    <w:rsid w:val="00CE2058"/>
    <w:rsid w:val="00CE26D2"/>
    <w:rsid w:val="00CE313A"/>
    <w:rsid w:val="00CE388C"/>
    <w:rsid w:val="00CE39CD"/>
    <w:rsid w:val="00CE3F13"/>
    <w:rsid w:val="00CE3F75"/>
    <w:rsid w:val="00CE5817"/>
    <w:rsid w:val="00CE6172"/>
    <w:rsid w:val="00CE6A6A"/>
    <w:rsid w:val="00CE6EAD"/>
    <w:rsid w:val="00CE72D7"/>
    <w:rsid w:val="00CE749E"/>
    <w:rsid w:val="00CE7524"/>
    <w:rsid w:val="00CE763A"/>
    <w:rsid w:val="00CF0B97"/>
    <w:rsid w:val="00CF0E0D"/>
    <w:rsid w:val="00CF13E7"/>
    <w:rsid w:val="00CF2857"/>
    <w:rsid w:val="00CF2A01"/>
    <w:rsid w:val="00CF2EC0"/>
    <w:rsid w:val="00CF3192"/>
    <w:rsid w:val="00CF395A"/>
    <w:rsid w:val="00CF3BE4"/>
    <w:rsid w:val="00CF456B"/>
    <w:rsid w:val="00CF4BAA"/>
    <w:rsid w:val="00CF5003"/>
    <w:rsid w:val="00CF5263"/>
    <w:rsid w:val="00CF5DD6"/>
    <w:rsid w:val="00CF5E31"/>
    <w:rsid w:val="00CF5F05"/>
    <w:rsid w:val="00CF689C"/>
    <w:rsid w:val="00CF6AC4"/>
    <w:rsid w:val="00CF6BF4"/>
    <w:rsid w:val="00CF6F3B"/>
    <w:rsid w:val="00CF6FEB"/>
    <w:rsid w:val="00CF744C"/>
    <w:rsid w:val="00CF7CED"/>
    <w:rsid w:val="00D00757"/>
    <w:rsid w:val="00D00873"/>
    <w:rsid w:val="00D00FCD"/>
    <w:rsid w:val="00D01124"/>
    <w:rsid w:val="00D01AFB"/>
    <w:rsid w:val="00D01CFD"/>
    <w:rsid w:val="00D0296F"/>
    <w:rsid w:val="00D0316C"/>
    <w:rsid w:val="00D03BEA"/>
    <w:rsid w:val="00D03DDF"/>
    <w:rsid w:val="00D03F2D"/>
    <w:rsid w:val="00D03F5F"/>
    <w:rsid w:val="00D04073"/>
    <w:rsid w:val="00D0459A"/>
    <w:rsid w:val="00D04C3A"/>
    <w:rsid w:val="00D059E4"/>
    <w:rsid w:val="00D05ADB"/>
    <w:rsid w:val="00D05F2D"/>
    <w:rsid w:val="00D0636B"/>
    <w:rsid w:val="00D07C74"/>
    <w:rsid w:val="00D07E61"/>
    <w:rsid w:val="00D1002C"/>
    <w:rsid w:val="00D108AD"/>
    <w:rsid w:val="00D11302"/>
    <w:rsid w:val="00D11379"/>
    <w:rsid w:val="00D11897"/>
    <w:rsid w:val="00D123BD"/>
    <w:rsid w:val="00D1243E"/>
    <w:rsid w:val="00D12705"/>
    <w:rsid w:val="00D12E48"/>
    <w:rsid w:val="00D12FCE"/>
    <w:rsid w:val="00D13082"/>
    <w:rsid w:val="00D13433"/>
    <w:rsid w:val="00D138F1"/>
    <w:rsid w:val="00D13AE1"/>
    <w:rsid w:val="00D13DEC"/>
    <w:rsid w:val="00D13E0B"/>
    <w:rsid w:val="00D145C8"/>
    <w:rsid w:val="00D14964"/>
    <w:rsid w:val="00D159E3"/>
    <w:rsid w:val="00D15B19"/>
    <w:rsid w:val="00D15BFE"/>
    <w:rsid w:val="00D15FAD"/>
    <w:rsid w:val="00D16AA2"/>
    <w:rsid w:val="00D16D71"/>
    <w:rsid w:val="00D17E1B"/>
    <w:rsid w:val="00D17FF2"/>
    <w:rsid w:val="00D2041F"/>
    <w:rsid w:val="00D20802"/>
    <w:rsid w:val="00D21314"/>
    <w:rsid w:val="00D21BC6"/>
    <w:rsid w:val="00D21D54"/>
    <w:rsid w:val="00D2225A"/>
    <w:rsid w:val="00D22267"/>
    <w:rsid w:val="00D2240B"/>
    <w:rsid w:val="00D2260D"/>
    <w:rsid w:val="00D229E8"/>
    <w:rsid w:val="00D235C6"/>
    <w:rsid w:val="00D236D6"/>
    <w:rsid w:val="00D245B1"/>
    <w:rsid w:val="00D2479A"/>
    <w:rsid w:val="00D24E26"/>
    <w:rsid w:val="00D252AC"/>
    <w:rsid w:val="00D25604"/>
    <w:rsid w:val="00D25C00"/>
    <w:rsid w:val="00D26229"/>
    <w:rsid w:val="00D26C6E"/>
    <w:rsid w:val="00D27171"/>
    <w:rsid w:val="00D272DF"/>
    <w:rsid w:val="00D27E10"/>
    <w:rsid w:val="00D30189"/>
    <w:rsid w:val="00D305FE"/>
    <w:rsid w:val="00D30AF5"/>
    <w:rsid w:val="00D30BA6"/>
    <w:rsid w:val="00D31286"/>
    <w:rsid w:val="00D31469"/>
    <w:rsid w:val="00D31E04"/>
    <w:rsid w:val="00D32465"/>
    <w:rsid w:val="00D33E50"/>
    <w:rsid w:val="00D33FD1"/>
    <w:rsid w:val="00D378A6"/>
    <w:rsid w:val="00D37FA0"/>
    <w:rsid w:val="00D403D5"/>
    <w:rsid w:val="00D4084B"/>
    <w:rsid w:val="00D40D3B"/>
    <w:rsid w:val="00D412C3"/>
    <w:rsid w:val="00D41DED"/>
    <w:rsid w:val="00D424C9"/>
    <w:rsid w:val="00D42D83"/>
    <w:rsid w:val="00D43810"/>
    <w:rsid w:val="00D454C6"/>
    <w:rsid w:val="00D455D2"/>
    <w:rsid w:val="00D45D2E"/>
    <w:rsid w:val="00D45E68"/>
    <w:rsid w:val="00D45F99"/>
    <w:rsid w:val="00D4606B"/>
    <w:rsid w:val="00D468A9"/>
    <w:rsid w:val="00D468BB"/>
    <w:rsid w:val="00D474E8"/>
    <w:rsid w:val="00D477A3"/>
    <w:rsid w:val="00D479AF"/>
    <w:rsid w:val="00D47ACE"/>
    <w:rsid w:val="00D50C6F"/>
    <w:rsid w:val="00D5152B"/>
    <w:rsid w:val="00D51739"/>
    <w:rsid w:val="00D518D0"/>
    <w:rsid w:val="00D519BB"/>
    <w:rsid w:val="00D52CE6"/>
    <w:rsid w:val="00D533FB"/>
    <w:rsid w:val="00D536A3"/>
    <w:rsid w:val="00D53943"/>
    <w:rsid w:val="00D53B71"/>
    <w:rsid w:val="00D53E95"/>
    <w:rsid w:val="00D54887"/>
    <w:rsid w:val="00D54B27"/>
    <w:rsid w:val="00D55080"/>
    <w:rsid w:val="00D55817"/>
    <w:rsid w:val="00D5621C"/>
    <w:rsid w:val="00D56BC0"/>
    <w:rsid w:val="00D57A79"/>
    <w:rsid w:val="00D6074D"/>
    <w:rsid w:val="00D60D97"/>
    <w:rsid w:val="00D6120C"/>
    <w:rsid w:val="00D61E40"/>
    <w:rsid w:val="00D620C0"/>
    <w:rsid w:val="00D62B64"/>
    <w:rsid w:val="00D62EE9"/>
    <w:rsid w:val="00D63650"/>
    <w:rsid w:val="00D63BE1"/>
    <w:rsid w:val="00D64329"/>
    <w:rsid w:val="00D6498B"/>
    <w:rsid w:val="00D64DD2"/>
    <w:rsid w:val="00D651DF"/>
    <w:rsid w:val="00D65512"/>
    <w:rsid w:val="00D658F9"/>
    <w:rsid w:val="00D65B59"/>
    <w:rsid w:val="00D66D1B"/>
    <w:rsid w:val="00D66F63"/>
    <w:rsid w:val="00D67884"/>
    <w:rsid w:val="00D678FB"/>
    <w:rsid w:val="00D70548"/>
    <w:rsid w:val="00D70917"/>
    <w:rsid w:val="00D70A64"/>
    <w:rsid w:val="00D70C2B"/>
    <w:rsid w:val="00D716CB"/>
    <w:rsid w:val="00D71796"/>
    <w:rsid w:val="00D72457"/>
    <w:rsid w:val="00D7321D"/>
    <w:rsid w:val="00D732D9"/>
    <w:rsid w:val="00D73436"/>
    <w:rsid w:val="00D734A8"/>
    <w:rsid w:val="00D740D8"/>
    <w:rsid w:val="00D746DF"/>
    <w:rsid w:val="00D747DF"/>
    <w:rsid w:val="00D75715"/>
    <w:rsid w:val="00D7573D"/>
    <w:rsid w:val="00D75A91"/>
    <w:rsid w:val="00D75FC9"/>
    <w:rsid w:val="00D76A31"/>
    <w:rsid w:val="00D76BC2"/>
    <w:rsid w:val="00D76CFF"/>
    <w:rsid w:val="00D774D1"/>
    <w:rsid w:val="00D779B3"/>
    <w:rsid w:val="00D77CAC"/>
    <w:rsid w:val="00D80242"/>
    <w:rsid w:val="00D815ED"/>
    <w:rsid w:val="00D83208"/>
    <w:rsid w:val="00D833A5"/>
    <w:rsid w:val="00D84ADC"/>
    <w:rsid w:val="00D84E3A"/>
    <w:rsid w:val="00D86803"/>
    <w:rsid w:val="00D86A39"/>
    <w:rsid w:val="00D86A60"/>
    <w:rsid w:val="00D9002E"/>
    <w:rsid w:val="00D9022B"/>
    <w:rsid w:val="00D905E5"/>
    <w:rsid w:val="00D90C44"/>
    <w:rsid w:val="00D9159B"/>
    <w:rsid w:val="00D9207E"/>
    <w:rsid w:val="00D920F6"/>
    <w:rsid w:val="00D927E5"/>
    <w:rsid w:val="00D927F1"/>
    <w:rsid w:val="00D92C66"/>
    <w:rsid w:val="00D92DEA"/>
    <w:rsid w:val="00D92EA6"/>
    <w:rsid w:val="00D930FA"/>
    <w:rsid w:val="00D93BB0"/>
    <w:rsid w:val="00D93CE5"/>
    <w:rsid w:val="00D941D3"/>
    <w:rsid w:val="00D94931"/>
    <w:rsid w:val="00D94F0B"/>
    <w:rsid w:val="00D97259"/>
    <w:rsid w:val="00DA016A"/>
    <w:rsid w:val="00DA0F06"/>
    <w:rsid w:val="00DA19BC"/>
    <w:rsid w:val="00DA2995"/>
    <w:rsid w:val="00DA2BBA"/>
    <w:rsid w:val="00DA3B15"/>
    <w:rsid w:val="00DA4344"/>
    <w:rsid w:val="00DA49F8"/>
    <w:rsid w:val="00DA5001"/>
    <w:rsid w:val="00DA500D"/>
    <w:rsid w:val="00DA51FF"/>
    <w:rsid w:val="00DA57B7"/>
    <w:rsid w:val="00DA5AAA"/>
    <w:rsid w:val="00DA5EF4"/>
    <w:rsid w:val="00DA5F91"/>
    <w:rsid w:val="00DA617E"/>
    <w:rsid w:val="00DA630E"/>
    <w:rsid w:val="00DA63D8"/>
    <w:rsid w:val="00DA64F1"/>
    <w:rsid w:val="00DA6697"/>
    <w:rsid w:val="00DA678A"/>
    <w:rsid w:val="00DA6919"/>
    <w:rsid w:val="00DA6F31"/>
    <w:rsid w:val="00DA7223"/>
    <w:rsid w:val="00DA7784"/>
    <w:rsid w:val="00DA7A6B"/>
    <w:rsid w:val="00DA7D1C"/>
    <w:rsid w:val="00DB03F5"/>
    <w:rsid w:val="00DB06EE"/>
    <w:rsid w:val="00DB0ADC"/>
    <w:rsid w:val="00DB1DD8"/>
    <w:rsid w:val="00DB1FEA"/>
    <w:rsid w:val="00DB22D0"/>
    <w:rsid w:val="00DB272A"/>
    <w:rsid w:val="00DB2FA6"/>
    <w:rsid w:val="00DB3671"/>
    <w:rsid w:val="00DB38FD"/>
    <w:rsid w:val="00DB4A37"/>
    <w:rsid w:val="00DB506A"/>
    <w:rsid w:val="00DB51F1"/>
    <w:rsid w:val="00DB5D68"/>
    <w:rsid w:val="00DC079E"/>
    <w:rsid w:val="00DC1227"/>
    <w:rsid w:val="00DC17A5"/>
    <w:rsid w:val="00DC1A19"/>
    <w:rsid w:val="00DC1B63"/>
    <w:rsid w:val="00DC1C40"/>
    <w:rsid w:val="00DC2147"/>
    <w:rsid w:val="00DC223E"/>
    <w:rsid w:val="00DC2B6A"/>
    <w:rsid w:val="00DC2BFB"/>
    <w:rsid w:val="00DC2C11"/>
    <w:rsid w:val="00DC2F28"/>
    <w:rsid w:val="00DC330A"/>
    <w:rsid w:val="00DC3DFA"/>
    <w:rsid w:val="00DC45AD"/>
    <w:rsid w:val="00DC5487"/>
    <w:rsid w:val="00DC615A"/>
    <w:rsid w:val="00DC66A1"/>
    <w:rsid w:val="00DC6B60"/>
    <w:rsid w:val="00DC6ECF"/>
    <w:rsid w:val="00DC6FC3"/>
    <w:rsid w:val="00DC7062"/>
    <w:rsid w:val="00DC7529"/>
    <w:rsid w:val="00DC774A"/>
    <w:rsid w:val="00DC77A0"/>
    <w:rsid w:val="00DC7A27"/>
    <w:rsid w:val="00DC7E89"/>
    <w:rsid w:val="00DD141E"/>
    <w:rsid w:val="00DD1815"/>
    <w:rsid w:val="00DD1CE7"/>
    <w:rsid w:val="00DD1DAF"/>
    <w:rsid w:val="00DD2BC3"/>
    <w:rsid w:val="00DD41B4"/>
    <w:rsid w:val="00DD4D41"/>
    <w:rsid w:val="00DD5249"/>
    <w:rsid w:val="00DD56B1"/>
    <w:rsid w:val="00DD5B98"/>
    <w:rsid w:val="00DD6627"/>
    <w:rsid w:val="00DD66E6"/>
    <w:rsid w:val="00DD7B6D"/>
    <w:rsid w:val="00DD7C7F"/>
    <w:rsid w:val="00DD7D60"/>
    <w:rsid w:val="00DD7FBF"/>
    <w:rsid w:val="00DE0006"/>
    <w:rsid w:val="00DE0F8B"/>
    <w:rsid w:val="00DE15AE"/>
    <w:rsid w:val="00DE22F7"/>
    <w:rsid w:val="00DE2855"/>
    <w:rsid w:val="00DE31B6"/>
    <w:rsid w:val="00DE329C"/>
    <w:rsid w:val="00DE3CDB"/>
    <w:rsid w:val="00DE420D"/>
    <w:rsid w:val="00DE475C"/>
    <w:rsid w:val="00DE4BB2"/>
    <w:rsid w:val="00DE57F5"/>
    <w:rsid w:val="00DE5938"/>
    <w:rsid w:val="00DE5D82"/>
    <w:rsid w:val="00DE6157"/>
    <w:rsid w:val="00DE6353"/>
    <w:rsid w:val="00DE672F"/>
    <w:rsid w:val="00DE6B07"/>
    <w:rsid w:val="00DE6F3D"/>
    <w:rsid w:val="00DE76AE"/>
    <w:rsid w:val="00DE7B2B"/>
    <w:rsid w:val="00DF0449"/>
    <w:rsid w:val="00DF0495"/>
    <w:rsid w:val="00DF061B"/>
    <w:rsid w:val="00DF088B"/>
    <w:rsid w:val="00DF0DAF"/>
    <w:rsid w:val="00DF130E"/>
    <w:rsid w:val="00DF1345"/>
    <w:rsid w:val="00DF1496"/>
    <w:rsid w:val="00DF15F5"/>
    <w:rsid w:val="00DF2005"/>
    <w:rsid w:val="00DF3D47"/>
    <w:rsid w:val="00DF3E8D"/>
    <w:rsid w:val="00DF46F5"/>
    <w:rsid w:val="00DF4979"/>
    <w:rsid w:val="00DF4E3E"/>
    <w:rsid w:val="00DF4E61"/>
    <w:rsid w:val="00DF4E67"/>
    <w:rsid w:val="00DF4F53"/>
    <w:rsid w:val="00DF69D9"/>
    <w:rsid w:val="00DF7303"/>
    <w:rsid w:val="00DF73C8"/>
    <w:rsid w:val="00DF7564"/>
    <w:rsid w:val="00E001AA"/>
    <w:rsid w:val="00E0060B"/>
    <w:rsid w:val="00E00929"/>
    <w:rsid w:val="00E00C31"/>
    <w:rsid w:val="00E00C66"/>
    <w:rsid w:val="00E017F9"/>
    <w:rsid w:val="00E01FAC"/>
    <w:rsid w:val="00E0211E"/>
    <w:rsid w:val="00E028E0"/>
    <w:rsid w:val="00E02D4F"/>
    <w:rsid w:val="00E03352"/>
    <w:rsid w:val="00E03797"/>
    <w:rsid w:val="00E03D8B"/>
    <w:rsid w:val="00E04B2E"/>
    <w:rsid w:val="00E05BEE"/>
    <w:rsid w:val="00E05C13"/>
    <w:rsid w:val="00E06AE6"/>
    <w:rsid w:val="00E06D96"/>
    <w:rsid w:val="00E0730E"/>
    <w:rsid w:val="00E07458"/>
    <w:rsid w:val="00E103F3"/>
    <w:rsid w:val="00E11364"/>
    <w:rsid w:val="00E1169B"/>
    <w:rsid w:val="00E11964"/>
    <w:rsid w:val="00E12027"/>
    <w:rsid w:val="00E1279D"/>
    <w:rsid w:val="00E12AED"/>
    <w:rsid w:val="00E136CD"/>
    <w:rsid w:val="00E13E70"/>
    <w:rsid w:val="00E14480"/>
    <w:rsid w:val="00E14C39"/>
    <w:rsid w:val="00E14D41"/>
    <w:rsid w:val="00E1551D"/>
    <w:rsid w:val="00E15A46"/>
    <w:rsid w:val="00E162C6"/>
    <w:rsid w:val="00E166D9"/>
    <w:rsid w:val="00E1740C"/>
    <w:rsid w:val="00E174D2"/>
    <w:rsid w:val="00E206C5"/>
    <w:rsid w:val="00E20EA7"/>
    <w:rsid w:val="00E20F82"/>
    <w:rsid w:val="00E21C1E"/>
    <w:rsid w:val="00E21F1C"/>
    <w:rsid w:val="00E23AC3"/>
    <w:rsid w:val="00E245A7"/>
    <w:rsid w:val="00E24A79"/>
    <w:rsid w:val="00E24D9D"/>
    <w:rsid w:val="00E24ECC"/>
    <w:rsid w:val="00E2525D"/>
    <w:rsid w:val="00E25A2C"/>
    <w:rsid w:val="00E2640D"/>
    <w:rsid w:val="00E264B0"/>
    <w:rsid w:val="00E26820"/>
    <w:rsid w:val="00E26999"/>
    <w:rsid w:val="00E26F80"/>
    <w:rsid w:val="00E27525"/>
    <w:rsid w:val="00E27E67"/>
    <w:rsid w:val="00E3075D"/>
    <w:rsid w:val="00E307D0"/>
    <w:rsid w:val="00E308CA"/>
    <w:rsid w:val="00E31ADB"/>
    <w:rsid w:val="00E31FB0"/>
    <w:rsid w:val="00E3209A"/>
    <w:rsid w:val="00E32450"/>
    <w:rsid w:val="00E324B0"/>
    <w:rsid w:val="00E32CF9"/>
    <w:rsid w:val="00E33513"/>
    <w:rsid w:val="00E335B3"/>
    <w:rsid w:val="00E338CF"/>
    <w:rsid w:val="00E34B53"/>
    <w:rsid w:val="00E3507E"/>
    <w:rsid w:val="00E3540D"/>
    <w:rsid w:val="00E35A7E"/>
    <w:rsid w:val="00E362B3"/>
    <w:rsid w:val="00E36B8D"/>
    <w:rsid w:val="00E36B9A"/>
    <w:rsid w:val="00E3714E"/>
    <w:rsid w:val="00E37B5A"/>
    <w:rsid w:val="00E37E85"/>
    <w:rsid w:val="00E37F6A"/>
    <w:rsid w:val="00E40BD9"/>
    <w:rsid w:val="00E40E61"/>
    <w:rsid w:val="00E41C42"/>
    <w:rsid w:val="00E41E12"/>
    <w:rsid w:val="00E42579"/>
    <w:rsid w:val="00E42600"/>
    <w:rsid w:val="00E432B8"/>
    <w:rsid w:val="00E432D1"/>
    <w:rsid w:val="00E43909"/>
    <w:rsid w:val="00E43B11"/>
    <w:rsid w:val="00E43C6D"/>
    <w:rsid w:val="00E43DDC"/>
    <w:rsid w:val="00E44494"/>
    <w:rsid w:val="00E44614"/>
    <w:rsid w:val="00E44C6E"/>
    <w:rsid w:val="00E44D66"/>
    <w:rsid w:val="00E44FF2"/>
    <w:rsid w:val="00E450C3"/>
    <w:rsid w:val="00E46399"/>
    <w:rsid w:val="00E4644E"/>
    <w:rsid w:val="00E4697F"/>
    <w:rsid w:val="00E46D10"/>
    <w:rsid w:val="00E474A4"/>
    <w:rsid w:val="00E4790D"/>
    <w:rsid w:val="00E5025E"/>
    <w:rsid w:val="00E50FC8"/>
    <w:rsid w:val="00E51AEA"/>
    <w:rsid w:val="00E52027"/>
    <w:rsid w:val="00E525BC"/>
    <w:rsid w:val="00E52D4A"/>
    <w:rsid w:val="00E53681"/>
    <w:rsid w:val="00E537AB"/>
    <w:rsid w:val="00E54D13"/>
    <w:rsid w:val="00E555C7"/>
    <w:rsid w:val="00E56562"/>
    <w:rsid w:val="00E56C40"/>
    <w:rsid w:val="00E56E24"/>
    <w:rsid w:val="00E57518"/>
    <w:rsid w:val="00E57D9A"/>
    <w:rsid w:val="00E57E0D"/>
    <w:rsid w:val="00E600BF"/>
    <w:rsid w:val="00E6023A"/>
    <w:rsid w:val="00E6032B"/>
    <w:rsid w:val="00E6033B"/>
    <w:rsid w:val="00E6071D"/>
    <w:rsid w:val="00E60923"/>
    <w:rsid w:val="00E60BBC"/>
    <w:rsid w:val="00E610F6"/>
    <w:rsid w:val="00E61531"/>
    <w:rsid w:val="00E6182C"/>
    <w:rsid w:val="00E620CC"/>
    <w:rsid w:val="00E628E3"/>
    <w:rsid w:val="00E6299D"/>
    <w:rsid w:val="00E62A76"/>
    <w:rsid w:val="00E62C1F"/>
    <w:rsid w:val="00E6361B"/>
    <w:rsid w:val="00E636F7"/>
    <w:rsid w:val="00E642F3"/>
    <w:rsid w:val="00E646AF"/>
    <w:rsid w:val="00E648AD"/>
    <w:rsid w:val="00E648FA"/>
    <w:rsid w:val="00E64B79"/>
    <w:rsid w:val="00E64B9C"/>
    <w:rsid w:val="00E6550E"/>
    <w:rsid w:val="00E65976"/>
    <w:rsid w:val="00E67A51"/>
    <w:rsid w:val="00E67ECC"/>
    <w:rsid w:val="00E67F8E"/>
    <w:rsid w:val="00E707F7"/>
    <w:rsid w:val="00E70DAC"/>
    <w:rsid w:val="00E72690"/>
    <w:rsid w:val="00E72DD6"/>
    <w:rsid w:val="00E730DC"/>
    <w:rsid w:val="00E7359F"/>
    <w:rsid w:val="00E73C14"/>
    <w:rsid w:val="00E746D5"/>
    <w:rsid w:val="00E75188"/>
    <w:rsid w:val="00E75614"/>
    <w:rsid w:val="00E75DAE"/>
    <w:rsid w:val="00E75EB3"/>
    <w:rsid w:val="00E76018"/>
    <w:rsid w:val="00E76B2A"/>
    <w:rsid w:val="00E76FAB"/>
    <w:rsid w:val="00E772C5"/>
    <w:rsid w:val="00E77306"/>
    <w:rsid w:val="00E77719"/>
    <w:rsid w:val="00E7785D"/>
    <w:rsid w:val="00E804FC"/>
    <w:rsid w:val="00E80A01"/>
    <w:rsid w:val="00E812FD"/>
    <w:rsid w:val="00E81A12"/>
    <w:rsid w:val="00E81A93"/>
    <w:rsid w:val="00E8244C"/>
    <w:rsid w:val="00E82663"/>
    <w:rsid w:val="00E8268F"/>
    <w:rsid w:val="00E826B1"/>
    <w:rsid w:val="00E83706"/>
    <w:rsid w:val="00E83C02"/>
    <w:rsid w:val="00E84806"/>
    <w:rsid w:val="00E848F0"/>
    <w:rsid w:val="00E84EE2"/>
    <w:rsid w:val="00E8534D"/>
    <w:rsid w:val="00E854CD"/>
    <w:rsid w:val="00E858AD"/>
    <w:rsid w:val="00E858D3"/>
    <w:rsid w:val="00E86121"/>
    <w:rsid w:val="00E86FC1"/>
    <w:rsid w:val="00E87059"/>
    <w:rsid w:val="00E876E8"/>
    <w:rsid w:val="00E87DEB"/>
    <w:rsid w:val="00E906E6"/>
    <w:rsid w:val="00E90A68"/>
    <w:rsid w:val="00E90FAF"/>
    <w:rsid w:val="00E9111A"/>
    <w:rsid w:val="00E92483"/>
    <w:rsid w:val="00E92689"/>
    <w:rsid w:val="00E926C3"/>
    <w:rsid w:val="00E9343A"/>
    <w:rsid w:val="00E93976"/>
    <w:rsid w:val="00E93A31"/>
    <w:rsid w:val="00E93C61"/>
    <w:rsid w:val="00E943A5"/>
    <w:rsid w:val="00E94A23"/>
    <w:rsid w:val="00E955E4"/>
    <w:rsid w:val="00E95695"/>
    <w:rsid w:val="00E95895"/>
    <w:rsid w:val="00E97161"/>
    <w:rsid w:val="00E97F1E"/>
    <w:rsid w:val="00EA06AB"/>
    <w:rsid w:val="00EA099C"/>
    <w:rsid w:val="00EA0F82"/>
    <w:rsid w:val="00EA1157"/>
    <w:rsid w:val="00EA124D"/>
    <w:rsid w:val="00EA1EE0"/>
    <w:rsid w:val="00EA2B77"/>
    <w:rsid w:val="00EA2BDC"/>
    <w:rsid w:val="00EA2F87"/>
    <w:rsid w:val="00EA30C8"/>
    <w:rsid w:val="00EA322A"/>
    <w:rsid w:val="00EA3A6B"/>
    <w:rsid w:val="00EA3A80"/>
    <w:rsid w:val="00EA3D91"/>
    <w:rsid w:val="00EA480A"/>
    <w:rsid w:val="00EA4930"/>
    <w:rsid w:val="00EA4A7E"/>
    <w:rsid w:val="00EA4D50"/>
    <w:rsid w:val="00EA4DB7"/>
    <w:rsid w:val="00EA5352"/>
    <w:rsid w:val="00EA61F6"/>
    <w:rsid w:val="00EA6363"/>
    <w:rsid w:val="00EA6409"/>
    <w:rsid w:val="00EA6908"/>
    <w:rsid w:val="00EB0361"/>
    <w:rsid w:val="00EB0898"/>
    <w:rsid w:val="00EB09C1"/>
    <w:rsid w:val="00EB0B07"/>
    <w:rsid w:val="00EB0BB9"/>
    <w:rsid w:val="00EB0F20"/>
    <w:rsid w:val="00EB1C1E"/>
    <w:rsid w:val="00EB1D4A"/>
    <w:rsid w:val="00EB214F"/>
    <w:rsid w:val="00EB263E"/>
    <w:rsid w:val="00EB26A9"/>
    <w:rsid w:val="00EB2FBF"/>
    <w:rsid w:val="00EB3293"/>
    <w:rsid w:val="00EB3A85"/>
    <w:rsid w:val="00EB3A98"/>
    <w:rsid w:val="00EB3D6E"/>
    <w:rsid w:val="00EB3F21"/>
    <w:rsid w:val="00EB58C5"/>
    <w:rsid w:val="00EB62DF"/>
    <w:rsid w:val="00EB6CD1"/>
    <w:rsid w:val="00EB733E"/>
    <w:rsid w:val="00EB752F"/>
    <w:rsid w:val="00EC0AAF"/>
    <w:rsid w:val="00EC10A3"/>
    <w:rsid w:val="00EC124B"/>
    <w:rsid w:val="00EC1599"/>
    <w:rsid w:val="00EC1C30"/>
    <w:rsid w:val="00EC1F40"/>
    <w:rsid w:val="00EC22B5"/>
    <w:rsid w:val="00EC28EE"/>
    <w:rsid w:val="00EC2D40"/>
    <w:rsid w:val="00EC2E1A"/>
    <w:rsid w:val="00EC301F"/>
    <w:rsid w:val="00EC3141"/>
    <w:rsid w:val="00EC34B8"/>
    <w:rsid w:val="00EC3CA9"/>
    <w:rsid w:val="00EC425D"/>
    <w:rsid w:val="00EC49A9"/>
    <w:rsid w:val="00EC5096"/>
    <w:rsid w:val="00EC5609"/>
    <w:rsid w:val="00EC5876"/>
    <w:rsid w:val="00EC6015"/>
    <w:rsid w:val="00EC66A1"/>
    <w:rsid w:val="00EC6A6A"/>
    <w:rsid w:val="00EC7390"/>
    <w:rsid w:val="00ED0116"/>
    <w:rsid w:val="00ED05E0"/>
    <w:rsid w:val="00ED0965"/>
    <w:rsid w:val="00ED0F50"/>
    <w:rsid w:val="00ED0FA8"/>
    <w:rsid w:val="00ED1644"/>
    <w:rsid w:val="00ED1698"/>
    <w:rsid w:val="00ED23C8"/>
    <w:rsid w:val="00ED2FEC"/>
    <w:rsid w:val="00ED33B3"/>
    <w:rsid w:val="00ED3EE3"/>
    <w:rsid w:val="00ED4308"/>
    <w:rsid w:val="00ED49C7"/>
    <w:rsid w:val="00ED4E7A"/>
    <w:rsid w:val="00ED4EAB"/>
    <w:rsid w:val="00ED50CB"/>
    <w:rsid w:val="00ED5F31"/>
    <w:rsid w:val="00ED6508"/>
    <w:rsid w:val="00ED71B6"/>
    <w:rsid w:val="00ED7C87"/>
    <w:rsid w:val="00EE116E"/>
    <w:rsid w:val="00EE1A02"/>
    <w:rsid w:val="00EE1E79"/>
    <w:rsid w:val="00EE23FE"/>
    <w:rsid w:val="00EE242E"/>
    <w:rsid w:val="00EE34FE"/>
    <w:rsid w:val="00EE352A"/>
    <w:rsid w:val="00EE3632"/>
    <w:rsid w:val="00EE36AC"/>
    <w:rsid w:val="00EE44C1"/>
    <w:rsid w:val="00EE45CD"/>
    <w:rsid w:val="00EE499F"/>
    <w:rsid w:val="00EE52C5"/>
    <w:rsid w:val="00EE5308"/>
    <w:rsid w:val="00EE5341"/>
    <w:rsid w:val="00EE5C7A"/>
    <w:rsid w:val="00EE5E9E"/>
    <w:rsid w:val="00EE6FC1"/>
    <w:rsid w:val="00EE736E"/>
    <w:rsid w:val="00EF03F8"/>
    <w:rsid w:val="00EF0838"/>
    <w:rsid w:val="00EF0CF0"/>
    <w:rsid w:val="00EF0ED7"/>
    <w:rsid w:val="00EF153D"/>
    <w:rsid w:val="00EF3940"/>
    <w:rsid w:val="00EF3D71"/>
    <w:rsid w:val="00EF3DF3"/>
    <w:rsid w:val="00EF4166"/>
    <w:rsid w:val="00EF4A18"/>
    <w:rsid w:val="00EF4BC4"/>
    <w:rsid w:val="00EF4E17"/>
    <w:rsid w:val="00EF4F8F"/>
    <w:rsid w:val="00EF62B4"/>
    <w:rsid w:val="00EF64D9"/>
    <w:rsid w:val="00EF7347"/>
    <w:rsid w:val="00F002B9"/>
    <w:rsid w:val="00F00670"/>
    <w:rsid w:val="00F010B3"/>
    <w:rsid w:val="00F01297"/>
    <w:rsid w:val="00F012B5"/>
    <w:rsid w:val="00F01BD4"/>
    <w:rsid w:val="00F01C2A"/>
    <w:rsid w:val="00F02163"/>
    <w:rsid w:val="00F02418"/>
    <w:rsid w:val="00F0251E"/>
    <w:rsid w:val="00F02BDF"/>
    <w:rsid w:val="00F03068"/>
    <w:rsid w:val="00F03830"/>
    <w:rsid w:val="00F038EF"/>
    <w:rsid w:val="00F03D0A"/>
    <w:rsid w:val="00F03F98"/>
    <w:rsid w:val="00F04B9B"/>
    <w:rsid w:val="00F05382"/>
    <w:rsid w:val="00F056B3"/>
    <w:rsid w:val="00F056CB"/>
    <w:rsid w:val="00F0690F"/>
    <w:rsid w:val="00F06DEC"/>
    <w:rsid w:val="00F06FB9"/>
    <w:rsid w:val="00F0738D"/>
    <w:rsid w:val="00F07975"/>
    <w:rsid w:val="00F10554"/>
    <w:rsid w:val="00F10EA8"/>
    <w:rsid w:val="00F11462"/>
    <w:rsid w:val="00F11511"/>
    <w:rsid w:val="00F11C1F"/>
    <w:rsid w:val="00F11CA8"/>
    <w:rsid w:val="00F11E23"/>
    <w:rsid w:val="00F120EF"/>
    <w:rsid w:val="00F12620"/>
    <w:rsid w:val="00F13098"/>
    <w:rsid w:val="00F1439E"/>
    <w:rsid w:val="00F145F8"/>
    <w:rsid w:val="00F148A4"/>
    <w:rsid w:val="00F1564C"/>
    <w:rsid w:val="00F15967"/>
    <w:rsid w:val="00F15A5C"/>
    <w:rsid w:val="00F15E48"/>
    <w:rsid w:val="00F16D2A"/>
    <w:rsid w:val="00F1769E"/>
    <w:rsid w:val="00F17E82"/>
    <w:rsid w:val="00F2029B"/>
    <w:rsid w:val="00F2300C"/>
    <w:rsid w:val="00F2379E"/>
    <w:rsid w:val="00F248CE"/>
    <w:rsid w:val="00F24A79"/>
    <w:rsid w:val="00F24B09"/>
    <w:rsid w:val="00F24B10"/>
    <w:rsid w:val="00F24FC1"/>
    <w:rsid w:val="00F2525E"/>
    <w:rsid w:val="00F25F25"/>
    <w:rsid w:val="00F26A84"/>
    <w:rsid w:val="00F27139"/>
    <w:rsid w:val="00F27E75"/>
    <w:rsid w:val="00F30078"/>
    <w:rsid w:val="00F301A8"/>
    <w:rsid w:val="00F3021B"/>
    <w:rsid w:val="00F30D24"/>
    <w:rsid w:val="00F31550"/>
    <w:rsid w:val="00F3194E"/>
    <w:rsid w:val="00F31968"/>
    <w:rsid w:val="00F31FE0"/>
    <w:rsid w:val="00F31FFE"/>
    <w:rsid w:val="00F325AC"/>
    <w:rsid w:val="00F329DB"/>
    <w:rsid w:val="00F32A2F"/>
    <w:rsid w:val="00F32CEA"/>
    <w:rsid w:val="00F3313A"/>
    <w:rsid w:val="00F3375F"/>
    <w:rsid w:val="00F337BF"/>
    <w:rsid w:val="00F33845"/>
    <w:rsid w:val="00F35C0E"/>
    <w:rsid w:val="00F35CA8"/>
    <w:rsid w:val="00F37127"/>
    <w:rsid w:val="00F373E0"/>
    <w:rsid w:val="00F40374"/>
    <w:rsid w:val="00F410BC"/>
    <w:rsid w:val="00F41AD6"/>
    <w:rsid w:val="00F41AE9"/>
    <w:rsid w:val="00F42091"/>
    <w:rsid w:val="00F421DE"/>
    <w:rsid w:val="00F4299D"/>
    <w:rsid w:val="00F42D59"/>
    <w:rsid w:val="00F43127"/>
    <w:rsid w:val="00F43525"/>
    <w:rsid w:val="00F43FFB"/>
    <w:rsid w:val="00F442D8"/>
    <w:rsid w:val="00F44955"/>
    <w:rsid w:val="00F4552D"/>
    <w:rsid w:val="00F45744"/>
    <w:rsid w:val="00F45752"/>
    <w:rsid w:val="00F45B49"/>
    <w:rsid w:val="00F45F41"/>
    <w:rsid w:val="00F462F6"/>
    <w:rsid w:val="00F468A8"/>
    <w:rsid w:val="00F46BFC"/>
    <w:rsid w:val="00F478F5"/>
    <w:rsid w:val="00F47C8A"/>
    <w:rsid w:val="00F50961"/>
    <w:rsid w:val="00F50C96"/>
    <w:rsid w:val="00F50FF0"/>
    <w:rsid w:val="00F512AB"/>
    <w:rsid w:val="00F51779"/>
    <w:rsid w:val="00F51976"/>
    <w:rsid w:val="00F51D6A"/>
    <w:rsid w:val="00F521BA"/>
    <w:rsid w:val="00F5226F"/>
    <w:rsid w:val="00F52D20"/>
    <w:rsid w:val="00F53870"/>
    <w:rsid w:val="00F538D3"/>
    <w:rsid w:val="00F538E5"/>
    <w:rsid w:val="00F5457E"/>
    <w:rsid w:val="00F54D2E"/>
    <w:rsid w:val="00F562D7"/>
    <w:rsid w:val="00F56793"/>
    <w:rsid w:val="00F56B72"/>
    <w:rsid w:val="00F56E8D"/>
    <w:rsid w:val="00F56FB0"/>
    <w:rsid w:val="00F570B8"/>
    <w:rsid w:val="00F5767C"/>
    <w:rsid w:val="00F61513"/>
    <w:rsid w:val="00F61B24"/>
    <w:rsid w:val="00F62005"/>
    <w:rsid w:val="00F6233A"/>
    <w:rsid w:val="00F62365"/>
    <w:rsid w:val="00F62513"/>
    <w:rsid w:val="00F62CF4"/>
    <w:rsid w:val="00F63906"/>
    <w:rsid w:val="00F6393B"/>
    <w:rsid w:val="00F63D19"/>
    <w:rsid w:val="00F63D64"/>
    <w:rsid w:val="00F63DE8"/>
    <w:rsid w:val="00F63F6E"/>
    <w:rsid w:val="00F6489D"/>
    <w:rsid w:val="00F648CA"/>
    <w:rsid w:val="00F64A90"/>
    <w:rsid w:val="00F64BE4"/>
    <w:rsid w:val="00F64DE4"/>
    <w:rsid w:val="00F65056"/>
    <w:rsid w:val="00F65619"/>
    <w:rsid w:val="00F65B32"/>
    <w:rsid w:val="00F66D5C"/>
    <w:rsid w:val="00F67616"/>
    <w:rsid w:val="00F67781"/>
    <w:rsid w:val="00F6796E"/>
    <w:rsid w:val="00F67E10"/>
    <w:rsid w:val="00F70790"/>
    <w:rsid w:val="00F7097F"/>
    <w:rsid w:val="00F71368"/>
    <w:rsid w:val="00F723B6"/>
    <w:rsid w:val="00F72414"/>
    <w:rsid w:val="00F72675"/>
    <w:rsid w:val="00F736FD"/>
    <w:rsid w:val="00F73ACD"/>
    <w:rsid w:val="00F73B20"/>
    <w:rsid w:val="00F74ABF"/>
    <w:rsid w:val="00F74BF7"/>
    <w:rsid w:val="00F75405"/>
    <w:rsid w:val="00F7558B"/>
    <w:rsid w:val="00F7611F"/>
    <w:rsid w:val="00F763E8"/>
    <w:rsid w:val="00F767AC"/>
    <w:rsid w:val="00F76D9A"/>
    <w:rsid w:val="00F77111"/>
    <w:rsid w:val="00F774E2"/>
    <w:rsid w:val="00F77559"/>
    <w:rsid w:val="00F779B0"/>
    <w:rsid w:val="00F77E90"/>
    <w:rsid w:val="00F77F81"/>
    <w:rsid w:val="00F801DA"/>
    <w:rsid w:val="00F803DD"/>
    <w:rsid w:val="00F80596"/>
    <w:rsid w:val="00F80632"/>
    <w:rsid w:val="00F807D4"/>
    <w:rsid w:val="00F8080F"/>
    <w:rsid w:val="00F809EC"/>
    <w:rsid w:val="00F80C9B"/>
    <w:rsid w:val="00F810D2"/>
    <w:rsid w:val="00F81BB6"/>
    <w:rsid w:val="00F835AF"/>
    <w:rsid w:val="00F83ACE"/>
    <w:rsid w:val="00F8439E"/>
    <w:rsid w:val="00F84A8F"/>
    <w:rsid w:val="00F84AC0"/>
    <w:rsid w:val="00F84C87"/>
    <w:rsid w:val="00F84D92"/>
    <w:rsid w:val="00F85626"/>
    <w:rsid w:val="00F85922"/>
    <w:rsid w:val="00F85B84"/>
    <w:rsid w:val="00F85CA7"/>
    <w:rsid w:val="00F867AB"/>
    <w:rsid w:val="00F87227"/>
    <w:rsid w:val="00F87285"/>
    <w:rsid w:val="00F87841"/>
    <w:rsid w:val="00F90620"/>
    <w:rsid w:val="00F9104D"/>
    <w:rsid w:val="00F9283B"/>
    <w:rsid w:val="00F92F42"/>
    <w:rsid w:val="00F941C8"/>
    <w:rsid w:val="00F94A07"/>
    <w:rsid w:val="00F94C99"/>
    <w:rsid w:val="00F94DF1"/>
    <w:rsid w:val="00F94FCB"/>
    <w:rsid w:val="00F95123"/>
    <w:rsid w:val="00F9559C"/>
    <w:rsid w:val="00F955BB"/>
    <w:rsid w:val="00F95F68"/>
    <w:rsid w:val="00F960EB"/>
    <w:rsid w:val="00F960F8"/>
    <w:rsid w:val="00F96111"/>
    <w:rsid w:val="00F97588"/>
    <w:rsid w:val="00F97590"/>
    <w:rsid w:val="00F9798A"/>
    <w:rsid w:val="00F97AFB"/>
    <w:rsid w:val="00F97D5D"/>
    <w:rsid w:val="00F97E94"/>
    <w:rsid w:val="00FA0341"/>
    <w:rsid w:val="00FA09B1"/>
    <w:rsid w:val="00FA0B3B"/>
    <w:rsid w:val="00FA0FBA"/>
    <w:rsid w:val="00FA13FD"/>
    <w:rsid w:val="00FA1956"/>
    <w:rsid w:val="00FA221B"/>
    <w:rsid w:val="00FA2B89"/>
    <w:rsid w:val="00FA3245"/>
    <w:rsid w:val="00FA35BD"/>
    <w:rsid w:val="00FA55C3"/>
    <w:rsid w:val="00FA574D"/>
    <w:rsid w:val="00FA5B54"/>
    <w:rsid w:val="00FA5BB6"/>
    <w:rsid w:val="00FA5D56"/>
    <w:rsid w:val="00FA64D9"/>
    <w:rsid w:val="00FA7553"/>
    <w:rsid w:val="00FA7851"/>
    <w:rsid w:val="00FB0276"/>
    <w:rsid w:val="00FB06B8"/>
    <w:rsid w:val="00FB0FE6"/>
    <w:rsid w:val="00FB17EC"/>
    <w:rsid w:val="00FB29BC"/>
    <w:rsid w:val="00FB30B8"/>
    <w:rsid w:val="00FB32B2"/>
    <w:rsid w:val="00FB3746"/>
    <w:rsid w:val="00FB3817"/>
    <w:rsid w:val="00FB386B"/>
    <w:rsid w:val="00FB3D49"/>
    <w:rsid w:val="00FB4289"/>
    <w:rsid w:val="00FB4383"/>
    <w:rsid w:val="00FB480F"/>
    <w:rsid w:val="00FB4901"/>
    <w:rsid w:val="00FB53D5"/>
    <w:rsid w:val="00FB56DA"/>
    <w:rsid w:val="00FB6783"/>
    <w:rsid w:val="00FB6CCE"/>
    <w:rsid w:val="00FB6E17"/>
    <w:rsid w:val="00FB760F"/>
    <w:rsid w:val="00FB7EA4"/>
    <w:rsid w:val="00FC0152"/>
    <w:rsid w:val="00FC04FB"/>
    <w:rsid w:val="00FC059E"/>
    <w:rsid w:val="00FC0695"/>
    <w:rsid w:val="00FC0B1C"/>
    <w:rsid w:val="00FC0B64"/>
    <w:rsid w:val="00FC0EF7"/>
    <w:rsid w:val="00FC1E94"/>
    <w:rsid w:val="00FC21BE"/>
    <w:rsid w:val="00FC23C5"/>
    <w:rsid w:val="00FC23CB"/>
    <w:rsid w:val="00FC2B57"/>
    <w:rsid w:val="00FC2E62"/>
    <w:rsid w:val="00FC2FE5"/>
    <w:rsid w:val="00FC41D2"/>
    <w:rsid w:val="00FC4415"/>
    <w:rsid w:val="00FC495B"/>
    <w:rsid w:val="00FC4FDB"/>
    <w:rsid w:val="00FC55F6"/>
    <w:rsid w:val="00FC5808"/>
    <w:rsid w:val="00FC5C03"/>
    <w:rsid w:val="00FC6118"/>
    <w:rsid w:val="00FC61A1"/>
    <w:rsid w:val="00FC6BDC"/>
    <w:rsid w:val="00FC71A2"/>
    <w:rsid w:val="00FC74A8"/>
    <w:rsid w:val="00FD0571"/>
    <w:rsid w:val="00FD08E2"/>
    <w:rsid w:val="00FD0B73"/>
    <w:rsid w:val="00FD160B"/>
    <w:rsid w:val="00FD16A5"/>
    <w:rsid w:val="00FD1CE8"/>
    <w:rsid w:val="00FD21C3"/>
    <w:rsid w:val="00FD2680"/>
    <w:rsid w:val="00FD27FA"/>
    <w:rsid w:val="00FD2C8F"/>
    <w:rsid w:val="00FD3A0C"/>
    <w:rsid w:val="00FD3B7C"/>
    <w:rsid w:val="00FD3F08"/>
    <w:rsid w:val="00FD3FB5"/>
    <w:rsid w:val="00FD468A"/>
    <w:rsid w:val="00FD627B"/>
    <w:rsid w:val="00FD6297"/>
    <w:rsid w:val="00FD6B43"/>
    <w:rsid w:val="00FD6EEA"/>
    <w:rsid w:val="00FD7573"/>
    <w:rsid w:val="00FD76D9"/>
    <w:rsid w:val="00FD7B49"/>
    <w:rsid w:val="00FE0A75"/>
    <w:rsid w:val="00FE0A98"/>
    <w:rsid w:val="00FE0E54"/>
    <w:rsid w:val="00FE0E94"/>
    <w:rsid w:val="00FE234F"/>
    <w:rsid w:val="00FE279E"/>
    <w:rsid w:val="00FE47C2"/>
    <w:rsid w:val="00FE4B48"/>
    <w:rsid w:val="00FE5A6A"/>
    <w:rsid w:val="00FE5A97"/>
    <w:rsid w:val="00FE5B82"/>
    <w:rsid w:val="00FE60E6"/>
    <w:rsid w:val="00FE7CD3"/>
    <w:rsid w:val="00FF04FA"/>
    <w:rsid w:val="00FF05BF"/>
    <w:rsid w:val="00FF0B75"/>
    <w:rsid w:val="00FF129A"/>
    <w:rsid w:val="00FF149F"/>
    <w:rsid w:val="00FF1B7B"/>
    <w:rsid w:val="00FF2106"/>
    <w:rsid w:val="00FF218E"/>
    <w:rsid w:val="00FF236C"/>
    <w:rsid w:val="00FF3395"/>
    <w:rsid w:val="00FF3474"/>
    <w:rsid w:val="00FF388A"/>
    <w:rsid w:val="00FF3FAA"/>
    <w:rsid w:val="00FF4107"/>
    <w:rsid w:val="00FF45B4"/>
    <w:rsid w:val="00FF5820"/>
    <w:rsid w:val="00FF60C0"/>
    <w:rsid w:val="00FF69D1"/>
    <w:rsid w:val="00FF6F08"/>
    <w:rsid w:val="00FF733C"/>
    <w:rsid w:val="00FF788E"/>
    <w:rsid w:val="00FF7A9F"/>
    <w:rsid w:val="00FF7AD0"/>
    <w:rsid w:val="00FF7C03"/>
    <w:rsid w:val="01186E14"/>
    <w:rsid w:val="01952BCC"/>
    <w:rsid w:val="01DC95B9"/>
    <w:rsid w:val="020D657C"/>
    <w:rsid w:val="022B96D4"/>
    <w:rsid w:val="0237D247"/>
    <w:rsid w:val="02430C9C"/>
    <w:rsid w:val="0261E2E0"/>
    <w:rsid w:val="03541553"/>
    <w:rsid w:val="036BBB7E"/>
    <w:rsid w:val="037DAA0A"/>
    <w:rsid w:val="04B5E006"/>
    <w:rsid w:val="04B6DF17"/>
    <w:rsid w:val="050E406E"/>
    <w:rsid w:val="05171697"/>
    <w:rsid w:val="0536026A"/>
    <w:rsid w:val="053BA14E"/>
    <w:rsid w:val="060F3D74"/>
    <w:rsid w:val="06244E0B"/>
    <w:rsid w:val="06F6B9EC"/>
    <w:rsid w:val="0736151F"/>
    <w:rsid w:val="07D8AF08"/>
    <w:rsid w:val="082A9BF4"/>
    <w:rsid w:val="08CA9F6D"/>
    <w:rsid w:val="091D82ED"/>
    <w:rsid w:val="0978B96B"/>
    <w:rsid w:val="0998F22B"/>
    <w:rsid w:val="09B8010C"/>
    <w:rsid w:val="09C4867D"/>
    <w:rsid w:val="09C5350A"/>
    <w:rsid w:val="0A1EDC9F"/>
    <w:rsid w:val="0A6B35F2"/>
    <w:rsid w:val="0AC7386B"/>
    <w:rsid w:val="0B5821AF"/>
    <w:rsid w:val="0BA6B4EE"/>
    <w:rsid w:val="0BB5B425"/>
    <w:rsid w:val="0C3AD3C1"/>
    <w:rsid w:val="0CD7C551"/>
    <w:rsid w:val="0D0D1654"/>
    <w:rsid w:val="0D1CE6CA"/>
    <w:rsid w:val="0D2A5EC7"/>
    <w:rsid w:val="0D833AB8"/>
    <w:rsid w:val="0DF55EDA"/>
    <w:rsid w:val="0E9D34A5"/>
    <w:rsid w:val="0EBCC1A9"/>
    <w:rsid w:val="0EF7D11E"/>
    <w:rsid w:val="0F818B9D"/>
    <w:rsid w:val="0FDC525B"/>
    <w:rsid w:val="102F3319"/>
    <w:rsid w:val="10301B6C"/>
    <w:rsid w:val="122E57CC"/>
    <w:rsid w:val="12DA74A6"/>
    <w:rsid w:val="13648996"/>
    <w:rsid w:val="13BF68B8"/>
    <w:rsid w:val="140B3D71"/>
    <w:rsid w:val="1439FE4F"/>
    <w:rsid w:val="149BF59B"/>
    <w:rsid w:val="14EACB2E"/>
    <w:rsid w:val="1525EA5B"/>
    <w:rsid w:val="15880ED7"/>
    <w:rsid w:val="16147DAF"/>
    <w:rsid w:val="16AC709E"/>
    <w:rsid w:val="1761E5BB"/>
    <w:rsid w:val="17A46112"/>
    <w:rsid w:val="17B0CABC"/>
    <w:rsid w:val="17B86AFA"/>
    <w:rsid w:val="17C90EA5"/>
    <w:rsid w:val="1875AFBB"/>
    <w:rsid w:val="18987C02"/>
    <w:rsid w:val="189BE4BD"/>
    <w:rsid w:val="190F4728"/>
    <w:rsid w:val="19873502"/>
    <w:rsid w:val="198756C5"/>
    <w:rsid w:val="1A4CA6AA"/>
    <w:rsid w:val="1A6109E0"/>
    <w:rsid w:val="1AB35A03"/>
    <w:rsid w:val="1BBBE0CA"/>
    <w:rsid w:val="1BF33BB5"/>
    <w:rsid w:val="1C16DEFB"/>
    <w:rsid w:val="1C7D0A30"/>
    <w:rsid w:val="1CA77C9F"/>
    <w:rsid w:val="1CCD0E30"/>
    <w:rsid w:val="1D08F33F"/>
    <w:rsid w:val="1D55A326"/>
    <w:rsid w:val="1D5B96C3"/>
    <w:rsid w:val="1D997569"/>
    <w:rsid w:val="1D9D3DDB"/>
    <w:rsid w:val="1E434D00"/>
    <w:rsid w:val="1E792553"/>
    <w:rsid w:val="1EC34BED"/>
    <w:rsid w:val="1EF2340B"/>
    <w:rsid w:val="1F2A2F0B"/>
    <w:rsid w:val="1F9FCF51"/>
    <w:rsid w:val="1FA77943"/>
    <w:rsid w:val="1FDFFD46"/>
    <w:rsid w:val="20234B88"/>
    <w:rsid w:val="20F69010"/>
    <w:rsid w:val="2114A6CC"/>
    <w:rsid w:val="213275BD"/>
    <w:rsid w:val="2158A629"/>
    <w:rsid w:val="21651D23"/>
    <w:rsid w:val="21FC8464"/>
    <w:rsid w:val="22030D6F"/>
    <w:rsid w:val="2208A11D"/>
    <w:rsid w:val="22703F46"/>
    <w:rsid w:val="22A81858"/>
    <w:rsid w:val="232FC64E"/>
    <w:rsid w:val="2350498C"/>
    <w:rsid w:val="236E7BB5"/>
    <w:rsid w:val="23B87A9D"/>
    <w:rsid w:val="23C4429A"/>
    <w:rsid w:val="23E55534"/>
    <w:rsid w:val="23EE339F"/>
    <w:rsid w:val="240DC5F5"/>
    <w:rsid w:val="2475E036"/>
    <w:rsid w:val="24E4BED6"/>
    <w:rsid w:val="24F53659"/>
    <w:rsid w:val="2501327A"/>
    <w:rsid w:val="252344C8"/>
    <w:rsid w:val="252F1905"/>
    <w:rsid w:val="2597494D"/>
    <w:rsid w:val="2648D620"/>
    <w:rsid w:val="26B5516D"/>
    <w:rsid w:val="26C65B74"/>
    <w:rsid w:val="26D46E1D"/>
    <w:rsid w:val="2723EA0B"/>
    <w:rsid w:val="27ABCBE9"/>
    <w:rsid w:val="27B3ADE6"/>
    <w:rsid w:val="281ABF74"/>
    <w:rsid w:val="283C5D9A"/>
    <w:rsid w:val="284C00DD"/>
    <w:rsid w:val="28C567A8"/>
    <w:rsid w:val="28C8BBDD"/>
    <w:rsid w:val="28E92172"/>
    <w:rsid w:val="28F6C281"/>
    <w:rsid w:val="29189F43"/>
    <w:rsid w:val="29479C4A"/>
    <w:rsid w:val="2A4F1949"/>
    <w:rsid w:val="2A9721A5"/>
    <w:rsid w:val="2AC588A6"/>
    <w:rsid w:val="2B632129"/>
    <w:rsid w:val="2B74AF1E"/>
    <w:rsid w:val="2B93262C"/>
    <w:rsid w:val="2B9B9BFD"/>
    <w:rsid w:val="2C779038"/>
    <w:rsid w:val="2C90298B"/>
    <w:rsid w:val="2D8BFA87"/>
    <w:rsid w:val="2DC942C4"/>
    <w:rsid w:val="2F16E512"/>
    <w:rsid w:val="2F59B6AC"/>
    <w:rsid w:val="2F774EF0"/>
    <w:rsid w:val="2FBDE0A1"/>
    <w:rsid w:val="30A091C7"/>
    <w:rsid w:val="31282F78"/>
    <w:rsid w:val="314907F6"/>
    <w:rsid w:val="31DD279B"/>
    <w:rsid w:val="3207F178"/>
    <w:rsid w:val="320C84B7"/>
    <w:rsid w:val="32578A1C"/>
    <w:rsid w:val="340E10C5"/>
    <w:rsid w:val="3477D3E2"/>
    <w:rsid w:val="34B96013"/>
    <w:rsid w:val="353F0736"/>
    <w:rsid w:val="355DA12A"/>
    <w:rsid w:val="357D2E4F"/>
    <w:rsid w:val="35D65B91"/>
    <w:rsid w:val="35E30A77"/>
    <w:rsid w:val="3616AFD8"/>
    <w:rsid w:val="36176FB1"/>
    <w:rsid w:val="36F88447"/>
    <w:rsid w:val="37373887"/>
    <w:rsid w:val="375783EC"/>
    <w:rsid w:val="37CCD0A0"/>
    <w:rsid w:val="382CA1B7"/>
    <w:rsid w:val="383D7BF7"/>
    <w:rsid w:val="385F3E09"/>
    <w:rsid w:val="38A4E792"/>
    <w:rsid w:val="38DA24DE"/>
    <w:rsid w:val="395C364D"/>
    <w:rsid w:val="398303DC"/>
    <w:rsid w:val="3992E0B8"/>
    <w:rsid w:val="39B11746"/>
    <w:rsid w:val="39DD1A9C"/>
    <w:rsid w:val="39EEED73"/>
    <w:rsid w:val="39FEBF20"/>
    <w:rsid w:val="3A995881"/>
    <w:rsid w:val="3B338C06"/>
    <w:rsid w:val="3BAA8A14"/>
    <w:rsid w:val="3C26A3DD"/>
    <w:rsid w:val="3D011391"/>
    <w:rsid w:val="3D3E6C0F"/>
    <w:rsid w:val="3D4605ED"/>
    <w:rsid w:val="3DE099CE"/>
    <w:rsid w:val="3E30576D"/>
    <w:rsid w:val="3ED3371F"/>
    <w:rsid w:val="3F4A0905"/>
    <w:rsid w:val="3F6CC9A4"/>
    <w:rsid w:val="404F28D7"/>
    <w:rsid w:val="4081FBCC"/>
    <w:rsid w:val="40C1E791"/>
    <w:rsid w:val="41710D79"/>
    <w:rsid w:val="42E22C0F"/>
    <w:rsid w:val="433644CF"/>
    <w:rsid w:val="4381CC29"/>
    <w:rsid w:val="43BA1048"/>
    <w:rsid w:val="43C6BB11"/>
    <w:rsid w:val="44CBF822"/>
    <w:rsid w:val="44FA6078"/>
    <w:rsid w:val="455A042A"/>
    <w:rsid w:val="4563964E"/>
    <w:rsid w:val="456BA3D3"/>
    <w:rsid w:val="4592478E"/>
    <w:rsid w:val="45EE46BD"/>
    <w:rsid w:val="460E784F"/>
    <w:rsid w:val="471EC49F"/>
    <w:rsid w:val="4734CBB0"/>
    <w:rsid w:val="4735041B"/>
    <w:rsid w:val="4804E424"/>
    <w:rsid w:val="484E2831"/>
    <w:rsid w:val="48F8FEF6"/>
    <w:rsid w:val="491FFF0A"/>
    <w:rsid w:val="493D277F"/>
    <w:rsid w:val="49588B0D"/>
    <w:rsid w:val="49825277"/>
    <w:rsid w:val="49F28311"/>
    <w:rsid w:val="4A283015"/>
    <w:rsid w:val="4A62AC88"/>
    <w:rsid w:val="4A8504F3"/>
    <w:rsid w:val="4B32730F"/>
    <w:rsid w:val="4B51068A"/>
    <w:rsid w:val="4C5B0E5B"/>
    <w:rsid w:val="4D06862B"/>
    <w:rsid w:val="4D35545A"/>
    <w:rsid w:val="4D4F44B5"/>
    <w:rsid w:val="4D97F019"/>
    <w:rsid w:val="4DF44CCA"/>
    <w:rsid w:val="4E2C8C7C"/>
    <w:rsid w:val="4E3E7311"/>
    <w:rsid w:val="4E97386B"/>
    <w:rsid w:val="4EAA2EB1"/>
    <w:rsid w:val="4F09A3EA"/>
    <w:rsid w:val="4F63A4AD"/>
    <w:rsid w:val="4FA67688"/>
    <w:rsid w:val="4FB6091B"/>
    <w:rsid w:val="4FBB451D"/>
    <w:rsid w:val="4FE4538A"/>
    <w:rsid w:val="503C377B"/>
    <w:rsid w:val="50775D28"/>
    <w:rsid w:val="508E3A12"/>
    <w:rsid w:val="50BDB9AC"/>
    <w:rsid w:val="50E757BD"/>
    <w:rsid w:val="50EF07AE"/>
    <w:rsid w:val="51058AF8"/>
    <w:rsid w:val="5126AB55"/>
    <w:rsid w:val="51A67A1B"/>
    <w:rsid w:val="5220DEEA"/>
    <w:rsid w:val="5261E782"/>
    <w:rsid w:val="52A496D8"/>
    <w:rsid w:val="52C27BB6"/>
    <w:rsid w:val="52DDCF50"/>
    <w:rsid w:val="531E8872"/>
    <w:rsid w:val="532F5236"/>
    <w:rsid w:val="5365AA38"/>
    <w:rsid w:val="53D06CC2"/>
    <w:rsid w:val="53D1FEDC"/>
    <w:rsid w:val="5412E43C"/>
    <w:rsid w:val="548B03B9"/>
    <w:rsid w:val="54BDAA41"/>
    <w:rsid w:val="5582601B"/>
    <w:rsid w:val="55A5A5D8"/>
    <w:rsid w:val="55B937FB"/>
    <w:rsid w:val="55D9FBA4"/>
    <w:rsid w:val="5607A4AA"/>
    <w:rsid w:val="570B506B"/>
    <w:rsid w:val="57451A97"/>
    <w:rsid w:val="5789585B"/>
    <w:rsid w:val="57BCADE1"/>
    <w:rsid w:val="586A3DE7"/>
    <w:rsid w:val="5871B7AB"/>
    <w:rsid w:val="58C288AC"/>
    <w:rsid w:val="58C782D1"/>
    <w:rsid w:val="58D3B2CA"/>
    <w:rsid w:val="58D4DFE3"/>
    <w:rsid w:val="591894DD"/>
    <w:rsid w:val="5977F307"/>
    <w:rsid w:val="599540C2"/>
    <w:rsid w:val="59E29A26"/>
    <w:rsid w:val="5A41CF31"/>
    <w:rsid w:val="5AD30BCD"/>
    <w:rsid w:val="5AF632C3"/>
    <w:rsid w:val="5B87088D"/>
    <w:rsid w:val="5BCEFE95"/>
    <w:rsid w:val="5BF0ECD7"/>
    <w:rsid w:val="5D0157CD"/>
    <w:rsid w:val="5D45A03F"/>
    <w:rsid w:val="5D53D1E9"/>
    <w:rsid w:val="5D95D664"/>
    <w:rsid w:val="5DA4F3C8"/>
    <w:rsid w:val="5DA980AA"/>
    <w:rsid w:val="5E873351"/>
    <w:rsid w:val="5EA544B9"/>
    <w:rsid w:val="5EBEEC95"/>
    <w:rsid w:val="5EC54F16"/>
    <w:rsid w:val="5EE662C6"/>
    <w:rsid w:val="5F61A7E0"/>
    <w:rsid w:val="5FB160C6"/>
    <w:rsid w:val="6124E19C"/>
    <w:rsid w:val="61643197"/>
    <w:rsid w:val="61AAE2FC"/>
    <w:rsid w:val="61ECEA7D"/>
    <w:rsid w:val="62166499"/>
    <w:rsid w:val="628D9AAC"/>
    <w:rsid w:val="628EDE13"/>
    <w:rsid w:val="62BA103C"/>
    <w:rsid w:val="6473701D"/>
    <w:rsid w:val="6499FD6F"/>
    <w:rsid w:val="64A9A38B"/>
    <w:rsid w:val="64BDE458"/>
    <w:rsid w:val="654F0A77"/>
    <w:rsid w:val="65709886"/>
    <w:rsid w:val="657EA6C0"/>
    <w:rsid w:val="6593C508"/>
    <w:rsid w:val="65C3BEF5"/>
    <w:rsid w:val="65ED1326"/>
    <w:rsid w:val="65FF1F3E"/>
    <w:rsid w:val="66B95574"/>
    <w:rsid w:val="66D1323E"/>
    <w:rsid w:val="66E7C433"/>
    <w:rsid w:val="66EC6845"/>
    <w:rsid w:val="677B2E98"/>
    <w:rsid w:val="6842BCB4"/>
    <w:rsid w:val="68715443"/>
    <w:rsid w:val="6877B4E4"/>
    <w:rsid w:val="68E60963"/>
    <w:rsid w:val="6905C74D"/>
    <w:rsid w:val="69348A65"/>
    <w:rsid w:val="69AE3331"/>
    <w:rsid w:val="69F79B9E"/>
    <w:rsid w:val="6ACCB71B"/>
    <w:rsid w:val="6B4CF0C1"/>
    <w:rsid w:val="6BCDC626"/>
    <w:rsid w:val="6C249711"/>
    <w:rsid w:val="6C67B8C4"/>
    <w:rsid w:val="6CCE3D52"/>
    <w:rsid w:val="6D07DD5E"/>
    <w:rsid w:val="6E14F932"/>
    <w:rsid w:val="6E97E24D"/>
    <w:rsid w:val="6E9859CC"/>
    <w:rsid w:val="6EDE8B24"/>
    <w:rsid w:val="6F1CFEBF"/>
    <w:rsid w:val="6F26DE3D"/>
    <w:rsid w:val="6F3D0028"/>
    <w:rsid w:val="6FD84BF0"/>
    <w:rsid w:val="6FFEEF9E"/>
    <w:rsid w:val="7033B2AE"/>
    <w:rsid w:val="705B4F48"/>
    <w:rsid w:val="707652D0"/>
    <w:rsid w:val="707C1532"/>
    <w:rsid w:val="70E977B8"/>
    <w:rsid w:val="7116C8E3"/>
    <w:rsid w:val="71332AD0"/>
    <w:rsid w:val="720A944C"/>
    <w:rsid w:val="73883CE2"/>
    <w:rsid w:val="74BE3BEB"/>
    <w:rsid w:val="750723D1"/>
    <w:rsid w:val="750B333D"/>
    <w:rsid w:val="7566E478"/>
    <w:rsid w:val="7573EEB8"/>
    <w:rsid w:val="75BEBFBA"/>
    <w:rsid w:val="75F75A7F"/>
    <w:rsid w:val="7656291E"/>
    <w:rsid w:val="7667069F"/>
    <w:rsid w:val="76E3B9B0"/>
    <w:rsid w:val="779EFD6E"/>
    <w:rsid w:val="77F77BE4"/>
    <w:rsid w:val="78215471"/>
    <w:rsid w:val="78532C0D"/>
    <w:rsid w:val="785E752F"/>
    <w:rsid w:val="79104582"/>
    <w:rsid w:val="7968C51F"/>
    <w:rsid w:val="7979D25F"/>
    <w:rsid w:val="798204B4"/>
    <w:rsid w:val="79937D6E"/>
    <w:rsid w:val="79A42E80"/>
    <w:rsid w:val="79F857C9"/>
    <w:rsid w:val="7A183E28"/>
    <w:rsid w:val="7A1B89F8"/>
    <w:rsid w:val="7A58977F"/>
    <w:rsid w:val="7A71678B"/>
    <w:rsid w:val="7B678AFB"/>
    <w:rsid w:val="7B723508"/>
    <w:rsid w:val="7BB327EA"/>
    <w:rsid w:val="7C8E6D76"/>
    <w:rsid w:val="7CAC1B3C"/>
    <w:rsid w:val="7CAC5299"/>
    <w:rsid w:val="7D86CD2F"/>
    <w:rsid w:val="7E08B5EF"/>
    <w:rsid w:val="7E2D0A5F"/>
    <w:rsid w:val="7E9859CC"/>
    <w:rsid w:val="7EE7B4D3"/>
    <w:rsid w:val="7F14CC56"/>
    <w:rsid w:val="7FEA2B8E"/>
    <w:rsid w:val="7FFBCD14"/>
    <w:rsid w:val="7FFEBF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15AD5A0F-7F74-4667-A325-7294E8EB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90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135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paragraph" w:styleId="Heading3">
    <w:name w:val="heading 3"/>
    <w:basedOn w:val="Normal"/>
    <w:next w:val="Normal"/>
    <w:link w:val="Heading3Char"/>
    <w:uiPriority w:val="9"/>
    <w:unhideWhenUsed/>
    <w:qFormat/>
    <w:rsid w:val="00FD3F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0C"/>
    <w:rPr>
      <w:rFonts w:ascii="Segoe UI" w:eastAsia="Times New Roman" w:hAnsi="Segoe UI"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10590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6F3AE7"/>
    <w:rPr>
      <w:rFonts w:ascii="Arial" w:eastAsia="Times New Roman" w:hAnsi="Arial" w:cs="Times New Roman"/>
      <w:b/>
      <w:i/>
      <w:kern w:val="28"/>
      <w:sz w:val="28"/>
      <w:szCs w:val="28"/>
    </w:rPr>
  </w:style>
  <w:style w:type="table" w:styleId="TableGrid">
    <w:name w:val="Table Grid"/>
    <w:basedOn w:val="TableNormal"/>
    <w:rsid w:val="006F3A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customStyle="1" w:styleId="HeaderChar">
    <w:name w:val="Header Char"/>
    <w:basedOn w:val="DefaultParagraphFont"/>
    <w:link w:val="Header"/>
    <w:uiPriority w:val="99"/>
    <w:rsid w:val="006E5785"/>
    <w:rPr>
      <w:rFonts w:ascii="Arial" w:eastAsia="Times New Roman" w:hAnsi="Arial"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customStyle="1" w:styleId="FooterChar">
    <w:name w:val="Footer Char"/>
    <w:basedOn w:val="DefaultParagraphFont"/>
    <w:link w:val="Footer"/>
    <w:uiPriority w:val="99"/>
    <w:rsid w:val="006E5785"/>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customStyle="1" w:styleId="CommentTextChar">
    <w:name w:val="Comment Text Char"/>
    <w:basedOn w:val="DefaultParagraphFont"/>
    <w:link w:val="CommentText"/>
    <w:uiPriority w:val="99"/>
    <w:rsid w:val="000F5A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customStyle="1" w:styleId="CommentSubjectChar">
    <w:name w:val="Comment Subject Char"/>
    <w:basedOn w:val="CommentTextChar"/>
    <w:link w:val="CommentSubject"/>
    <w:uiPriority w:val="99"/>
    <w:semiHidden/>
    <w:rsid w:val="000F5AD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character" w:customStyle="1" w:styleId="Heading1Char">
    <w:name w:val="Heading 1 Char"/>
    <w:basedOn w:val="DefaultParagraphFont"/>
    <w:link w:val="Heading1"/>
    <w:uiPriority w:val="9"/>
    <w:rsid w:val="00B135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3FB5"/>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1B673A"/>
    <w:pPr>
      <w:numPr>
        <w:numId w:val="7"/>
      </w:numPr>
      <w:spacing w:after="160" w:line="278" w:lineRule="auto"/>
      <w:contextualSpacing/>
    </w:pPr>
    <w:rPr>
      <w:rFonts w:asciiTheme="minorHAnsi" w:eastAsiaTheme="minorHAnsi" w:hAnsiTheme="minorHAnsi" w:cstheme="minorBidi"/>
      <w:kern w:val="2"/>
      <w14:ligatures w14:val="standardContextual"/>
    </w:rPr>
  </w:style>
  <w:style w:type="character" w:styleId="Mention">
    <w:name w:val="Mention"/>
    <w:basedOn w:val="DefaultParagraphFont"/>
    <w:uiPriority w:val="99"/>
    <w:unhideWhenUsed/>
    <w:rsid w:val="00CC1B70"/>
    <w:rPr>
      <w:color w:val="2B579A"/>
      <w:shd w:val="clear" w:color="auto" w:fill="E1DFDD"/>
    </w:rPr>
  </w:style>
  <w:style w:type="table" w:styleId="ListTable6Colorful-Accent1">
    <w:name w:val="List Table 6 Colorful Accent 1"/>
    <w:basedOn w:val="TableNormal"/>
    <w:uiPriority w:val="51"/>
    <w:rsid w:val="00F767A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9C6A09"/>
    <w:rPr>
      <w:sz w:val="20"/>
      <w:szCs w:val="20"/>
    </w:rPr>
  </w:style>
  <w:style w:type="character" w:customStyle="1" w:styleId="FootnoteTextChar">
    <w:name w:val="Footnote Text Char"/>
    <w:basedOn w:val="DefaultParagraphFont"/>
    <w:link w:val="FootnoteText"/>
    <w:uiPriority w:val="99"/>
    <w:semiHidden/>
    <w:qFormat/>
    <w:rsid w:val="009C6A09"/>
    <w:rPr>
      <w:rFonts w:ascii="Arial" w:eastAsia="Times New Roman" w:hAnsi="Arial" w:cs="Times New Roman"/>
      <w:sz w:val="20"/>
      <w:szCs w:val="20"/>
    </w:rPr>
  </w:style>
  <w:style w:type="character" w:styleId="FootnoteReference">
    <w:name w:val="footnote reference"/>
    <w:aliases w:val="ftref,BVI fnr,16 Point,Superscript 6 Point,Ref,de nota al pie,BVI fnr Car Car,BVI fnr Car,BVI fnr Car Car Car Car,BVI fnr Car Car Car Car Char,number,FR"/>
    <w:basedOn w:val="DefaultParagraphFont"/>
    <w:uiPriority w:val="99"/>
    <w:semiHidden/>
    <w:unhideWhenUsed/>
    <w:qFormat/>
    <w:rsid w:val="009C6A09"/>
    <w:rPr>
      <w:vertAlign w:val="superscript"/>
    </w:rPr>
  </w:style>
  <w:style w:type="character" w:customStyle="1" w:styleId="normaltextrun">
    <w:name w:val="normaltextrun"/>
    <w:basedOn w:val="DefaultParagraphFont"/>
    <w:rsid w:val="00B13871"/>
    <w:rPr>
      <w:lang w:val="en-GB"/>
    </w:rPr>
  </w:style>
  <w:style w:type="character" w:customStyle="1" w:styleId="eop">
    <w:name w:val="eop"/>
    <w:basedOn w:val="DefaultParagraphFont"/>
    <w:rsid w:val="00B13871"/>
    <w:rPr>
      <w:lang w:val="en-GB"/>
    </w:rPr>
  </w:style>
  <w:style w:type="character" w:customStyle="1" w:styleId="cf01">
    <w:name w:val="cf01"/>
    <w:basedOn w:val="DefaultParagraphFont"/>
    <w:rsid w:val="00F56FB0"/>
    <w:rPr>
      <w:rFonts w:ascii="Segoe UI" w:hAnsi="Segoe UI" w:cs="Segoe UI" w:hint="default"/>
      <w:sz w:val="18"/>
      <w:szCs w:val="18"/>
    </w:rPr>
  </w:style>
  <w:style w:type="paragraph" w:customStyle="1" w:styleId="pf0">
    <w:name w:val="pf0"/>
    <w:basedOn w:val="Normal"/>
    <w:rsid w:val="00A943D5"/>
    <w:pPr>
      <w:spacing w:before="100" w:beforeAutospacing="1" w:after="100" w:afterAutospacing="1"/>
    </w:pPr>
    <w:rPr>
      <w:rFonts w:ascii="Times New Roman" w:hAnsi="Times New Roman"/>
      <w:lang w:eastAsia="en-GB"/>
    </w:rPr>
  </w:style>
  <w:style w:type="paragraph" w:styleId="Revision">
    <w:name w:val="Revision"/>
    <w:hidden/>
    <w:uiPriority w:val="99"/>
    <w:semiHidden/>
    <w:rsid w:val="00C67985"/>
    <w:pPr>
      <w:spacing w:after="0" w:line="240" w:lineRule="auto"/>
    </w:pPr>
    <w:rPr>
      <w:rFonts w:ascii="Arial" w:eastAsia="Times New Roman" w:hAnsi="Arial" w:cs="Times New Roman"/>
      <w:sz w:val="24"/>
      <w:szCs w:val="24"/>
    </w:rPr>
  </w:style>
  <w:style w:type="character" w:customStyle="1" w:styleId="font231">
    <w:name w:val="font231"/>
    <w:basedOn w:val="DefaultParagraphFont"/>
    <w:rsid w:val="00AB6B8C"/>
    <w:rPr>
      <w:rFonts w:ascii="Arial" w:hAnsi="Arial" w:cs="Arial" w:hint="default"/>
      <w:b/>
      <w:bCs/>
      <w:i w:val="0"/>
      <w:iCs w:val="0"/>
      <w:strike w:val="0"/>
      <w:dstrike w:val="0"/>
      <w:color w:val="000000"/>
      <w:sz w:val="22"/>
      <w:szCs w:val="22"/>
      <w:u w:val="none"/>
      <w:effect w:val="none"/>
    </w:rPr>
  </w:style>
  <w:style w:type="character" w:customStyle="1" w:styleId="font241">
    <w:name w:val="font241"/>
    <w:basedOn w:val="DefaultParagraphFont"/>
    <w:rsid w:val="00AB6B8C"/>
    <w:rPr>
      <w:rFonts w:ascii="Arial" w:hAnsi="Arial" w:cs="Arial" w:hint="default"/>
      <w:b w:val="0"/>
      <w:bCs w:val="0"/>
      <w:i w:val="0"/>
      <w:iCs w:val="0"/>
      <w:strike w:val="0"/>
      <w:dstrike w:val="0"/>
      <w:color w:val="000000"/>
      <w:sz w:val="22"/>
      <w:szCs w:val="22"/>
      <w:u w:val="none"/>
      <w:effect w:val="none"/>
    </w:rPr>
  </w:style>
  <w:style w:type="character" w:customStyle="1" w:styleId="font71">
    <w:name w:val="font71"/>
    <w:basedOn w:val="DefaultParagraphFont"/>
    <w:rsid w:val="00AB6B8C"/>
    <w:rPr>
      <w:rFonts w:ascii="Arial" w:hAnsi="Arial" w:cs="Arial" w:hint="default"/>
      <w:b w:val="0"/>
      <w:bCs w:val="0"/>
      <w:i w:val="0"/>
      <w:iCs w:val="0"/>
      <w:strike w:val="0"/>
      <w:dstrike w:val="0"/>
      <w:color w:val="auto"/>
      <w:sz w:val="22"/>
      <w:szCs w:val="22"/>
      <w:u w:val="none"/>
      <w:effect w:val="none"/>
    </w:rPr>
  </w:style>
  <w:style w:type="character" w:customStyle="1" w:styleId="font81">
    <w:name w:val="font81"/>
    <w:basedOn w:val="DefaultParagraphFont"/>
    <w:rsid w:val="00AB6B8C"/>
    <w:rPr>
      <w:rFonts w:ascii="Arial" w:hAnsi="Arial" w:cs="Arial" w:hint="default"/>
      <w:b/>
      <w:bCs/>
      <w:i w:val="0"/>
      <w:iCs w:val="0"/>
      <w:strike w:val="0"/>
      <w:dstrike w:val="0"/>
      <w:color w:val="auto"/>
      <w:sz w:val="22"/>
      <w:szCs w:val="22"/>
      <w:u w:val="none"/>
      <w:effect w:val="none"/>
    </w:rPr>
  </w:style>
  <w:style w:type="character" w:customStyle="1" w:styleId="font121">
    <w:name w:val="font121"/>
    <w:basedOn w:val="DefaultParagraphFont"/>
    <w:rsid w:val="00AB6B8C"/>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3375">
      <w:bodyDiv w:val="1"/>
      <w:marLeft w:val="0"/>
      <w:marRight w:val="0"/>
      <w:marTop w:val="0"/>
      <w:marBottom w:val="0"/>
      <w:divBdr>
        <w:top w:val="none" w:sz="0" w:space="0" w:color="auto"/>
        <w:left w:val="none" w:sz="0" w:space="0" w:color="auto"/>
        <w:bottom w:val="none" w:sz="0" w:space="0" w:color="auto"/>
        <w:right w:val="none" w:sz="0" w:space="0" w:color="auto"/>
      </w:divBdr>
      <w:divsChild>
        <w:div w:id="520515182">
          <w:marLeft w:val="720"/>
          <w:marRight w:val="0"/>
          <w:marTop w:val="200"/>
          <w:marBottom w:val="0"/>
          <w:divBdr>
            <w:top w:val="none" w:sz="0" w:space="0" w:color="auto"/>
            <w:left w:val="none" w:sz="0" w:space="0" w:color="auto"/>
            <w:bottom w:val="none" w:sz="0" w:space="0" w:color="auto"/>
            <w:right w:val="none" w:sz="0" w:space="0" w:color="auto"/>
          </w:divBdr>
        </w:div>
        <w:div w:id="900092489">
          <w:marLeft w:val="720"/>
          <w:marRight w:val="0"/>
          <w:marTop w:val="200"/>
          <w:marBottom w:val="0"/>
          <w:divBdr>
            <w:top w:val="none" w:sz="0" w:space="0" w:color="auto"/>
            <w:left w:val="none" w:sz="0" w:space="0" w:color="auto"/>
            <w:bottom w:val="none" w:sz="0" w:space="0" w:color="auto"/>
            <w:right w:val="none" w:sz="0" w:space="0" w:color="auto"/>
          </w:divBdr>
        </w:div>
        <w:div w:id="1038432758">
          <w:marLeft w:val="720"/>
          <w:marRight w:val="0"/>
          <w:marTop w:val="200"/>
          <w:marBottom w:val="0"/>
          <w:divBdr>
            <w:top w:val="none" w:sz="0" w:space="0" w:color="auto"/>
            <w:left w:val="none" w:sz="0" w:space="0" w:color="auto"/>
            <w:bottom w:val="none" w:sz="0" w:space="0" w:color="auto"/>
            <w:right w:val="none" w:sz="0" w:space="0" w:color="auto"/>
          </w:divBdr>
        </w:div>
        <w:div w:id="1405446682">
          <w:marLeft w:val="720"/>
          <w:marRight w:val="0"/>
          <w:marTop w:val="200"/>
          <w:marBottom w:val="0"/>
          <w:divBdr>
            <w:top w:val="none" w:sz="0" w:space="0" w:color="auto"/>
            <w:left w:val="none" w:sz="0" w:space="0" w:color="auto"/>
            <w:bottom w:val="none" w:sz="0" w:space="0" w:color="auto"/>
            <w:right w:val="none" w:sz="0" w:space="0" w:color="auto"/>
          </w:divBdr>
        </w:div>
        <w:div w:id="1460682827">
          <w:marLeft w:val="720"/>
          <w:marRight w:val="0"/>
          <w:marTop w:val="200"/>
          <w:marBottom w:val="0"/>
          <w:divBdr>
            <w:top w:val="none" w:sz="0" w:space="0" w:color="auto"/>
            <w:left w:val="none" w:sz="0" w:space="0" w:color="auto"/>
            <w:bottom w:val="none" w:sz="0" w:space="0" w:color="auto"/>
            <w:right w:val="none" w:sz="0" w:space="0" w:color="auto"/>
          </w:divBdr>
        </w:div>
        <w:div w:id="1778210019">
          <w:marLeft w:val="720"/>
          <w:marRight w:val="0"/>
          <w:marTop w:val="200"/>
          <w:marBottom w:val="0"/>
          <w:divBdr>
            <w:top w:val="none" w:sz="0" w:space="0" w:color="auto"/>
            <w:left w:val="none" w:sz="0" w:space="0" w:color="auto"/>
            <w:bottom w:val="none" w:sz="0" w:space="0" w:color="auto"/>
            <w:right w:val="none" w:sz="0" w:space="0" w:color="auto"/>
          </w:divBdr>
        </w:div>
        <w:div w:id="2145001553">
          <w:marLeft w:val="720"/>
          <w:marRight w:val="0"/>
          <w:marTop w:val="200"/>
          <w:marBottom w:val="0"/>
          <w:divBdr>
            <w:top w:val="none" w:sz="0" w:space="0" w:color="auto"/>
            <w:left w:val="none" w:sz="0" w:space="0" w:color="auto"/>
            <w:bottom w:val="none" w:sz="0" w:space="0" w:color="auto"/>
            <w:right w:val="none" w:sz="0" w:space="0" w:color="auto"/>
          </w:divBdr>
        </w:div>
      </w:divsChild>
    </w:div>
    <w:div w:id="216473984">
      <w:bodyDiv w:val="1"/>
      <w:marLeft w:val="0"/>
      <w:marRight w:val="0"/>
      <w:marTop w:val="0"/>
      <w:marBottom w:val="0"/>
      <w:divBdr>
        <w:top w:val="none" w:sz="0" w:space="0" w:color="auto"/>
        <w:left w:val="none" w:sz="0" w:space="0" w:color="auto"/>
        <w:bottom w:val="none" w:sz="0" w:space="0" w:color="auto"/>
        <w:right w:val="none" w:sz="0" w:space="0" w:color="auto"/>
      </w:divBdr>
    </w:div>
    <w:div w:id="291249188">
      <w:bodyDiv w:val="1"/>
      <w:marLeft w:val="0"/>
      <w:marRight w:val="0"/>
      <w:marTop w:val="0"/>
      <w:marBottom w:val="0"/>
      <w:divBdr>
        <w:top w:val="none" w:sz="0" w:space="0" w:color="auto"/>
        <w:left w:val="none" w:sz="0" w:space="0" w:color="auto"/>
        <w:bottom w:val="none" w:sz="0" w:space="0" w:color="auto"/>
        <w:right w:val="none" w:sz="0" w:space="0" w:color="auto"/>
      </w:divBdr>
    </w:div>
    <w:div w:id="617687190">
      <w:bodyDiv w:val="1"/>
      <w:marLeft w:val="0"/>
      <w:marRight w:val="0"/>
      <w:marTop w:val="0"/>
      <w:marBottom w:val="0"/>
      <w:divBdr>
        <w:top w:val="none" w:sz="0" w:space="0" w:color="auto"/>
        <w:left w:val="none" w:sz="0" w:space="0" w:color="auto"/>
        <w:bottom w:val="none" w:sz="0" w:space="0" w:color="auto"/>
        <w:right w:val="none" w:sz="0" w:space="0" w:color="auto"/>
      </w:divBdr>
    </w:div>
    <w:div w:id="658386319">
      <w:bodyDiv w:val="1"/>
      <w:marLeft w:val="0"/>
      <w:marRight w:val="0"/>
      <w:marTop w:val="0"/>
      <w:marBottom w:val="0"/>
      <w:divBdr>
        <w:top w:val="none" w:sz="0" w:space="0" w:color="auto"/>
        <w:left w:val="none" w:sz="0" w:space="0" w:color="auto"/>
        <w:bottom w:val="none" w:sz="0" w:space="0" w:color="auto"/>
        <w:right w:val="none" w:sz="0" w:space="0" w:color="auto"/>
      </w:divBdr>
    </w:div>
    <w:div w:id="670061350">
      <w:bodyDiv w:val="1"/>
      <w:marLeft w:val="0"/>
      <w:marRight w:val="0"/>
      <w:marTop w:val="0"/>
      <w:marBottom w:val="0"/>
      <w:divBdr>
        <w:top w:val="none" w:sz="0" w:space="0" w:color="auto"/>
        <w:left w:val="none" w:sz="0" w:space="0" w:color="auto"/>
        <w:bottom w:val="none" w:sz="0" w:space="0" w:color="auto"/>
        <w:right w:val="none" w:sz="0" w:space="0" w:color="auto"/>
      </w:divBdr>
    </w:div>
    <w:div w:id="761100301">
      <w:bodyDiv w:val="1"/>
      <w:marLeft w:val="0"/>
      <w:marRight w:val="0"/>
      <w:marTop w:val="0"/>
      <w:marBottom w:val="0"/>
      <w:divBdr>
        <w:top w:val="none" w:sz="0" w:space="0" w:color="auto"/>
        <w:left w:val="none" w:sz="0" w:space="0" w:color="auto"/>
        <w:bottom w:val="none" w:sz="0" w:space="0" w:color="auto"/>
        <w:right w:val="none" w:sz="0" w:space="0" w:color="auto"/>
      </w:divBdr>
    </w:div>
    <w:div w:id="1065645846">
      <w:bodyDiv w:val="1"/>
      <w:marLeft w:val="0"/>
      <w:marRight w:val="0"/>
      <w:marTop w:val="0"/>
      <w:marBottom w:val="0"/>
      <w:divBdr>
        <w:top w:val="none" w:sz="0" w:space="0" w:color="auto"/>
        <w:left w:val="none" w:sz="0" w:space="0" w:color="auto"/>
        <w:bottom w:val="none" w:sz="0" w:space="0" w:color="auto"/>
        <w:right w:val="none" w:sz="0" w:space="0" w:color="auto"/>
      </w:divBdr>
    </w:div>
    <w:div w:id="1306398771">
      <w:bodyDiv w:val="1"/>
      <w:marLeft w:val="0"/>
      <w:marRight w:val="0"/>
      <w:marTop w:val="0"/>
      <w:marBottom w:val="0"/>
      <w:divBdr>
        <w:top w:val="none" w:sz="0" w:space="0" w:color="auto"/>
        <w:left w:val="none" w:sz="0" w:space="0" w:color="auto"/>
        <w:bottom w:val="none" w:sz="0" w:space="0" w:color="auto"/>
        <w:right w:val="none" w:sz="0" w:space="0" w:color="auto"/>
      </w:divBdr>
    </w:div>
    <w:div w:id="1612006097">
      <w:bodyDiv w:val="1"/>
      <w:marLeft w:val="0"/>
      <w:marRight w:val="0"/>
      <w:marTop w:val="0"/>
      <w:marBottom w:val="0"/>
      <w:divBdr>
        <w:top w:val="none" w:sz="0" w:space="0" w:color="auto"/>
        <w:left w:val="none" w:sz="0" w:space="0" w:color="auto"/>
        <w:bottom w:val="none" w:sz="0" w:space="0" w:color="auto"/>
        <w:right w:val="none" w:sz="0" w:space="0" w:color="auto"/>
      </w:divBdr>
    </w:div>
    <w:div w:id="1852601695">
      <w:bodyDiv w:val="1"/>
      <w:marLeft w:val="0"/>
      <w:marRight w:val="0"/>
      <w:marTop w:val="0"/>
      <w:marBottom w:val="0"/>
      <w:divBdr>
        <w:top w:val="none" w:sz="0" w:space="0" w:color="auto"/>
        <w:left w:val="none" w:sz="0" w:space="0" w:color="auto"/>
        <w:bottom w:val="none" w:sz="0" w:space="0" w:color="auto"/>
        <w:right w:val="none" w:sz="0" w:space="0" w:color="auto"/>
      </w:divBdr>
    </w:div>
    <w:div w:id="19708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fra.sharepoint.com/:b:/t/Team569/EYKsnu69tPRGn-MDZaT7oTwBubyk9q4_JSeyjlktmKmhhg?e=qALZ5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vflow.northeurope.cloudapp.azure.com/files/documents/OCEAN-Full-Business-Case_Final_1-20240319030320.7_Redacted-compressed.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ind-tender.service.gov.uk/Notice/029020-202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guardingsupporthub.org/webinars/capseah-common-approach-protection-sexual-exploitation-sexual-abuse-and-sexual-harassment"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0D5865A172BA44B7EBF88835C3E652" ma:contentTypeVersion="15" ma:contentTypeDescription="Create a new document." ma:contentTypeScope="" ma:versionID="f6dd96cbe8186dd480f1f09f61f1b0c1">
  <xsd:schema xmlns:xsd="http://www.w3.org/2001/XMLSchema" xmlns:xs="http://www.w3.org/2001/XMLSchema" xmlns:p="http://schemas.microsoft.com/office/2006/metadata/properties" xmlns:ns1="http://schemas.microsoft.com/sharepoint/v3" xmlns:ns2="662745e8-e224-48e8-a2e3-254862b8c2f5" xmlns:ns3="6919dd6b-1d98-4d16-b113-da5acb086e86" xmlns:ns4="2dbdf359-b403-4100-b363-c92574cf5258" targetNamespace="http://schemas.microsoft.com/office/2006/metadata/properties" ma:root="true" ma:fieldsID="4cecb3f136fbc79843597522d59cafc2" ns1:_="" ns2:_="" ns3:_="" ns4:_="">
    <xsd:import namespace="http://schemas.microsoft.com/sharepoint/v3"/>
    <xsd:import namespace="662745e8-e224-48e8-a2e3-254862b8c2f5"/>
    <xsd:import namespace="6919dd6b-1d98-4d16-b113-da5acb086e86"/>
    <xsd:import namespace="2dbdf359-b403-4100-b363-c92574cf525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Details" minOccurs="0"/>
                <xsd:element ref="ns4:MediaServiceSearchProperties" minOccurs="0"/>
                <xsd:element ref="ns4:MediaServiceMetadata" minOccurs="0"/>
                <xsd:element ref="ns4:MediaServiceFastMetadata" minOccurs="0"/>
                <xsd:element ref="ns4:MediaServiceObjectDetectorVersions" minOccurs="0"/>
                <xsd:element ref="ns1:_ip_UnifiedCompliancePolicyProperties" minOccurs="0"/>
                <xsd:element ref="ns1:_ip_UnifiedCompliancePolicyUIAc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Core Documen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19dd6b-1d98-4d16-b113-da5acb086e86"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bdf359-b403-4100-b363-c92574cf5258" elementFormDefault="qualified">
    <xsd:import namespace="http://schemas.microsoft.com/office/2006/documentManagement/types"/>
    <xsd:import namespace="http://schemas.microsoft.com/office/infopath/2007/PartnerControls"/>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ODA Evidence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12</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ODA and International Biodiversity Funds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6919dd6b-1d98-4d16-b113-da5acb086e86">
      <UserInfo>
        <DisplayName>Clarke, Nancy</DisplayName>
        <AccountId>176</AccountId>
        <AccountType/>
      </UserInfo>
      <UserInfo>
        <DisplayName>Robinson, Emily</DisplayName>
        <AccountId>96</AccountId>
        <AccountType/>
      </UserInfo>
      <UserInfo>
        <DisplayName>Sales-Dupont, Jake</DisplayName>
        <AccountId>177</AccountId>
        <AccountType/>
      </UserInfo>
      <UserInfo>
        <DisplayName>Baker, Adam</DisplayName>
        <AccountId>140</AccountId>
        <AccountType/>
      </UserInfo>
      <UserInfo>
        <DisplayName>Coleman, Gareth</DisplayName>
        <AccountId>162</AccountId>
        <AccountType/>
      </UserInfo>
      <UserInfo>
        <DisplayName>Dawson, Kathryn</DisplayName>
        <AccountId>173</AccountId>
        <AccountType/>
      </UserInfo>
      <UserInfo>
        <DisplayName>Tooley, Freya</DisplayName>
        <AccountId>34</AccountId>
        <AccountType/>
      </UserInfo>
      <UserInfo>
        <DisplayName>Sear, Dominic</DisplayName>
        <AccountId>60</AccountId>
        <AccountType/>
      </UserInfo>
      <UserInfo>
        <DisplayName>Read, Katherine</DisplayName>
        <AccountId>178</AccountId>
        <AccountType/>
      </UserInfo>
      <UserInfo>
        <DisplayName>Beattie, Kevin</DisplayName>
        <AccountId>179</AccountId>
        <AccountType/>
      </UserInfo>
      <UserInfo>
        <DisplayName>Niblett, Abigail</DisplayName>
        <AccountId>93</AccountId>
        <AccountType/>
      </UserInfo>
      <UserInfo>
        <DisplayName>Hussain, Nowshin</DisplayName>
        <AccountId>151</AccountId>
        <AccountType/>
      </UserInfo>
      <UserInfo>
        <DisplayName>Gaussen, Esme</DisplayName>
        <AccountId>94</AccountId>
        <AccountType/>
      </UserInfo>
      <UserInfo>
        <DisplayName>Dashwood, Frances</DisplayName>
        <AccountId>180</AccountId>
        <AccountType/>
      </UserInfo>
      <UserInfo>
        <DisplayName>Drewry, Ilona</DisplayName>
        <AccountId>31</AccountId>
        <AccountType/>
      </UserInfo>
      <UserInfo>
        <DisplayName>Lin, Bingbing</DisplayName>
        <AccountId>181</AccountId>
        <AccountType/>
      </UserInfo>
      <UserInfo>
        <DisplayName>Blair, Lotte</DisplayName>
        <AccountId>182</AccountId>
        <AccountType/>
      </UserInfo>
      <UserInfo>
        <DisplayName>Gould, Edward</DisplayName>
        <AccountId>183</AccountId>
        <AccountType/>
      </UserInfo>
      <UserInfo>
        <DisplayName>Sowerby, Kelsey</DisplayName>
        <AccountId>184</AccountId>
        <AccountType/>
      </UserInfo>
      <UserInfo>
        <DisplayName>Flint, Harry</DisplayName>
        <AccountId>185</AccountId>
        <AccountType/>
      </UserInfo>
      <UserInfo>
        <DisplayName>Locatelli, Filippo</DisplayName>
        <AccountId>186</AccountId>
        <AccountType/>
      </UserInfo>
      <UserInfo>
        <DisplayName>Bruschi, Nicholas</DisplayName>
        <AccountId>187</AccountId>
        <AccountType/>
      </UserInfo>
      <UserInfo>
        <DisplayName>Cotterill, Michael</DisplayName>
        <AccountId>188</AccountId>
        <AccountType/>
      </UserInfo>
      <UserInfo>
        <DisplayName>Muir, Kat</DisplayName>
        <AccountId>189</AccountId>
        <AccountType/>
      </UserInfo>
      <UserInfo>
        <DisplayName>Seely, Kevin</DisplayName>
        <AccountId>190</AccountId>
        <AccountType/>
      </UserInfo>
      <UserInfo>
        <DisplayName>Gibbs, Douglas</DisplayName>
        <AccountId>110</AccountId>
        <AccountType/>
      </UserInfo>
      <UserInfo>
        <DisplayName>Reid, Hannah</DisplayName>
        <AccountId>191</AccountId>
        <AccountType/>
      </UserInfo>
      <UserInfo>
        <DisplayName>Hanson-Prince, Wayne</DisplayName>
        <AccountId>192</AccountId>
        <AccountType/>
      </UserInfo>
      <UserInfo>
        <DisplayName>Nestor, Sharron</DisplayName>
        <AccountId>193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FC00D-48E9-4E06-9CF1-CECC560444A3}">
  <ds:schemaRefs>
    <ds:schemaRef ds:uri="Microsoft.SharePoint.Taxonomy.ContentTypeSync"/>
  </ds:schemaRefs>
</ds:datastoreItem>
</file>

<file path=customXml/itemProps2.xml><?xml version="1.0" encoding="utf-8"?>
<ds:datastoreItem xmlns:ds="http://schemas.openxmlformats.org/officeDocument/2006/customXml" ds:itemID="{2BA68D5C-8863-4ACA-8782-0F810AF8F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919dd6b-1d98-4d16-b113-da5acb086e86"/>
    <ds:schemaRef ds:uri="2dbdf359-b403-4100-b363-c92574cf5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D0A40-F3B2-4069-B19A-F6AE51DD1EA8}">
  <ds:schemaRefs>
    <ds:schemaRef ds:uri="http://schemas.openxmlformats.org/officeDocument/2006/bibliography"/>
  </ds:schemaRefs>
</ds:datastoreItem>
</file>

<file path=customXml/itemProps4.xml><?xml version="1.0" encoding="utf-8"?>
<ds:datastoreItem xmlns:ds="http://schemas.openxmlformats.org/officeDocument/2006/customXml" ds:itemID="{CA9E4CF3-84AA-4B72-84CD-D888B2E21F4E}">
  <ds:schemaRefs>
    <ds:schemaRef ds:uri="6919dd6b-1d98-4d16-b113-da5acb086e86"/>
    <ds:schemaRef ds:uri="http://purl.org/dc/terms/"/>
    <ds:schemaRef ds:uri="http://www.w3.org/XML/1998/namespace"/>
    <ds:schemaRef ds:uri="http://schemas.microsoft.com/office/2006/documentManagement/types"/>
    <ds:schemaRef ds:uri="2dbdf359-b403-4100-b363-c92574cf5258"/>
    <ds:schemaRef ds:uri="http://schemas.microsoft.com/office/infopath/2007/PartnerControls"/>
    <ds:schemaRef ds:uri="http://purl.org/dc/dcmitype/"/>
    <ds:schemaRef ds:uri="http://schemas.openxmlformats.org/package/2006/metadata/core-properties"/>
    <ds:schemaRef ds:uri="http://purl.org/dc/elements/1.1/"/>
    <ds:schemaRef ds:uri="662745e8-e224-48e8-a2e3-254862b8c2f5"/>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6C31793-AE3E-4B42-9F05-5A619E9D4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14926</Words>
  <Characters>85084</Characters>
  <Application>Microsoft Office Word</Application>
  <DocSecurity>0</DocSecurity>
  <Lines>709</Lines>
  <Paragraphs>199</Paragraphs>
  <ScaleCrop>false</ScaleCrop>
  <Manager/>
  <Company/>
  <LinksUpToDate>false</LinksUpToDate>
  <CharactersWithSpaces>99811</CharactersWithSpaces>
  <SharedDoc>false</SharedDoc>
  <HLinks>
    <vt:vector size="24" baseType="variant">
      <vt:variant>
        <vt:i4>262165</vt:i4>
      </vt:variant>
      <vt:variant>
        <vt:i4>9</vt:i4>
      </vt:variant>
      <vt:variant>
        <vt:i4>0</vt:i4>
      </vt:variant>
      <vt:variant>
        <vt:i4>5</vt:i4>
      </vt:variant>
      <vt:variant>
        <vt:lpwstr>https://www.find-tender.service.gov.uk/Notice/029020-2023</vt:lpwstr>
      </vt:variant>
      <vt:variant>
        <vt:lpwstr/>
      </vt:variant>
      <vt:variant>
        <vt:i4>6094929</vt:i4>
      </vt:variant>
      <vt:variant>
        <vt:i4>6</vt:i4>
      </vt:variant>
      <vt:variant>
        <vt:i4>0</vt:i4>
      </vt:variant>
      <vt:variant>
        <vt:i4>5</vt:i4>
      </vt:variant>
      <vt:variant>
        <vt:lpwstr>https://safeguardingsupporthub.org/webinars/capseah-common-approach-protection-sexual-exploitation-sexual-abuse-and-sexual-harassment</vt:lpwstr>
      </vt:variant>
      <vt:variant>
        <vt:lpwstr/>
      </vt:variant>
      <vt:variant>
        <vt:i4>6946828</vt:i4>
      </vt:variant>
      <vt:variant>
        <vt:i4>3</vt:i4>
      </vt:variant>
      <vt:variant>
        <vt:i4>0</vt:i4>
      </vt:variant>
      <vt:variant>
        <vt:i4>5</vt:i4>
      </vt:variant>
      <vt:variant>
        <vt:lpwstr>https://defra.sharepoint.com/:b:/t/Team569/EYKsnu69tPRGn-MDZaT7oTwBubyk9q4_JSeyjlktmKmhhg?e=qALZ5m</vt:lpwstr>
      </vt:variant>
      <vt:variant>
        <vt:lpwstr/>
      </vt:variant>
      <vt:variant>
        <vt:i4>4915237</vt:i4>
      </vt:variant>
      <vt:variant>
        <vt:i4>0</vt:i4>
      </vt:variant>
      <vt:variant>
        <vt:i4>0</vt:i4>
      </vt:variant>
      <vt:variant>
        <vt:i4>5</vt:i4>
      </vt:variant>
      <vt:variant>
        <vt:lpwstr>https://devflow.northeurope.cloudapp.azure.com/files/documents/OCEAN-Full-Business-Case_Final_1-20240319030320.7_Redacted-compressed.pdf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dc:title>
  <dc:subject/>
  <dc:creator>Hannah</dc:creator>
  <cp:keywords/>
  <dc:description/>
  <cp:lastModifiedBy>Boyne, Hannah</cp:lastModifiedBy>
  <cp:revision>2</cp:revision>
  <dcterms:created xsi:type="dcterms:W3CDTF">2025-02-19T13:34:00Z</dcterms:created>
  <dcterms:modified xsi:type="dcterms:W3CDTF">2025-02-19T13:34:00Z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0x010100A5BF1C78D9F64B679A5EBDE1C6598EBC0100540D5865A172BA44B7EBF88835C3E652</vt:lpwstr>
  </property>
  <property fmtid="{D5CDD505-2E9C-101B-9397-08002B2CF9AE}" pid="3" name="Business Document Type">
    <vt:lpwstr>Annual review</vt:lpwstr>
  </property>
  <property fmtid="{D5CDD505-2E9C-101B-9397-08002B2CF9AE}" pid="4" name="MSIP_Label_e4c996da-17fa-4fc5-8989-2758fb4cf86b_Enabled">
    <vt:lpwstr>true</vt:lpwstr>
  </property>
  <property fmtid="{D5CDD505-2E9C-101B-9397-08002B2CF9AE}" pid="5" name="MSIP_Label_e4c996da-17fa-4fc5-8989-2758fb4cf86b_SetDate">
    <vt:lpwstr>2021-06-16T13:10:56Z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919708a4-416e-499e-8edc-0000a189eb48</vt:lpwstr>
  </property>
  <property fmtid="{D5CDD505-2E9C-101B-9397-08002B2CF9AE}" pid="10" name="MSIP_Label_e4c996da-17fa-4fc5-8989-2758fb4cf86b_ContentBits">
    <vt:lpwstr>1</vt:lpwstr>
  </property>
  <property fmtid="{D5CDD505-2E9C-101B-9397-08002B2CF9AE}" pid="11" name="ClassificationContentMarkingHeaderShapeIds">
    <vt:lpwstr>2,3,4</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2022-06-19T02:53:36Z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d4919ea7-280d-4e60-8528-17827166ba9a</vt:lpwstr>
  </property>
  <property fmtid="{D5CDD505-2E9C-101B-9397-08002B2CF9AE}" pid="23" name="MSIP_Label_9e9cc48d-6fba-4c12-9882-137473def580_ContentBits">
    <vt:lpwstr>0</vt:lpwstr>
  </property>
  <property fmtid="{D5CDD505-2E9C-101B-9397-08002B2CF9AE}" pid="24" name="InformationType">
    <vt:lpwstr/>
  </property>
  <property fmtid="{D5CDD505-2E9C-101B-9397-08002B2CF9AE}" pid="25" name="Distribution">
    <vt:lpwstr>12;#External|1104eb68-55d8-494f-b6ba-c5473579de73</vt:lpwstr>
  </property>
  <property fmtid="{D5CDD505-2E9C-101B-9397-08002B2CF9AE}" pid="26" name="HOCopyrightLevel">
    <vt:lpwstr>1;#Crown|69589897-2828-4761-976e-717fd8e631c9</vt:lpwstr>
  </property>
  <property fmtid="{D5CDD505-2E9C-101B-9397-08002B2CF9AE}" pid="27" name="SecurityClassification">
    <vt:lpwstr/>
  </property>
  <property fmtid="{D5CDD505-2E9C-101B-9397-08002B2CF9AE}" pid="28" name="HOGovernmentSecurityClassification">
    <vt:lpwstr>2;#Official|14c80daa-741b-422c-9722-f71693c9ede4</vt:lpwstr>
  </property>
  <property fmtid="{D5CDD505-2E9C-101B-9397-08002B2CF9AE}" pid="29" name="OrganisationalUnit">
    <vt:lpwstr>3;#Core Defra|026223dd-2e56-4615-868d-7c5bfd566810</vt:lpwstr>
  </property>
  <property fmtid="{D5CDD505-2E9C-101B-9397-08002B2CF9AE}" pid="30" name="Directorate">
    <vt:lpwstr/>
  </property>
  <property fmtid="{D5CDD505-2E9C-101B-9397-08002B2CF9AE}" pid="31" name="HOSiteType">
    <vt:lpwstr>5;#Work Delivery|388f4f80-46e6-4bcd-8bd1-cea0059da8bd</vt:lpwstr>
  </property>
  <property fmtid="{D5CDD505-2E9C-101B-9397-08002B2CF9AE}" pid="32" name="MediaServiceImageTags">
    <vt:lpwstr/>
  </property>
  <property fmtid="{D5CDD505-2E9C-101B-9397-08002B2CF9AE}" pid="33" name="lcf76f155ced4ddcb4097134ff3c332f">
    <vt:lpwstr/>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y fmtid="{D5CDD505-2E9C-101B-9397-08002B2CF9AE}" pid="40" name="Order">
    <vt:r8>241000</vt:r8>
  </property>
  <property fmtid="{D5CDD505-2E9C-101B-9397-08002B2CF9AE}" pid="41" name="HOFrom">
    <vt:lpwstr/>
  </property>
  <property fmtid="{D5CDD505-2E9C-101B-9397-08002B2CF9AE}" pid="42" name="HOCC">
    <vt:lpwstr/>
  </property>
  <property fmtid="{D5CDD505-2E9C-101B-9397-08002B2CF9AE}" pid="43" name="vti_imgdate">
    <vt:lpwstr/>
  </property>
  <property fmtid="{D5CDD505-2E9C-101B-9397-08002B2CF9AE}" pid="44" name="HOTo">
    <vt:lpwstr/>
  </property>
  <property fmtid="{D5CDD505-2E9C-101B-9397-08002B2CF9AE}" pid="45" name="HOSubject">
    <vt:lpwstr/>
  </property>
  <property fmtid="{D5CDD505-2E9C-101B-9397-08002B2CF9AE}" pid="46" name="wic_System_Copyright">
    <vt:lpwstr/>
  </property>
</Properties>
</file>