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c="http://schemas.openxmlformats.org/drawingml/2006/chart" xmlns:pic="http://schemas.openxmlformats.org/drawingml/2006/picture" xmlns:a14="http://schemas.microsoft.com/office/drawing/2010/main" mc:Ignorable="w14 w15 w16se w16cid w16 w16cex w16sdtdh w16du wp14">
  <w:body>
    <w:p w:rsidRPr="00227210" w:rsidR="006F3AE7" w:rsidP="022B96D4" w:rsidRDefault="006F3AE7" w14:paraId="5F5EB3AE" w14:textId="2DCD7A83">
      <w:pPr>
        <w:pStyle w:val="Heading2"/>
        <w:jc w:val="center"/>
        <w:rPr>
          <w:i w:val="0"/>
        </w:rPr>
      </w:pPr>
      <w:r w:rsidRPr="022B96D4">
        <w:rPr>
          <w:i w:val="0"/>
        </w:rPr>
        <w:t xml:space="preserve">Annual Review </w:t>
      </w:r>
      <w:r w:rsidRPr="022B96D4" w:rsidR="009A5EAD">
        <w:rPr>
          <w:i w:val="0"/>
        </w:rPr>
        <w:t xml:space="preserve">Template </w:t>
      </w:r>
    </w:p>
    <w:p w:rsidRPr="00F70DBE" w:rsidR="006F3AE7" w:rsidP="006F3AE7" w:rsidRDefault="006F3AE7" w14:paraId="4F1FFEFD" w14:textId="77777777">
      <w:pPr>
        <w:rPr>
          <w:b/>
          <w:sz w:val="22"/>
          <w:szCs w:val="22"/>
        </w:rPr>
      </w:pPr>
    </w:p>
    <w:tbl>
      <w:tblPr>
        <w:tblStyle w:val="TableGrid"/>
        <w:tblW w:w="0" w:type="auto"/>
        <w:tblLook w:val="04A0" w:firstRow="1" w:lastRow="0" w:firstColumn="1" w:lastColumn="0" w:noHBand="0" w:noVBand="1"/>
      </w:tblPr>
      <w:tblGrid>
        <w:gridCol w:w="3964"/>
        <w:gridCol w:w="2410"/>
        <w:gridCol w:w="2642"/>
      </w:tblGrid>
      <w:tr w:rsidRPr="00F70DBE" w:rsidR="006F3AE7" w:rsidTr="50EF07AE" w14:paraId="47F4281E" w14:textId="77777777">
        <w:trPr>
          <w:trHeight w:val="407"/>
        </w:trPr>
        <w:tc>
          <w:tcPr>
            <w:tcW w:w="9016" w:type="dxa"/>
            <w:gridSpan w:val="3"/>
            <w:tcBorders>
              <w:top w:val="single" w:color="auto" w:sz="4" w:space="0"/>
              <w:left w:val="single" w:color="auto" w:sz="4" w:space="0"/>
              <w:bottom w:val="dotted" w:color="000000" w:themeColor="text1" w:sz="2" w:space="0"/>
              <w:right w:val="single" w:color="auto" w:sz="4" w:space="0"/>
            </w:tcBorders>
          </w:tcPr>
          <w:p w:rsidRPr="00CC6489" w:rsidR="006F3AE7" w:rsidP="00FD6297" w:rsidRDefault="006F3AE7" w14:paraId="19861584" w14:textId="64D03E78">
            <w:pPr>
              <w:rPr>
                <w:b/>
                <w:sz w:val="20"/>
                <w:szCs w:val="22"/>
              </w:rPr>
            </w:pPr>
            <w:r w:rsidRPr="00CC6489">
              <w:rPr>
                <w:b/>
                <w:sz w:val="20"/>
                <w:szCs w:val="22"/>
              </w:rPr>
              <w:t xml:space="preserve">Title:  </w:t>
            </w:r>
            <w:r w:rsidR="007253BB">
              <w:rPr>
                <w:b/>
                <w:sz w:val="20"/>
                <w:szCs w:val="22"/>
              </w:rPr>
              <w:t>Ocean Country Partnership Programme</w:t>
            </w:r>
          </w:p>
        </w:tc>
      </w:tr>
      <w:tr w:rsidRPr="00F70DBE" w:rsidR="006F3AE7" w:rsidTr="50EF07AE" w14:paraId="0D529975" w14:textId="77777777">
        <w:trPr>
          <w:trHeight w:val="330"/>
        </w:trPr>
        <w:tc>
          <w:tcPr>
            <w:tcW w:w="6374" w:type="dxa"/>
            <w:gridSpan w:val="2"/>
            <w:tcBorders>
              <w:top w:val="dotted" w:color="000000" w:themeColor="text1" w:sz="2" w:space="0"/>
              <w:left w:val="single" w:color="000000" w:themeColor="text1" w:sz="4" w:space="0"/>
              <w:bottom w:val="dotted" w:color="000000" w:themeColor="text1" w:sz="2" w:space="0"/>
              <w:right w:val="dotted" w:color="000000" w:themeColor="text1" w:sz="2" w:space="0"/>
            </w:tcBorders>
            <w:hideMark/>
          </w:tcPr>
          <w:p w:rsidRPr="00CC6489" w:rsidR="006F3AE7" w:rsidP="00FD6297" w:rsidRDefault="006F3AE7" w14:paraId="7CB3E574" w14:textId="335B9175">
            <w:pPr>
              <w:rPr>
                <w:b/>
                <w:sz w:val="20"/>
                <w:szCs w:val="22"/>
              </w:rPr>
            </w:pPr>
            <w:r w:rsidRPr="00CC6489">
              <w:rPr>
                <w:b/>
                <w:sz w:val="20"/>
                <w:szCs w:val="22"/>
              </w:rPr>
              <w:t xml:space="preserve">Programme Value £ (full life): </w:t>
            </w:r>
            <w:r w:rsidR="007253BB">
              <w:rPr>
                <w:b/>
                <w:sz w:val="20"/>
                <w:szCs w:val="22"/>
              </w:rPr>
              <w:t>£65m</w:t>
            </w:r>
          </w:p>
        </w:tc>
        <w:tc>
          <w:tcPr>
            <w:tcW w:w="2642" w:type="dxa"/>
            <w:tcBorders>
              <w:top w:val="dotted" w:color="000000" w:themeColor="text1" w:sz="2" w:space="0"/>
              <w:left w:val="dotted" w:color="000000" w:themeColor="text1" w:sz="2" w:space="0"/>
              <w:bottom w:val="dotted" w:color="000000" w:themeColor="text1" w:sz="2" w:space="0"/>
              <w:right w:val="single" w:color="000000" w:themeColor="text1" w:sz="4" w:space="0"/>
            </w:tcBorders>
            <w:hideMark/>
          </w:tcPr>
          <w:p w:rsidRPr="00CC6489" w:rsidR="006F3AE7" w:rsidP="00FD6297" w:rsidRDefault="006F3AE7" w14:paraId="1C769C30" w14:textId="6CBB357C">
            <w:pPr>
              <w:rPr>
                <w:b/>
                <w:sz w:val="20"/>
                <w:szCs w:val="22"/>
              </w:rPr>
            </w:pPr>
            <w:r w:rsidRPr="00CC6489">
              <w:rPr>
                <w:b/>
                <w:sz w:val="20"/>
                <w:szCs w:val="22"/>
              </w:rPr>
              <w:t xml:space="preserve">Review </w:t>
            </w:r>
            <w:r w:rsidR="002816BC">
              <w:rPr>
                <w:b/>
                <w:sz w:val="20"/>
                <w:szCs w:val="22"/>
              </w:rPr>
              <w:t>d</w:t>
            </w:r>
            <w:r w:rsidRPr="00CC6489">
              <w:rPr>
                <w:b/>
                <w:sz w:val="20"/>
                <w:szCs w:val="22"/>
              </w:rPr>
              <w:t xml:space="preserve">ate: </w:t>
            </w:r>
            <w:r w:rsidR="00D34EB9">
              <w:rPr>
                <w:b/>
                <w:sz w:val="20"/>
                <w:szCs w:val="22"/>
              </w:rPr>
              <w:t xml:space="preserve">July </w:t>
            </w:r>
            <w:r w:rsidR="001A5077">
              <w:rPr>
                <w:b/>
                <w:sz w:val="20"/>
                <w:szCs w:val="22"/>
              </w:rPr>
              <w:t>2023-June 2024</w:t>
            </w:r>
          </w:p>
        </w:tc>
      </w:tr>
      <w:tr w:rsidRPr="00F70DBE" w:rsidR="006F3AE7" w:rsidTr="50EF07AE" w14:paraId="7BCDC10B" w14:textId="77777777">
        <w:trPr>
          <w:trHeight w:val="495"/>
        </w:trPr>
        <w:tc>
          <w:tcPr>
            <w:tcW w:w="3964" w:type="dxa"/>
            <w:tcBorders>
              <w:top w:val="dotted" w:color="000000" w:themeColor="text1" w:sz="2" w:space="0"/>
              <w:left w:val="single" w:color="auto" w:sz="4" w:space="0"/>
              <w:bottom w:val="single" w:color="auto" w:sz="4" w:space="0"/>
              <w:right w:val="dotted" w:color="000000" w:themeColor="text1" w:sz="2" w:space="0"/>
            </w:tcBorders>
          </w:tcPr>
          <w:p w:rsidRPr="00CC6489" w:rsidR="006F3AE7" w:rsidP="00FD6297" w:rsidRDefault="006F3AE7" w14:paraId="34D5E3F0" w14:textId="5C17AD3B">
            <w:pPr>
              <w:rPr>
                <w:b/>
                <w:sz w:val="20"/>
                <w:szCs w:val="22"/>
              </w:rPr>
            </w:pPr>
            <w:r w:rsidRPr="00CC6489">
              <w:rPr>
                <w:b/>
                <w:sz w:val="20"/>
                <w:szCs w:val="22"/>
              </w:rPr>
              <w:t xml:space="preserve">Programme Code: </w:t>
            </w:r>
          </w:p>
          <w:p w:rsidRPr="00CC6489" w:rsidR="006F3AE7" w:rsidP="00FD6297" w:rsidRDefault="006F3AE7" w14:paraId="0C963E24" w14:textId="77777777">
            <w:pPr>
              <w:rPr>
                <w:b/>
                <w:sz w:val="20"/>
                <w:szCs w:val="22"/>
              </w:rPr>
            </w:pPr>
          </w:p>
        </w:tc>
        <w:tc>
          <w:tcPr>
            <w:tcW w:w="2410" w:type="dxa"/>
            <w:tcBorders>
              <w:top w:val="dotted" w:color="000000" w:themeColor="text1" w:sz="2" w:space="0"/>
              <w:left w:val="dotted" w:color="000000" w:themeColor="text1" w:sz="2" w:space="0"/>
              <w:bottom w:val="single" w:color="000000" w:themeColor="text1" w:sz="4" w:space="0"/>
              <w:right w:val="dotted" w:color="000000" w:themeColor="text1" w:sz="2" w:space="0"/>
            </w:tcBorders>
            <w:hideMark/>
          </w:tcPr>
          <w:p w:rsidRPr="00CC6489" w:rsidR="006F3AE7" w:rsidP="00FD6297" w:rsidRDefault="007B6475" w14:paraId="7ADA9748" w14:textId="1F881B53">
            <w:pPr>
              <w:rPr>
                <w:b/>
                <w:sz w:val="20"/>
                <w:szCs w:val="22"/>
              </w:rPr>
            </w:pPr>
            <w:r>
              <w:rPr>
                <w:b/>
                <w:sz w:val="20"/>
                <w:szCs w:val="22"/>
              </w:rPr>
              <w:t>S</w:t>
            </w:r>
            <w:r w:rsidR="002816BC">
              <w:rPr>
                <w:b/>
                <w:sz w:val="20"/>
                <w:szCs w:val="22"/>
              </w:rPr>
              <w:t>tart d</w:t>
            </w:r>
            <w:r w:rsidRPr="00CC6489" w:rsidR="006F3AE7">
              <w:rPr>
                <w:b/>
                <w:sz w:val="20"/>
                <w:szCs w:val="22"/>
              </w:rPr>
              <w:t>ate:</w:t>
            </w:r>
            <w:r w:rsidRPr="00CC6489" w:rsidR="006F3AE7">
              <w:rPr>
                <w:sz w:val="20"/>
              </w:rPr>
              <w:t xml:space="preserve"> </w:t>
            </w:r>
            <w:r w:rsidRPr="000B1C59" w:rsidR="00996332">
              <w:rPr>
                <w:b/>
                <w:bCs/>
                <w:sz w:val="20"/>
              </w:rPr>
              <w:t>June</w:t>
            </w:r>
            <w:r w:rsidRPr="000B1C59" w:rsidR="007B6175">
              <w:rPr>
                <w:b/>
                <w:bCs/>
                <w:sz w:val="20"/>
              </w:rPr>
              <w:t xml:space="preserve"> 2021</w:t>
            </w:r>
          </w:p>
        </w:tc>
        <w:tc>
          <w:tcPr>
            <w:tcW w:w="2642" w:type="dxa"/>
            <w:tcBorders>
              <w:top w:val="dotted" w:color="000000" w:themeColor="text1" w:sz="2" w:space="0"/>
              <w:left w:val="dotted" w:color="000000" w:themeColor="text1" w:sz="2" w:space="0"/>
              <w:bottom w:val="single" w:color="auto" w:sz="4" w:space="0"/>
              <w:right w:val="single" w:color="auto" w:sz="4" w:space="0"/>
            </w:tcBorders>
            <w:hideMark/>
          </w:tcPr>
          <w:p w:rsidRPr="00CC6489" w:rsidR="006F3AE7" w:rsidP="00FD6297" w:rsidRDefault="007B6475" w14:paraId="2EEAABCE" w14:textId="4A21245E">
            <w:pPr>
              <w:rPr>
                <w:b/>
                <w:sz w:val="20"/>
                <w:szCs w:val="22"/>
              </w:rPr>
            </w:pPr>
            <w:r>
              <w:rPr>
                <w:b/>
                <w:sz w:val="20"/>
                <w:szCs w:val="22"/>
              </w:rPr>
              <w:t>End</w:t>
            </w:r>
            <w:r w:rsidR="002816BC">
              <w:rPr>
                <w:b/>
                <w:sz w:val="20"/>
                <w:szCs w:val="22"/>
              </w:rPr>
              <w:t xml:space="preserve"> d</w:t>
            </w:r>
            <w:r w:rsidRPr="00CC6489" w:rsidR="006F3AE7">
              <w:rPr>
                <w:b/>
                <w:sz w:val="20"/>
                <w:szCs w:val="22"/>
              </w:rPr>
              <w:t>ate:</w:t>
            </w:r>
            <w:r w:rsidRPr="00CC6489" w:rsidR="006F3AE7">
              <w:rPr>
                <w:sz w:val="20"/>
              </w:rPr>
              <w:t xml:space="preserve"> </w:t>
            </w:r>
            <w:r w:rsidRPr="000B1C59" w:rsidR="007B6175">
              <w:rPr>
                <w:b/>
                <w:bCs/>
                <w:sz w:val="20"/>
              </w:rPr>
              <w:t>March 2026</w:t>
            </w:r>
          </w:p>
        </w:tc>
      </w:tr>
    </w:tbl>
    <w:p w:rsidRPr="00F70DBE" w:rsidR="006F3AE7" w:rsidP="006F3AE7" w:rsidRDefault="006F3AE7" w14:paraId="1F73C094" w14:textId="77777777">
      <w:pPr>
        <w:rPr>
          <w:b/>
          <w:sz w:val="22"/>
          <w:szCs w:val="22"/>
        </w:rPr>
      </w:pPr>
    </w:p>
    <w:p w:rsidRPr="00CC6489" w:rsidR="006F3AE7" w:rsidP="006F3AE7" w:rsidRDefault="006F3AE7" w14:paraId="36AFB1BA" w14:textId="77777777">
      <w:pPr>
        <w:rPr>
          <w:b/>
          <w:sz w:val="22"/>
          <w:szCs w:val="22"/>
        </w:rPr>
      </w:pPr>
      <w:r w:rsidRPr="00CC6489">
        <w:rPr>
          <w:b/>
          <w:sz w:val="22"/>
          <w:szCs w:val="22"/>
        </w:rPr>
        <w:t xml:space="preserve">Summary of Programme Performance </w:t>
      </w:r>
    </w:p>
    <w:tbl>
      <w:tblPr>
        <w:tblStyle w:val="TableGrid"/>
        <w:tblW w:w="0" w:type="auto"/>
        <w:tblLook w:val="04A0" w:firstRow="1" w:lastRow="0" w:firstColumn="1" w:lastColumn="0" w:noHBand="0" w:noVBand="1"/>
      </w:tblPr>
      <w:tblGrid>
        <w:gridCol w:w="2365"/>
        <w:gridCol w:w="709"/>
        <w:gridCol w:w="918"/>
        <w:gridCol w:w="844"/>
        <w:gridCol w:w="844"/>
        <w:gridCol w:w="843"/>
        <w:gridCol w:w="831"/>
        <w:gridCol w:w="831"/>
        <w:gridCol w:w="831"/>
      </w:tblGrid>
      <w:tr w:rsidRPr="00CC6489" w:rsidR="00A91F20" w:rsidTr="00AC478B" w14:paraId="3FAAC49F" w14:textId="77777777">
        <w:tc>
          <w:tcPr>
            <w:tcW w:w="2393" w:type="dxa"/>
            <w:tcBorders>
              <w:top w:val="single" w:color="auto" w:sz="4" w:space="0"/>
              <w:left w:val="single" w:color="auto" w:sz="4" w:space="0"/>
              <w:bottom w:val="single" w:color="auto" w:sz="4" w:space="0"/>
              <w:right w:val="single" w:color="auto" w:sz="4" w:space="0"/>
            </w:tcBorders>
            <w:shd w:val="clear" w:color="auto" w:fill="B4C6E7" w:themeFill="accent1" w:themeFillTint="66"/>
            <w:hideMark/>
          </w:tcPr>
          <w:p w:rsidRPr="00CC6489" w:rsidR="00A91F20" w:rsidP="00A91F20" w:rsidRDefault="00A91F20" w14:paraId="0D41FCBF" w14:textId="77777777">
            <w:pPr>
              <w:rPr>
                <w:sz w:val="20"/>
                <w:szCs w:val="22"/>
              </w:rPr>
            </w:pPr>
            <w:r w:rsidRPr="00CC6489">
              <w:rPr>
                <w:sz w:val="20"/>
                <w:szCs w:val="22"/>
              </w:rPr>
              <w:t>Year</w:t>
            </w:r>
          </w:p>
        </w:tc>
        <w:tc>
          <w:tcPr>
            <w:tcW w:w="708" w:type="dxa"/>
            <w:tcBorders>
              <w:top w:val="single" w:color="auto" w:sz="4" w:space="0"/>
              <w:left w:val="single" w:color="auto" w:sz="4" w:space="0"/>
              <w:bottom w:val="single" w:color="auto" w:sz="4" w:space="0"/>
              <w:right w:val="single" w:color="auto" w:sz="4" w:space="0"/>
            </w:tcBorders>
          </w:tcPr>
          <w:p w:rsidRPr="00CC6489" w:rsidR="00A91F20" w:rsidP="00A91F20" w:rsidRDefault="00A91F20" w14:paraId="3789EC80" w14:textId="2BE58EE9">
            <w:pPr>
              <w:rPr>
                <w:b/>
                <w:sz w:val="20"/>
                <w:szCs w:val="22"/>
              </w:rPr>
            </w:pPr>
            <w:r w:rsidRPr="7DE48ABB">
              <w:rPr>
                <w:rFonts w:asciiTheme="minorHAnsi" w:hAnsiTheme="minorHAnsi" w:eastAsiaTheme="minorEastAsia" w:cstheme="minorBidi"/>
                <w:b/>
                <w:color w:val="000000" w:themeColor="text1"/>
                <w:sz w:val="20"/>
                <w:szCs w:val="20"/>
              </w:rPr>
              <w:t>21/22</w:t>
            </w:r>
          </w:p>
        </w:tc>
        <w:tc>
          <w:tcPr>
            <w:tcW w:w="846" w:type="dxa"/>
            <w:tcBorders>
              <w:top w:val="single" w:color="auto" w:sz="4" w:space="0"/>
              <w:left w:val="single" w:color="auto" w:sz="4" w:space="0"/>
              <w:bottom w:val="single" w:color="auto" w:sz="4" w:space="0"/>
              <w:right w:val="single" w:color="auto" w:sz="4" w:space="0"/>
            </w:tcBorders>
          </w:tcPr>
          <w:p w:rsidRPr="00CC6489" w:rsidR="00A91F20" w:rsidP="00A91F20" w:rsidRDefault="00A91F20" w14:paraId="4142BE6C" w14:textId="20A83A0B">
            <w:pPr>
              <w:rPr>
                <w:b/>
                <w:sz w:val="20"/>
                <w:szCs w:val="22"/>
              </w:rPr>
            </w:pPr>
            <w:r w:rsidRPr="7DE48ABB">
              <w:rPr>
                <w:rFonts w:asciiTheme="minorHAnsi" w:hAnsiTheme="minorHAnsi" w:eastAsiaTheme="minorEastAsia" w:cstheme="minorBidi"/>
                <w:b/>
                <w:color w:val="000000" w:themeColor="text1"/>
                <w:sz w:val="20"/>
                <w:szCs w:val="20"/>
              </w:rPr>
              <w:t>22/23</w:t>
            </w:r>
          </w:p>
        </w:tc>
        <w:tc>
          <w:tcPr>
            <w:tcW w:w="847" w:type="dxa"/>
            <w:tcBorders>
              <w:top w:val="single" w:color="auto" w:sz="4" w:space="0"/>
              <w:left w:val="single" w:color="auto" w:sz="4" w:space="0"/>
              <w:bottom w:val="single" w:color="auto" w:sz="4" w:space="0"/>
              <w:right w:val="single" w:color="auto" w:sz="4" w:space="0"/>
            </w:tcBorders>
          </w:tcPr>
          <w:p w:rsidRPr="007C3CE9" w:rsidR="00A91F20" w:rsidP="00A91F20" w:rsidRDefault="00A91F20" w14:paraId="388FF97F" w14:textId="70C770B7">
            <w:pPr>
              <w:rPr>
                <w:rFonts w:asciiTheme="minorHAnsi" w:hAnsiTheme="minorHAnsi" w:cstheme="minorHAnsi"/>
                <w:b/>
                <w:sz w:val="20"/>
                <w:szCs w:val="22"/>
              </w:rPr>
            </w:pPr>
            <w:r w:rsidRPr="007C3CE9">
              <w:rPr>
                <w:rFonts w:asciiTheme="minorHAnsi" w:hAnsiTheme="minorHAnsi" w:eastAsiaTheme="minorEastAsia" w:cstheme="minorHAnsi"/>
                <w:b/>
                <w:color w:val="000000" w:themeColor="text1"/>
                <w:sz w:val="20"/>
                <w:szCs w:val="20"/>
              </w:rPr>
              <w:t>23/24</w:t>
            </w:r>
          </w:p>
        </w:tc>
        <w:tc>
          <w:tcPr>
            <w:tcW w:w="847" w:type="dxa"/>
            <w:tcBorders>
              <w:top w:val="single" w:color="auto" w:sz="4" w:space="0"/>
              <w:left w:val="single" w:color="auto" w:sz="4" w:space="0"/>
              <w:bottom w:val="single" w:color="auto" w:sz="4" w:space="0"/>
              <w:right w:val="single" w:color="auto" w:sz="4" w:space="0"/>
            </w:tcBorders>
          </w:tcPr>
          <w:p w:rsidRPr="00CC6489" w:rsidR="00A91F20" w:rsidP="00A91F20" w:rsidRDefault="00A91F20" w14:paraId="066342D3" w14:textId="2E3C0994">
            <w:pPr>
              <w:rPr>
                <w:b/>
                <w:sz w:val="20"/>
                <w:szCs w:val="22"/>
              </w:rPr>
            </w:pPr>
            <w:r w:rsidRPr="7DE48ABB">
              <w:rPr>
                <w:rFonts w:asciiTheme="minorHAnsi" w:hAnsiTheme="minorHAnsi" w:eastAsiaTheme="minorEastAsia" w:cstheme="minorBidi"/>
                <w:b/>
                <w:color w:val="000000" w:themeColor="text1"/>
                <w:sz w:val="20"/>
                <w:szCs w:val="20"/>
              </w:rPr>
              <w:t>24/25</w:t>
            </w:r>
          </w:p>
        </w:tc>
        <w:tc>
          <w:tcPr>
            <w:tcW w:w="846" w:type="dxa"/>
            <w:tcBorders>
              <w:top w:val="single" w:color="auto" w:sz="4" w:space="0"/>
              <w:left w:val="single" w:color="auto" w:sz="4" w:space="0"/>
              <w:bottom w:val="single" w:color="auto" w:sz="4" w:space="0"/>
              <w:right w:val="single" w:color="auto" w:sz="4" w:space="0"/>
            </w:tcBorders>
          </w:tcPr>
          <w:p w:rsidRPr="00CC6489" w:rsidR="00A91F20" w:rsidP="00A91F20" w:rsidRDefault="00A91F20" w14:paraId="29074948" w14:textId="50483839">
            <w:pPr>
              <w:rPr>
                <w:b/>
                <w:sz w:val="20"/>
                <w:szCs w:val="22"/>
              </w:rPr>
            </w:pPr>
            <w:r w:rsidRPr="7DE48ABB">
              <w:rPr>
                <w:rFonts w:asciiTheme="minorHAnsi" w:hAnsiTheme="minorHAnsi" w:eastAsiaTheme="minorEastAsia" w:cstheme="minorBidi"/>
                <w:b/>
                <w:color w:val="000000" w:themeColor="text1"/>
                <w:sz w:val="20"/>
                <w:szCs w:val="20"/>
              </w:rPr>
              <w:t>25/26</w:t>
            </w:r>
          </w:p>
        </w:tc>
        <w:tc>
          <w:tcPr>
            <w:tcW w:w="843" w:type="dxa"/>
            <w:tcBorders>
              <w:top w:val="single" w:color="auto" w:sz="4" w:space="0"/>
              <w:left w:val="single" w:color="auto" w:sz="4" w:space="0"/>
              <w:bottom w:val="single" w:color="auto" w:sz="4" w:space="0"/>
              <w:right w:val="single" w:color="auto" w:sz="4" w:space="0"/>
            </w:tcBorders>
          </w:tcPr>
          <w:p w:rsidRPr="00CC6489" w:rsidR="00A91F20" w:rsidP="00A91F20" w:rsidRDefault="00A91F20" w14:paraId="17932494" w14:textId="77777777">
            <w:pPr>
              <w:rPr>
                <w:b/>
                <w:sz w:val="20"/>
                <w:szCs w:val="22"/>
              </w:rPr>
            </w:pPr>
          </w:p>
        </w:tc>
        <w:tc>
          <w:tcPr>
            <w:tcW w:w="843" w:type="dxa"/>
            <w:tcBorders>
              <w:top w:val="single" w:color="auto" w:sz="4" w:space="0"/>
              <w:left w:val="single" w:color="auto" w:sz="4" w:space="0"/>
              <w:bottom w:val="single" w:color="auto" w:sz="4" w:space="0"/>
              <w:right w:val="single" w:color="auto" w:sz="4" w:space="0"/>
            </w:tcBorders>
          </w:tcPr>
          <w:p w:rsidRPr="00CC6489" w:rsidR="00A91F20" w:rsidP="00A91F20" w:rsidRDefault="00A91F20" w14:paraId="02EEF7F1" w14:textId="77777777">
            <w:pPr>
              <w:rPr>
                <w:b/>
                <w:sz w:val="20"/>
                <w:szCs w:val="22"/>
              </w:rPr>
            </w:pPr>
          </w:p>
        </w:tc>
        <w:tc>
          <w:tcPr>
            <w:tcW w:w="843" w:type="dxa"/>
            <w:tcBorders>
              <w:top w:val="single" w:color="auto" w:sz="4" w:space="0"/>
              <w:left w:val="single" w:color="auto" w:sz="4" w:space="0"/>
              <w:bottom w:val="single" w:color="auto" w:sz="4" w:space="0"/>
              <w:right w:val="single" w:color="auto" w:sz="4" w:space="0"/>
            </w:tcBorders>
          </w:tcPr>
          <w:p w:rsidRPr="00CC6489" w:rsidR="00A91F20" w:rsidP="00A91F20" w:rsidRDefault="00A91F20" w14:paraId="24AA988B" w14:textId="77777777">
            <w:pPr>
              <w:rPr>
                <w:b/>
                <w:sz w:val="20"/>
                <w:szCs w:val="22"/>
              </w:rPr>
            </w:pPr>
          </w:p>
        </w:tc>
      </w:tr>
      <w:tr w:rsidRPr="00CC6489" w:rsidR="00AC478B" w:rsidTr="00AC478B" w14:paraId="07C3274D" w14:textId="77777777">
        <w:tc>
          <w:tcPr>
            <w:tcW w:w="2393" w:type="dxa"/>
            <w:tcBorders>
              <w:top w:val="single" w:color="auto" w:sz="4" w:space="0"/>
              <w:left w:val="single" w:color="auto" w:sz="4" w:space="0"/>
              <w:bottom w:val="single" w:color="auto" w:sz="4" w:space="0"/>
              <w:right w:val="single" w:color="auto" w:sz="4" w:space="0"/>
            </w:tcBorders>
            <w:shd w:val="clear" w:color="auto" w:fill="B4C6E7" w:themeFill="accent1" w:themeFillTint="66"/>
            <w:hideMark/>
          </w:tcPr>
          <w:p w:rsidRPr="00CC6489" w:rsidR="00AC478B" w:rsidP="00AC478B" w:rsidRDefault="00AC478B" w14:paraId="1545D41E" w14:textId="2FC46EB2">
            <w:pPr>
              <w:rPr>
                <w:sz w:val="20"/>
                <w:szCs w:val="22"/>
              </w:rPr>
            </w:pPr>
            <w:r w:rsidRPr="00CC6489">
              <w:rPr>
                <w:sz w:val="20"/>
                <w:szCs w:val="22"/>
              </w:rPr>
              <w:t>Overall Output Score</w:t>
            </w:r>
          </w:p>
        </w:tc>
        <w:tc>
          <w:tcPr>
            <w:tcW w:w="708" w:type="dxa"/>
            <w:tcBorders>
              <w:top w:val="single" w:color="auto" w:sz="4" w:space="0"/>
              <w:left w:val="single" w:color="auto" w:sz="4" w:space="0"/>
              <w:bottom w:val="single" w:color="auto" w:sz="4" w:space="0"/>
              <w:right w:val="single" w:color="auto" w:sz="4" w:space="0"/>
            </w:tcBorders>
          </w:tcPr>
          <w:p w:rsidRPr="00CC6489" w:rsidR="00AC478B" w:rsidP="00AC478B" w:rsidRDefault="00AC478B" w14:paraId="32E739E6" w14:textId="783F317F">
            <w:pPr>
              <w:rPr>
                <w:b/>
                <w:sz w:val="20"/>
                <w:szCs w:val="22"/>
              </w:rPr>
            </w:pPr>
            <w:r w:rsidRPr="7DE48ABB">
              <w:rPr>
                <w:rFonts w:asciiTheme="minorHAnsi" w:hAnsiTheme="minorHAnsi" w:eastAsiaTheme="minorEastAsia" w:cstheme="minorBidi"/>
                <w:b/>
                <w:sz w:val="20"/>
                <w:szCs w:val="20"/>
              </w:rPr>
              <w:t>N/A</w:t>
            </w:r>
          </w:p>
        </w:tc>
        <w:tc>
          <w:tcPr>
            <w:tcW w:w="846" w:type="dxa"/>
            <w:tcBorders>
              <w:top w:val="single" w:color="auto" w:sz="4" w:space="0"/>
              <w:left w:val="single" w:color="auto" w:sz="4" w:space="0"/>
              <w:bottom w:val="single" w:color="auto" w:sz="4" w:space="0"/>
              <w:right w:val="single" w:color="auto" w:sz="4" w:space="0"/>
            </w:tcBorders>
          </w:tcPr>
          <w:p w:rsidRPr="00CC6489" w:rsidR="00AC478B" w:rsidP="00AC478B" w:rsidRDefault="00AC478B" w14:paraId="6BA4EC77" w14:textId="2B5AE06E">
            <w:pPr>
              <w:rPr>
                <w:b/>
                <w:sz w:val="20"/>
                <w:szCs w:val="22"/>
              </w:rPr>
            </w:pPr>
            <w:r w:rsidRPr="7DE48ABB">
              <w:rPr>
                <w:rFonts w:asciiTheme="minorHAnsi" w:hAnsiTheme="minorHAnsi" w:eastAsiaTheme="minorEastAsia" w:cstheme="minorBidi"/>
                <w:b/>
                <w:bCs/>
                <w:sz w:val="20"/>
                <w:szCs w:val="20"/>
              </w:rPr>
              <w:t>B</w:t>
            </w:r>
          </w:p>
        </w:tc>
        <w:tc>
          <w:tcPr>
            <w:tcW w:w="847" w:type="dxa"/>
            <w:tcBorders>
              <w:top w:val="single" w:color="auto" w:sz="4" w:space="0"/>
              <w:left w:val="single" w:color="auto" w:sz="4" w:space="0"/>
              <w:bottom w:val="single" w:color="auto" w:sz="4" w:space="0"/>
              <w:right w:val="single" w:color="auto" w:sz="4" w:space="0"/>
            </w:tcBorders>
          </w:tcPr>
          <w:p w:rsidRPr="007C3CE9" w:rsidR="00AC478B" w:rsidP="00AC478B" w:rsidRDefault="00450809" w14:paraId="31108F1C" w14:textId="5364E0AC">
            <w:pPr>
              <w:rPr>
                <w:rFonts w:asciiTheme="minorHAnsi" w:hAnsiTheme="minorHAnsi" w:cstheme="minorHAnsi"/>
                <w:b/>
                <w:sz w:val="20"/>
                <w:szCs w:val="22"/>
              </w:rPr>
            </w:pPr>
            <w:r w:rsidRPr="007C3CE9">
              <w:rPr>
                <w:rFonts w:asciiTheme="minorHAnsi" w:hAnsiTheme="minorHAnsi" w:cstheme="minorHAnsi"/>
                <w:b/>
                <w:sz w:val="20"/>
                <w:szCs w:val="22"/>
              </w:rPr>
              <w:t>B</w:t>
            </w:r>
          </w:p>
        </w:tc>
        <w:tc>
          <w:tcPr>
            <w:tcW w:w="847" w:type="dxa"/>
            <w:tcBorders>
              <w:top w:val="single" w:color="auto" w:sz="4" w:space="0"/>
              <w:left w:val="single" w:color="auto" w:sz="4" w:space="0"/>
              <w:bottom w:val="single" w:color="auto" w:sz="4" w:space="0"/>
              <w:right w:val="single" w:color="auto" w:sz="4" w:space="0"/>
            </w:tcBorders>
          </w:tcPr>
          <w:p w:rsidRPr="00CC6489" w:rsidR="00AC478B" w:rsidP="00AC478B" w:rsidRDefault="00AC478B" w14:paraId="634F0501" w14:textId="77777777">
            <w:pPr>
              <w:rPr>
                <w:b/>
                <w:sz w:val="20"/>
                <w:szCs w:val="22"/>
              </w:rPr>
            </w:pPr>
          </w:p>
        </w:tc>
        <w:tc>
          <w:tcPr>
            <w:tcW w:w="846" w:type="dxa"/>
            <w:tcBorders>
              <w:top w:val="single" w:color="auto" w:sz="4" w:space="0"/>
              <w:left w:val="single" w:color="auto" w:sz="4" w:space="0"/>
              <w:bottom w:val="single" w:color="auto" w:sz="4" w:space="0"/>
              <w:right w:val="single" w:color="auto" w:sz="4" w:space="0"/>
            </w:tcBorders>
          </w:tcPr>
          <w:p w:rsidRPr="00CC6489" w:rsidR="00AC478B" w:rsidP="00AC478B" w:rsidRDefault="00AC478B" w14:paraId="697FDD6A" w14:textId="77777777">
            <w:pPr>
              <w:rPr>
                <w:b/>
                <w:sz w:val="20"/>
                <w:szCs w:val="22"/>
              </w:rPr>
            </w:pPr>
          </w:p>
        </w:tc>
        <w:tc>
          <w:tcPr>
            <w:tcW w:w="843" w:type="dxa"/>
            <w:tcBorders>
              <w:top w:val="single" w:color="auto" w:sz="4" w:space="0"/>
              <w:left w:val="single" w:color="auto" w:sz="4" w:space="0"/>
              <w:bottom w:val="single" w:color="auto" w:sz="4" w:space="0"/>
              <w:right w:val="single" w:color="auto" w:sz="4" w:space="0"/>
            </w:tcBorders>
          </w:tcPr>
          <w:p w:rsidRPr="00CC6489" w:rsidR="00AC478B" w:rsidP="00AC478B" w:rsidRDefault="00AC478B" w14:paraId="695E147B" w14:textId="77777777">
            <w:pPr>
              <w:rPr>
                <w:b/>
                <w:sz w:val="20"/>
                <w:szCs w:val="22"/>
              </w:rPr>
            </w:pPr>
          </w:p>
        </w:tc>
        <w:tc>
          <w:tcPr>
            <w:tcW w:w="843" w:type="dxa"/>
            <w:tcBorders>
              <w:top w:val="single" w:color="auto" w:sz="4" w:space="0"/>
              <w:left w:val="single" w:color="auto" w:sz="4" w:space="0"/>
              <w:bottom w:val="single" w:color="auto" w:sz="4" w:space="0"/>
              <w:right w:val="single" w:color="auto" w:sz="4" w:space="0"/>
            </w:tcBorders>
          </w:tcPr>
          <w:p w:rsidRPr="00CC6489" w:rsidR="00AC478B" w:rsidP="00AC478B" w:rsidRDefault="00AC478B" w14:paraId="59449EE1" w14:textId="77777777">
            <w:pPr>
              <w:rPr>
                <w:b/>
                <w:sz w:val="20"/>
                <w:szCs w:val="22"/>
              </w:rPr>
            </w:pPr>
          </w:p>
        </w:tc>
        <w:tc>
          <w:tcPr>
            <w:tcW w:w="843" w:type="dxa"/>
            <w:tcBorders>
              <w:top w:val="single" w:color="auto" w:sz="4" w:space="0"/>
              <w:left w:val="single" w:color="auto" w:sz="4" w:space="0"/>
              <w:bottom w:val="single" w:color="auto" w:sz="4" w:space="0"/>
              <w:right w:val="single" w:color="auto" w:sz="4" w:space="0"/>
            </w:tcBorders>
          </w:tcPr>
          <w:p w:rsidRPr="00CC6489" w:rsidR="00AC478B" w:rsidP="00AC478B" w:rsidRDefault="00AC478B" w14:paraId="389002AB" w14:textId="77777777">
            <w:pPr>
              <w:rPr>
                <w:b/>
                <w:sz w:val="20"/>
                <w:szCs w:val="22"/>
              </w:rPr>
            </w:pPr>
          </w:p>
        </w:tc>
      </w:tr>
      <w:tr w:rsidRPr="00CC6489" w:rsidR="00132524" w:rsidTr="00AC478B" w14:paraId="29305AB3" w14:textId="77777777">
        <w:trPr>
          <w:trHeight w:val="309"/>
        </w:trPr>
        <w:tc>
          <w:tcPr>
            <w:tcW w:w="2393" w:type="dxa"/>
            <w:tcBorders>
              <w:top w:val="single" w:color="auto" w:sz="4" w:space="0"/>
              <w:left w:val="single" w:color="auto" w:sz="4" w:space="0"/>
              <w:bottom w:val="single" w:color="auto" w:sz="4" w:space="0"/>
              <w:right w:val="single" w:color="auto" w:sz="4" w:space="0"/>
            </w:tcBorders>
            <w:shd w:val="clear" w:color="auto" w:fill="B4C6E7" w:themeFill="accent1" w:themeFillTint="66"/>
            <w:hideMark/>
          </w:tcPr>
          <w:p w:rsidRPr="00CC6489" w:rsidR="00132524" w:rsidP="00132524" w:rsidRDefault="00132524" w14:paraId="64C76BE5" w14:textId="77777777">
            <w:pPr>
              <w:rPr>
                <w:sz w:val="20"/>
                <w:szCs w:val="22"/>
              </w:rPr>
            </w:pPr>
            <w:r w:rsidRPr="00CC6489">
              <w:rPr>
                <w:sz w:val="20"/>
                <w:szCs w:val="22"/>
              </w:rPr>
              <w:t>Risk Rating</w:t>
            </w:r>
            <w:r w:rsidRPr="00CC6489">
              <w:rPr>
                <w:sz w:val="22"/>
              </w:rPr>
              <w:t xml:space="preserve"> </w:t>
            </w:r>
          </w:p>
        </w:tc>
        <w:tc>
          <w:tcPr>
            <w:tcW w:w="708" w:type="dxa"/>
            <w:tcBorders>
              <w:top w:val="single" w:color="auto" w:sz="4" w:space="0"/>
              <w:left w:val="single" w:color="auto" w:sz="4" w:space="0"/>
              <w:bottom w:val="single" w:color="auto" w:sz="4" w:space="0"/>
              <w:right w:val="single" w:color="auto" w:sz="4" w:space="0"/>
            </w:tcBorders>
          </w:tcPr>
          <w:p w:rsidRPr="00CC6489" w:rsidR="00132524" w:rsidP="00132524" w:rsidRDefault="00132524" w14:paraId="51830F80" w14:textId="3B33D208">
            <w:pPr>
              <w:rPr>
                <w:b/>
                <w:sz w:val="20"/>
                <w:szCs w:val="22"/>
              </w:rPr>
            </w:pPr>
            <w:r w:rsidRPr="7DE48ABB">
              <w:rPr>
                <w:rFonts w:asciiTheme="minorHAnsi" w:hAnsiTheme="minorHAnsi" w:eastAsiaTheme="minorEastAsia" w:cstheme="minorBidi"/>
                <w:b/>
                <w:sz w:val="20"/>
                <w:szCs w:val="20"/>
              </w:rPr>
              <w:t>N/A</w:t>
            </w:r>
          </w:p>
        </w:tc>
        <w:tc>
          <w:tcPr>
            <w:tcW w:w="846" w:type="dxa"/>
            <w:tcBorders>
              <w:top w:val="single" w:color="auto" w:sz="4" w:space="0"/>
              <w:left w:val="single" w:color="auto" w:sz="4" w:space="0"/>
              <w:bottom w:val="single" w:color="auto" w:sz="4" w:space="0"/>
              <w:right w:val="single" w:color="auto" w:sz="4" w:space="0"/>
            </w:tcBorders>
          </w:tcPr>
          <w:p w:rsidRPr="00CC6489" w:rsidR="00132524" w:rsidP="00132524" w:rsidRDefault="00973F6F" w14:paraId="2BF67D24" w14:textId="79E1A3A3">
            <w:pPr>
              <w:rPr>
                <w:b/>
                <w:sz w:val="20"/>
                <w:szCs w:val="22"/>
              </w:rPr>
            </w:pPr>
            <w:r>
              <w:rPr>
                <w:rFonts w:asciiTheme="minorHAnsi" w:hAnsiTheme="minorHAnsi" w:eastAsiaTheme="minorEastAsia" w:cstheme="minorBidi"/>
                <w:b/>
                <w:bCs/>
                <w:sz w:val="20"/>
                <w:szCs w:val="20"/>
              </w:rPr>
              <w:t>Medium</w:t>
            </w:r>
          </w:p>
        </w:tc>
        <w:tc>
          <w:tcPr>
            <w:tcW w:w="847" w:type="dxa"/>
            <w:tcBorders>
              <w:top w:val="single" w:color="auto" w:sz="4" w:space="0"/>
              <w:left w:val="single" w:color="auto" w:sz="4" w:space="0"/>
              <w:bottom w:val="single" w:color="auto" w:sz="4" w:space="0"/>
              <w:right w:val="single" w:color="auto" w:sz="4" w:space="0"/>
            </w:tcBorders>
          </w:tcPr>
          <w:p w:rsidRPr="007C3CE9" w:rsidR="00132524" w:rsidP="00132524" w:rsidRDefault="007C3CE9" w14:paraId="2A2B872D" w14:textId="1F14DDED">
            <w:pPr>
              <w:rPr>
                <w:rFonts w:asciiTheme="minorHAnsi" w:hAnsiTheme="minorHAnsi" w:cstheme="minorHAnsi"/>
                <w:b/>
                <w:sz w:val="16"/>
                <w:szCs w:val="16"/>
              </w:rPr>
            </w:pPr>
            <w:r>
              <w:rPr>
                <w:rFonts w:asciiTheme="minorHAnsi" w:hAnsiTheme="minorHAnsi" w:cstheme="minorHAnsi"/>
                <w:b/>
                <w:bCs/>
                <w:sz w:val="18"/>
                <w:szCs w:val="18"/>
              </w:rPr>
              <w:t>High</w:t>
            </w:r>
          </w:p>
        </w:tc>
        <w:tc>
          <w:tcPr>
            <w:tcW w:w="847" w:type="dxa"/>
            <w:tcBorders>
              <w:top w:val="single" w:color="auto" w:sz="4" w:space="0"/>
              <w:left w:val="single" w:color="auto" w:sz="4" w:space="0"/>
              <w:bottom w:val="single" w:color="auto" w:sz="4" w:space="0"/>
              <w:right w:val="single" w:color="auto" w:sz="4" w:space="0"/>
            </w:tcBorders>
          </w:tcPr>
          <w:p w:rsidRPr="00CC6489" w:rsidR="00132524" w:rsidP="00132524" w:rsidRDefault="00132524" w14:paraId="62ED8C8E" w14:textId="77777777">
            <w:pPr>
              <w:rPr>
                <w:b/>
                <w:sz w:val="20"/>
                <w:szCs w:val="22"/>
              </w:rPr>
            </w:pPr>
          </w:p>
        </w:tc>
        <w:tc>
          <w:tcPr>
            <w:tcW w:w="846" w:type="dxa"/>
            <w:tcBorders>
              <w:top w:val="single" w:color="auto" w:sz="4" w:space="0"/>
              <w:left w:val="single" w:color="auto" w:sz="4" w:space="0"/>
              <w:bottom w:val="single" w:color="auto" w:sz="4" w:space="0"/>
              <w:right w:val="single" w:color="auto" w:sz="4" w:space="0"/>
            </w:tcBorders>
          </w:tcPr>
          <w:p w:rsidRPr="00CC6489" w:rsidR="00132524" w:rsidP="00132524" w:rsidRDefault="00132524" w14:paraId="4E36212A" w14:textId="77777777">
            <w:pPr>
              <w:rPr>
                <w:b/>
                <w:sz w:val="20"/>
                <w:szCs w:val="22"/>
              </w:rPr>
            </w:pPr>
          </w:p>
        </w:tc>
        <w:tc>
          <w:tcPr>
            <w:tcW w:w="843" w:type="dxa"/>
            <w:tcBorders>
              <w:top w:val="single" w:color="auto" w:sz="4" w:space="0"/>
              <w:left w:val="single" w:color="auto" w:sz="4" w:space="0"/>
              <w:bottom w:val="single" w:color="auto" w:sz="4" w:space="0"/>
              <w:right w:val="single" w:color="auto" w:sz="4" w:space="0"/>
            </w:tcBorders>
          </w:tcPr>
          <w:p w:rsidRPr="00CC6489" w:rsidR="00132524" w:rsidP="00132524" w:rsidRDefault="00132524" w14:paraId="0DA33296" w14:textId="77777777">
            <w:pPr>
              <w:rPr>
                <w:b/>
                <w:sz w:val="20"/>
                <w:szCs w:val="22"/>
              </w:rPr>
            </w:pPr>
          </w:p>
        </w:tc>
        <w:tc>
          <w:tcPr>
            <w:tcW w:w="843" w:type="dxa"/>
            <w:tcBorders>
              <w:top w:val="single" w:color="auto" w:sz="4" w:space="0"/>
              <w:left w:val="single" w:color="auto" w:sz="4" w:space="0"/>
              <w:bottom w:val="single" w:color="auto" w:sz="4" w:space="0"/>
              <w:right w:val="single" w:color="auto" w:sz="4" w:space="0"/>
            </w:tcBorders>
          </w:tcPr>
          <w:p w:rsidRPr="00CC6489" w:rsidR="00132524" w:rsidP="00132524" w:rsidRDefault="00132524" w14:paraId="48D84E4D" w14:textId="77777777">
            <w:pPr>
              <w:rPr>
                <w:b/>
                <w:sz w:val="20"/>
                <w:szCs w:val="22"/>
              </w:rPr>
            </w:pPr>
          </w:p>
        </w:tc>
        <w:tc>
          <w:tcPr>
            <w:tcW w:w="843" w:type="dxa"/>
            <w:tcBorders>
              <w:top w:val="single" w:color="auto" w:sz="4" w:space="0"/>
              <w:left w:val="single" w:color="auto" w:sz="4" w:space="0"/>
              <w:bottom w:val="single" w:color="auto" w:sz="4" w:space="0"/>
              <w:right w:val="single" w:color="auto" w:sz="4" w:space="0"/>
            </w:tcBorders>
          </w:tcPr>
          <w:p w:rsidRPr="00CC6489" w:rsidR="00132524" w:rsidP="00132524" w:rsidRDefault="00132524" w14:paraId="2D40C773" w14:textId="77777777">
            <w:pPr>
              <w:rPr>
                <w:b/>
                <w:sz w:val="20"/>
                <w:szCs w:val="22"/>
              </w:rPr>
            </w:pPr>
          </w:p>
        </w:tc>
      </w:tr>
    </w:tbl>
    <w:p w:rsidR="006F3AE7" w:rsidP="006F3AE7" w:rsidRDefault="006F3AE7" w14:paraId="3F14494A" w14:textId="77777777">
      <w:pPr>
        <w:rPr>
          <w:b/>
          <w:sz w:val="22"/>
          <w:szCs w:val="22"/>
        </w:rPr>
      </w:pPr>
    </w:p>
    <w:tbl>
      <w:tblPr>
        <w:tblStyle w:val="TableGrid"/>
        <w:tblW w:w="0" w:type="auto"/>
        <w:tblInd w:w="-5" w:type="dxa"/>
        <w:tblLook w:val="04A0" w:firstRow="1" w:lastRow="0" w:firstColumn="1" w:lastColumn="0" w:noHBand="0" w:noVBand="1"/>
      </w:tblPr>
      <w:tblGrid>
        <w:gridCol w:w="3969"/>
        <w:gridCol w:w="5052"/>
      </w:tblGrid>
      <w:tr w:rsidRPr="00F70DBE" w:rsidR="009B31F1" w:rsidTr="00CC6489" w14:paraId="5ED04B8A" w14:textId="77777777">
        <w:trPr>
          <w:trHeight w:val="355"/>
        </w:trPr>
        <w:tc>
          <w:tcPr>
            <w:tcW w:w="3969" w:type="dxa"/>
            <w:shd w:val="clear" w:color="auto" w:fill="B4C6E7" w:themeFill="accent1" w:themeFillTint="66"/>
            <w:hideMark/>
          </w:tcPr>
          <w:p w:rsidRPr="00F70DBE" w:rsidR="006F3AE7" w:rsidP="00CC6489" w:rsidRDefault="006F3AE7" w14:paraId="084C6192" w14:textId="77777777">
            <w:pPr>
              <w:rPr>
                <w:rFonts w:cs="Arial"/>
                <w:sz w:val="20"/>
                <w:szCs w:val="20"/>
              </w:rPr>
            </w:pPr>
            <w:r w:rsidRPr="00F70DBE">
              <w:rPr>
                <w:rFonts w:cs="Arial"/>
                <w:bCs/>
                <w:sz w:val="20"/>
                <w:szCs w:val="20"/>
              </w:rPr>
              <w:t xml:space="preserve">DevTracker Link to Business Case: </w:t>
            </w:r>
          </w:p>
        </w:tc>
        <w:tc>
          <w:tcPr>
            <w:tcW w:w="5052" w:type="dxa"/>
          </w:tcPr>
          <w:p w:rsidRPr="00F70DBE" w:rsidR="006F3AE7" w:rsidP="00FD6297" w:rsidRDefault="00D83537" w14:paraId="7547CEAA" w14:textId="7D5B49E3">
            <w:pPr>
              <w:rPr>
                <w:rFonts w:cs="Arial"/>
                <w:b/>
                <w:sz w:val="22"/>
                <w:szCs w:val="22"/>
              </w:rPr>
            </w:pPr>
            <w:hyperlink r:id="rId12">
              <w:r w:rsidRPr="7DE48ABB">
                <w:rPr>
                  <w:rStyle w:val="Hyperlink"/>
                  <w:rFonts w:asciiTheme="minorHAnsi" w:hAnsiTheme="minorHAnsi" w:eastAsiaTheme="minorEastAsia" w:cstheme="minorBidi"/>
                  <w:sz w:val="20"/>
                  <w:szCs w:val="20"/>
                </w:rPr>
                <w:t>DevTracker Programme GB-GOV-7-BPFOCPP (fcdo.gov.uk)</w:t>
              </w:r>
            </w:hyperlink>
          </w:p>
        </w:tc>
      </w:tr>
      <w:tr w:rsidRPr="00F70DBE" w:rsidR="009B31F1" w:rsidTr="00CC6489" w14:paraId="1BE27F98" w14:textId="77777777">
        <w:trPr>
          <w:trHeight w:val="403"/>
        </w:trPr>
        <w:tc>
          <w:tcPr>
            <w:tcW w:w="3969" w:type="dxa"/>
            <w:shd w:val="clear" w:color="auto" w:fill="B4C6E7" w:themeFill="accent1" w:themeFillTint="66"/>
            <w:hideMark/>
          </w:tcPr>
          <w:p w:rsidRPr="00F70DBE" w:rsidR="006F3AE7" w:rsidP="00CC6489" w:rsidRDefault="006F3AE7" w14:paraId="77EEC9AB" w14:textId="21B976EE">
            <w:pPr>
              <w:rPr>
                <w:rFonts w:cs="Arial"/>
                <w:bCs/>
                <w:i/>
                <w:sz w:val="20"/>
                <w:szCs w:val="20"/>
              </w:rPr>
            </w:pPr>
            <w:r w:rsidRPr="00F70DBE">
              <w:rPr>
                <w:rFonts w:cs="Arial"/>
                <w:bCs/>
                <w:sz w:val="20"/>
                <w:szCs w:val="20"/>
              </w:rPr>
              <w:t xml:space="preserve">DevTracker Link to </w:t>
            </w:r>
            <w:r>
              <w:rPr>
                <w:rFonts w:cs="Arial"/>
                <w:bCs/>
                <w:sz w:val="20"/>
                <w:szCs w:val="20"/>
              </w:rPr>
              <w:t>results framework</w:t>
            </w:r>
            <w:r w:rsidRPr="00F70DBE">
              <w:rPr>
                <w:rFonts w:cs="Arial"/>
                <w:bCs/>
                <w:sz w:val="20"/>
                <w:szCs w:val="20"/>
              </w:rPr>
              <w:t xml:space="preserve">: </w:t>
            </w:r>
          </w:p>
        </w:tc>
        <w:tc>
          <w:tcPr>
            <w:tcW w:w="5052" w:type="dxa"/>
          </w:tcPr>
          <w:p w:rsidRPr="00F70DBE" w:rsidR="006F3AE7" w:rsidP="00FD6297" w:rsidRDefault="00464060" w14:paraId="1EBB8B7A" w14:textId="69EFEC7E">
            <w:pPr>
              <w:rPr>
                <w:rFonts w:cs="Arial"/>
                <w:b/>
                <w:sz w:val="22"/>
                <w:szCs w:val="22"/>
              </w:rPr>
            </w:pPr>
            <w:hyperlink r:id="rId13">
              <w:r w:rsidRPr="7DE48ABB">
                <w:rPr>
                  <w:rStyle w:val="Hyperlink"/>
                  <w:rFonts w:asciiTheme="minorHAnsi" w:hAnsiTheme="minorHAnsi" w:eastAsiaTheme="minorEastAsia" w:cstheme="minorBidi"/>
                  <w:sz w:val="20"/>
                  <w:szCs w:val="20"/>
                </w:rPr>
                <w:t>DevTracker Programme GB-GOV-7-BPFOCPP (fcdo.gov.uk)</w:t>
              </w:r>
            </w:hyperlink>
          </w:p>
        </w:tc>
      </w:tr>
    </w:tbl>
    <w:p w:rsidR="00CF0E0D" w:rsidRDefault="003507A1" w14:paraId="4BAB0AE0" w14:textId="6F8295F2">
      <w:pPr>
        <w:spacing w:after="160" w:line="259" w:lineRule="auto"/>
        <w:rPr>
          <w:sz w:val="20"/>
          <w:szCs w:val="20"/>
        </w:rPr>
      </w:pPr>
      <w:r w:rsidRPr="2350498C">
        <w:rPr>
          <w:sz w:val="20"/>
          <w:szCs w:val="20"/>
        </w:rPr>
        <w:br w:type="page"/>
      </w:r>
    </w:p>
    <w:p w:rsidRPr="00D76F58" w:rsidR="00D14920" w:rsidP="00D14920" w:rsidRDefault="00D14920" w14:paraId="41A66271" w14:textId="77777777">
      <w:pPr>
        <w:pStyle w:val="paragraph"/>
        <w:pBdr>
          <w:top w:val="single" w:color="000000" w:sz="4" w:space="1"/>
          <w:left w:val="single" w:color="000000" w:sz="4" w:space="4"/>
          <w:bottom w:val="single" w:color="000000" w:sz="4" w:space="1"/>
          <w:right w:val="single" w:color="000000" w:sz="4" w:space="4"/>
        </w:pBdr>
        <w:shd w:val="clear" w:color="auto" w:fill="D9E2F3"/>
        <w:spacing w:before="0" w:beforeAutospacing="0" w:after="0" w:afterAutospacing="0"/>
        <w:textAlignment w:val="baseline"/>
        <w:rPr>
          <w:rFonts w:ascii="Arial" w:hAnsi="Arial" w:cs="Arial"/>
          <w:b/>
          <w:bCs/>
          <w:i/>
          <w:iCs/>
          <w:sz w:val="18"/>
          <w:szCs w:val="18"/>
        </w:rPr>
      </w:pPr>
      <w:r w:rsidRPr="00D76F58">
        <w:rPr>
          <w:rStyle w:val="normaltextrun"/>
          <w:rFonts w:ascii="Arial" w:hAnsi="Arial" w:cs="Arial"/>
          <w:b/>
          <w:bCs/>
          <w:sz w:val="28"/>
          <w:szCs w:val="28"/>
        </w:rPr>
        <w:t>A: SUMMARY AND OVERVIEW</w:t>
      </w:r>
      <w:r w:rsidRPr="00D76F58">
        <w:rPr>
          <w:rStyle w:val="eop"/>
          <w:rFonts w:ascii="Arial" w:hAnsi="Arial" w:cs="Arial"/>
          <w:b/>
          <w:bCs/>
          <w:i/>
          <w:iCs/>
        </w:rPr>
        <w:t> </w:t>
      </w:r>
    </w:p>
    <w:p w:rsidR="00D14920" w:rsidP="00D14920" w:rsidRDefault="00D14920" w14:paraId="271B6584" w14:textId="77777777">
      <w:pPr>
        <w:pStyle w:val="paragraph"/>
        <w:spacing w:before="0" w:beforeAutospacing="0" w:after="0" w:afterAutospacing="0"/>
        <w:textAlignment w:val="baseline"/>
        <w:rPr>
          <w:rFonts w:ascii="Segoe UI" w:hAnsi="Segoe UI" w:cs="Segoe UI"/>
          <w:sz w:val="18"/>
          <w:szCs w:val="18"/>
        </w:rPr>
      </w:pPr>
      <w:r>
        <w:rPr>
          <w:rStyle w:val="eop"/>
          <w:rFonts w:cs="Arial"/>
        </w:rPr>
        <w:t> </w:t>
      </w:r>
    </w:p>
    <w:p w:rsidR="006F3AE7" w:rsidP="006F3AE7" w:rsidRDefault="006F3AE7" w14:paraId="7EFEDAB3" w14:textId="77777777">
      <w:pPr>
        <w:rPr>
          <w:b/>
          <w:sz w:val="22"/>
          <w:szCs w:val="22"/>
        </w:rPr>
      </w:pPr>
    </w:p>
    <w:p w:rsidR="006F3AE7" w:rsidP="006F3AE7" w:rsidRDefault="3D011391" w14:paraId="121905E8" w14:textId="677577F1">
      <w:pPr>
        <w:rPr>
          <w:rFonts w:cs="Arial"/>
          <w:sz w:val="20"/>
          <w:szCs w:val="20"/>
        </w:rPr>
      </w:pPr>
      <w:r w:rsidRPr="4ABD2430">
        <w:rPr>
          <w:b/>
          <w:bCs/>
          <w:sz w:val="22"/>
          <w:szCs w:val="22"/>
        </w:rPr>
        <w:t xml:space="preserve">A1. </w:t>
      </w:r>
      <w:r w:rsidRPr="4ABD2430" w:rsidR="006F3AE7">
        <w:rPr>
          <w:b/>
          <w:bCs/>
          <w:sz w:val="22"/>
          <w:szCs w:val="22"/>
        </w:rPr>
        <w:t>Description of programme</w:t>
      </w:r>
    </w:p>
    <w:p w:rsidRPr="005E5F99" w:rsidR="005E5F99" w:rsidP="006F3AE7" w:rsidRDefault="005E5F99" w14:paraId="195D15A6" w14:textId="1986B924">
      <w:pPr>
        <w:spacing w:before="40" w:after="40"/>
        <w:rPr>
          <w:rFonts w:cs="Arial"/>
          <w:sz w:val="22"/>
          <w:szCs w:val="22"/>
        </w:rPr>
      </w:pPr>
    </w:p>
    <w:p w:rsidR="00006830" w:rsidP="00006830" w:rsidRDefault="00006830" w14:paraId="60C37119" w14:textId="01786D5A">
      <w:pPr>
        <w:spacing w:before="40" w:after="40"/>
        <w:rPr>
          <w:rFonts w:cs="Arial"/>
          <w:sz w:val="22"/>
          <w:szCs w:val="22"/>
        </w:rPr>
      </w:pPr>
      <w:r w:rsidRPr="0048482E">
        <w:rPr>
          <w:rFonts w:cs="Arial"/>
          <w:sz w:val="22"/>
          <w:szCs w:val="22"/>
        </w:rPr>
        <w:t>The</w:t>
      </w:r>
      <w:r w:rsidR="007132BD">
        <w:rPr>
          <w:rFonts w:cs="Arial"/>
          <w:sz w:val="22"/>
          <w:szCs w:val="22"/>
        </w:rPr>
        <w:t xml:space="preserve"> Ocean Country Partnership Programme</w:t>
      </w:r>
      <w:r w:rsidRPr="0048482E">
        <w:rPr>
          <w:rFonts w:cs="Arial"/>
          <w:sz w:val="22"/>
          <w:szCs w:val="22"/>
        </w:rPr>
        <w:t xml:space="preserve"> </w:t>
      </w:r>
      <w:r w:rsidR="007132BD">
        <w:rPr>
          <w:rFonts w:cs="Arial"/>
          <w:sz w:val="22"/>
          <w:szCs w:val="22"/>
        </w:rPr>
        <w:t>(</w:t>
      </w:r>
      <w:r w:rsidRPr="0048482E">
        <w:rPr>
          <w:rFonts w:cs="Arial"/>
          <w:sz w:val="22"/>
          <w:szCs w:val="22"/>
        </w:rPr>
        <w:t>OCPP</w:t>
      </w:r>
      <w:r w:rsidR="007132BD">
        <w:rPr>
          <w:rFonts w:cs="Arial"/>
          <w:sz w:val="22"/>
          <w:szCs w:val="22"/>
        </w:rPr>
        <w:t>)</w:t>
      </w:r>
      <w:r w:rsidRPr="0048482E">
        <w:rPr>
          <w:rFonts w:cs="Arial"/>
          <w:sz w:val="22"/>
          <w:szCs w:val="22"/>
        </w:rPr>
        <w:t xml:space="preserve"> supports countries to manage the marine environment more sustainably and build the resilience of coastal communities, ocean economies</w:t>
      </w:r>
      <w:r w:rsidR="006C4F21">
        <w:rPr>
          <w:rFonts w:cs="Arial"/>
          <w:sz w:val="22"/>
          <w:szCs w:val="22"/>
        </w:rPr>
        <w:t>,</w:t>
      </w:r>
      <w:r w:rsidRPr="0048482E">
        <w:rPr>
          <w:rFonts w:cs="Arial"/>
          <w:sz w:val="22"/>
          <w:szCs w:val="22"/>
        </w:rPr>
        <w:t xml:space="preserve"> and livelihoods by strengthening marine science expertise, developing science-based policy and management tools</w:t>
      </w:r>
      <w:r w:rsidR="0017035F">
        <w:rPr>
          <w:rFonts w:cs="Arial"/>
          <w:sz w:val="22"/>
          <w:szCs w:val="22"/>
        </w:rPr>
        <w:t xml:space="preserve">, </w:t>
      </w:r>
      <w:r w:rsidRPr="0048482E">
        <w:rPr>
          <w:rFonts w:cs="Arial"/>
          <w:sz w:val="22"/>
          <w:szCs w:val="22"/>
        </w:rPr>
        <w:t>and creating educational resources.</w:t>
      </w:r>
      <w:r w:rsidR="00FC682E">
        <w:rPr>
          <w:rFonts w:cs="Arial"/>
          <w:sz w:val="22"/>
          <w:szCs w:val="22"/>
        </w:rPr>
        <w:t xml:space="preserve"> The programme forms part of the </w:t>
      </w:r>
      <w:r w:rsidR="00BB73E3">
        <w:rPr>
          <w:rFonts w:cs="Arial"/>
          <w:sz w:val="22"/>
          <w:szCs w:val="22"/>
        </w:rPr>
        <w:t xml:space="preserve">UK’s </w:t>
      </w:r>
      <w:r w:rsidR="00FC682E">
        <w:rPr>
          <w:rFonts w:cs="Arial"/>
          <w:sz w:val="22"/>
          <w:szCs w:val="22"/>
        </w:rPr>
        <w:t>Blue Planet Fund</w:t>
      </w:r>
      <w:r w:rsidR="00B540CA">
        <w:rPr>
          <w:rFonts w:cs="Arial"/>
          <w:sz w:val="22"/>
          <w:szCs w:val="22"/>
        </w:rPr>
        <w:t xml:space="preserve"> (BPF)</w:t>
      </w:r>
      <w:r w:rsidR="00102183">
        <w:rPr>
          <w:rFonts w:cs="Arial"/>
          <w:sz w:val="22"/>
          <w:szCs w:val="22"/>
        </w:rPr>
        <w:t xml:space="preserve">, </w:t>
      </w:r>
      <w:r w:rsidR="00BB73E3">
        <w:rPr>
          <w:rFonts w:cs="Arial"/>
          <w:sz w:val="22"/>
          <w:szCs w:val="22"/>
        </w:rPr>
        <w:t xml:space="preserve">a </w:t>
      </w:r>
      <w:r w:rsidRPr="00102183" w:rsidR="00102183">
        <w:rPr>
          <w:rFonts w:cs="Arial"/>
          <w:sz w:val="22"/>
          <w:szCs w:val="22"/>
        </w:rPr>
        <w:t xml:space="preserve">£500 million </w:t>
      </w:r>
      <w:r w:rsidR="00BB73E3">
        <w:rPr>
          <w:rFonts w:cs="Arial"/>
          <w:sz w:val="22"/>
          <w:szCs w:val="22"/>
        </w:rPr>
        <w:t xml:space="preserve">portfolio of </w:t>
      </w:r>
      <w:r w:rsidRPr="00102183" w:rsidR="00102183">
        <w:rPr>
          <w:rFonts w:cs="Arial"/>
          <w:sz w:val="22"/>
          <w:szCs w:val="22"/>
        </w:rPr>
        <w:t>programme</w:t>
      </w:r>
      <w:r w:rsidR="00BB73E3">
        <w:rPr>
          <w:rFonts w:cs="Arial"/>
          <w:sz w:val="22"/>
          <w:szCs w:val="22"/>
        </w:rPr>
        <w:t>s</w:t>
      </w:r>
      <w:r w:rsidRPr="00102183" w:rsidR="00102183">
        <w:rPr>
          <w:rFonts w:cs="Arial"/>
          <w:sz w:val="22"/>
          <w:szCs w:val="22"/>
        </w:rPr>
        <w:t xml:space="preserve"> supporting developing countries to protect the marine environment and reduce poverty</w:t>
      </w:r>
      <w:r w:rsidR="00B540CA">
        <w:rPr>
          <w:rFonts w:cs="Arial"/>
          <w:sz w:val="22"/>
          <w:szCs w:val="22"/>
        </w:rPr>
        <w:t>.</w:t>
      </w:r>
    </w:p>
    <w:p w:rsidR="00006830" w:rsidP="0048482E" w:rsidRDefault="00006830" w14:paraId="4D8FF872" w14:textId="77777777">
      <w:pPr>
        <w:spacing w:before="40" w:after="40"/>
        <w:rPr>
          <w:rFonts w:cs="Arial"/>
          <w:sz w:val="22"/>
          <w:szCs w:val="22"/>
        </w:rPr>
      </w:pPr>
    </w:p>
    <w:p w:rsidR="0048482E" w:rsidP="0048482E" w:rsidRDefault="005E5F99" w14:paraId="727A5142" w14:textId="588F151B">
      <w:pPr>
        <w:spacing w:before="40" w:after="40"/>
        <w:rPr>
          <w:rFonts w:cs="Arial"/>
          <w:sz w:val="22"/>
          <w:szCs w:val="22"/>
        </w:rPr>
      </w:pPr>
      <w:r w:rsidRPr="677395F5">
        <w:rPr>
          <w:rFonts w:cs="Arial"/>
          <w:sz w:val="22"/>
          <w:szCs w:val="22"/>
        </w:rPr>
        <w:t>The OCPP is a five-</w:t>
      </w:r>
      <w:r w:rsidRPr="677395F5" w:rsidR="00F544BE">
        <w:rPr>
          <w:rFonts w:cs="Arial"/>
          <w:sz w:val="22"/>
          <w:szCs w:val="22"/>
        </w:rPr>
        <w:t>year (</w:t>
      </w:r>
      <w:r w:rsidRPr="677395F5">
        <w:rPr>
          <w:rFonts w:cs="Arial"/>
          <w:sz w:val="22"/>
          <w:szCs w:val="22"/>
        </w:rPr>
        <w:t>June 2021 — March 2026) primar</w:t>
      </w:r>
      <w:r w:rsidRPr="677395F5" w:rsidR="7CCFED6D">
        <w:rPr>
          <w:rFonts w:cs="Arial"/>
          <w:sz w:val="22"/>
          <w:szCs w:val="22"/>
        </w:rPr>
        <w:t>il</w:t>
      </w:r>
      <w:r w:rsidRPr="677395F5">
        <w:rPr>
          <w:rFonts w:cs="Arial"/>
          <w:sz w:val="22"/>
          <w:szCs w:val="22"/>
        </w:rPr>
        <w:t>y technical assistance programme with a budget of</w:t>
      </w:r>
      <w:r w:rsidRPr="677395F5" w:rsidR="7739CC2A">
        <w:rPr>
          <w:rFonts w:cs="Arial"/>
          <w:sz w:val="22"/>
          <w:szCs w:val="22"/>
        </w:rPr>
        <w:t xml:space="preserve"> up to</w:t>
      </w:r>
      <w:r w:rsidRPr="677395F5">
        <w:rPr>
          <w:rFonts w:cs="Arial"/>
          <w:sz w:val="22"/>
          <w:szCs w:val="22"/>
        </w:rPr>
        <w:t xml:space="preserve"> £65</w:t>
      </w:r>
      <w:r w:rsidRPr="677395F5" w:rsidR="00F544BE">
        <w:rPr>
          <w:rFonts w:cs="Arial"/>
          <w:sz w:val="22"/>
          <w:szCs w:val="22"/>
        </w:rPr>
        <w:t>m.</w:t>
      </w:r>
      <w:r w:rsidRPr="677395F5">
        <w:rPr>
          <w:rFonts w:cs="Arial"/>
          <w:sz w:val="22"/>
          <w:szCs w:val="22"/>
        </w:rPr>
        <w:t xml:space="preserve"> </w:t>
      </w:r>
      <w:r w:rsidRPr="677395F5" w:rsidR="005A6D98">
        <w:rPr>
          <w:rFonts w:cs="Arial"/>
          <w:sz w:val="22"/>
          <w:szCs w:val="22"/>
        </w:rPr>
        <w:t>£55m is</w:t>
      </w:r>
      <w:r w:rsidRPr="677395F5">
        <w:rPr>
          <w:rFonts w:cs="Arial"/>
          <w:sz w:val="22"/>
          <w:szCs w:val="22"/>
        </w:rPr>
        <w:t xml:space="preserve"> </w:t>
      </w:r>
      <w:r w:rsidRPr="677395F5" w:rsidR="00B44958">
        <w:rPr>
          <w:rFonts w:cs="Arial"/>
          <w:sz w:val="22"/>
          <w:szCs w:val="22"/>
        </w:rPr>
        <w:t xml:space="preserve">delivered </w:t>
      </w:r>
      <w:r w:rsidRPr="677395F5">
        <w:rPr>
          <w:rFonts w:cs="Arial"/>
          <w:sz w:val="22"/>
          <w:szCs w:val="22"/>
        </w:rPr>
        <w:t>through government-to-government bilateral partnerships with Official Development Assistance (ODA)-eligible countries</w:t>
      </w:r>
      <w:r w:rsidRPr="677395F5" w:rsidR="005A6D98">
        <w:rPr>
          <w:rFonts w:cs="Arial"/>
          <w:sz w:val="22"/>
          <w:szCs w:val="22"/>
        </w:rPr>
        <w:t>,</w:t>
      </w:r>
      <w:r w:rsidRPr="677395F5" w:rsidR="00723DF1">
        <w:rPr>
          <w:rFonts w:cs="Arial"/>
          <w:sz w:val="22"/>
          <w:szCs w:val="22"/>
        </w:rPr>
        <w:t xml:space="preserve"> </w:t>
      </w:r>
      <w:r w:rsidRPr="677395F5">
        <w:rPr>
          <w:rFonts w:cs="Arial"/>
          <w:sz w:val="22"/>
          <w:szCs w:val="22"/>
        </w:rPr>
        <w:t>with £10m reserved for working through strategic partnerships.</w:t>
      </w:r>
      <w:r w:rsidRPr="677395F5" w:rsidR="0048482E">
        <w:rPr>
          <w:rFonts w:cs="Arial"/>
          <w:sz w:val="22"/>
          <w:szCs w:val="22"/>
        </w:rPr>
        <w:t xml:space="preserve"> </w:t>
      </w:r>
    </w:p>
    <w:p w:rsidRPr="005E5F99" w:rsidR="0048482E" w:rsidP="005E5F99" w:rsidRDefault="0048482E" w14:paraId="78329686" w14:textId="77777777">
      <w:pPr>
        <w:spacing w:before="40" w:after="40"/>
        <w:rPr>
          <w:rFonts w:cs="Arial"/>
          <w:sz w:val="22"/>
          <w:szCs w:val="22"/>
        </w:rPr>
      </w:pPr>
    </w:p>
    <w:p w:rsidR="006F4A89" w:rsidP="005E5F99" w:rsidRDefault="59509A14" w14:paraId="064D0FFB" w14:textId="392AA6A0">
      <w:pPr>
        <w:spacing w:before="40" w:after="40"/>
        <w:rPr>
          <w:rFonts w:cs="Arial"/>
          <w:sz w:val="22"/>
          <w:szCs w:val="22"/>
        </w:rPr>
      </w:pPr>
      <w:r w:rsidRPr="564959C3">
        <w:rPr>
          <w:rFonts w:cs="Arial"/>
          <w:sz w:val="22"/>
          <w:szCs w:val="22"/>
        </w:rPr>
        <w:t xml:space="preserve">The support through bilateral partnerships is delivered by three UK government </w:t>
      </w:r>
      <w:r w:rsidRPr="564959C3" w:rsidR="2218E974">
        <w:rPr>
          <w:rFonts w:cs="Arial"/>
          <w:sz w:val="22"/>
          <w:szCs w:val="22"/>
        </w:rPr>
        <w:t>Arm's Length</w:t>
      </w:r>
      <w:r w:rsidRPr="564959C3" w:rsidR="58EADF85">
        <w:rPr>
          <w:rFonts w:cs="Arial"/>
          <w:sz w:val="22"/>
          <w:szCs w:val="22"/>
        </w:rPr>
        <w:t xml:space="preserve"> </w:t>
      </w:r>
      <w:r w:rsidRPr="564959C3">
        <w:rPr>
          <w:rFonts w:cs="Arial"/>
          <w:sz w:val="22"/>
          <w:szCs w:val="22"/>
        </w:rPr>
        <w:t>B</w:t>
      </w:r>
      <w:r w:rsidRPr="564959C3" w:rsidR="3C4E0D6B">
        <w:rPr>
          <w:rFonts w:cs="Arial"/>
          <w:sz w:val="22"/>
          <w:szCs w:val="22"/>
        </w:rPr>
        <w:t>odie</w:t>
      </w:r>
      <w:r w:rsidRPr="564959C3">
        <w:rPr>
          <w:rFonts w:cs="Arial"/>
          <w:sz w:val="22"/>
          <w:szCs w:val="22"/>
        </w:rPr>
        <w:t>s</w:t>
      </w:r>
      <w:r w:rsidRPr="564959C3" w:rsidR="02889C00">
        <w:rPr>
          <w:rFonts w:cs="Arial"/>
          <w:sz w:val="22"/>
          <w:szCs w:val="22"/>
        </w:rPr>
        <w:t xml:space="preserve"> (ALBs)</w:t>
      </w:r>
      <w:r w:rsidRPr="564959C3">
        <w:rPr>
          <w:rFonts w:cs="Arial"/>
          <w:sz w:val="22"/>
          <w:szCs w:val="22"/>
        </w:rPr>
        <w:t xml:space="preserve">: </w:t>
      </w:r>
      <w:r w:rsidRPr="564959C3" w:rsidR="0446B697">
        <w:rPr>
          <w:rFonts w:cs="Arial"/>
          <w:sz w:val="22"/>
          <w:szCs w:val="22"/>
        </w:rPr>
        <w:t>Centre for Environment, Fisheries and Aquaculture Science (</w:t>
      </w:r>
      <w:r w:rsidRPr="564959C3">
        <w:rPr>
          <w:rFonts w:cs="Arial"/>
          <w:sz w:val="22"/>
          <w:szCs w:val="22"/>
        </w:rPr>
        <w:t>Cefas</w:t>
      </w:r>
      <w:r w:rsidRPr="564959C3" w:rsidR="1032B608">
        <w:rPr>
          <w:rFonts w:cs="Arial"/>
          <w:sz w:val="22"/>
          <w:szCs w:val="22"/>
        </w:rPr>
        <w:t>)</w:t>
      </w:r>
      <w:r w:rsidRPr="564959C3">
        <w:rPr>
          <w:rFonts w:cs="Arial"/>
          <w:sz w:val="22"/>
          <w:szCs w:val="22"/>
        </w:rPr>
        <w:t xml:space="preserve">, </w:t>
      </w:r>
      <w:r w:rsidRPr="564959C3" w:rsidR="6411744F">
        <w:rPr>
          <w:rFonts w:cs="Arial"/>
          <w:sz w:val="22"/>
          <w:szCs w:val="22"/>
        </w:rPr>
        <w:t>Joint Nature Co</w:t>
      </w:r>
      <w:r w:rsidRPr="564959C3" w:rsidR="52D48CEE">
        <w:rPr>
          <w:rFonts w:cs="Arial"/>
          <w:sz w:val="22"/>
          <w:szCs w:val="22"/>
        </w:rPr>
        <w:t>nservation</w:t>
      </w:r>
      <w:r w:rsidRPr="564959C3" w:rsidR="6411744F">
        <w:rPr>
          <w:rFonts w:cs="Arial"/>
          <w:sz w:val="22"/>
          <w:szCs w:val="22"/>
        </w:rPr>
        <w:t xml:space="preserve"> Committee (</w:t>
      </w:r>
      <w:r w:rsidRPr="564959C3">
        <w:rPr>
          <w:rFonts w:cs="Arial"/>
          <w:sz w:val="22"/>
          <w:szCs w:val="22"/>
        </w:rPr>
        <w:t>JNCC</w:t>
      </w:r>
      <w:r w:rsidRPr="564959C3" w:rsidR="08914447">
        <w:rPr>
          <w:rFonts w:cs="Arial"/>
          <w:sz w:val="22"/>
          <w:szCs w:val="22"/>
        </w:rPr>
        <w:t>)</w:t>
      </w:r>
      <w:r w:rsidRPr="564959C3">
        <w:rPr>
          <w:rFonts w:cs="Arial"/>
          <w:sz w:val="22"/>
          <w:szCs w:val="22"/>
        </w:rPr>
        <w:t xml:space="preserve">, and </w:t>
      </w:r>
      <w:r w:rsidRPr="564959C3" w:rsidR="77242BEB">
        <w:rPr>
          <w:rFonts w:cs="Arial"/>
          <w:sz w:val="22"/>
          <w:szCs w:val="22"/>
        </w:rPr>
        <w:t>Marine Management Organisation (</w:t>
      </w:r>
      <w:r w:rsidRPr="564959C3">
        <w:rPr>
          <w:rFonts w:cs="Arial"/>
          <w:sz w:val="22"/>
          <w:szCs w:val="22"/>
        </w:rPr>
        <w:t>MMO</w:t>
      </w:r>
      <w:r w:rsidRPr="564959C3" w:rsidR="3F9738C2">
        <w:rPr>
          <w:rFonts w:cs="Arial"/>
          <w:sz w:val="22"/>
          <w:szCs w:val="22"/>
        </w:rPr>
        <w:t>)</w:t>
      </w:r>
      <w:r w:rsidRPr="564959C3">
        <w:rPr>
          <w:rFonts w:cs="Arial"/>
          <w:sz w:val="22"/>
          <w:szCs w:val="22"/>
        </w:rPr>
        <w:t>. Through these bilateral arrangements</w:t>
      </w:r>
      <w:r w:rsidRPr="564959C3" w:rsidR="522F40DE">
        <w:rPr>
          <w:rFonts w:cs="Arial"/>
          <w:sz w:val="22"/>
          <w:szCs w:val="22"/>
        </w:rPr>
        <w:t>,</w:t>
      </w:r>
      <w:r w:rsidRPr="564959C3">
        <w:rPr>
          <w:rFonts w:cs="Arial"/>
          <w:sz w:val="22"/>
          <w:szCs w:val="22"/>
        </w:rPr>
        <w:t xml:space="preserve"> the programme works to reduce poverty by building local and regional marine science capabilities to improve policymaking and address multiple marine environment challenges</w:t>
      </w:r>
      <w:r w:rsidRPr="564959C3" w:rsidR="6E6BE905">
        <w:rPr>
          <w:rFonts w:cs="Arial"/>
          <w:sz w:val="22"/>
          <w:szCs w:val="22"/>
        </w:rPr>
        <w:t>.</w:t>
      </w:r>
    </w:p>
    <w:p w:rsidR="006F4A89" w:rsidP="005E5F99" w:rsidRDefault="006F4A89" w14:paraId="7B262478" w14:textId="77777777">
      <w:pPr>
        <w:spacing w:before="40" w:after="40"/>
        <w:rPr>
          <w:rFonts w:cs="Arial"/>
          <w:sz w:val="22"/>
          <w:szCs w:val="22"/>
        </w:rPr>
      </w:pPr>
    </w:p>
    <w:p w:rsidRPr="005E5F99" w:rsidR="005E5F99" w:rsidP="005E5F99" w:rsidRDefault="005E5F99" w14:paraId="1198E36E" w14:textId="203C9F91">
      <w:pPr>
        <w:spacing w:before="40" w:after="40"/>
        <w:rPr>
          <w:rFonts w:cs="Arial"/>
          <w:sz w:val="22"/>
          <w:szCs w:val="22"/>
        </w:rPr>
      </w:pPr>
      <w:r w:rsidRPr="4C1149B3">
        <w:rPr>
          <w:rFonts w:cs="Arial"/>
          <w:sz w:val="22"/>
          <w:szCs w:val="22"/>
        </w:rPr>
        <w:t> </w:t>
      </w:r>
      <w:r w:rsidRPr="1FB22237">
        <w:rPr>
          <w:rFonts w:cs="Arial"/>
          <w:sz w:val="22"/>
          <w:szCs w:val="22"/>
        </w:rPr>
        <w:t>The OCPP ALB work is demand-led, driven by scoping exercises to discuss needs with partner country stakeholders. Activities delivered by ALBs predominantly focus on capacity-building for partner governments, local universities, regional organisations, and civil society organisations to improve the delivery of applied scientific solutions. Partner country needs are identified according to one or more of three of the BPF’s themes — marine biodiversity, sustainable seafood</w:t>
      </w:r>
      <w:r w:rsidRPr="1FB22237" w:rsidR="00A44B26">
        <w:rPr>
          <w:rFonts w:cs="Arial"/>
          <w:sz w:val="22"/>
          <w:szCs w:val="22"/>
        </w:rPr>
        <w:t>,</w:t>
      </w:r>
      <w:r w:rsidRPr="1FB22237">
        <w:rPr>
          <w:rFonts w:cs="Arial"/>
          <w:sz w:val="22"/>
          <w:szCs w:val="22"/>
        </w:rPr>
        <w:t xml:space="preserve"> or marine pollution. </w:t>
      </w:r>
    </w:p>
    <w:p w:rsidRPr="005E5F99" w:rsidR="005E5F99" w:rsidP="005E5F99" w:rsidRDefault="005E5F99" w14:paraId="3159B07A" w14:textId="3B9201FD">
      <w:pPr>
        <w:spacing w:before="40" w:after="40"/>
        <w:rPr>
          <w:rFonts w:cs="Arial"/>
          <w:sz w:val="22"/>
          <w:szCs w:val="22"/>
        </w:rPr>
      </w:pPr>
      <w:r w:rsidRPr="4C1149B3">
        <w:rPr>
          <w:rFonts w:cs="Arial"/>
          <w:sz w:val="22"/>
          <w:szCs w:val="22"/>
        </w:rPr>
        <w:t> </w:t>
      </w:r>
    </w:p>
    <w:p w:rsidRPr="005E5F99" w:rsidR="005E5F99" w:rsidP="005E5F99" w:rsidRDefault="005E5F99" w14:paraId="58D41707" w14:textId="383BE9DD">
      <w:pPr>
        <w:spacing w:before="40" w:after="40"/>
        <w:rPr>
          <w:rFonts w:cs="Arial"/>
          <w:sz w:val="22"/>
          <w:szCs w:val="22"/>
        </w:rPr>
      </w:pPr>
      <w:r w:rsidRPr="4C1149B3">
        <w:rPr>
          <w:rFonts w:cs="Arial"/>
          <w:sz w:val="22"/>
          <w:szCs w:val="22"/>
        </w:rPr>
        <w:t xml:space="preserve">In addition, </w:t>
      </w:r>
      <w:r w:rsidR="00E6252D">
        <w:rPr>
          <w:rFonts w:cs="Arial"/>
          <w:sz w:val="22"/>
          <w:szCs w:val="22"/>
        </w:rPr>
        <w:t>the</w:t>
      </w:r>
      <w:r w:rsidRPr="4C1149B3">
        <w:rPr>
          <w:rFonts w:cs="Arial"/>
          <w:sz w:val="22"/>
          <w:szCs w:val="22"/>
        </w:rPr>
        <w:t xml:space="preserve"> OCPP also funds two multi-donor initiatives – the Global Ocean Accounts Partnership (GOAP) and Friends of Ocean Action (FOA), which support partner countries in the development of global public goods relevant to the programme’s objectives. </w:t>
      </w:r>
    </w:p>
    <w:p w:rsidRPr="005E5F99" w:rsidR="005E5F99" w:rsidP="005E5F99" w:rsidRDefault="005E5F99" w14:paraId="5B845829" w14:textId="26F69DBF">
      <w:pPr>
        <w:spacing w:before="40" w:after="40"/>
        <w:rPr>
          <w:rFonts w:cs="Arial"/>
          <w:sz w:val="22"/>
          <w:szCs w:val="22"/>
        </w:rPr>
      </w:pPr>
      <w:r w:rsidRPr="4C1149B3">
        <w:rPr>
          <w:rFonts w:cs="Arial"/>
          <w:sz w:val="22"/>
          <w:szCs w:val="22"/>
        </w:rPr>
        <w:t> </w:t>
      </w:r>
    </w:p>
    <w:p w:rsidRPr="005E5F99" w:rsidR="005E5F99" w:rsidP="005E5F99" w:rsidRDefault="005E5F99" w14:paraId="7F36F6F4" w14:textId="39440070">
      <w:pPr>
        <w:spacing w:before="40" w:after="40"/>
        <w:rPr>
          <w:rFonts w:cs="Arial"/>
          <w:sz w:val="22"/>
          <w:szCs w:val="22"/>
        </w:rPr>
      </w:pPr>
      <w:r w:rsidRPr="2C6B85DE">
        <w:rPr>
          <w:rFonts w:cs="Arial"/>
          <w:sz w:val="22"/>
          <w:szCs w:val="22"/>
        </w:rPr>
        <w:t xml:space="preserve">The Friends of Ocean Action (FOA) is a platform hosted by the </w:t>
      </w:r>
      <w:r w:rsidRPr="2C6B85DE" w:rsidR="00F544BE">
        <w:rPr>
          <w:rFonts w:cs="Arial"/>
          <w:sz w:val="22"/>
          <w:szCs w:val="22"/>
        </w:rPr>
        <w:t>World Economic Forum (</w:t>
      </w:r>
      <w:r w:rsidRPr="2C6B85DE">
        <w:rPr>
          <w:rFonts w:cs="Arial"/>
          <w:sz w:val="22"/>
          <w:szCs w:val="22"/>
        </w:rPr>
        <w:t>WEF</w:t>
      </w:r>
      <w:r w:rsidRPr="2C6B85DE" w:rsidR="00F544BE">
        <w:rPr>
          <w:rFonts w:cs="Arial"/>
          <w:sz w:val="22"/>
          <w:szCs w:val="22"/>
        </w:rPr>
        <w:t>)</w:t>
      </w:r>
      <w:r w:rsidRPr="2C6B85DE">
        <w:rPr>
          <w:rFonts w:cs="Arial"/>
          <w:sz w:val="22"/>
          <w:szCs w:val="22"/>
        </w:rPr>
        <w:t xml:space="preserve">, in collaboration with the </w:t>
      </w:r>
      <w:r w:rsidRPr="2C6B85DE" w:rsidR="00F544BE">
        <w:rPr>
          <w:rFonts w:cs="Arial"/>
          <w:sz w:val="22"/>
          <w:szCs w:val="22"/>
        </w:rPr>
        <w:t>World Resources Institute (</w:t>
      </w:r>
      <w:r w:rsidRPr="2C6B85DE">
        <w:rPr>
          <w:rFonts w:cs="Arial"/>
          <w:sz w:val="22"/>
          <w:szCs w:val="22"/>
        </w:rPr>
        <w:t>WRI</w:t>
      </w:r>
      <w:r w:rsidRPr="2C6B85DE" w:rsidR="00F544BE">
        <w:rPr>
          <w:rFonts w:cs="Arial"/>
          <w:sz w:val="22"/>
          <w:szCs w:val="22"/>
        </w:rPr>
        <w:t>)</w:t>
      </w:r>
      <w:r w:rsidRPr="2C6B85DE">
        <w:rPr>
          <w:rFonts w:cs="Arial"/>
          <w:sz w:val="22"/>
          <w:szCs w:val="22"/>
        </w:rPr>
        <w:t xml:space="preserve">. FOA delivers on two priority areas for the BPF and </w:t>
      </w:r>
      <w:r w:rsidRPr="2C6B85DE" w:rsidR="00E6252D">
        <w:rPr>
          <w:rFonts w:cs="Arial"/>
          <w:sz w:val="22"/>
          <w:szCs w:val="22"/>
        </w:rPr>
        <w:t xml:space="preserve">the </w:t>
      </w:r>
      <w:r w:rsidRPr="2C6B85DE">
        <w:rPr>
          <w:rFonts w:cs="Arial"/>
          <w:sz w:val="22"/>
          <w:szCs w:val="22"/>
        </w:rPr>
        <w:t xml:space="preserve">OCPP: (1) improving the sustainability of blue food production, and (2) supporting developing countries to build sustainable ocean economies. There have been four distinct FOA projects </w:t>
      </w:r>
      <w:r w:rsidRPr="2C6B85DE" w:rsidR="00FB3FC2">
        <w:rPr>
          <w:rFonts w:cs="Arial"/>
          <w:sz w:val="22"/>
          <w:szCs w:val="22"/>
        </w:rPr>
        <w:t xml:space="preserve">that have </w:t>
      </w:r>
      <w:r w:rsidRPr="2C6B85DE" w:rsidR="00216A95">
        <w:rPr>
          <w:rFonts w:cs="Arial"/>
          <w:sz w:val="22"/>
          <w:szCs w:val="22"/>
        </w:rPr>
        <w:t>received</w:t>
      </w:r>
      <w:r w:rsidRPr="2C6B85DE">
        <w:rPr>
          <w:rFonts w:cs="Arial"/>
          <w:sz w:val="22"/>
          <w:szCs w:val="22"/>
        </w:rPr>
        <w:t xml:space="preserve"> funding to date.  </w:t>
      </w:r>
    </w:p>
    <w:p w:rsidRPr="005E5F99" w:rsidR="005E5F99" w:rsidP="001D265D" w:rsidRDefault="005E5F99" w14:paraId="7AACFB94" w14:textId="34C47BFA">
      <w:pPr>
        <w:numPr>
          <w:ilvl w:val="0"/>
          <w:numId w:val="6"/>
        </w:numPr>
        <w:spacing w:before="40" w:after="40"/>
        <w:rPr>
          <w:rFonts w:cs="Arial"/>
          <w:sz w:val="22"/>
          <w:szCs w:val="22"/>
        </w:rPr>
      </w:pPr>
      <w:r w:rsidRPr="4C1149B3">
        <w:rPr>
          <w:rFonts w:cs="Arial"/>
          <w:i/>
          <w:iCs/>
          <w:sz w:val="22"/>
          <w:szCs w:val="22"/>
        </w:rPr>
        <w:t>Blue Food Partnership (BFP) —</w:t>
      </w:r>
      <w:r w:rsidRPr="4C1149B3">
        <w:rPr>
          <w:rFonts w:cs="Arial"/>
          <w:sz w:val="22"/>
          <w:szCs w:val="22"/>
        </w:rPr>
        <w:t xml:space="preserve"> creating a global roadmap for sustainable aquaculture and implementing a pilot initiative in Ghana.  </w:t>
      </w:r>
    </w:p>
    <w:p w:rsidRPr="005E5F99" w:rsidR="005E5F99" w:rsidP="001D265D" w:rsidRDefault="005E5F99" w14:paraId="593C503B" w14:textId="081241B3">
      <w:pPr>
        <w:numPr>
          <w:ilvl w:val="0"/>
          <w:numId w:val="7"/>
        </w:numPr>
        <w:spacing w:before="40" w:after="40"/>
        <w:rPr>
          <w:rFonts w:cs="Arial"/>
          <w:sz w:val="22"/>
          <w:szCs w:val="22"/>
        </w:rPr>
      </w:pPr>
      <w:r w:rsidRPr="4C1149B3">
        <w:rPr>
          <w:rFonts w:cs="Arial"/>
          <w:i/>
          <w:iCs/>
          <w:sz w:val="22"/>
          <w:szCs w:val="22"/>
        </w:rPr>
        <w:t>Blue Recovery Hubs (BRH) —</w:t>
      </w:r>
      <w:r w:rsidRPr="4C1149B3">
        <w:rPr>
          <w:rFonts w:cs="Arial"/>
          <w:sz w:val="22"/>
          <w:szCs w:val="22"/>
        </w:rPr>
        <w:t xml:space="preserve"> undertaking post COVID-19 situational analysis appraisals and accelerating sustainable blue economy strategies for Fiji</w:t>
      </w:r>
      <w:r w:rsidR="007107BE">
        <w:rPr>
          <w:rFonts w:cs="Arial"/>
          <w:sz w:val="22"/>
          <w:szCs w:val="22"/>
        </w:rPr>
        <w:t xml:space="preserve"> </w:t>
      </w:r>
      <w:r w:rsidRPr="4C1149B3">
        <w:rPr>
          <w:rFonts w:cs="Arial"/>
          <w:sz w:val="22"/>
          <w:szCs w:val="22"/>
        </w:rPr>
        <w:t>and Samoa, with regional buy-in.  </w:t>
      </w:r>
    </w:p>
    <w:p w:rsidRPr="005E5F99" w:rsidR="005E5F99" w:rsidP="001D265D" w:rsidRDefault="005E5F99" w14:paraId="79DEBDD3" w14:textId="5B6077AD">
      <w:pPr>
        <w:numPr>
          <w:ilvl w:val="0"/>
          <w:numId w:val="8"/>
        </w:numPr>
        <w:spacing w:before="40" w:after="40"/>
        <w:rPr>
          <w:rFonts w:cs="Arial"/>
          <w:sz w:val="22"/>
          <w:szCs w:val="22"/>
        </w:rPr>
      </w:pPr>
      <w:r w:rsidRPr="4C1149B3">
        <w:rPr>
          <w:rFonts w:cs="Arial"/>
          <w:i/>
          <w:iCs/>
          <w:sz w:val="22"/>
          <w:szCs w:val="22"/>
        </w:rPr>
        <w:t>Sea Food Loss and Waste (SFLW)</w:t>
      </w:r>
      <w:r w:rsidRPr="4C1149B3">
        <w:rPr>
          <w:rFonts w:cs="Arial"/>
          <w:b/>
          <w:bCs/>
          <w:sz w:val="22"/>
          <w:szCs w:val="22"/>
        </w:rPr>
        <w:t xml:space="preserve"> </w:t>
      </w:r>
      <w:r w:rsidRPr="4C1149B3">
        <w:rPr>
          <w:rFonts w:cs="Arial"/>
          <w:i/>
          <w:iCs/>
          <w:sz w:val="22"/>
          <w:szCs w:val="22"/>
        </w:rPr>
        <w:t xml:space="preserve">— </w:t>
      </w:r>
      <w:r w:rsidR="00217AA4">
        <w:rPr>
          <w:rFonts w:cs="Arial"/>
          <w:sz w:val="22"/>
          <w:szCs w:val="22"/>
        </w:rPr>
        <w:t>formali</w:t>
      </w:r>
      <w:r w:rsidR="003B495B">
        <w:rPr>
          <w:rFonts w:cs="Arial"/>
          <w:sz w:val="22"/>
          <w:szCs w:val="22"/>
        </w:rPr>
        <w:t>s</w:t>
      </w:r>
      <w:r w:rsidR="00217AA4">
        <w:rPr>
          <w:rFonts w:cs="Arial"/>
          <w:sz w:val="22"/>
          <w:szCs w:val="22"/>
        </w:rPr>
        <w:t>ing the establishment of an industry cluster with</w:t>
      </w:r>
      <w:r w:rsidRPr="4C1149B3">
        <w:rPr>
          <w:rFonts w:cs="Arial"/>
          <w:sz w:val="22"/>
          <w:szCs w:val="22"/>
        </w:rPr>
        <w:t xml:space="preserve"> </w:t>
      </w:r>
      <w:r w:rsidR="00217AA4">
        <w:rPr>
          <w:rFonts w:cs="Arial"/>
          <w:sz w:val="22"/>
          <w:szCs w:val="22"/>
        </w:rPr>
        <w:t>local industry players in Namibia</w:t>
      </w:r>
      <w:r w:rsidRPr="4C1149B3">
        <w:rPr>
          <w:rFonts w:cs="Arial"/>
          <w:sz w:val="22"/>
          <w:szCs w:val="22"/>
        </w:rPr>
        <w:t xml:space="preserve"> to eliminate fish industry waste and develop guidelines to be applied globally.  </w:t>
      </w:r>
    </w:p>
    <w:p w:rsidRPr="005E5F99" w:rsidR="00130720" w:rsidP="00130720" w:rsidRDefault="005E5F99" w14:paraId="5450CDEB" w14:textId="5FAD3CFB">
      <w:pPr>
        <w:numPr>
          <w:ilvl w:val="0"/>
          <w:numId w:val="9"/>
        </w:numPr>
        <w:spacing w:before="40" w:after="40"/>
        <w:rPr>
          <w:rFonts w:cs="Arial"/>
          <w:sz w:val="22"/>
          <w:szCs w:val="22"/>
        </w:rPr>
      </w:pPr>
      <w:r w:rsidRPr="67F75CDE">
        <w:rPr>
          <w:rFonts w:cs="Arial"/>
          <w:i/>
          <w:iCs/>
          <w:sz w:val="22"/>
          <w:szCs w:val="22"/>
        </w:rPr>
        <w:t>Supply Chain Risk Tool (SCRT) project —</w:t>
      </w:r>
      <w:r w:rsidRPr="67F75CDE">
        <w:rPr>
          <w:rFonts w:cs="Arial"/>
          <w:sz w:val="22"/>
          <w:szCs w:val="22"/>
        </w:rPr>
        <w:t xml:space="preserve"> </w:t>
      </w:r>
      <w:r w:rsidRPr="001120DA" w:rsidR="00AE217B">
        <w:rPr>
          <w:rFonts w:cs="Arial"/>
          <w:sz w:val="22"/>
          <w:szCs w:val="22"/>
        </w:rPr>
        <w:t xml:space="preserve">developing a </w:t>
      </w:r>
      <w:r w:rsidR="00217AA4">
        <w:rPr>
          <w:rFonts w:cs="Arial"/>
          <w:sz w:val="22"/>
          <w:szCs w:val="22"/>
        </w:rPr>
        <w:t>data platform in partnership with</w:t>
      </w:r>
      <w:r w:rsidRPr="001120DA" w:rsidR="00AE217B">
        <w:rPr>
          <w:rFonts w:cs="Arial"/>
          <w:sz w:val="22"/>
          <w:szCs w:val="22"/>
        </w:rPr>
        <w:t xml:space="preserve"> Global Fishing Watch (GFW) to tackle Illegal, Unreported and Unregulated (IUU) fishing</w:t>
      </w:r>
      <w:r w:rsidR="001C1565">
        <w:rPr>
          <w:rFonts w:cs="Arial"/>
          <w:sz w:val="22"/>
          <w:szCs w:val="22"/>
        </w:rPr>
        <w:t xml:space="preserve">. The data </w:t>
      </w:r>
      <w:r w:rsidR="00BA565B">
        <w:rPr>
          <w:rFonts w:cs="Arial"/>
          <w:sz w:val="22"/>
          <w:szCs w:val="22"/>
        </w:rPr>
        <w:t>platform</w:t>
      </w:r>
      <w:r w:rsidR="001C1565">
        <w:rPr>
          <w:rFonts w:cs="Arial"/>
          <w:sz w:val="22"/>
          <w:szCs w:val="22"/>
        </w:rPr>
        <w:t xml:space="preserve"> was </w:t>
      </w:r>
      <w:r w:rsidR="00CE5FD9">
        <w:rPr>
          <w:rFonts w:cs="Arial"/>
          <w:sz w:val="22"/>
          <w:szCs w:val="22"/>
        </w:rPr>
        <w:t>designed</w:t>
      </w:r>
      <w:r w:rsidR="001C1565">
        <w:rPr>
          <w:rFonts w:cs="Arial"/>
          <w:sz w:val="22"/>
          <w:szCs w:val="22"/>
        </w:rPr>
        <w:t xml:space="preserve"> to</w:t>
      </w:r>
      <w:r w:rsidRPr="00D72CA9" w:rsidR="00AE217B">
        <w:rPr>
          <w:rFonts w:cs="Arial"/>
          <w:sz w:val="22"/>
          <w:szCs w:val="22"/>
        </w:rPr>
        <w:t xml:space="preserve"> </w:t>
      </w:r>
      <w:r w:rsidRPr="00D72CA9" w:rsidR="00BA565B">
        <w:rPr>
          <w:rFonts w:cs="Arial"/>
          <w:sz w:val="22"/>
          <w:szCs w:val="22"/>
        </w:rPr>
        <w:t>enabl</w:t>
      </w:r>
      <w:r w:rsidR="00BA565B">
        <w:rPr>
          <w:rFonts w:cs="Arial"/>
          <w:sz w:val="22"/>
          <w:szCs w:val="22"/>
        </w:rPr>
        <w:t xml:space="preserve">e </w:t>
      </w:r>
      <w:r w:rsidRPr="00D72CA9" w:rsidR="00BA565B">
        <w:rPr>
          <w:rFonts w:cs="Arial"/>
          <w:sz w:val="22"/>
          <w:szCs w:val="22"/>
        </w:rPr>
        <w:t>actionable</w:t>
      </w:r>
      <w:r w:rsidRPr="00D72CA9" w:rsidR="00130720">
        <w:rPr>
          <w:rFonts w:cs="Arial"/>
          <w:sz w:val="22"/>
          <w:szCs w:val="22"/>
        </w:rPr>
        <w:t xml:space="preserve"> </w:t>
      </w:r>
      <w:r w:rsidRPr="00D72CA9" w:rsidR="00717253">
        <w:rPr>
          <w:rFonts w:cs="Arial"/>
          <w:sz w:val="22"/>
          <w:szCs w:val="22"/>
        </w:rPr>
        <w:t>aggrega</w:t>
      </w:r>
      <w:r w:rsidR="00717253">
        <w:rPr>
          <w:rFonts w:cs="Arial"/>
          <w:sz w:val="22"/>
          <w:szCs w:val="22"/>
        </w:rPr>
        <w:t>tion</w:t>
      </w:r>
      <w:r w:rsidRPr="00D72CA9" w:rsidR="00130720">
        <w:rPr>
          <w:rFonts w:cs="Arial"/>
          <w:sz w:val="22"/>
          <w:szCs w:val="22"/>
        </w:rPr>
        <w:t xml:space="preserve"> </w:t>
      </w:r>
      <w:r w:rsidR="00717253">
        <w:rPr>
          <w:rFonts w:cs="Arial"/>
          <w:sz w:val="22"/>
          <w:szCs w:val="22"/>
        </w:rPr>
        <w:t xml:space="preserve">of </w:t>
      </w:r>
      <w:r w:rsidRPr="00D72CA9" w:rsidR="00130720">
        <w:rPr>
          <w:rFonts w:cs="Arial"/>
          <w:sz w:val="22"/>
          <w:szCs w:val="22"/>
        </w:rPr>
        <w:t>multiple data sources</w:t>
      </w:r>
      <w:r w:rsidRPr="001120DA" w:rsidR="00C86528">
        <w:rPr>
          <w:rFonts w:cs="Arial"/>
          <w:sz w:val="22"/>
          <w:szCs w:val="22"/>
        </w:rPr>
        <w:t>,</w:t>
      </w:r>
      <w:r w:rsidRPr="001120DA" w:rsidR="00130720">
        <w:rPr>
          <w:rFonts w:cs="Arial"/>
          <w:sz w:val="22"/>
          <w:szCs w:val="22"/>
        </w:rPr>
        <w:t xml:space="preserve"> provid</w:t>
      </w:r>
      <w:r w:rsidRPr="001120DA" w:rsidR="00C86528">
        <w:rPr>
          <w:rFonts w:cs="Arial"/>
          <w:sz w:val="22"/>
          <w:szCs w:val="22"/>
        </w:rPr>
        <w:t>ing</w:t>
      </w:r>
      <w:r w:rsidRPr="001120DA" w:rsidR="00130720">
        <w:rPr>
          <w:rFonts w:cs="Arial"/>
          <w:sz w:val="22"/>
          <w:szCs w:val="22"/>
        </w:rPr>
        <w:t xml:space="preserve"> critical vessel-level information to inform companies’ risk assessment processes that can easily integrate into existing workflows</w:t>
      </w:r>
      <w:r w:rsidRPr="001120DA" w:rsidR="00F15E14">
        <w:rPr>
          <w:rFonts w:cs="Arial"/>
          <w:sz w:val="22"/>
          <w:szCs w:val="22"/>
        </w:rPr>
        <w:t>.</w:t>
      </w:r>
    </w:p>
    <w:p w:rsidRPr="005E5F99" w:rsidR="005E5F99" w:rsidP="005E5F99" w:rsidRDefault="005E5F99" w14:paraId="3AFDF3DD" w14:textId="58316EAC">
      <w:pPr>
        <w:spacing w:before="40" w:after="40"/>
        <w:rPr>
          <w:rFonts w:cs="Arial"/>
          <w:sz w:val="22"/>
          <w:szCs w:val="22"/>
        </w:rPr>
      </w:pPr>
      <w:r w:rsidRPr="4C1149B3">
        <w:rPr>
          <w:rFonts w:cs="Arial"/>
          <w:sz w:val="22"/>
          <w:szCs w:val="22"/>
        </w:rPr>
        <w:t> </w:t>
      </w:r>
    </w:p>
    <w:p w:rsidRPr="005E5F99" w:rsidR="005E5F99" w:rsidP="005E5F99" w:rsidRDefault="005E5F99" w14:paraId="3B8148B7" w14:textId="1EAB7CB6">
      <w:pPr>
        <w:spacing w:before="40" w:after="40"/>
        <w:rPr>
          <w:rFonts w:cs="Arial"/>
          <w:sz w:val="22"/>
          <w:szCs w:val="22"/>
        </w:rPr>
      </w:pPr>
      <w:r w:rsidRPr="64A101A5">
        <w:rPr>
          <w:rFonts w:cs="Arial"/>
          <w:sz w:val="22"/>
          <w:szCs w:val="22"/>
        </w:rPr>
        <w:t>The Global Ocean Accounts Partnership (GOAP</w:t>
      </w:r>
      <w:r w:rsidRPr="00962567">
        <w:rPr>
          <w:bCs/>
          <w:sz w:val="22"/>
        </w:rPr>
        <w:t>)</w:t>
      </w:r>
      <w:r w:rsidRPr="64A101A5">
        <w:rPr>
          <w:rFonts w:cs="Arial"/>
          <w:sz w:val="22"/>
          <w:szCs w:val="22"/>
        </w:rPr>
        <w:t xml:space="preserve"> is a membership-driven partnership </w:t>
      </w:r>
      <w:r w:rsidRPr="64A101A5" w:rsidR="02ECB109">
        <w:rPr>
          <w:rFonts w:cs="Arial"/>
          <w:sz w:val="22"/>
          <w:szCs w:val="22"/>
        </w:rPr>
        <w:t xml:space="preserve">the Secretariat of which is </w:t>
      </w:r>
      <w:r w:rsidRPr="64A101A5">
        <w:rPr>
          <w:rFonts w:cs="Arial"/>
          <w:sz w:val="22"/>
          <w:szCs w:val="22"/>
        </w:rPr>
        <w:t>hosted by the University of New South Wales (UNSW</w:t>
      </w:r>
      <w:r w:rsidRPr="50B977E2" w:rsidR="4AC40861">
        <w:rPr>
          <w:rFonts w:cs="Arial"/>
          <w:sz w:val="22"/>
          <w:szCs w:val="22"/>
        </w:rPr>
        <w:t>)</w:t>
      </w:r>
      <w:r w:rsidRPr="64A101A5">
        <w:rPr>
          <w:rFonts w:cs="Arial"/>
          <w:sz w:val="22"/>
          <w:szCs w:val="22"/>
        </w:rPr>
        <w:t>bringing together governments, international organisations, and research institutions to build a global community of practice for ocean natural capital accounting</w:t>
      </w:r>
      <w:r w:rsidRPr="64A101A5" w:rsidR="001A34FA">
        <w:rPr>
          <w:rFonts w:cs="Arial"/>
          <w:sz w:val="22"/>
          <w:szCs w:val="22"/>
        </w:rPr>
        <w:t xml:space="preserve"> to ensure the diverse values of the ocean are recognised in all decision-making about social and economic development</w:t>
      </w:r>
      <w:r w:rsidRPr="64A101A5">
        <w:rPr>
          <w:rFonts w:cs="Arial"/>
          <w:sz w:val="22"/>
          <w:szCs w:val="22"/>
        </w:rPr>
        <w:t xml:space="preserve">. Within </w:t>
      </w:r>
      <w:r w:rsidRPr="64A101A5" w:rsidR="00E6252D">
        <w:rPr>
          <w:rFonts w:cs="Arial"/>
          <w:sz w:val="22"/>
          <w:szCs w:val="22"/>
        </w:rPr>
        <w:t>the</w:t>
      </w:r>
      <w:r w:rsidRPr="64A101A5">
        <w:rPr>
          <w:rFonts w:cs="Arial"/>
          <w:sz w:val="22"/>
          <w:szCs w:val="22"/>
        </w:rPr>
        <w:t xml:space="preserve"> OCPP, the GOAP programme supports countries to develop ocean accounting systems to inform decision-making on the sustainable and equitable use of marine resources, including overseeing a global expert panel to advance knowledge production and implementing ocean accounting in pilot countries. </w:t>
      </w:r>
      <w:r w:rsidRPr="64A101A5" w:rsidR="00862FCE">
        <w:rPr>
          <w:rFonts w:cs="Arial"/>
          <w:sz w:val="22"/>
          <w:szCs w:val="22"/>
        </w:rPr>
        <w:t xml:space="preserve">Ocean accounts </w:t>
      </w:r>
      <w:r w:rsidRPr="64A101A5" w:rsidR="001730D0">
        <w:rPr>
          <w:rFonts w:cs="Arial"/>
          <w:sz w:val="22"/>
          <w:szCs w:val="22"/>
        </w:rPr>
        <w:t xml:space="preserve">can be used to inform </w:t>
      </w:r>
      <w:r w:rsidRPr="64A101A5" w:rsidR="000B1F86">
        <w:rPr>
          <w:rFonts w:cs="Arial"/>
          <w:sz w:val="22"/>
          <w:szCs w:val="22"/>
        </w:rPr>
        <w:t>future and existing ocean development projects</w:t>
      </w:r>
      <w:r w:rsidRPr="64A101A5" w:rsidR="00AC02A8">
        <w:rPr>
          <w:rFonts w:cs="Arial"/>
          <w:sz w:val="22"/>
          <w:szCs w:val="22"/>
        </w:rPr>
        <w:t>, programmes</w:t>
      </w:r>
      <w:r w:rsidRPr="64A101A5" w:rsidR="00071210">
        <w:rPr>
          <w:rFonts w:cs="Arial"/>
          <w:sz w:val="22"/>
          <w:szCs w:val="22"/>
        </w:rPr>
        <w:t>,</w:t>
      </w:r>
      <w:r w:rsidRPr="64A101A5" w:rsidR="00AC02A8">
        <w:rPr>
          <w:rFonts w:cs="Arial"/>
          <w:sz w:val="22"/>
          <w:szCs w:val="22"/>
        </w:rPr>
        <w:t xml:space="preserve"> and activities</w:t>
      </w:r>
      <w:r w:rsidRPr="64A101A5" w:rsidR="00FE0463">
        <w:rPr>
          <w:rFonts w:cs="Arial"/>
          <w:sz w:val="22"/>
          <w:szCs w:val="22"/>
        </w:rPr>
        <w:t xml:space="preserve"> including support to the development of sustainable livelihoods for coastal communities</w:t>
      </w:r>
      <w:r w:rsidRPr="64A101A5" w:rsidR="00F2650A">
        <w:rPr>
          <w:rFonts w:cs="Arial"/>
          <w:sz w:val="22"/>
          <w:szCs w:val="22"/>
        </w:rPr>
        <w:t xml:space="preserve">. </w:t>
      </w:r>
      <w:r w:rsidRPr="64A101A5">
        <w:rPr>
          <w:rFonts w:cs="Arial"/>
          <w:sz w:val="22"/>
          <w:szCs w:val="22"/>
        </w:rPr>
        <w:t>To date, across the programme, a total of 19 countries have received support (bilaterally or through the strategic partnerships).  </w:t>
      </w:r>
    </w:p>
    <w:p w:rsidRPr="005E5F99" w:rsidR="005E5F99" w:rsidP="005E5F99" w:rsidRDefault="005E5F99" w14:paraId="69CF6FBE" w14:textId="3C4A197E">
      <w:pPr>
        <w:spacing w:before="40" w:after="40"/>
        <w:rPr>
          <w:rFonts w:cs="Arial"/>
          <w:sz w:val="22"/>
          <w:szCs w:val="22"/>
        </w:rPr>
      </w:pPr>
      <w:r w:rsidRPr="4C1149B3">
        <w:rPr>
          <w:rFonts w:cs="Arial"/>
          <w:sz w:val="22"/>
          <w:szCs w:val="22"/>
        </w:rPr>
        <w:t> </w:t>
      </w:r>
    </w:p>
    <w:p w:rsidRPr="005E5F99" w:rsidR="005E5F99" w:rsidP="006F3AE7" w:rsidRDefault="00E6252D" w14:paraId="5B789476" w14:textId="27BDDDBC">
      <w:pPr>
        <w:spacing w:before="40" w:after="40"/>
        <w:rPr>
          <w:rFonts w:cs="Arial"/>
          <w:sz w:val="22"/>
          <w:szCs w:val="22"/>
        </w:rPr>
      </w:pPr>
      <w:r w:rsidRPr="2C6B85DE">
        <w:rPr>
          <w:rFonts w:cs="Arial"/>
          <w:sz w:val="22"/>
          <w:szCs w:val="22"/>
        </w:rPr>
        <w:t xml:space="preserve">The </w:t>
      </w:r>
      <w:r w:rsidRPr="2C6B85DE" w:rsidR="005E5F99">
        <w:rPr>
          <w:rFonts w:cs="Arial"/>
          <w:sz w:val="22"/>
          <w:szCs w:val="22"/>
        </w:rPr>
        <w:t>OCPP also supports ad-hoc initiatives on a needs-only basis in several non-OCPP countries, including a</w:t>
      </w:r>
      <w:r w:rsidRPr="2C6B85DE" w:rsidR="00657242">
        <w:rPr>
          <w:rFonts w:cs="Arial"/>
          <w:sz w:val="22"/>
          <w:szCs w:val="22"/>
        </w:rPr>
        <w:t>n</w:t>
      </w:r>
      <w:r w:rsidRPr="2C6B85DE" w:rsidR="00D72CA9">
        <w:rPr>
          <w:rFonts w:cs="Arial"/>
          <w:sz w:val="22"/>
          <w:szCs w:val="22"/>
        </w:rPr>
        <w:t xml:space="preserve"> </w:t>
      </w:r>
      <w:r w:rsidRPr="2C6B85DE" w:rsidR="00626494">
        <w:rPr>
          <w:rFonts w:cs="Arial"/>
          <w:sz w:val="22"/>
          <w:szCs w:val="22"/>
        </w:rPr>
        <w:t xml:space="preserve">oil spill </w:t>
      </w:r>
      <w:r w:rsidRPr="2C6B85DE" w:rsidR="005E5F99">
        <w:rPr>
          <w:rFonts w:cs="Arial"/>
          <w:sz w:val="22"/>
          <w:szCs w:val="22"/>
        </w:rPr>
        <w:t xml:space="preserve">emergency response programme in Peru, as well as a </w:t>
      </w:r>
      <w:r w:rsidRPr="2C6B85DE" w:rsidR="000770A7">
        <w:rPr>
          <w:rFonts w:cs="Arial"/>
          <w:sz w:val="22"/>
          <w:szCs w:val="22"/>
        </w:rPr>
        <w:t xml:space="preserve">marine pollution </w:t>
      </w:r>
      <w:r w:rsidRPr="2C6B85DE" w:rsidR="005E5F99">
        <w:rPr>
          <w:rFonts w:cs="Arial"/>
          <w:sz w:val="22"/>
          <w:szCs w:val="22"/>
        </w:rPr>
        <w:t>emergency response and technical assistance initiative in the Eastern Tropical Pacific Marine Corridor (CMAR) in Colombia, Ecuador, Panama, and Costa Rica.  </w:t>
      </w:r>
    </w:p>
    <w:p w:rsidR="006F3AE7" w:rsidP="082A9BF4" w:rsidRDefault="006F3AE7" w14:paraId="5339BD8A" w14:textId="77777777">
      <w:pPr>
        <w:rPr>
          <w:b/>
          <w:bCs/>
          <w:sz w:val="22"/>
          <w:szCs w:val="22"/>
        </w:rPr>
      </w:pPr>
    </w:p>
    <w:p w:rsidRPr="00F70DBE" w:rsidR="006F3AE7" w:rsidP="4735041B" w:rsidRDefault="21651D23" w14:paraId="69294281" w14:textId="26CF8917">
      <w:pPr>
        <w:rPr>
          <w:rFonts w:cs="Arial"/>
          <w:b/>
          <w:bCs/>
          <w:sz w:val="22"/>
          <w:szCs w:val="22"/>
        </w:rPr>
      </w:pPr>
      <w:r w:rsidRPr="082A9BF4">
        <w:rPr>
          <w:rFonts w:cs="Arial"/>
          <w:b/>
          <w:bCs/>
          <w:sz w:val="22"/>
          <w:szCs w:val="22"/>
        </w:rPr>
        <w:t xml:space="preserve">A2. </w:t>
      </w:r>
      <w:r w:rsidRPr="082A9BF4" w:rsidR="6F26DE3D">
        <w:rPr>
          <w:rFonts w:cs="Arial"/>
          <w:b/>
          <w:bCs/>
          <w:sz w:val="22"/>
          <w:szCs w:val="22"/>
        </w:rPr>
        <w:t>S</w:t>
      </w:r>
      <w:r w:rsidRPr="082A9BF4" w:rsidR="006F3AE7">
        <w:rPr>
          <w:rFonts w:cs="Arial"/>
          <w:b/>
          <w:bCs/>
          <w:sz w:val="22"/>
          <w:szCs w:val="22"/>
        </w:rPr>
        <w:t>ummary supporting narrative for the overall score in this review</w:t>
      </w:r>
    </w:p>
    <w:p w:rsidR="006F3AE7" w:rsidP="006F3AE7" w:rsidRDefault="006F3AE7" w14:paraId="6EE933DD" w14:textId="77777777">
      <w:pPr>
        <w:rPr>
          <w:b/>
          <w:sz w:val="22"/>
          <w:szCs w:val="22"/>
        </w:rPr>
      </w:pPr>
    </w:p>
    <w:p w:rsidR="00103EA3" w:rsidP="00103EA3" w:rsidRDefault="00103EA3" w14:paraId="2AE95342" w14:textId="2C2D4FD0">
      <w:pPr>
        <w:rPr>
          <w:sz w:val="22"/>
          <w:szCs w:val="22"/>
        </w:rPr>
      </w:pPr>
      <w:r w:rsidRPr="00103EA3">
        <w:rPr>
          <w:sz w:val="22"/>
          <w:szCs w:val="22"/>
        </w:rPr>
        <w:t xml:space="preserve">The programme </w:t>
      </w:r>
      <w:r w:rsidR="00A3611D">
        <w:rPr>
          <w:sz w:val="22"/>
          <w:szCs w:val="22"/>
        </w:rPr>
        <w:t xml:space="preserve">has scored a B </w:t>
      </w:r>
      <w:r w:rsidRPr="00103EA3">
        <w:rPr>
          <w:sz w:val="22"/>
          <w:szCs w:val="22"/>
        </w:rPr>
        <w:t xml:space="preserve">for </w:t>
      </w:r>
      <w:r w:rsidR="003B7A3D">
        <w:rPr>
          <w:sz w:val="22"/>
          <w:szCs w:val="22"/>
        </w:rPr>
        <w:t xml:space="preserve">the </w:t>
      </w:r>
      <w:r w:rsidRPr="00103EA3">
        <w:rPr>
          <w:sz w:val="22"/>
          <w:szCs w:val="22"/>
        </w:rPr>
        <w:t>2</w:t>
      </w:r>
      <w:r w:rsidR="003B7A3D">
        <w:rPr>
          <w:sz w:val="22"/>
          <w:szCs w:val="22"/>
        </w:rPr>
        <w:t>3</w:t>
      </w:r>
      <w:r w:rsidRPr="00103EA3">
        <w:rPr>
          <w:sz w:val="22"/>
          <w:szCs w:val="22"/>
        </w:rPr>
        <w:t>/2</w:t>
      </w:r>
      <w:r w:rsidR="003B7A3D">
        <w:rPr>
          <w:sz w:val="22"/>
          <w:szCs w:val="22"/>
        </w:rPr>
        <w:t xml:space="preserve">4 </w:t>
      </w:r>
      <w:r w:rsidR="00C14357">
        <w:rPr>
          <w:sz w:val="22"/>
          <w:szCs w:val="22"/>
        </w:rPr>
        <w:t>annual review</w:t>
      </w:r>
      <w:r w:rsidR="003B7A3D">
        <w:rPr>
          <w:sz w:val="22"/>
          <w:szCs w:val="22"/>
        </w:rPr>
        <w:t xml:space="preserve"> period (</w:t>
      </w:r>
      <w:r w:rsidR="00486BEC">
        <w:rPr>
          <w:sz w:val="22"/>
          <w:szCs w:val="22"/>
        </w:rPr>
        <w:t xml:space="preserve">reporting from </w:t>
      </w:r>
      <w:r w:rsidR="003B7A3D">
        <w:rPr>
          <w:sz w:val="22"/>
          <w:szCs w:val="22"/>
        </w:rPr>
        <w:t>J</w:t>
      </w:r>
      <w:r w:rsidR="00433470">
        <w:rPr>
          <w:sz w:val="22"/>
          <w:szCs w:val="22"/>
        </w:rPr>
        <w:t xml:space="preserve">uly </w:t>
      </w:r>
      <w:r w:rsidR="00B03D21">
        <w:rPr>
          <w:sz w:val="22"/>
          <w:szCs w:val="22"/>
        </w:rPr>
        <w:t xml:space="preserve">2023 </w:t>
      </w:r>
      <w:r w:rsidR="00433470">
        <w:rPr>
          <w:sz w:val="22"/>
          <w:szCs w:val="22"/>
        </w:rPr>
        <w:t>to June</w:t>
      </w:r>
      <w:r w:rsidR="00B03D21">
        <w:rPr>
          <w:sz w:val="22"/>
          <w:szCs w:val="22"/>
        </w:rPr>
        <w:t xml:space="preserve"> 2024</w:t>
      </w:r>
      <w:r w:rsidR="00433470">
        <w:rPr>
          <w:sz w:val="22"/>
          <w:szCs w:val="22"/>
        </w:rPr>
        <w:t>)</w:t>
      </w:r>
      <w:r w:rsidR="00837E80">
        <w:rPr>
          <w:sz w:val="22"/>
          <w:szCs w:val="22"/>
        </w:rPr>
        <w:t>. T</w:t>
      </w:r>
      <w:r w:rsidR="00795A72">
        <w:rPr>
          <w:sz w:val="22"/>
          <w:szCs w:val="22"/>
        </w:rPr>
        <w:t xml:space="preserve">his follows a B </w:t>
      </w:r>
      <w:r w:rsidR="00862509">
        <w:rPr>
          <w:sz w:val="22"/>
          <w:szCs w:val="22"/>
        </w:rPr>
        <w:t xml:space="preserve">for the 22/23 </w:t>
      </w:r>
      <w:r w:rsidR="00C14357">
        <w:rPr>
          <w:sz w:val="22"/>
          <w:szCs w:val="22"/>
        </w:rPr>
        <w:t>annual review</w:t>
      </w:r>
      <w:r w:rsidR="00862509">
        <w:rPr>
          <w:sz w:val="22"/>
          <w:szCs w:val="22"/>
        </w:rPr>
        <w:t xml:space="preserve"> period</w:t>
      </w:r>
      <w:r w:rsidR="008A4A1D">
        <w:rPr>
          <w:sz w:val="22"/>
          <w:szCs w:val="22"/>
        </w:rPr>
        <w:t>.</w:t>
      </w:r>
      <w:r w:rsidR="00C134C7">
        <w:rPr>
          <w:sz w:val="22"/>
          <w:szCs w:val="22"/>
        </w:rPr>
        <w:t xml:space="preserve"> </w:t>
      </w:r>
      <w:r w:rsidRPr="00103EA3">
        <w:rPr>
          <w:sz w:val="22"/>
          <w:szCs w:val="22"/>
        </w:rPr>
        <w:t xml:space="preserve">This has been assessed through output </w:t>
      </w:r>
      <w:r w:rsidR="00186E1C">
        <w:rPr>
          <w:sz w:val="22"/>
          <w:szCs w:val="22"/>
        </w:rPr>
        <w:t xml:space="preserve">and outcome </w:t>
      </w:r>
      <w:r w:rsidRPr="00103EA3">
        <w:rPr>
          <w:sz w:val="22"/>
          <w:szCs w:val="22"/>
        </w:rPr>
        <w:t>scoring</w:t>
      </w:r>
      <w:r w:rsidR="00BF6822">
        <w:rPr>
          <w:sz w:val="22"/>
          <w:szCs w:val="22"/>
        </w:rPr>
        <w:t xml:space="preserve"> alongside findings from the recent interim </w:t>
      </w:r>
      <w:r w:rsidR="00C5216D">
        <w:rPr>
          <w:sz w:val="22"/>
          <w:szCs w:val="22"/>
        </w:rPr>
        <w:t>evaluation</w:t>
      </w:r>
      <w:r w:rsidR="008F47BB">
        <w:rPr>
          <w:sz w:val="22"/>
          <w:szCs w:val="22"/>
        </w:rPr>
        <w:t>.</w:t>
      </w:r>
      <w:r w:rsidR="00C5216D">
        <w:rPr>
          <w:sz w:val="22"/>
          <w:szCs w:val="22"/>
        </w:rPr>
        <w:t xml:space="preserve"> This</w:t>
      </w:r>
      <w:r w:rsidR="00E02B9A">
        <w:rPr>
          <w:sz w:val="22"/>
          <w:szCs w:val="22"/>
        </w:rPr>
        <w:t xml:space="preserve"> ye</w:t>
      </w:r>
      <w:r w:rsidR="008F47BB">
        <w:rPr>
          <w:sz w:val="22"/>
          <w:szCs w:val="22"/>
        </w:rPr>
        <w:t>ar</w:t>
      </w:r>
      <w:r w:rsidR="00E02B9A">
        <w:rPr>
          <w:sz w:val="22"/>
          <w:szCs w:val="22"/>
        </w:rPr>
        <w:t xml:space="preserve"> </w:t>
      </w:r>
      <w:r w:rsidRPr="68B5FEFD" w:rsidR="65C59922">
        <w:rPr>
          <w:sz w:val="22"/>
          <w:szCs w:val="22"/>
        </w:rPr>
        <w:t>three</w:t>
      </w:r>
      <w:r w:rsidR="00131B2F">
        <w:rPr>
          <w:sz w:val="22"/>
          <w:szCs w:val="22"/>
        </w:rPr>
        <w:t xml:space="preserve"> outputs </w:t>
      </w:r>
      <w:r w:rsidR="00E02B9A">
        <w:rPr>
          <w:sz w:val="22"/>
          <w:szCs w:val="22"/>
        </w:rPr>
        <w:t xml:space="preserve">have </w:t>
      </w:r>
      <w:r w:rsidR="00131B2F">
        <w:rPr>
          <w:sz w:val="22"/>
          <w:szCs w:val="22"/>
        </w:rPr>
        <w:t>scor</w:t>
      </w:r>
      <w:r w:rsidR="00E02B9A">
        <w:rPr>
          <w:sz w:val="22"/>
          <w:szCs w:val="22"/>
        </w:rPr>
        <w:t>ed</w:t>
      </w:r>
      <w:r w:rsidR="00131B2F">
        <w:rPr>
          <w:sz w:val="22"/>
          <w:szCs w:val="22"/>
        </w:rPr>
        <w:t xml:space="preserve"> B</w:t>
      </w:r>
      <w:r w:rsidR="00855EA0">
        <w:rPr>
          <w:sz w:val="22"/>
          <w:szCs w:val="22"/>
        </w:rPr>
        <w:t>,</w:t>
      </w:r>
      <w:r w:rsidR="000B1AAF">
        <w:rPr>
          <w:sz w:val="22"/>
          <w:szCs w:val="22"/>
        </w:rPr>
        <w:t xml:space="preserve"> </w:t>
      </w:r>
      <w:r w:rsidRPr="68B5FEFD" w:rsidR="5F7F27B3">
        <w:rPr>
          <w:sz w:val="22"/>
          <w:szCs w:val="22"/>
        </w:rPr>
        <w:t>two</w:t>
      </w:r>
      <w:r w:rsidR="00855EA0">
        <w:rPr>
          <w:sz w:val="22"/>
          <w:szCs w:val="22"/>
        </w:rPr>
        <w:t xml:space="preserve"> output</w:t>
      </w:r>
      <w:r w:rsidR="001E4CA0">
        <w:rPr>
          <w:sz w:val="22"/>
          <w:szCs w:val="22"/>
        </w:rPr>
        <w:t xml:space="preserve">s </w:t>
      </w:r>
      <w:r w:rsidR="00855EA0">
        <w:rPr>
          <w:sz w:val="22"/>
          <w:szCs w:val="22"/>
        </w:rPr>
        <w:t>scor</w:t>
      </w:r>
      <w:r w:rsidR="00E02B9A">
        <w:rPr>
          <w:sz w:val="22"/>
          <w:szCs w:val="22"/>
        </w:rPr>
        <w:t>ed</w:t>
      </w:r>
      <w:r w:rsidR="00131B2F">
        <w:rPr>
          <w:sz w:val="22"/>
          <w:szCs w:val="22"/>
        </w:rPr>
        <w:t xml:space="preserve"> A</w:t>
      </w:r>
      <w:r w:rsidR="00C6449C">
        <w:rPr>
          <w:sz w:val="22"/>
          <w:szCs w:val="22"/>
        </w:rPr>
        <w:t xml:space="preserve">, </w:t>
      </w:r>
      <w:r w:rsidR="00131B2F">
        <w:rPr>
          <w:sz w:val="22"/>
          <w:szCs w:val="22"/>
        </w:rPr>
        <w:t xml:space="preserve">and </w:t>
      </w:r>
      <w:r w:rsidRPr="68B5FEFD" w:rsidR="26139D7F">
        <w:rPr>
          <w:sz w:val="22"/>
          <w:szCs w:val="22"/>
        </w:rPr>
        <w:t xml:space="preserve">one </w:t>
      </w:r>
      <w:r w:rsidR="00855EA0">
        <w:rPr>
          <w:sz w:val="22"/>
          <w:szCs w:val="22"/>
        </w:rPr>
        <w:t>output scor</w:t>
      </w:r>
      <w:r w:rsidR="00E02B9A">
        <w:rPr>
          <w:sz w:val="22"/>
          <w:szCs w:val="22"/>
        </w:rPr>
        <w:t>ed</w:t>
      </w:r>
      <w:r w:rsidR="00855EA0">
        <w:rPr>
          <w:sz w:val="22"/>
          <w:szCs w:val="22"/>
        </w:rPr>
        <w:t xml:space="preserve"> C</w:t>
      </w:r>
      <w:r w:rsidR="0075338D">
        <w:rPr>
          <w:sz w:val="22"/>
          <w:szCs w:val="22"/>
        </w:rPr>
        <w:t>.</w:t>
      </w:r>
      <w:r w:rsidR="00307809">
        <w:rPr>
          <w:sz w:val="22"/>
          <w:szCs w:val="22"/>
        </w:rPr>
        <w:t xml:space="preserve"> </w:t>
      </w:r>
      <w:r w:rsidR="00EB10DF">
        <w:rPr>
          <w:sz w:val="22"/>
          <w:szCs w:val="22"/>
        </w:rPr>
        <w:t xml:space="preserve">Five </w:t>
      </w:r>
      <w:r w:rsidRPr="002B6DD0" w:rsidR="00EB10DF">
        <w:rPr>
          <w:sz w:val="22"/>
          <w:szCs w:val="22"/>
        </w:rPr>
        <w:t xml:space="preserve">results </w:t>
      </w:r>
      <w:r w:rsidR="00EB10DF">
        <w:rPr>
          <w:sz w:val="22"/>
          <w:szCs w:val="22"/>
        </w:rPr>
        <w:t xml:space="preserve">have been reported towards the </w:t>
      </w:r>
      <w:r w:rsidRPr="002B6DD0" w:rsidR="00EB10DF">
        <w:rPr>
          <w:sz w:val="22"/>
          <w:szCs w:val="22"/>
        </w:rPr>
        <w:t xml:space="preserve">OCPP's </w:t>
      </w:r>
      <w:r w:rsidR="00EB10DF">
        <w:rPr>
          <w:sz w:val="22"/>
          <w:szCs w:val="22"/>
        </w:rPr>
        <w:t xml:space="preserve">outcome </w:t>
      </w:r>
      <w:r w:rsidR="00C5216D">
        <w:rPr>
          <w:sz w:val="22"/>
          <w:szCs w:val="22"/>
        </w:rPr>
        <w:t xml:space="preserve">statement. </w:t>
      </w:r>
      <w:r w:rsidRPr="004F0233" w:rsidR="00C5216D">
        <w:rPr>
          <w:sz w:val="22"/>
          <w:szCs w:val="22"/>
        </w:rPr>
        <w:t>Intermediate</w:t>
      </w:r>
      <w:r w:rsidRPr="004F0233" w:rsidR="00400854">
        <w:rPr>
          <w:sz w:val="22"/>
          <w:szCs w:val="22"/>
        </w:rPr>
        <w:t xml:space="preserve"> outcome reporting identifies progression in </w:t>
      </w:r>
      <w:r w:rsidR="00400854">
        <w:rPr>
          <w:sz w:val="22"/>
          <w:szCs w:val="22"/>
        </w:rPr>
        <w:t>16</w:t>
      </w:r>
      <w:r w:rsidRPr="004F0233" w:rsidR="00400854">
        <w:rPr>
          <w:sz w:val="22"/>
          <w:szCs w:val="22"/>
        </w:rPr>
        <w:t xml:space="preserve"> </w:t>
      </w:r>
      <w:r w:rsidR="00400854">
        <w:rPr>
          <w:sz w:val="22"/>
          <w:szCs w:val="22"/>
        </w:rPr>
        <w:t xml:space="preserve">areas of </w:t>
      </w:r>
      <w:r w:rsidRPr="004F0233" w:rsidR="00400854">
        <w:rPr>
          <w:sz w:val="22"/>
          <w:szCs w:val="22"/>
        </w:rPr>
        <w:t>change pathways that could progress to outcome</w:t>
      </w:r>
      <w:r w:rsidR="00400854">
        <w:rPr>
          <w:sz w:val="22"/>
          <w:szCs w:val="22"/>
        </w:rPr>
        <w:t>-</w:t>
      </w:r>
      <w:r w:rsidRPr="004F0233" w:rsidR="00400854">
        <w:rPr>
          <w:sz w:val="22"/>
          <w:szCs w:val="22"/>
        </w:rPr>
        <w:t xml:space="preserve">level in the next </w:t>
      </w:r>
      <w:r w:rsidR="000851BA">
        <w:rPr>
          <w:sz w:val="22"/>
          <w:szCs w:val="22"/>
        </w:rPr>
        <w:t>two</w:t>
      </w:r>
      <w:r w:rsidRPr="004F0233" w:rsidR="00400854">
        <w:rPr>
          <w:sz w:val="22"/>
          <w:szCs w:val="22"/>
        </w:rPr>
        <w:t xml:space="preserve"> years</w:t>
      </w:r>
      <w:r w:rsidR="003922B6">
        <w:rPr>
          <w:sz w:val="22"/>
          <w:szCs w:val="22"/>
        </w:rPr>
        <w:t>.</w:t>
      </w:r>
      <w:r w:rsidRPr="006F6446" w:rsidR="006F6446">
        <w:rPr>
          <w:rFonts w:cs="Arial"/>
          <w:color w:val="000000"/>
          <w:sz w:val="22"/>
          <w:szCs w:val="22"/>
          <w:shd w:val="clear" w:color="auto" w:fill="FFFFFF"/>
        </w:rPr>
        <w:t xml:space="preserve"> </w:t>
      </w:r>
      <w:r w:rsidR="006F6446">
        <w:rPr>
          <w:rStyle w:val="normaltextrun"/>
          <w:rFonts w:cs="Arial"/>
          <w:color w:val="000000"/>
          <w:sz w:val="22"/>
          <w:szCs w:val="22"/>
          <w:shd w:val="clear" w:color="auto" w:fill="FFFFFF"/>
        </w:rPr>
        <w:t>This represents a strong pipeline of work for the OCPP to drive forward to outcome-level change.</w:t>
      </w:r>
      <w:r w:rsidR="00875A70">
        <w:rPr>
          <w:sz w:val="22"/>
          <w:szCs w:val="22"/>
        </w:rPr>
        <w:t xml:space="preserve"> Please refer to section</w:t>
      </w:r>
      <w:r w:rsidR="10D9EEE5">
        <w:rPr>
          <w:sz w:val="22"/>
          <w:szCs w:val="22"/>
        </w:rPr>
        <w:t>s</w:t>
      </w:r>
      <w:r w:rsidR="00875A70">
        <w:rPr>
          <w:sz w:val="22"/>
          <w:szCs w:val="22"/>
        </w:rPr>
        <w:t xml:space="preserve"> </w:t>
      </w:r>
      <w:r w:rsidRPr="4C4BF185" w:rsidR="037D6D98">
        <w:rPr>
          <w:sz w:val="22"/>
          <w:szCs w:val="22"/>
        </w:rPr>
        <w:t xml:space="preserve">C and </w:t>
      </w:r>
      <w:r w:rsidRPr="4C4BF185" w:rsidR="00875A70">
        <w:rPr>
          <w:sz w:val="22"/>
          <w:szCs w:val="22"/>
        </w:rPr>
        <w:t>B2</w:t>
      </w:r>
      <w:r w:rsidR="00875A70">
        <w:rPr>
          <w:sz w:val="22"/>
          <w:szCs w:val="22"/>
        </w:rPr>
        <w:t xml:space="preserve"> for further details on </w:t>
      </w:r>
      <w:r w:rsidRPr="4C4BF185" w:rsidR="5211922C">
        <w:rPr>
          <w:sz w:val="22"/>
          <w:szCs w:val="22"/>
        </w:rPr>
        <w:t xml:space="preserve">output and </w:t>
      </w:r>
      <w:r w:rsidR="00875A70">
        <w:rPr>
          <w:sz w:val="22"/>
          <w:szCs w:val="22"/>
        </w:rPr>
        <w:t>outcome reporting</w:t>
      </w:r>
      <w:r w:rsidRPr="5A4A5211" w:rsidR="67B6EF10">
        <w:rPr>
          <w:sz w:val="22"/>
          <w:szCs w:val="22"/>
        </w:rPr>
        <w:t xml:space="preserve"> respectively</w:t>
      </w:r>
      <w:r w:rsidRPr="5A4A5211" w:rsidR="00875A70">
        <w:rPr>
          <w:sz w:val="22"/>
          <w:szCs w:val="22"/>
        </w:rPr>
        <w:t>.</w:t>
      </w:r>
      <w:r w:rsidRPr="5A4A5211" w:rsidR="00857B77">
        <w:rPr>
          <w:sz w:val="22"/>
          <w:szCs w:val="22"/>
        </w:rPr>
        <w:t xml:space="preserve"> </w:t>
      </w:r>
    </w:p>
    <w:p w:rsidR="00215D0E" w:rsidP="00103EA3" w:rsidRDefault="00215D0E" w14:paraId="12F8E922" w14:textId="77777777">
      <w:pPr>
        <w:rPr>
          <w:sz w:val="22"/>
          <w:szCs w:val="22"/>
        </w:rPr>
      </w:pPr>
    </w:p>
    <w:p w:rsidR="00215D0E" w:rsidP="00103EA3" w:rsidRDefault="00215D0E" w14:paraId="17FF46BF" w14:textId="5BC5B86C">
      <w:pPr>
        <w:rPr>
          <w:rFonts w:cs="Arial"/>
          <w:sz w:val="22"/>
          <w:szCs w:val="22"/>
          <w:lang w:val="en-US" w:eastAsia="en-GB"/>
        </w:rPr>
      </w:pPr>
      <w:r w:rsidRPr="2C6B85DE">
        <w:rPr>
          <w:rFonts w:eastAsia="Arial"/>
          <w:sz w:val="22"/>
          <w:szCs w:val="22"/>
        </w:rPr>
        <w:t xml:space="preserve">Overall, </w:t>
      </w:r>
      <w:r w:rsidRPr="2C6B85DE" w:rsidR="005C43ED">
        <w:rPr>
          <w:rFonts w:eastAsia="Arial"/>
          <w:sz w:val="22"/>
          <w:szCs w:val="22"/>
        </w:rPr>
        <w:t>t</w:t>
      </w:r>
      <w:r w:rsidRPr="2C6B85DE">
        <w:rPr>
          <w:rFonts w:eastAsia="Arial"/>
          <w:sz w:val="22"/>
          <w:szCs w:val="22"/>
        </w:rPr>
        <w:t xml:space="preserve">he OCPP presents potential to deliver some significant results, </w:t>
      </w:r>
      <w:r w:rsidRPr="2C6B85DE" w:rsidR="00FA0793">
        <w:rPr>
          <w:rFonts w:eastAsia="Arial"/>
          <w:sz w:val="22"/>
          <w:szCs w:val="22"/>
        </w:rPr>
        <w:t>particularly from our strategic partners GOAP and FOA</w:t>
      </w:r>
      <w:r w:rsidRPr="2C6B85DE" w:rsidR="00823814">
        <w:rPr>
          <w:rFonts w:eastAsia="Arial"/>
          <w:sz w:val="22"/>
          <w:szCs w:val="22"/>
        </w:rPr>
        <w:t>,</w:t>
      </w:r>
      <w:r w:rsidRPr="2C6B85DE" w:rsidR="00FA0793">
        <w:rPr>
          <w:rFonts w:eastAsia="Arial"/>
          <w:sz w:val="22"/>
          <w:szCs w:val="22"/>
        </w:rPr>
        <w:t xml:space="preserve"> who </w:t>
      </w:r>
      <w:r w:rsidRPr="2C6B85DE">
        <w:rPr>
          <w:rFonts w:cs="Arial"/>
          <w:sz w:val="22"/>
          <w:szCs w:val="22"/>
          <w:lang w:val="en-US" w:eastAsia="en-GB"/>
        </w:rPr>
        <w:t>presented strongly throughout the interim evaluation</w:t>
      </w:r>
      <w:r w:rsidRPr="2C6B85DE" w:rsidR="00CC5DF3">
        <w:rPr>
          <w:rFonts w:cs="Arial"/>
          <w:sz w:val="22"/>
          <w:szCs w:val="22"/>
          <w:lang w:val="en-US" w:eastAsia="en-GB"/>
        </w:rPr>
        <w:t xml:space="preserve"> undertaken </w:t>
      </w:r>
      <w:r w:rsidRPr="2C6B85DE" w:rsidR="006C5819">
        <w:rPr>
          <w:rFonts w:cs="Arial"/>
          <w:sz w:val="22"/>
          <w:szCs w:val="22"/>
          <w:lang w:val="en-US" w:eastAsia="en-GB"/>
        </w:rPr>
        <w:t>in Q</w:t>
      </w:r>
      <w:r w:rsidRPr="2C6B85DE" w:rsidR="00FB0EBC">
        <w:rPr>
          <w:rFonts w:cs="Arial"/>
          <w:sz w:val="22"/>
          <w:szCs w:val="22"/>
          <w:lang w:val="en-US" w:eastAsia="en-GB"/>
        </w:rPr>
        <w:t>2</w:t>
      </w:r>
      <w:r w:rsidRPr="2C6B85DE" w:rsidR="008D598A">
        <w:rPr>
          <w:rFonts w:cs="Arial"/>
          <w:sz w:val="22"/>
          <w:szCs w:val="22"/>
          <w:lang w:val="en-US" w:eastAsia="en-GB"/>
        </w:rPr>
        <w:t xml:space="preserve"> of this </w:t>
      </w:r>
      <w:r w:rsidRPr="2C6B85DE" w:rsidR="008D5FE2">
        <w:rPr>
          <w:rFonts w:cs="Arial"/>
          <w:sz w:val="22"/>
          <w:szCs w:val="22"/>
          <w:lang w:val="en-US" w:eastAsia="en-GB"/>
        </w:rPr>
        <w:t>financial year (</w:t>
      </w:r>
      <w:r w:rsidRPr="2C6B85DE" w:rsidR="008D598A">
        <w:rPr>
          <w:rFonts w:cs="Arial"/>
          <w:sz w:val="22"/>
          <w:szCs w:val="22"/>
          <w:lang w:val="en-US" w:eastAsia="en-GB"/>
        </w:rPr>
        <w:t>FY</w:t>
      </w:r>
      <w:r w:rsidRPr="2C6B85DE" w:rsidR="008D5FE2">
        <w:rPr>
          <w:rFonts w:cs="Arial"/>
          <w:sz w:val="22"/>
          <w:szCs w:val="22"/>
          <w:lang w:val="en-US" w:eastAsia="en-GB"/>
        </w:rPr>
        <w:t>)</w:t>
      </w:r>
      <w:r w:rsidRPr="2C6B85DE" w:rsidR="2C88559C">
        <w:rPr>
          <w:rFonts w:cs="Arial"/>
          <w:sz w:val="22"/>
          <w:szCs w:val="22"/>
          <w:lang w:val="en-US" w:eastAsia="en-GB"/>
        </w:rPr>
        <w:t xml:space="preserve"> (24/25)</w:t>
      </w:r>
      <w:r w:rsidRPr="2C6B85DE" w:rsidR="008D598A">
        <w:rPr>
          <w:rFonts w:cs="Arial"/>
          <w:sz w:val="22"/>
          <w:szCs w:val="22"/>
          <w:lang w:val="en-US" w:eastAsia="en-GB"/>
        </w:rPr>
        <w:t xml:space="preserve">. </w:t>
      </w:r>
      <w:r w:rsidRPr="2C6B85DE" w:rsidR="002823CF">
        <w:rPr>
          <w:rFonts w:cs="Arial"/>
          <w:sz w:val="22"/>
          <w:szCs w:val="22"/>
          <w:lang w:val="en-US" w:eastAsia="en-GB"/>
        </w:rPr>
        <w:t>H</w:t>
      </w:r>
      <w:r w:rsidRPr="2C6B85DE" w:rsidR="005C43ED">
        <w:rPr>
          <w:rFonts w:cs="Arial"/>
          <w:sz w:val="22"/>
          <w:szCs w:val="22"/>
          <w:lang w:val="en-US" w:eastAsia="en-GB"/>
        </w:rPr>
        <w:t>owever</w:t>
      </w:r>
      <w:r w:rsidRPr="2C6B85DE" w:rsidR="005D32D7">
        <w:rPr>
          <w:rFonts w:cs="Arial"/>
          <w:sz w:val="22"/>
          <w:szCs w:val="22"/>
          <w:lang w:val="en-US" w:eastAsia="en-GB"/>
        </w:rPr>
        <w:t xml:space="preserve">, </w:t>
      </w:r>
      <w:r w:rsidRPr="2C6B85DE" w:rsidR="002823CF">
        <w:rPr>
          <w:rFonts w:cs="Arial"/>
          <w:sz w:val="22"/>
          <w:szCs w:val="22"/>
          <w:lang w:val="en-US" w:eastAsia="en-GB"/>
        </w:rPr>
        <w:t>t</w:t>
      </w:r>
      <w:r w:rsidRPr="2C6B85DE">
        <w:rPr>
          <w:rFonts w:cs="Arial"/>
          <w:sz w:val="22"/>
          <w:szCs w:val="22"/>
          <w:lang w:val="en-US" w:eastAsia="en-GB"/>
        </w:rPr>
        <w:t>he OCPP continues to present a mixed picture of its progress towards intended impact</w:t>
      </w:r>
      <w:r w:rsidRPr="2C6B85DE" w:rsidR="00364E42">
        <w:rPr>
          <w:rFonts w:cs="Arial"/>
          <w:sz w:val="22"/>
          <w:szCs w:val="22"/>
          <w:lang w:val="en-US" w:eastAsia="en-GB"/>
        </w:rPr>
        <w:t xml:space="preserve"> and reported results </w:t>
      </w:r>
      <w:r w:rsidRPr="2C6B85DE" w:rsidR="00C77D60">
        <w:rPr>
          <w:rFonts w:cs="Arial"/>
          <w:sz w:val="22"/>
          <w:szCs w:val="22"/>
          <w:lang w:val="en-US" w:eastAsia="en-GB"/>
        </w:rPr>
        <w:t>at outcome level are not at the expected level</w:t>
      </w:r>
      <w:r w:rsidRPr="2C6B85DE" w:rsidR="009E5912">
        <w:rPr>
          <w:rFonts w:cs="Arial"/>
          <w:sz w:val="22"/>
          <w:szCs w:val="22"/>
          <w:lang w:val="en-US" w:eastAsia="en-GB"/>
        </w:rPr>
        <w:t xml:space="preserve"> at this stage of the programme</w:t>
      </w:r>
      <w:r w:rsidRPr="2C6B85DE" w:rsidR="7F318396">
        <w:rPr>
          <w:rFonts w:cs="Arial"/>
          <w:sz w:val="22"/>
          <w:szCs w:val="22"/>
          <w:lang w:val="en-US" w:eastAsia="en-GB"/>
        </w:rPr>
        <w:t>.</w:t>
      </w:r>
      <w:r w:rsidRPr="2C6B85DE" w:rsidR="003D0309">
        <w:rPr>
          <w:rFonts w:cs="Arial"/>
          <w:sz w:val="22"/>
          <w:szCs w:val="22"/>
          <w:lang w:val="en-US" w:eastAsia="en-GB"/>
        </w:rPr>
        <w:t xml:space="preserve"> </w:t>
      </w:r>
      <w:r w:rsidRPr="2C6B85DE" w:rsidR="00045853">
        <w:rPr>
          <w:rFonts w:cs="Arial"/>
          <w:sz w:val="22"/>
          <w:szCs w:val="22"/>
          <w:lang w:val="en-US" w:eastAsia="en-GB"/>
        </w:rPr>
        <w:t xml:space="preserve">The </w:t>
      </w:r>
      <w:r w:rsidRPr="2C6B85DE" w:rsidR="000665D9">
        <w:rPr>
          <w:rFonts w:cs="Arial"/>
          <w:sz w:val="22"/>
          <w:szCs w:val="22"/>
          <w:lang w:val="en-US" w:eastAsia="en-GB"/>
        </w:rPr>
        <w:t xml:space="preserve">interim evaluation has highlighted </w:t>
      </w:r>
      <w:r w:rsidRPr="2C6B85DE" w:rsidR="003D0309">
        <w:rPr>
          <w:rFonts w:cs="Arial"/>
          <w:sz w:val="22"/>
          <w:szCs w:val="22"/>
          <w:lang w:val="en-US" w:eastAsia="en-GB"/>
        </w:rPr>
        <w:t>several</w:t>
      </w:r>
      <w:r w:rsidRPr="2C6B85DE" w:rsidR="006D5FD0">
        <w:rPr>
          <w:rFonts w:cs="Arial"/>
          <w:sz w:val="22"/>
          <w:szCs w:val="22"/>
          <w:lang w:val="en-US" w:eastAsia="en-GB"/>
        </w:rPr>
        <w:t xml:space="preserve"> </w:t>
      </w:r>
      <w:r w:rsidRPr="2C6B85DE" w:rsidR="007147E3">
        <w:rPr>
          <w:rFonts w:cs="Arial"/>
          <w:sz w:val="22"/>
          <w:szCs w:val="22"/>
          <w:lang w:val="en-US" w:eastAsia="en-GB"/>
        </w:rPr>
        <w:t>areas</w:t>
      </w:r>
      <w:r w:rsidRPr="2C6B85DE" w:rsidR="006D5FD0">
        <w:rPr>
          <w:rFonts w:cs="Arial"/>
          <w:sz w:val="22"/>
          <w:szCs w:val="22"/>
          <w:lang w:val="en-US" w:eastAsia="en-GB"/>
        </w:rPr>
        <w:t xml:space="preserve"> which </w:t>
      </w:r>
      <w:r w:rsidRPr="2C6B85DE" w:rsidR="006A43E8">
        <w:rPr>
          <w:rFonts w:cs="Arial"/>
          <w:sz w:val="22"/>
          <w:szCs w:val="22"/>
          <w:lang w:val="en-US" w:eastAsia="en-GB"/>
        </w:rPr>
        <w:t>are holding</w:t>
      </w:r>
      <w:r w:rsidRPr="2C6B85DE" w:rsidR="006D5FD0">
        <w:rPr>
          <w:rFonts w:cs="Arial"/>
          <w:sz w:val="22"/>
          <w:szCs w:val="22"/>
          <w:lang w:val="en-US" w:eastAsia="en-GB"/>
        </w:rPr>
        <w:t xml:space="preserve"> the programme back</w:t>
      </w:r>
      <w:r w:rsidRPr="2C6B85DE" w:rsidR="00CF2C71">
        <w:rPr>
          <w:rFonts w:cs="Arial"/>
          <w:sz w:val="22"/>
          <w:szCs w:val="22"/>
          <w:lang w:val="en-US" w:eastAsia="en-GB"/>
        </w:rPr>
        <w:t>.</w:t>
      </w:r>
      <w:r w:rsidRPr="2C6B85DE" w:rsidR="006C6B66">
        <w:rPr>
          <w:rFonts w:cs="Arial"/>
          <w:sz w:val="22"/>
          <w:szCs w:val="22"/>
          <w:lang w:val="en-US" w:eastAsia="en-GB"/>
        </w:rPr>
        <w:t xml:space="preserve"> </w:t>
      </w:r>
      <w:r w:rsidRPr="2C6B85DE" w:rsidR="00CF2C71">
        <w:rPr>
          <w:rFonts w:cs="Arial"/>
          <w:sz w:val="22"/>
          <w:szCs w:val="22"/>
          <w:lang w:val="en-US" w:eastAsia="en-GB"/>
        </w:rPr>
        <w:t>Li</w:t>
      </w:r>
      <w:r w:rsidRPr="2C6B85DE" w:rsidR="006C6B66">
        <w:rPr>
          <w:rFonts w:cs="Arial"/>
          <w:sz w:val="22"/>
          <w:szCs w:val="22"/>
          <w:lang w:val="en-US" w:eastAsia="en-GB"/>
        </w:rPr>
        <w:t>mited in-country presence</w:t>
      </w:r>
      <w:r w:rsidRPr="2C6B85DE" w:rsidR="00CF2C71">
        <w:rPr>
          <w:rFonts w:cs="Arial"/>
          <w:sz w:val="22"/>
          <w:szCs w:val="22"/>
          <w:lang w:val="en-US" w:eastAsia="en-GB"/>
        </w:rPr>
        <w:t xml:space="preserve"> and </w:t>
      </w:r>
      <w:r w:rsidRPr="2C6B85DE" w:rsidR="006C6B66">
        <w:rPr>
          <w:rFonts w:cs="Arial"/>
          <w:sz w:val="22"/>
          <w:szCs w:val="22"/>
          <w:lang w:val="en-US" w:eastAsia="en-GB"/>
        </w:rPr>
        <w:t xml:space="preserve">limited focus on poverty alleviation, </w:t>
      </w:r>
      <w:r w:rsidRPr="2C6B85DE" w:rsidR="00B17A7D">
        <w:rPr>
          <w:rFonts w:cs="Arial"/>
          <w:sz w:val="22"/>
          <w:szCs w:val="22"/>
          <w:lang w:val="en-US" w:eastAsia="en-GB"/>
        </w:rPr>
        <w:t>Gender E</w:t>
      </w:r>
      <w:r w:rsidRPr="2C6B85DE" w:rsidR="005C434B">
        <w:rPr>
          <w:rFonts w:cs="Arial"/>
          <w:sz w:val="22"/>
          <w:szCs w:val="22"/>
          <w:lang w:val="en-US" w:eastAsia="en-GB"/>
        </w:rPr>
        <w:t>quality and Social Inclusion (</w:t>
      </w:r>
      <w:r w:rsidRPr="2C6B85DE" w:rsidR="006C6B66">
        <w:rPr>
          <w:rFonts w:cs="Arial"/>
          <w:sz w:val="22"/>
          <w:szCs w:val="22"/>
          <w:lang w:val="en-US" w:eastAsia="en-GB"/>
        </w:rPr>
        <w:t>GESI</w:t>
      </w:r>
      <w:r w:rsidRPr="2C6B85DE" w:rsidR="005C434B">
        <w:rPr>
          <w:rFonts w:cs="Arial"/>
          <w:sz w:val="22"/>
          <w:szCs w:val="22"/>
          <w:lang w:val="en-US" w:eastAsia="en-GB"/>
        </w:rPr>
        <w:t>)</w:t>
      </w:r>
      <w:r w:rsidRPr="2C6B85DE" w:rsidR="006C6B66">
        <w:rPr>
          <w:rFonts w:cs="Arial"/>
          <w:sz w:val="22"/>
          <w:szCs w:val="22"/>
          <w:lang w:val="en-US" w:eastAsia="en-GB"/>
        </w:rPr>
        <w:t xml:space="preserve">, policy influence, </w:t>
      </w:r>
      <w:r w:rsidRPr="2C6B85DE" w:rsidR="008D4DCA">
        <w:rPr>
          <w:rFonts w:cs="Arial"/>
          <w:sz w:val="22"/>
          <w:szCs w:val="22"/>
          <w:lang w:val="en-US" w:eastAsia="en-GB"/>
        </w:rPr>
        <w:t>Monitoring, Evaluation and Learning (</w:t>
      </w:r>
      <w:r w:rsidRPr="2C6B85DE" w:rsidR="006C6B66">
        <w:rPr>
          <w:rFonts w:cs="Arial"/>
          <w:sz w:val="22"/>
          <w:szCs w:val="22"/>
          <w:lang w:val="en-US" w:eastAsia="en-GB"/>
        </w:rPr>
        <w:t>MEL</w:t>
      </w:r>
      <w:r w:rsidRPr="2C6B85DE" w:rsidR="00444457">
        <w:rPr>
          <w:rFonts w:cs="Arial"/>
          <w:sz w:val="22"/>
          <w:szCs w:val="22"/>
          <w:lang w:val="en-US" w:eastAsia="en-GB"/>
        </w:rPr>
        <w:t>)</w:t>
      </w:r>
      <w:r w:rsidRPr="2C6B85DE" w:rsidR="006C6B66">
        <w:rPr>
          <w:rFonts w:cs="Arial"/>
          <w:sz w:val="22"/>
          <w:szCs w:val="22"/>
          <w:lang w:val="en-US" w:eastAsia="en-GB"/>
        </w:rPr>
        <w:t xml:space="preserve"> resource</w:t>
      </w:r>
      <w:r w:rsidRPr="2C6B85DE" w:rsidR="00064B18">
        <w:rPr>
          <w:rFonts w:cs="Arial"/>
          <w:sz w:val="22"/>
          <w:szCs w:val="22"/>
          <w:lang w:val="en-US" w:eastAsia="en-GB"/>
        </w:rPr>
        <w:t xml:space="preserve"> </w:t>
      </w:r>
      <w:r w:rsidRPr="2C6B85DE" w:rsidR="006C6B66">
        <w:rPr>
          <w:rFonts w:cs="Arial"/>
          <w:sz w:val="22"/>
          <w:szCs w:val="22"/>
          <w:lang w:val="en-US" w:eastAsia="en-GB"/>
        </w:rPr>
        <w:t xml:space="preserve">and sustainability </w:t>
      </w:r>
      <w:r w:rsidRPr="2C6B85DE" w:rsidR="00354DA1">
        <w:rPr>
          <w:rFonts w:cs="Arial"/>
          <w:sz w:val="22"/>
          <w:szCs w:val="22"/>
          <w:lang w:val="en-US" w:eastAsia="en-GB"/>
        </w:rPr>
        <w:t xml:space="preserve">is </w:t>
      </w:r>
      <w:r w:rsidRPr="2C6B85DE" w:rsidR="00E77588">
        <w:rPr>
          <w:rFonts w:cs="Arial"/>
          <w:sz w:val="22"/>
          <w:szCs w:val="22"/>
          <w:lang w:val="en-US" w:eastAsia="en-GB"/>
        </w:rPr>
        <w:t xml:space="preserve">dampening </w:t>
      </w:r>
      <w:r w:rsidRPr="2C6B85DE" w:rsidR="006A43E8">
        <w:rPr>
          <w:rFonts w:cs="Arial"/>
          <w:sz w:val="22"/>
          <w:szCs w:val="22"/>
          <w:lang w:val="en-US" w:eastAsia="en-GB"/>
        </w:rPr>
        <w:t>the ability for outputs to achieve outcome level change.</w:t>
      </w:r>
    </w:p>
    <w:p w:rsidR="00FD36ED" w:rsidP="00103EA3" w:rsidRDefault="00FD36ED" w14:paraId="6C23277C" w14:textId="77777777">
      <w:pPr>
        <w:rPr>
          <w:rFonts w:cs="Arial"/>
          <w:sz w:val="22"/>
          <w:szCs w:val="22"/>
          <w:lang w:val="en-US" w:eastAsia="en-GB"/>
        </w:rPr>
      </w:pPr>
    </w:p>
    <w:p w:rsidRPr="008D4DCA" w:rsidR="00E0539C" w:rsidP="00103EA3" w:rsidRDefault="00337919" w14:paraId="2B671F0C" w14:textId="18FA908C">
      <w:pPr>
        <w:rPr>
          <w:rFonts w:cs="Arial"/>
          <w:sz w:val="22"/>
          <w:szCs w:val="22"/>
        </w:rPr>
      </w:pPr>
      <w:r w:rsidRPr="2C6B85DE">
        <w:rPr>
          <w:rFonts w:cs="Arial"/>
          <w:sz w:val="22"/>
          <w:szCs w:val="22"/>
        </w:rPr>
        <w:t xml:space="preserve">Due to </w:t>
      </w:r>
      <w:r w:rsidRPr="2C6B85DE" w:rsidR="00F04D38">
        <w:rPr>
          <w:rFonts w:cs="Arial"/>
          <w:sz w:val="22"/>
          <w:szCs w:val="22"/>
        </w:rPr>
        <w:t xml:space="preserve">scoring </w:t>
      </w:r>
      <w:r w:rsidRPr="2C6B85DE">
        <w:rPr>
          <w:rFonts w:cs="Arial"/>
          <w:sz w:val="22"/>
          <w:szCs w:val="22"/>
        </w:rPr>
        <w:t>conse</w:t>
      </w:r>
      <w:r w:rsidRPr="2C6B85DE" w:rsidR="009D6A67">
        <w:rPr>
          <w:rFonts w:cs="Arial"/>
          <w:sz w:val="22"/>
          <w:szCs w:val="22"/>
        </w:rPr>
        <w:t xml:space="preserve">cutive </w:t>
      </w:r>
      <w:r w:rsidRPr="2C6B85DE" w:rsidR="00F04D38">
        <w:rPr>
          <w:rFonts w:cs="Arial"/>
          <w:sz w:val="22"/>
          <w:szCs w:val="22"/>
        </w:rPr>
        <w:t>Bs and the finding</w:t>
      </w:r>
      <w:r w:rsidRPr="2C6B85DE" w:rsidR="00D04722">
        <w:rPr>
          <w:rFonts w:cs="Arial"/>
          <w:sz w:val="22"/>
          <w:szCs w:val="22"/>
        </w:rPr>
        <w:t>s</w:t>
      </w:r>
      <w:r w:rsidRPr="2C6B85DE" w:rsidR="00F04D38">
        <w:rPr>
          <w:rFonts w:cs="Arial"/>
          <w:sz w:val="22"/>
          <w:szCs w:val="22"/>
        </w:rPr>
        <w:t xml:space="preserve"> highlighted within the </w:t>
      </w:r>
      <w:r w:rsidRPr="2C6B85DE" w:rsidR="00D04722">
        <w:rPr>
          <w:rFonts w:cs="Arial"/>
          <w:sz w:val="22"/>
          <w:szCs w:val="22"/>
        </w:rPr>
        <w:t>interim evaluation,</w:t>
      </w:r>
      <w:r w:rsidRPr="2C6B85DE" w:rsidR="00455FB7">
        <w:rPr>
          <w:rFonts w:cs="Arial"/>
          <w:sz w:val="22"/>
          <w:szCs w:val="22"/>
        </w:rPr>
        <w:t xml:space="preserve"> we will be placing the programme into a performance improvement plan to address a core set of persistent challenges for the programme</w:t>
      </w:r>
      <w:r w:rsidRPr="2C6B85DE" w:rsidR="00D04722">
        <w:rPr>
          <w:rFonts w:cs="Arial"/>
          <w:sz w:val="22"/>
          <w:szCs w:val="22"/>
        </w:rPr>
        <w:t xml:space="preserve">. </w:t>
      </w:r>
      <w:r w:rsidRPr="2C6B85DE" w:rsidR="00455FB7">
        <w:rPr>
          <w:rFonts w:cs="Arial"/>
          <w:sz w:val="22"/>
          <w:szCs w:val="22"/>
        </w:rPr>
        <w:t>This includes</w:t>
      </w:r>
      <w:r w:rsidRPr="2C6B85DE" w:rsidR="00D04722">
        <w:rPr>
          <w:rFonts w:cs="Arial"/>
          <w:sz w:val="22"/>
          <w:szCs w:val="22"/>
        </w:rPr>
        <w:t xml:space="preserve"> </w:t>
      </w:r>
      <w:r w:rsidRPr="2C6B85DE" w:rsidR="00455FB7">
        <w:rPr>
          <w:rFonts w:cs="Arial"/>
          <w:sz w:val="22"/>
          <w:szCs w:val="22"/>
        </w:rPr>
        <w:t>ensuring poverty alleviation and GESI</w:t>
      </w:r>
      <w:r w:rsidRPr="2C6B85DE" w:rsidR="00E01322">
        <w:rPr>
          <w:rFonts w:cs="Arial"/>
          <w:sz w:val="22"/>
          <w:szCs w:val="22"/>
        </w:rPr>
        <w:t>)</w:t>
      </w:r>
      <w:r w:rsidRPr="2C6B85DE" w:rsidR="00455FB7">
        <w:rPr>
          <w:rFonts w:cs="Arial"/>
          <w:sz w:val="22"/>
          <w:szCs w:val="22"/>
        </w:rPr>
        <w:t xml:space="preserve"> is at the heart of the programme and that our approach to</w:t>
      </w:r>
      <w:r w:rsidRPr="2C6B85DE" w:rsidR="008E6886">
        <w:rPr>
          <w:rFonts w:cs="Arial"/>
          <w:sz w:val="22"/>
          <w:szCs w:val="22"/>
        </w:rPr>
        <w:t xml:space="preserve"> </w:t>
      </w:r>
      <w:r w:rsidRPr="2C6B85DE" w:rsidR="00222A3A">
        <w:rPr>
          <w:rFonts w:cs="Arial"/>
          <w:sz w:val="22"/>
          <w:szCs w:val="22"/>
        </w:rPr>
        <w:t>S</w:t>
      </w:r>
      <w:r w:rsidRPr="2C6B85DE" w:rsidR="008E6886">
        <w:rPr>
          <w:rFonts w:cs="Arial"/>
          <w:sz w:val="22"/>
          <w:szCs w:val="22"/>
        </w:rPr>
        <w:t xml:space="preserve">exually </w:t>
      </w:r>
      <w:r w:rsidRPr="2C6B85DE" w:rsidR="00222A3A">
        <w:rPr>
          <w:rFonts w:cs="Arial"/>
          <w:sz w:val="22"/>
          <w:szCs w:val="22"/>
        </w:rPr>
        <w:t>Exploitation</w:t>
      </w:r>
      <w:r w:rsidRPr="2C6B85DE" w:rsidR="008E6886">
        <w:rPr>
          <w:rFonts w:cs="Arial"/>
          <w:sz w:val="22"/>
          <w:szCs w:val="22"/>
        </w:rPr>
        <w:t xml:space="preserve"> and </w:t>
      </w:r>
      <w:r w:rsidRPr="2C6B85DE" w:rsidR="00222A3A">
        <w:rPr>
          <w:rFonts w:cs="Arial"/>
          <w:sz w:val="22"/>
          <w:szCs w:val="22"/>
        </w:rPr>
        <w:t>Abuse and Harassment</w:t>
      </w:r>
      <w:r w:rsidRPr="2C6B85DE" w:rsidR="00455FB7">
        <w:rPr>
          <w:rFonts w:cs="Arial"/>
          <w:sz w:val="22"/>
          <w:szCs w:val="22"/>
        </w:rPr>
        <w:t xml:space="preserve"> SEAH Safeguarding is robust. This will </w:t>
      </w:r>
      <w:r w:rsidRPr="2C6B85DE" w:rsidR="004732A5">
        <w:rPr>
          <w:rFonts w:cs="Arial"/>
          <w:sz w:val="22"/>
          <w:szCs w:val="22"/>
        </w:rPr>
        <w:t>seek to address the challenge</w:t>
      </w:r>
      <w:r w:rsidRPr="2C6B85DE" w:rsidR="00D04722">
        <w:rPr>
          <w:rFonts w:cs="Arial"/>
          <w:sz w:val="22"/>
          <w:szCs w:val="22"/>
        </w:rPr>
        <w:t xml:space="preserve">s </w:t>
      </w:r>
      <w:r w:rsidRPr="2C6B85DE" w:rsidR="004732A5">
        <w:rPr>
          <w:rFonts w:cs="Arial"/>
          <w:sz w:val="22"/>
          <w:szCs w:val="22"/>
        </w:rPr>
        <w:t xml:space="preserve">set out above and </w:t>
      </w:r>
      <w:r w:rsidRPr="2C6B85DE" w:rsidR="00455FB7">
        <w:rPr>
          <w:rFonts w:cs="Arial"/>
          <w:sz w:val="22"/>
          <w:szCs w:val="22"/>
        </w:rPr>
        <w:t xml:space="preserve">align with the recommendations set out in </w:t>
      </w:r>
      <w:r w:rsidRPr="2C6B85DE" w:rsidR="00FA35B2">
        <w:rPr>
          <w:rFonts w:cs="Arial"/>
          <w:sz w:val="22"/>
          <w:szCs w:val="22"/>
        </w:rPr>
        <w:t>S</w:t>
      </w:r>
      <w:r w:rsidRPr="2C6B85DE" w:rsidR="00455FB7">
        <w:rPr>
          <w:rFonts w:cs="Arial"/>
          <w:sz w:val="22"/>
          <w:szCs w:val="22"/>
        </w:rPr>
        <w:t>ection A3.</w:t>
      </w:r>
      <w:r w:rsidRPr="2C6B85DE" w:rsidR="0044526A">
        <w:rPr>
          <w:rFonts w:cs="Arial"/>
          <w:sz w:val="22"/>
          <w:szCs w:val="22"/>
        </w:rPr>
        <w:t xml:space="preserve"> </w:t>
      </w:r>
      <w:r w:rsidRPr="2C6B85DE" w:rsidR="006E7EC2">
        <w:rPr>
          <w:rFonts w:cs="Arial"/>
          <w:sz w:val="22"/>
          <w:szCs w:val="22"/>
        </w:rPr>
        <w:t>It will also seek to be proportionate to the remaining time left for the programme and</w:t>
      </w:r>
      <w:r w:rsidRPr="2C6B85DE" w:rsidR="000F3269">
        <w:rPr>
          <w:rFonts w:cs="Arial"/>
          <w:sz w:val="22"/>
          <w:szCs w:val="22"/>
        </w:rPr>
        <w:t xml:space="preserve"> </w:t>
      </w:r>
      <w:r w:rsidRPr="2C6B85DE" w:rsidR="3854D4A5">
        <w:rPr>
          <w:rFonts w:cs="Arial"/>
          <w:sz w:val="22"/>
          <w:szCs w:val="22"/>
        </w:rPr>
        <w:t>funding levels for this programme in FY 25/26</w:t>
      </w:r>
      <w:r w:rsidRPr="2C6B85DE" w:rsidR="2C50C54F">
        <w:rPr>
          <w:rFonts w:cs="Arial"/>
          <w:sz w:val="22"/>
          <w:szCs w:val="22"/>
        </w:rPr>
        <w:t xml:space="preserve">, </w:t>
      </w:r>
      <w:r w:rsidRPr="2C6B85DE" w:rsidR="3854D4A5">
        <w:rPr>
          <w:rFonts w:cs="Arial"/>
          <w:sz w:val="22"/>
          <w:szCs w:val="22"/>
        </w:rPr>
        <w:t xml:space="preserve">which are being considered in the context of </w:t>
      </w:r>
      <w:r w:rsidRPr="2C6B85DE" w:rsidR="004D60B8">
        <w:rPr>
          <w:rFonts w:cs="Arial"/>
          <w:sz w:val="22"/>
          <w:szCs w:val="22"/>
        </w:rPr>
        <w:t>the Spending</w:t>
      </w:r>
      <w:r w:rsidRPr="2C6B85DE" w:rsidR="3854D4A5">
        <w:rPr>
          <w:rFonts w:cs="Arial"/>
          <w:sz w:val="22"/>
          <w:szCs w:val="22"/>
        </w:rPr>
        <w:t xml:space="preserve"> Review</w:t>
      </w:r>
      <w:r w:rsidRPr="2C6B85DE" w:rsidR="4D6811A6">
        <w:rPr>
          <w:rFonts w:cs="Arial"/>
          <w:sz w:val="22"/>
          <w:szCs w:val="22"/>
        </w:rPr>
        <w:t xml:space="preserve"> allocations</w:t>
      </w:r>
      <w:r w:rsidRPr="2C6B85DE" w:rsidR="3854D4A5">
        <w:rPr>
          <w:rFonts w:cs="Arial"/>
          <w:sz w:val="22"/>
          <w:szCs w:val="22"/>
        </w:rPr>
        <w:t>.</w:t>
      </w:r>
    </w:p>
    <w:p w:rsidRPr="00B7043C" w:rsidR="00103EA3" w:rsidP="082A9BF4" w:rsidRDefault="00103EA3" w14:paraId="27C028F2" w14:textId="33E29A7F">
      <w:pPr>
        <w:rPr>
          <w:sz w:val="22"/>
          <w:szCs w:val="22"/>
        </w:rPr>
      </w:pPr>
      <w:r w:rsidRPr="00103EA3">
        <w:rPr>
          <w:sz w:val="22"/>
          <w:szCs w:val="22"/>
        </w:rPr>
        <w:t> </w:t>
      </w:r>
    </w:p>
    <w:p w:rsidRPr="003F2B98" w:rsidR="006F3AE7" w:rsidP="082A9BF4" w:rsidRDefault="0DF55EDA" w14:paraId="04BFBDAA" w14:textId="11AF894B">
      <w:pPr>
        <w:tabs>
          <w:tab w:val="left" w:pos="6915"/>
          <w:tab w:val="left" w:pos="9495"/>
        </w:tabs>
        <w:rPr>
          <w:b/>
          <w:bCs/>
          <w:sz w:val="22"/>
          <w:szCs w:val="22"/>
        </w:rPr>
      </w:pPr>
      <w:r w:rsidRPr="1FB22237">
        <w:rPr>
          <w:b/>
          <w:bCs/>
          <w:sz w:val="22"/>
          <w:szCs w:val="22"/>
        </w:rPr>
        <w:t xml:space="preserve">A3. </w:t>
      </w:r>
      <w:r w:rsidRPr="1FB22237" w:rsidR="006F3AE7">
        <w:rPr>
          <w:b/>
          <w:bCs/>
          <w:sz w:val="22"/>
          <w:szCs w:val="22"/>
        </w:rPr>
        <w:t>Major lessons and recommendations for the year ahead</w:t>
      </w:r>
    </w:p>
    <w:p w:rsidRPr="00F70DBE" w:rsidR="006F3AE7" w:rsidP="006F3AE7" w:rsidRDefault="006F3AE7" w14:paraId="4ADBC453" w14:textId="77777777">
      <w:pPr>
        <w:tabs>
          <w:tab w:val="left" w:pos="6915"/>
          <w:tab w:val="left" w:pos="9495"/>
        </w:tabs>
        <w:jc w:val="both"/>
        <w:rPr>
          <w:sz w:val="22"/>
          <w:szCs w:val="22"/>
        </w:rPr>
      </w:pPr>
    </w:p>
    <w:p w:rsidR="009E62C2" w:rsidP="006F3AE7" w:rsidRDefault="009E62C2" w14:paraId="7BCEA915" w14:textId="28AC66B4">
      <w:pPr>
        <w:rPr>
          <w:rFonts w:cs="Arial"/>
          <w:sz w:val="22"/>
          <w:szCs w:val="22"/>
        </w:rPr>
      </w:pPr>
      <w:r w:rsidRPr="1FB22237">
        <w:rPr>
          <w:rFonts w:cs="Arial"/>
          <w:sz w:val="22"/>
          <w:szCs w:val="22"/>
          <w:u w:val="single"/>
        </w:rPr>
        <w:t xml:space="preserve">To note: </w:t>
      </w:r>
      <w:r w:rsidRPr="1FB22237" w:rsidR="00683CB4">
        <w:rPr>
          <w:rFonts w:cs="Arial"/>
          <w:sz w:val="22"/>
          <w:szCs w:val="22"/>
        </w:rPr>
        <w:t>T</w:t>
      </w:r>
      <w:r w:rsidRPr="1FB22237">
        <w:rPr>
          <w:rFonts w:cs="Arial"/>
          <w:sz w:val="22"/>
          <w:szCs w:val="22"/>
        </w:rPr>
        <w:t xml:space="preserve">hese </w:t>
      </w:r>
      <w:r w:rsidRPr="1FB22237" w:rsidR="00CE5C7B">
        <w:rPr>
          <w:rFonts w:cs="Arial"/>
          <w:sz w:val="22"/>
          <w:szCs w:val="22"/>
        </w:rPr>
        <w:t xml:space="preserve">recommendations </w:t>
      </w:r>
      <w:r w:rsidRPr="1FB22237" w:rsidR="00DB63F6">
        <w:rPr>
          <w:rFonts w:cs="Arial"/>
          <w:sz w:val="22"/>
          <w:szCs w:val="22"/>
        </w:rPr>
        <w:t>are informed</w:t>
      </w:r>
      <w:r w:rsidRPr="1FB22237" w:rsidR="00CE5C7B">
        <w:rPr>
          <w:rFonts w:cs="Arial"/>
          <w:sz w:val="22"/>
          <w:szCs w:val="22"/>
        </w:rPr>
        <w:t xml:space="preserve"> </w:t>
      </w:r>
      <w:r w:rsidRPr="1FB22237" w:rsidR="00DB63F6">
        <w:rPr>
          <w:rFonts w:cs="Arial"/>
          <w:sz w:val="22"/>
          <w:szCs w:val="22"/>
        </w:rPr>
        <w:t>by the</w:t>
      </w:r>
      <w:r w:rsidRPr="1FB22237">
        <w:rPr>
          <w:rFonts w:cs="Arial"/>
          <w:sz w:val="22"/>
          <w:szCs w:val="22"/>
        </w:rPr>
        <w:t xml:space="preserve"> </w:t>
      </w:r>
      <w:r w:rsidRPr="1FB22237" w:rsidR="00CE5C7B">
        <w:rPr>
          <w:rFonts w:cs="Arial"/>
          <w:sz w:val="22"/>
          <w:szCs w:val="22"/>
        </w:rPr>
        <w:t xml:space="preserve">recent independent interim </w:t>
      </w:r>
      <w:r w:rsidRPr="1FB22237">
        <w:rPr>
          <w:rFonts w:cs="Arial"/>
          <w:sz w:val="22"/>
          <w:szCs w:val="22"/>
        </w:rPr>
        <w:t xml:space="preserve">evaluation </w:t>
      </w:r>
      <w:r w:rsidRPr="1FB22237" w:rsidR="00CE5C7B">
        <w:rPr>
          <w:rFonts w:cs="Arial"/>
          <w:sz w:val="22"/>
          <w:szCs w:val="22"/>
        </w:rPr>
        <w:t xml:space="preserve">conducted by the programme MEL supplier. </w:t>
      </w:r>
      <w:r w:rsidRPr="1FB22237" w:rsidR="00935433">
        <w:rPr>
          <w:rFonts w:cs="Arial"/>
          <w:sz w:val="22"/>
          <w:szCs w:val="22"/>
        </w:rPr>
        <w:t>Th</w:t>
      </w:r>
      <w:r w:rsidRPr="1FB22237" w:rsidR="00E65514">
        <w:rPr>
          <w:rFonts w:cs="Arial"/>
          <w:sz w:val="22"/>
          <w:szCs w:val="22"/>
        </w:rPr>
        <w:t xml:space="preserve">ese </w:t>
      </w:r>
      <w:r w:rsidRPr="1FB22237" w:rsidR="00935433">
        <w:rPr>
          <w:rFonts w:cs="Arial"/>
          <w:sz w:val="22"/>
          <w:szCs w:val="22"/>
        </w:rPr>
        <w:t xml:space="preserve">recommendations </w:t>
      </w:r>
      <w:r w:rsidRPr="1FB22237" w:rsidR="00CE5C7B">
        <w:rPr>
          <w:rFonts w:cs="Arial"/>
          <w:sz w:val="22"/>
          <w:szCs w:val="22"/>
        </w:rPr>
        <w:t xml:space="preserve">will be </w:t>
      </w:r>
      <w:r w:rsidRPr="1FB22237" w:rsidR="005D1FFB">
        <w:rPr>
          <w:rFonts w:cs="Arial"/>
          <w:sz w:val="22"/>
          <w:szCs w:val="22"/>
        </w:rPr>
        <w:t xml:space="preserve">incorporated </w:t>
      </w:r>
      <w:r w:rsidRPr="1FB22237" w:rsidR="00844325">
        <w:rPr>
          <w:rFonts w:cs="Arial"/>
          <w:sz w:val="22"/>
          <w:szCs w:val="22"/>
        </w:rPr>
        <w:t xml:space="preserve">within the </w:t>
      </w:r>
      <w:r w:rsidRPr="1FB22237" w:rsidR="00B12E47">
        <w:rPr>
          <w:rFonts w:cs="Arial"/>
          <w:sz w:val="22"/>
          <w:szCs w:val="22"/>
        </w:rPr>
        <w:t>performance improvement plan</w:t>
      </w:r>
      <w:r w:rsidRPr="1FB22237" w:rsidR="006C269D">
        <w:rPr>
          <w:rFonts w:cs="Arial"/>
          <w:sz w:val="22"/>
          <w:szCs w:val="22"/>
        </w:rPr>
        <w:t xml:space="preserve"> </w:t>
      </w:r>
      <w:r w:rsidRPr="1FB22237" w:rsidR="009D539B">
        <w:rPr>
          <w:rFonts w:cs="Arial"/>
          <w:sz w:val="22"/>
          <w:szCs w:val="22"/>
        </w:rPr>
        <w:t xml:space="preserve">which will </w:t>
      </w:r>
      <w:r w:rsidRPr="1FB22237" w:rsidR="00455951">
        <w:rPr>
          <w:rFonts w:cs="Arial"/>
          <w:sz w:val="22"/>
          <w:szCs w:val="22"/>
        </w:rPr>
        <w:t xml:space="preserve">be developed following this </w:t>
      </w:r>
      <w:r w:rsidR="00C14357">
        <w:rPr>
          <w:rFonts w:cs="Arial"/>
          <w:sz w:val="22"/>
          <w:szCs w:val="22"/>
        </w:rPr>
        <w:t>annual review</w:t>
      </w:r>
      <w:r w:rsidRPr="1FB22237" w:rsidR="00EF2E4C">
        <w:rPr>
          <w:rFonts w:cs="Arial"/>
          <w:sz w:val="22"/>
          <w:szCs w:val="22"/>
        </w:rPr>
        <w:t>.</w:t>
      </w:r>
      <w:r w:rsidR="00841BB9">
        <w:rPr>
          <w:rFonts w:cs="Arial"/>
          <w:sz w:val="22"/>
          <w:szCs w:val="22"/>
        </w:rPr>
        <w:t xml:space="preserve"> </w:t>
      </w:r>
    </w:p>
    <w:p w:rsidR="009E62C2" w:rsidP="006F3AE7" w:rsidRDefault="009E62C2" w14:paraId="32C3F3D2" w14:textId="77777777">
      <w:pPr>
        <w:rPr>
          <w:rFonts w:cs="Arial"/>
          <w:sz w:val="22"/>
          <w:szCs w:val="22"/>
          <w:u w:val="single"/>
        </w:rPr>
      </w:pPr>
    </w:p>
    <w:p w:rsidRPr="00A50677" w:rsidR="00B83A81" w:rsidP="006F3AE7" w:rsidRDefault="00B83A81" w14:paraId="2ED1A88E" w14:textId="700847E9">
      <w:pPr>
        <w:rPr>
          <w:rFonts w:cs="Arial"/>
          <w:sz w:val="22"/>
          <w:szCs w:val="22"/>
          <w:u w:val="single"/>
        </w:rPr>
      </w:pPr>
      <w:r w:rsidRPr="2D0E41FB">
        <w:rPr>
          <w:rFonts w:cs="Arial"/>
          <w:sz w:val="22"/>
          <w:szCs w:val="22"/>
          <w:u w:val="single"/>
        </w:rPr>
        <w:t>Key recommendations to deliver impact</w:t>
      </w:r>
    </w:p>
    <w:p w:rsidRPr="00A50677" w:rsidR="004D314B" w:rsidP="006F3AE7" w:rsidRDefault="004D314B" w14:paraId="39372A19" w14:textId="77777777">
      <w:pPr>
        <w:rPr>
          <w:rFonts w:cs="Arial"/>
          <w:sz w:val="22"/>
          <w:szCs w:val="22"/>
        </w:rPr>
      </w:pPr>
    </w:p>
    <w:p w:rsidRPr="00BB6FCE" w:rsidR="005B37EA" w:rsidP="1FB22237" w:rsidRDefault="00AC34F1" w14:paraId="50A7E2C0" w14:textId="5879C56D">
      <w:pPr>
        <w:pStyle w:val="ListParagraph"/>
        <w:numPr>
          <w:ilvl w:val="0"/>
          <w:numId w:val="28"/>
        </w:numPr>
        <w:rPr>
          <w:rFonts w:cs="Arial"/>
          <w:b/>
          <w:bCs/>
          <w:sz w:val="22"/>
          <w:szCs w:val="22"/>
        </w:rPr>
      </w:pPr>
      <w:r w:rsidRPr="1FB22237">
        <w:rPr>
          <w:rFonts w:cs="Arial"/>
          <w:b/>
          <w:bCs/>
          <w:sz w:val="22"/>
          <w:szCs w:val="22"/>
        </w:rPr>
        <w:t>Lesson</w:t>
      </w:r>
      <w:r w:rsidRPr="1FB22237" w:rsidR="00A50677">
        <w:rPr>
          <w:rFonts w:cs="Arial"/>
          <w:b/>
          <w:bCs/>
          <w:sz w:val="22"/>
          <w:szCs w:val="22"/>
        </w:rPr>
        <w:t xml:space="preserve">: </w:t>
      </w:r>
      <w:r w:rsidRPr="1FB22237" w:rsidR="001A7008">
        <w:rPr>
          <w:rFonts w:cs="Arial"/>
          <w:sz w:val="22"/>
          <w:szCs w:val="22"/>
        </w:rPr>
        <w:t xml:space="preserve">The programme has </w:t>
      </w:r>
      <w:r w:rsidRPr="1FB22237" w:rsidR="00A50677">
        <w:rPr>
          <w:rFonts w:cs="Arial"/>
          <w:sz w:val="22"/>
          <w:szCs w:val="22"/>
        </w:rPr>
        <w:t>made limited progress on</w:t>
      </w:r>
      <w:r w:rsidRPr="1FB22237" w:rsidR="001A7008">
        <w:rPr>
          <w:rFonts w:cs="Arial"/>
          <w:sz w:val="22"/>
          <w:szCs w:val="22"/>
        </w:rPr>
        <w:t xml:space="preserve"> GESI and safeguarding considerations thus far</w:t>
      </w:r>
      <w:r w:rsidRPr="1FB22237" w:rsidR="005B37EA">
        <w:rPr>
          <w:rFonts w:cs="Arial"/>
          <w:sz w:val="22"/>
          <w:szCs w:val="22"/>
        </w:rPr>
        <w:t xml:space="preserve"> as the pace and momentum </w:t>
      </w:r>
      <w:r w:rsidRPr="1FB22237" w:rsidR="00F50684">
        <w:rPr>
          <w:rFonts w:cs="Arial"/>
          <w:sz w:val="22"/>
          <w:szCs w:val="22"/>
        </w:rPr>
        <w:t xml:space="preserve">is </w:t>
      </w:r>
      <w:r w:rsidRPr="1FB22237" w:rsidR="005B37EA">
        <w:rPr>
          <w:rFonts w:cs="Arial"/>
          <w:sz w:val="22"/>
          <w:szCs w:val="22"/>
        </w:rPr>
        <w:t>slow due to a lack of clear leadership, capacity and capability on these issues. GESI considerations and safeguarding must be mainstreamed in programme design and delivery.</w:t>
      </w:r>
    </w:p>
    <w:p w:rsidRPr="00EF2E4C" w:rsidR="00EF2E4C" w:rsidP="00380EA8" w:rsidRDefault="00EF2E4C" w14:paraId="2F707EC6" w14:textId="77777777">
      <w:pPr>
        <w:pStyle w:val="ListParagraph"/>
        <w:ind w:left="360"/>
        <w:rPr>
          <w:rFonts w:cs="Arial"/>
          <w:sz w:val="22"/>
          <w:szCs w:val="22"/>
        </w:rPr>
      </w:pPr>
    </w:p>
    <w:p w:rsidR="00AC34F1" w:rsidP="00AC34F1" w:rsidRDefault="00AC34F1" w14:paraId="472940A8" w14:textId="3BD564DA">
      <w:pPr>
        <w:pStyle w:val="ListParagraph"/>
        <w:ind w:left="360"/>
        <w:rPr>
          <w:rFonts w:cs="Arial"/>
          <w:sz w:val="22"/>
          <w:szCs w:val="22"/>
        </w:rPr>
      </w:pPr>
      <w:r w:rsidRPr="004019B0">
        <w:rPr>
          <w:rFonts w:cs="Arial"/>
          <w:b/>
          <w:bCs/>
          <w:sz w:val="22"/>
          <w:szCs w:val="22"/>
        </w:rPr>
        <w:t>Recommendation</w:t>
      </w:r>
      <w:r w:rsidR="003344E8">
        <w:rPr>
          <w:rFonts w:cs="Arial"/>
          <w:b/>
          <w:bCs/>
          <w:sz w:val="22"/>
          <w:szCs w:val="22"/>
        </w:rPr>
        <w:t>(s)</w:t>
      </w:r>
      <w:r w:rsidRPr="004019B0">
        <w:rPr>
          <w:rFonts w:cs="Arial"/>
          <w:b/>
          <w:bCs/>
          <w:sz w:val="22"/>
          <w:szCs w:val="22"/>
        </w:rPr>
        <w:t>:</w:t>
      </w:r>
      <w:r w:rsidRPr="00A50677" w:rsidR="00E8372A">
        <w:rPr>
          <w:sz w:val="22"/>
          <w:szCs w:val="22"/>
        </w:rPr>
        <w:t xml:space="preserve"> </w:t>
      </w:r>
    </w:p>
    <w:p w:rsidR="00E421C9" w:rsidP="004F1F32" w:rsidRDefault="00F00522" w14:paraId="4DFB7282" w14:textId="03EB235F">
      <w:pPr>
        <w:pStyle w:val="ListParagraph"/>
        <w:numPr>
          <w:ilvl w:val="1"/>
          <w:numId w:val="30"/>
        </w:numPr>
        <w:ind w:left="1134"/>
        <w:rPr>
          <w:rFonts w:cs="Arial"/>
          <w:sz w:val="22"/>
          <w:szCs w:val="22"/>
        </w:rPr>
      </w:pPr>
      <w:r>
        <w:rPr>
          <w:rFonts w:cs="Arial"/>
          <w:sz w:val="22"/>
          <w:szCs w:val="22"/>
        </w:rPr>
        <w:t xml:space="preserve">GESI </w:t>
      </w:r>
      <w:r w:rsidR="005527F2">
        <w:rPr>
          <w:rFonts w:cs="Arial"/>
          <w:sz w:val="22"/>
          <w:szCs w:val="22"/>
        </w:rPr>
        <w:t xml:space="preserve">baseline </w:t>
      </w:r>
      <w:r w:rsidR="00C21B10">
        <w:rPr>
          <w:rFonts w:cs="Arial"/>
          <w:sz w:val="22"/>
          <w:szCs w:val="22"/>
        </w:rPr>
        <w:t xml:space="preserve">analysis </w:t>
      </w:r>
      <w:r w:rsidR="005527F2">
        <w:rPr>
          <w:rFonts w:cs="Arial"/>
          <w:sz w:val="22"/>
          <w:szCs w:val="22"/>
        </w:rPr>
        <w:t xml:space="preserve">and self-assessment </w:t>
      </w:r>
      <w:r w:rsidR="00C21B10">
        <w:rPr>
          <w:rFonts w:cs="Arial"/>
          <w:sz w:val="22"/>
          <w:szCs w:val="22"/>
        </w:rPr>
        <w:t xml:space="preserve">of </w:t>
      </w:r>
      <w:r w:rsidR="00E6252D">
        <w:rPr>
          <w:rFonts w:cs="Arial"/>
          <w:sz w:val="22"/>
          <w:szCs w:val="22"/>
        </w:rPr>
        <w:t xml:space="preserve">the </w:t>
      </w:r>
      <w:r w:rsidR="00C21B10">
        <w:rPr>
          <w:rFonts w:cs="Arial"/>
          <w:sz w:val="22"/>
          <w:szCs w:val="22"/>
        </w:rPr>
        <w:t xml:space="preserve">OCPP’s </w:t>
      </w:r>
      <w:r w:rsidR="00A36FAE">
        <w:rPr>
          <w:rFonts w:cs="Arial"/>
          <w:sz w:val="22"/>
          <w:szCs w:val="22"/>
        </w:rPr>
        <w:t xml:space="preserve">delivery </w:t>
      </w:r>
      <w:r w:rsidR="007A6525">
        <w:rPr>
          <w:rFonts w:cs="Arial"/>
          <w:sz w:val="22"/>
          <w:szCs w:val="22"/>
        </w:rPr>
        <w:t xml:space="preserve">must be conducted </w:t>
      </w:r>
      <w:r w:rsidR="00533A36">
        <w:rPr>
          <w:rFonts w:cs="Arial"/>
          <w:sz w:val="22"/>
          <w:szCs w:val="22"/>
        </w:rPr>
        <w:t>as soon as possible</w:t>
      </w:r>
      <w:r w:rsidR="009A3CFC">
        <w:rPr>
          <w:rFonts w:cs="Arial"/>
          <w:sz w:val="22"/>
          <w:szCs w:val="22"/>
        </w:rPr>
        <w:t xml:space="preserve">, </w:t>
      </w:r>
      <w:r w:rsidR="005527F2">
        <w:rPr>
          <w:rFonts w:cs="Arial"/>
          <w:sz w:val="22"/>
          <w:szCs w:val="22"/>
        </w:rPr>
        <w:t xml:space="preserve">this should </w:t>
      </w:r>
      <w:r w:rsidR="009A3CFC">
        <w:rPr>
          <w:rFonts w:cs="Arial"/>
          <w:sz w:val="22"/>
          <w:szCs w:val="22"/>
        </w:rPr>
        <w:t>includ</w:t>
      </w:r>
      <w:r w:rsidR="005527F2">
        <w:rPr>
          <w:rFonts w:cs="Arial"/>
          <w:sz w:val="22"/>
          <w:szCs w:val="22"/>
        </w:rPr>
        <w:t>e</w:t>
      </w:r>
      <w:r w:rsidR="009A3CFC">
        <w:rPr>
          <w:rFonts w:cs="Arial"/>
          <w:sz w:val="22"/>
          <w:szCs w:val="22"/>
        </w:rPr>
        <w:t xml:space="preserve"> </w:t>
      </w:r>
      <w:r w:rsidR="00DA7692">
        <w:rPr>
          <w:rFonts w:cs="Arial"/>
          <w:sz w:val="22"/>
          <w:szCs w:val="22"/>
        </w:rPr>
        <w:t>identification</w:t>
      </w:r>
      <w:r w:rsidR="00E7142C">
        <w:rPr>
          <w:rFonts w:cs="Arial"/>
          <w:sz w:val="22"/>
          <w:szCs w:val="22"/>
        </w:rPr>
        <w:t xml:space="preserve"> of </w:t>
      </w:r>
      <w:r w:rsidR="00353688">
        <w:rPr>
          <w:rFonts w:cs="Arial"/>
          <w:sz w:val="22"/>
          <w:szCs w:val="22"/>
        </w:rPr>
        <w:t xml:space="preserve">GESI and </w:t>
      </w:r>
      <w:r w:rsidR="00E7142C">
        <w:rPr>
          <w:rFonts w:cs="Arial"/>
          <w:sz w:val="22"/>
          <w:szCs w:val="22"/>
        </w:rPr>
        <w:t>safeguarding</w:t>
      </w:r>
      <w:r w:rsidR="00663E8F">
        <w:rPr>
          <w:rFonts w:cs="Arial"/>
          <w:sz w:val="22"/>
          <w:szCs w:val="22"/>
        </w:rPr>
        <w:t xml:space="preserve"> </w:t>
      </w:r>
      <w:r w:rsidR="00DA7692">
        <w:rPr>
          <w:rFonts w:cs="Arial"/>
          <w:sz w:val="22"/>
          <w:szCs w:val="22"/>
        </w:rPr>
        <w:t xml:space="preserve">risks and mitigations </w:t>
      </w:r>
      <w:r w:rsidR="00663E8F">
        <w:rPr>
          <w:rFonts w:cs="Arial"/>
          <w:sz w:val="22"/>
          <w:szCs w:val="22"/>
        </w:rPr>
        <w:t xml:space="preserve">and </w:t>
      </w:r>
      <w:r w:rsidR="00D92F2F">
        <w:rPr>
          <w:rFonts w:cs="Arial"/>
          <w:sz w:val="22"/>
          <w:szCs w:val="22"/>
        </w:rPr>
        <w:t>stakeholder group</w:t>
      </w:r>
      <w:r w:rsidR="008A0730">
        <w:rPr>
          <w:rFonts w:cs="Arial"/>
          <w:sz w:val="22"/>
          <w:szCs w:val="22"/>
        </w:rPr>
        <w:t>s</w:t>
      </w:r>
      <w:r w:rsidR="0014675C">
        <w:rPr>
          <w:rFonts w:cs="Arial"/>
          <w:sz w:val="22"/>
          <w:szCs w:val="22"/>
        </w:rPr>
        <w:t xml:space="preserve"> and </w:t>
      </w:r>
      <w:r w:rsidR="00663E8F">
        <w:rPr>
          <w:rFonts w:cs="Arial"/>
          <w:sz w:val="22"/>
          <w:szCs w:val="22"/>
        </w:rPr>
        <w:t xml:space="preserve">engagement </w:t>
      </w:r>
      <w:r w:rsidR="00DC307E">
        <w:rPr>
          <w:rFonts w:cs="Arial"/>
          <w:sz w:val="22"/>
          <w:szCs w:val="22"/>
        </w:rPr>
        <w:t>approaches. The</w:t>
      </w:r>
      <w:r w:rsidR="00EE2656">
        <w:rPr>
          <w:rFonts w:cs="Arial"/>
          <w:sz w:val="22"/>
          <w:szCs w:val="22"/>
        </w:rPr>
        <w:t xml:space="preserve"> result must be embedded </w:t>
      </w:r>
      <w:r w:rsidR="008A0891">
        <w:rPr>
          <w:rFonts w:cs="Arial"/>
          <w:sz w:val="22"/>
          <w:szCs w:val="22"/>
        </w:rPr>
        <w:t>into country workplans</w:t>
      </w:r>
      <w:r w:rsidR="00CE35BE">
        <w:rPr>
          <w:rFonts w:cs="Arial"/>
          <w:sz w:val="22"/>
          <w:szCs w:val="22"/>
        </w:rPr>
        <w:t xml:space="preserve"> to ensure </w:t>
      </w:r>
      <w:r w:rsidR="0089094B">
        <w:rPr>
          <w:rFonts w:cs="Arial"/>
          <w:sz w:val="22"/>
          <w:szCs w:val="22"/>
        </w:rPr>
        <w:t>integration</w:t>
      </w:r>
      <w:r w:rsidR="00CE35BE">
        <w:rPr>
          <w:rFonts w:cs="Arial"/>
          <w:sz w:val="22"/>
          <w:szCs w:val="22"/>
        </w:rPr>
        <w:t xml:space="preserve"> into bilaterial programme </w:t>
      </w:r>
      <w:r w:rsidR="006A3FEB">
        <w:rPr>
          <w:rFonts w:cs="Arial"/>
          <w:sz w:val="22"/>
          <w:szCs w:val="22"/>
        </w:rPr>
        <w:t>design</w:t>
      </w:r>
      <w:r w:rsidR="0010363C">
        <w:rPr>
          <w:rFonts w:cs="Arial"/>
          <w:sz w:val="22"/>
          <w:szCs w:val="22"/>
        </w:rPr>
        <w:t xml:space="preserve"> and delivery</w:t>
      </w:r>
      <w:r w:rsidR="006A3FEB">
        <w:rPr>
          <w:rFonts w:cs="Arial"/>
          <w:sz w:val="22"/>
          <w:szCs w:val="22"/>
        </w:rPr>
        <w:t>.</w:t>
      </w:r>
      <w:r w:rsidR="00954961">
        <w:rPr>
          <w:rFonts w:cs="Arial"/>
          <w:sz w:val="22"/>
          <w:szCs w:val="22"/>
        </w:rPr>
        <w:t xml:space="preserve"> </w:t>
      </w:r>
    </w:p>
    <w:p w:rsidR="007648F2" w:rsidP="00452D52" w:rsidRDefault="00D86C20" w14:paraId="4F0CA6F6" w14:textId="42EF43DD">
      <w:pPr>
        <w:pStyle w:val="ListParagraph"/>
        <w:ind w:left="1080" w:firstLine="54"/>
        <w:rPr>
          <w:rFonts w:cs="Arial"/>
          <w:sz w:val="22"/>
          <w:szCs w:val="22"/>
        </w:rPr>
      </w:pPr>
      <w:r w:rsidRPr="00D86C20">
        <w:rPr>
          <w:rFonts w:cs="Arial"/>
          <w:b/>
          <w:bCs/>
          <w:sz w:val="22"/>
          <w:szCs w:val="22"/>
        </w:rPr>
        <w:t>Lead(s):</w:t>
      </w:r>
      <w:r>
        <w:rPr>
          <w:rFonts w:cs="Arial"/>
          <w:sz w:val="22"/>
          <w:szCs w:val="22"/>
        </w:rPr>
        <w:t xml:space="preserve"> </w:t>
      </w:r>
      <w:r w:rsidRPr="00E421C9" w:rsidR="0010189E">
        <w:rPr>
          <w:rFonts w:cs="Arial"/>
          <w:sz w:val="22"/>
          <w:szCs w:val="22"/>
        </w:rPr>
        <w:t>Cefas</w:t>
      </w:r>
      <w:r w:rsidR="00E7681B">
        <w:rPr>
          <w:rFonts w:cs="Arial"/>
          <w:sz w:val="22"/>
          <w:szCs w:val="22"/>
        </w:rPr>
        <w:t>, GOAP</w:t>
      </w:r>
    </w:p>
    <w:p w:rsidR="00C52463" w:rsidP="001F35DE" w:rsidRDefault="00E421C9" w14:paraId="303EC71D" w14:textId="298310F3">
      <w:pPr>
        <w:pStyle w:val="ListParagraph"/>
        <w:ind w:left="1080" w:firstLine="54"/>
        <w:rPr>
          <w:rFonts w:cs="Arial"/>
          <w:sz w:val="22"/>
          <w:szCs w:val="22"/>
        </w:rPr>
      </w:pPr>
      <w:r>
        <w:rPr>
          <w:rFonts w:cs="Arial"/>
          <w:b/>
          <w:bCs/>
          <w:sz w:val="22"/>
          <w:szCs w:val="22"/>
        </w:rPr>
        <w:t>Deadline:</w:t>
      </w:r>
      <w:r>
        <w:rPr>
          <w:rFonts w:cs="Arial"/>
          <w:sz w:val="22"/>
          <w:szCs w:val="22"/>
        </w:rPr>
        <w:t xml:space="preserve"> </w:t>
      </w:r>
      <w:r w:rsidR="004C0709">
        <w:rPr>
          <w:rFonts w:cs="Arial"/>
          <w:sz w:val="22"/>
          <w:szCs w:val="22"/>
        </w:rPr>
        <w:t>By end of FY 24/</w:t>
      </w:r>
      <w:r w:rsidR="00C743B1">
        <w:rPr>
          <w:rFonts w:cs="Arial"/>
          <w:sz w:val="22"/>
          <w:szCs w:val="22"/>
        </w:rPr>
        <w:t>25 to ensure inclusion with</w:t>
      </w:r>
      <w:r w:rsidR="00BB5619">
        <w:rPr>
          <w:rFonts w:cs="Arial"/>
          <w:sz w:val="22"/>
          <w:szCs w:val="22"/>
        </w:rPr>
        <w:t xml:space="preserve"> final year of delivery (FY25/26)</w:t>
      </w:r>
    </w:p>
    <w:p w:rsidRPr="00C52463" w:rsidR="00C52463" w:rsidP="00C52463" w:rsidRDefault="00C52463" w14:paraId="537CE0D2" w14:textId="77777777">
      <w:pPr>
        <w:pStyle w:val="ListParagraph"/>
        <w:ind w:left="1080"/>
        <w:rPr>
          <w:rFonts w:cs="Arial"/>
          <w:sz w:val="22"/>
          <w:szCs w:val="22"/>
        </w:rPr>
      </w:pPr>
    </w:p>
    <w:p w:rsidR="00E43420" w:rsidP="004F1F32" w:rsidRDefault="20A417B4" w14:paraId="07786EB5" w14:textId="5D130EEE">
      <w:pPr>
        <w:pStyle w:val="ListParagraph"/>
        <w:numPr>
          <w:ilvl w:val="1"/>
          <w:numId w:val="30"/>
        </w:numPr>
        <w:ind w:left="1134"/>
        <w:rPr>
          <w:rFonts w:cs="Arial"/>
          <w:sz w:val="22"/>
          <w:szCs w:val="22"/>
        </w:rPr>
      </w:pPr>
      <w:r w:rsidRPr="1FB22237">
        <w:rPr>
          <w:rFonts w:cs="Arial"/>
          <w:sz w:val="22"/>
          <w:szCs w:val="22"/>
        </w:rPr>
        <w:t xml:space="preserve">All </w:t>
      </w:r>
      <w:r w:rsidRPr="1FB22237" w:rsidR="00E43420">
        <w:rPr>
          <w:rFonts w:cs="Arial"/>
          <w:sz w:val="22"/>
          <w:szCs w:val="22"/>
        </w:rPr>
        <w:t xml:space="preserve">OCPP delivery partners must ensure they have access to adequate </w:t>
      </w:r>
      <w:r w:rsidRPr="1FB22237" w:rsidR="005D3000">
        <w:rPr>
          <w:rFonts w:cs="Arial"/>
          <w:sz w:val="22"/>
          <w:szCs w:val="22"/>
        </w:rPr>
        <w:t xml:space="preserve">GESI and safeguarding </w:t>
      </w:r>
      <w:r w:rsidRPr="1FB22237" w:rsidR="00B12810">
        <w:rPr>
          <w:rFonts w:cs="Arial"/>
          <w:sz w:val="22"/>
          <w:szCs w:val="22"/>
        </w:rPr>
        <w:t>capacity</w:t>
      </w:r>
      <w:r w:rsidRPr="1FB22237" w:rsidR="00836F7D">
        <w:rPr>
          <w:rFonts w:cs="Arial"/>
          <w:sz w:val="22"/>
          <w:szCs w:val="22"/>
        </w:rPr>
        <w:t xml:space="preserve"> and capability </w:t>
      </w:r>
      <w:r w:rsidRPr="1FB22237" w:rsidR="00566C08">
        <w:rPr>
          <w:rFonts w:cs="Arial"/>
          <w:sz w:val="22"/>
          <w:szCs w:val="22"/>
        </w:rPr>
        <w:t>to</w:t>
      </w:r>
      <w:r w:rsidRPr="1FB22237" w:rsidR="00F479EA">
        <w:rPr>
          <w:rFonts w:cs="Arial"/>
          <w:sz w:val="22"/>
          <w:szCs w:val="22"/>
        </w:rPr>
        <w:t xml:space="preserve"> </w:t>
      </w:r>
      <w:r w:rsidRPr="1FB22237" w:rsidR="000E7D33">
        <w:rPr>
          <w:rFonts w:cs="Arial"/>
          <w:sz w:val="22"/>
          <w:szCs w:val="22"/>
        </w:rPr>
        <w:t xml:space="preserve">ensure compliance </w:t>
      </w:r>
      <w:r w:rsidRPr="1FB22237" w:rsidR="00E050F1">
        <w:rPr>
          <w:rFonts w:cs="Arial"/>
          <w:sz w:val="22"/>
          <w:szCs w:val="22"/>
        </w:rPr>
        <w:t xml:space="preserve">with Defra ODA safeguarding </w:t>
      </w:r>
      <w:r w:rsidRPr="1FB22237" w:rsidR="005645CD">
        <w:rPr>
          <w:rFonts w:cs="Arial"/>
          <w:sz w:val="22"/>
          <w:szCs w:val="22"/>
        </w:rPr>
        <w:t xml:space="preserve">and GESI </w:t>
      </w:r>
      <w:r w:rsidRPr="1FB22237" w:rsidR="00E050F1">
        <w:rPr>
          <w:rFonts w:cs="Arial"/>
          <w:sz w:val="22"/>
          <w:szCs w:val="22"/>
        </w:rPr>
        <w:t>guidance</w:t>
      </w:r>
      <w:r w:rsidRPr="1FB22237" w:rsidR="00916056">
        <w:rPr>
          <w:rFonts w:cs="Arial"/>
          <w:sz w:val="22"/>
          <w:szCs w:val="22"/>
        </w:rPr>
        <w:t>,</w:t>
      </w:r>
      <w:r w:rsidRPr="1FB22237" w:rsidR="00E050F1">
        <w:rPr>
          <w:rFonts w:cs="Arial"/>
          <w:sz w:val="22"/>
          <w:szCs w:val="22"/>
        </w:rPr>
        <w:t xml:space="preserve"> </w:t>
      </w:r>
      <w:r w:rsidRPr="1FB22237" w:rsidR="000E7D33">
        <w:rPr>
          <w:rFonts w:cs="Arial"/>
          <w:sz w:val="22"/>
          <w:szCs w:val="22"/>
        </w:rPr>
        <w:t xml:space="preserve">and </w:t>
      </w:r>
      <w:r w:rsidRPr="1FB22237" w:rsidR="0057345F">
        <w:rPr>
          <w:rFonts w:cs="Arial"/>
          <w:sz w:val="22"/>
          <w:szCs w:val="22"/>
        </w:rPr>
        <w:t xml:space="preserve">the </w:t>
      </w:r>
      <w:r w:rsidRPr="1FB22237" w:rsidR="00870F06">
        <w:rPr>
          <w:rFonts w:cs="Arial"/>
          <w:sz w:val="22"/>
          <w:szCs w:val="22"/>
        </w:rPr>
        <w:t xml:space="preserve">ability to achieve GESI sensitive by </w:t>
      </w:r>
      <w:r w:rsidRPr="1FB22237" w:rsidR="00F80673">
        <w:rPr>
          <w:rFonts w:cs="Arial"/>
          <w:sz w:val="22"/>
          <w:szCs w:val="22"/>
        </w:rPr>
        <w:t>Dec 2025</w:t>
      </w:r>
      <w:r w:rsidRPr="1FB22237" w:rsidR="005645CD">
        <w:rPr>
          <w:rFonts w:cs="Arial"/>
          <w:sz w:val="22"/>
          <w:szCs w:val="22"/>
        </w:rPr>
        <w:t>.</w:t>
      </w:r>
    </w:p>
    <w:p w:rsidR="003D515C" w:rsidP="00AE50A5" w:rsidRDefault="003D515C" w14:paraId="5DEE0E87" w14:textId="1741B409">
      <w:pPr>
        <w:pStyle w:val="ListParagraph"/>
        <w:ind w:left="1134"/>
        <w:rPr>
          <w:rFonts w:cs="Arial"/>
          <w:sz w:val="22"/>
          <w:szCs w:val="22"/>
        </w:rPr>
      </w:pPr>
      <w:r w:rsidRPr="00D86C20">
        <w:rPr>
          <w:rFonts w:cs="Arial"/>
          <w:b/>
          <w:bCs/>
          <w:sz w:val="22"/>
          <w:szCs w:val="22"/>
        </w:rPr>
        <w:t>Lead(s):</w:t>
      </w:r>
      <w:r>
        <w:rPr>
          <w:rFonts w:cs="Arial"/>
          <w:sz w:val="22"/>
          <w:szCs w:val="22"/>
        </w:rPr>
        <w:t xml:space="preserve"> </w:t>
      </w:r>
      <w:r w:rsidR="00B941E7">
        <w:rPr>
          <w:rFonts w:cs="Arial"/>
          <w:sz w:val="22"/>
          <w:szCs w:val="22"/>
        </w:rPr>
        <w:t xml:space="preserve">All OCPP </w:t>
      </w:r>
      <w:r w:rsidR="00BB6FCE">
        <w:rPr>
          <w:rFonts w:cs="Arial"/>
          <w:sz w:val="22"/>
          <w:szCs w:val="22"/>
        </w:rPr>
        <w:t>d</w:t>
      </w:r>
      <w:r w:rsidR="00B941E7">
        <w:rPr>
          <w:rFonts w:cs="Arial"/>
          <w:sz w:val="22"/>
          <w:szCs w:val="22"/>
        </w:rPr>
        <w:t>elivery</w:t>
      </w:r>
      <w:r w:rsidR="00D804C5">
        <w:rPr>
          <w:rFonts w:cs="Arial"/>
          <w:sz w:val="22"/>
          <w:szCs w:val="22"/>
        </w:rPr>
        <w:t xml:space="preserve"> partners</w:t>
      </w:r>
    </w:p>
    <w:p w:rsidR="006F0573" w:rsidP="00240EAB" w:rsidRDefault="003D515C" w14:paraId="49E84E20" w14:textId="13CD8625">
      <w:pPr>
        <w:pStyle w:val="ListParagraph"/>
        <w:ind w:left="1134"/>
        <w:rPr>
          <w:rFonts w:cs="Arial"/>
          <w:sz w:val="22"/>
          <w:szCs w:val="22"/>
        </w:rPr>
      </w:pPr>
      <w:r>
        <w:rPr>
          <w:rFonts w:cs="Arial"/>
          <w:b/>
          <w:bCs/>
          <w:sz w:val="22"/>
          <w:szCs w:val="22"/>
        </w:rPr>
        <w:t>Deadline:</w:t>
      </w:r>
      <w:r>
        <w:rPr>
          <w:rFonts w:cs="Arial"/>
          <w:sz w:val="22"/>
          <w:szCs w:val="22"/>
        </w:rPr>
        <w:t xml:space="preserve"> </w:t>
      </w:r>
      <w:r w:rsidR="00DB064C">
        <w:rPr>
          <w:rFonts w:cs="Arial"/>
          <w:sz w:val="22"/>
          <w:szCs w:val="22"/>
        </w:rPr>
        <w:t>By March 2025</w:t>
      </w:r>
    </w:p>
    <w:p w:rsidR="00C52463" w:rsidP="003D515C" w:rsidRDefault="00C52463" w14:paraId="6C44F359" w14:textId="77777777">
      <w:pPr>
        <w:pStyle w:val="ListParagraph"/>
        <w:ind w:left="1080"/>
        <w:rPr>
          <w:rFonts w:cs="Arial"/>
          <w:sz w:val="22"/>
          <w:szCs w:val="22"/>
        </w:rPr>
      </w:pPr>
    </w:p>
    <w:p w:rsidR="0086164E" w:rsidP="004F1F32" w:rsidRDefault="1F9786FB" w14:paraId="2A51C679" w14:textId="54F6DEC0">
      <w:pPr>
        <w:pStyle w:val="ListParagraph"/>
        <w:numPr>
          <w:ilvl w:val="1"/>
          <w:numId w:val="30"/>
        </w:numPr>
        <w:ind w:left="1134"/>
        <w:rPr>
          <w:rFonts w:cs="Arial"/>
          <w:sz w:val="22"/>
          <w:szCs w:val="22"/>
        </w:rPr>
      </w:pPr>
      <w:r w:rsidRPr="4D7797D7">
        <w:rPr>
          <w:rFonts w:cs="Arial"/>
          <w:sz w:val="22"/>
          <w:szCs w:val="22"/>
        </w:rPr>
        <w:t xml:space="preserve">GESI output and </w:t>
      </w:r>
      <w:r w:rsidRPr="4D7797D7" w:rsidR="39AF75D7">
        <w:rPr>
          <w:rFonts w:cs="Arial"/>
          <w:sz w:val="22"/>
          <w:szCs w:val="22"/>
        </w:rPr>
        <w:t>indicators</w:t>
      </w:r>
      <w:r w:rsidRPr="4D7797D7">
        <w:rPr>
          <w:rFonts w:cs="Arial"/>
          <w:sz w:val="22"/>
          <w:szCs w:val="22"/>
        </w:rPr>
        <w:t xml:space="preserve"> within the programme logframe </w:t>
      </w:r>
      <w:r w:rsidRPr="4D7797D7" w:rsidR="07B3F845">
        <w:rPr>
          <w:rFonts w:cs="Arial"/>
          <w:sz w:val="22"/>
          <w:szCs w:val="22"/>
        </w:rPr>
        <w:t xml:space="preserve">should be </w:t>
      </w:r>
      <w:r w:rsidRPr="4D7797D7" w:rsidR="499C909C">
        <w:rPr>
          <w:rFonts w:cs="Arial"/>
          <w:sz w:val="22"/>
          <w:szCs w:val="22"/>
        </w:rPr>
        <w:t xml:space="preserve">refined </w:t>
      </w:r>
      <w:r w:rsidRPr="4D7797D7" w:rsidR="3A244497">
        <w:rPr>
          <w:rFonts w:cs="Arial"/>
          <w:sz w:val="22"/>
          <w:szCs w:val="22"/>
        </w:rPr>
        <w:t>and</w:t>
      </w:r>
      <w:r w:rsidRPr="4D7797D7" w:rsidR="747639F1">
        <w:rPr>
          <w:rFonts w:cs="Arial"/>
          <w:sz w:val="22"/>
          <w:szCs w:val="22"/>
        </w:rPr>
        <w:t xml:space="preserve"> </w:t>
      </w:r>
      <w:r w:rsidRPr="4D7797D7" w:rsidR="3A244497">
        <w:rPr>
          <w:rFonts w:cs="Arial"/>
          <w:sz w:val="22"/>
          <w:szCs w:val="22"/>
        </w:rPr>
        <w:t xml:space="preserve">data </w:t>
      </w:r>
      <w:r w:rsidRPr="4D7797D7" w:rsidR="30CA2C8A">
        <w:rPr>
          <w:rFonts w:cs="Arial"/>
          <w:sz w:val="22"/>
          <w:szCs w:val="22"/>
        </w:rPr>
        <w:t xml:space="preserve">disaggregated </w:t>
      </w:r>
      <w:r w:rsidRPr="4D7797D7" w:rsidR="3A244497">
        <w:rPr>
          <w:rFonts w:cs="Arial"/>
          <w:sz w:val="22"/>
          <w:szCs w:val="22"/>
        </w:rPr>
        <w:t xml:space="preserve">by </w:t>
      </w:r>
      <w:r w:rsidR="00F90A5A">
        <w:rPr>
          <w:rFonts w:cs="Arial"/>
          <w:sz w:val="22"/>
          <w:szCs w:val="22"/>
        </w:rPr>
        <w:t>sex</w:t>
      </w:r>
      <w:r w:rsidRPr="4D7797D7" w:rsidR="3A244497">
        <w:rPr>
          <w:rFonts w:cs="Arial"/>
          <w:sz w:val="22"/>
          <w:szCs w:val="22"/>
        </w:rPr>
        <w:t>, age, disability and geography</w:t>
      </w:r>
      <w:r w:rsidR="007600D8">
        <w:rPr>
          <w:rFonts w:cs="Arial"/>
          <w:sz w:val="22"/>
          <w:szCs w:val="22"/>
        </w:rPr>
        <w:t>.</w:t>
      </w:r>
    </w:p>
    <w:p w:rsidRPr="00613354" w:rsidR="00613354" w:rsidP="00136957" w:rsidRDefault="00613354" w14:paraId="061F0B76" w14:textId="391FE81C">
      <w:pPr>
        <w:pStyle w:val="ListParagraph"/>
        <w:ind w:left="1080" w:firstLine="54"/>
        <w:rPr>
          <w:rFonts w:cs="Arial"/>
          <w:b/>
          <w:bCs/>
          <w:sz w:val="22"/>
          <w:szCs w:val="22"/>
        </w:rPr>
      </w:pPr>
      <w:r w:rsidRPr="00613354">
        <w:rPr>
          <w:rFonts w:cs="Arial"/>
          <w:b/>
          <w:bCs/>
          <w:sz w:val="22"/>
          <w:szCs w:val="22"/>
        </w:rPr>
        <w:t>Lead(s):</w:t>
      </w:r>
      <w:r>
        <w:rPr>
          <w:rFonts w:cs="Arial"/>
          <w:b/>
          <w:bCs/>
          <w:sz w:val="22"/>
          <w:szCs w:val="22"/>
        </w:rPr>
        <w:t xml:space="preserve"> </w:t>
      </w:r>
      <w:r w:rsidRPr="00B941E7">
        <w:rPr>
          <w:rFonts w:cs="Arial"/>
          <w:sz w:val="22"/>
          <w:szCs w:val="22"/>
        </w:rPr>
        <w:t>NIRAS,</w:t>
      </w:r>
      <w:r w:rsidRPr="00B941E7" w:rsidR="00EF4B3D">
        <w:rPr>
          <w:rFonts w:cs="Arial"/>
          <w:sz w:val="22"/>
          <w:szCs w:val="22"/>
        </w:rPr>
        <w:t xml:space="preserve"> Defra</w:t>
      </w:r>
    </w:p>
    <w:p w:rsidR="00404F4B" w:rsidP="00404F4B" w:rsidRDefault="51FABDAA" w14:paraId="6A3BEDD5" w14:textId="25B2C7C4">
      <w:pPr>
        <w:pStyle w:val="ListParagraph"/>
        <w:ind w:left="1080"/>
        <w:rPr>
          <w:rFonts w:cs="Arial"/>
          <w:sz w:val="22"/>
          <w:szCs w:val="22"/>
        </w:rPr>
      </w:pPr>
      <w:r w:rsidRPr="7CFDB565">
        <w:rPr>
          <w:rFonts w:cs="Arial"/>
          <w:b/>
          <w:bCs/>
          <w:sz w:val="22"/>
          <w:szCs w:val="22"/>
        </w:rPr>
        <w:t xml:space="preserve"> </w:t>
      </w:r>
      <w:r w:rsidRPr="7CFDB565" w:rsidR="5CCCC1CD">
        <w:rPr>
          <w:rFonts w:cs="Arial"/>
          <w:b/>
          <w:bCs/>
          <w:sz w:val="22"/>
          <w:szCs w:val="22"/>
        </w:rPr>
        <w:t>Deadline:</w:t>
      </w:r>
      <w:r w:rsidRPr="7CFDB565" w:rsidR="3B9BBD37">
        <w:rPr>
          <w:rFonts w:cs="Arial"/>
          <w:sz w:val="22"/>
          <w:szCs w:val="22"/>
        </w:rPr>
        <w:t xml:space="preserve"> </w:t>
      </w:r>
      <w:r w:rsidRPr="7CFDB565" w:rsidR="2C51AE3B">
        <w:rPr>
          <w:rFonts w:cs="Arial"/>
          <w:sz w:val="22"/>
          <w:szCs w:val="22"/>
        </w:rPr>
        <w:t>GESI out</w:t>
      </w:r>
      <w:r w:rsidRPr="7CFDB565" w:rsidR="231B0404">
        <w:rPr>
          <w:rFonts w:cs="Arial"/>
          <w:sz w:val="22"/>
          <w:szCs w:val="22"/>
        </w:rPr>
        <w:t>put</w:t>
      </w:r>
      <w:r w:rsidRPr="7CFDB565" w:rsidR="2C51AE3B">
        <w:rPr>
          <w:rFonts w:cs="Arial"/>
          <w:sz w:val="22"/>
          <w:szCs w:val="22"/>
        </w:rPr>
        <w:t xml:space="preserve"> and indicators re</w:t>
      </w:r>
      <w:r w:rsidRPr="7CFDB565" w:rsidR="24EC66EB">
        <w:rPr>
          <w:rFonts w:cs="Arial"/>
          <w:sz w:val="22"/>
          <w:szCs w:val="22"/>
        </w:rPr>
        <w:t>viewed</w:t>
      </w:r>
      <w:r w:rsidRPr="7CFDB565" w:rsidR="2C51AE3B">
        <w:rPr>
          <w:rFonts w:cs="Arial"/>
          <w:sz w:val="22"/>
          <w:szCs w:val="22"/>
        </w:rPr>
        <w:t xml:space="preserve"> </w:t>
      </w:r>
      <w:r w:rsidRPr="7CFDB565" w:rsidR="41B0A273">
        <w:rPr>
          <w:rFonts w:cs="Arial"/>
          <w:sz w:val="22"/>
          <w:szCs w:val="22"/>
        </w:rPr>
        <w:t>b</w:t>
      </w:r>
      <w:r w:rsidRPr="7CFDB565" w:rsidR="25EC8F05">
        <w:rPr>
          <w:rFonts w:cs="Arial"/>
          <w:sz w:val="22"/>
          <w:szCs w:val="22"/>
        </w:rPr>
        <w:t>y January 2025</w:t>
      </w:r>
      <w:r w:rsidRPr="7CFDB565" w:rsidR="2E1E91D2">
        <w:rPr>
          <w:rFonts w:cs="Arial"/>
          <w:sz w:val="22"/>
          <w:szCs w:val="22"/>
        </w:rPr>
        <w:t xml:space="preserve"> (</w:t>
      </w:r>
      <w:r w:rsidRPr="7CFDB565" w:rsidR="28568028">
        <w:rPr>
          <w:rFonts w:cs="Arial"/>
          <w:sz w:val="22"/>
          <w:szCs w:val="22"/>
        </w:rPr>
        <w:t>six</w:t>
      </w:r>
      <w:r w:rsidRPr="7CFDB565" w:rsidR="032E1EA8">
        <w:rPr>
          <w:rFonts w:cs="Arial"/>
          <w:sz w:val="22"/>
          <w:szCs w:val="22"/>
        </w:rPr>
        <w:t xml:space="preserve"> months before due date of the next </w:t>
      </w:r>
      <w:r w:rsidRPr="7CFDB565" w:rsidR="00C14357">
        <w:rPr>
          <w:rFonts w:cs="Arial"/>
          <w:sz w:val="22"/>
          <w:szCs w:val="22"/>
        </w:rPr>
        <w:t>annual review</w:t>
      </w:r>
      <w:r w:rsidRPr="7CFDB565" w:rsidR="0FA34D06">
        <w:rPr>
          <w:rFonts w:cs="Arial"/>
          <w:sz w:val="22"/>
          <w:szCs w:val="22"/>
        </w:rPr>
        <w:t>)</w:t>
      </w:r>
      <w:r w:rsidRPr="7CFDB565" w:rsidR="55E65FB2">
        <w:rPr>
          <w:rFonts w:cs="Arial"/>
          <w:sz w:val="22"/>
          <w:szCs w:val="22"/>
        </w:rPr>
        <w:t xml:space="preserve">. Data disaggregation </w:t>
      </w:r>
      <w:r w:rsidRPr="7CFDB565" w:rsidR="33BE8719">
        <w:rPr>
          <w:rFonts w:cs="Arial"/>
          <w:sz w:val="22"/>
          <w:szCs w:val="22"/>
        </w:rPr>
        <w:t xml:space="preserve">within </w:t>
      </w:r>
      <w:r w:rsidRPr="7CFDB565" w:rsidR="55E65FB2">
        <w:rPr>
          <w:rFonts w:cs="Arial"/>
          <w:sz w:val="22"/>
          <w:szCs w:val="22"/>
        </w:rPr>
        <w:t>FY 2</w:t>
      </w:r>
      <w:r w:rsidRPr="7CFDB565" w:rsidR="2891A436">
        <w:rPr>
          <w:rFonts w:cs="Arial"/>
          <w:sz w:val="22"/>
          <w:szCs w:val="22"/>
        </w:rPr>
        <w:t>5</w:t>
      </w:r>
      <w:r w:rsidRPr="7CFDB565" w:rsidR="55E65FB2">
        <w:rPr>
          <w:rFonts w:cs="Arial"/>
          <w:sz w:val="22"/>
          <w:szCs w:val="22"/>
        </w:rPr>
        <w:t>/2</w:t>
      </w:r>
      <w:r w:rsidRPr="7CFDB565" w:rsidR="1F11E9B9">
        <w:rPr>
          <w:rFonts w:cs="Arial"/>
          <w:sz w:val="22"/>
          <w:szCs w:val="22"/>
        </w:rPr>
        <w:t>6</w:t>
      </w:r>
    </w:p>
    <w:p w:rsidR="00404F4B" w:rsidP="00404F4B" w:rsidRDefault="00404F4B" w14:paraId="67F64A63" w14:textId="77777777">
      <w:pPr>
        <w:pStyle w:val="ListParagraph"/>
        <w:ind w:left="1080"/>
        <w:rPr>
          <w:rFonts w:cs="Arial"/>
          <w:sz w:val="22"/>
          <w:szCs w:val="22"/>
        </w:rPr>
      </w:pPr>
    </w:p>
    <w:p w:rsidR="00404F4B" w:rsidP="00AE50A5" w:rsidRDefault="3445A9CA" w14:paraId="5D06EAA0" w14:textId="519135D5">
      <w:pPr>
        <w:pStyle w:val="ListParagraph"/>
        <w:numPr>
          <w:ilvl w:val="1"/>
          <w:numId w:val="30"/>
        </w:numPr>
        <w:ind w:left="1134"/>
        <w:rPr>
          <w:rFonts w:cs="Arial"/>
          <w:sz w:val="22"/>
          <w:szCs w:val="22"/>
        </w:rPr>
      </w:pPr>
      <w:r w:rsidRPr="1FB22237">
        <w:rPr>
          <w:rFonts w:cs="Arial"/>
          <w:sz w:val="22"/>
          <w:szCs w:val="22"/>
        </w:rPr>
        <w:t>Delivery partners must</w:t>
      </w:r>
      <w:r w:rsidRPr="1FB22237" w:rsidR="2201B8F4">
        <w:rPr>
          <w:rFonts w:cs="Arial"/>
          <w:sz w:val="22"/>
          <w:szCs w:val="22"/>
        </w:rPr>
        <w:t xml:space="preserve"> address </w:t>
      </w:r>
      <w:r w:rsidRPr="1FB22237" w:rsidR="5094A6C8">
        <w:rPr>
          <w:rFonts w:cs="Arial"/>
          <w:sz w:val="22"/>
          <w:szCs w:val="22"/>
        </w:rPr>
        <w:t xml:space="preserve">the </w:t>
      </w:r>
      <w:r w:rsidRPr="1FB22237" w:rsidR="224FEC94">
        <w:rPr>
          <w:rFonts w:cs="Arial"/>
          <w:sz w:val="22"/>
          <w:szCs w:val="22"/>
        </w:rPr>
        <w:t xml:space="preserve">SEAH safeguarding </w:t>
      </w:r>
      <w:r w:rsidRPr="1FB22237" w:rsidR="5094A6C8">
        <w:rPr>
          <w:rFonts w:cs="Arial"/>
          <w:sz w:val="22"/>
          <w:szCs w:val="22"/>
        </w:rPr>
        <w:t xml:space="preserve">risks </w:t>
      </w:r>
      <w:r w:rsidRPr="1FB22237" w:rsidR="224FEC94">
        <w:rPr>
          <w:rFonts w:cs="Arial"/>
          <w:sz w:val="22"/>
          <w:szCs w:val="22"/>
        </w:rPr>
        <w:t xml:space="preserve">identified through </w:t>
      </w:r>
      <w:r w:rsidRPr="1FB22237" w:rsidR="72370A59">
        <w:rPr>
          <w:rFonts w:cs="Arial"/>
          <w:sz w:val="22"/>
          <w:szCs w:val="22"/>
        </w:rPr>
        <w:t>the SEAH safeguarding self-assessment</w:t>
      </w:r>
      <w:r w:rsidRPr="1FB22237" w:rsidR="4F1E176A">
        <w:rPr>
          <w:rFonts w:cs="Arial"/>
          <w:sz w:val="22"/>
          <w:szCs w:val="22"/>
        </w:rPr>
        <w:t xml:space="preserve"> and demonstrate how they will </w:t>
      </w:r>
      <w:r w:rsidRPr="1FB22237" w:rsidR="00165B27">
        <w:rPr>
          <w:rFonts w:cs="Arial"/>
          <w:sz w:val="22"/>
          <w:szCs w:val="22"/>
        </w:rPr>
        <w:t>mitigate these risks.</w:t>
      </w:r>
    </w:p>
    <w:p w:rsidRPr="00613354" w:rsidR="00F55F2A" w:rsidP="00F55F2A" w:rsidRDefault="001F35DE" w14:paraId="7C1C2746" w14:textId="512E8C02">
      <w:pPr>
        <w:pStyle w:val="ListParagraph"/>
        <w:ind w:firstLine="360"/>
        <w:rPr>
          <w:rFonts w:cs="Arial"/>
          <w:b/>
          <w:bCs/>
          <w:sz w:val="22"/>
          <w:szCs w:val="22"/>
        </w:rPr>
      </w:pPr>
      <w:r>
        <w:rPr>
          <w:rFonts w:cs="Arial"/>
          <w:b/>
          <w:bCs/>
          <w:sz w:val="22"/>
          <w:szCs w:val="22"/>
        </w:rPr>
        <w:t xml:space="preserve"> </w:t>
      </w:r>
      <w:r w:rsidRPr="00613354" w:rsidR="00F55F2A">
        <w:rPr>
          <w:rFonts w:cs="Arial"/>
          <w:b/>
          <w:bCs/>
          <w:sz w:val="22"/>
          <w:szCs w:val="22"/>
        </w:rPr>
        <w:t>Lead(s):</w:t>
      </w:r>
      <w:r w:rsidR="00F55F2A">
        <w:rPr>
          <w:rFonts w:cs="Arial"/>
          <w:b/>
          <w:bCs/>
          <w:sz w:val="22"/>
          <w:szCs w:val="22"/>
        </w:rPr>
        <w:t xml:space="preserve"> </w:t>
      </w:r>
      <w:r w:rsidR="00F55F2A">
        <w:rPr>
          <w:rFonts w:cs="Arial"/>
          <w:sz w:val="22"/>
          <w:szCs w:val="22"/>
        </w:rPr>
        <w:t xml:space="preserve">All </w:t>
      </w:r>
      <w:r w:rsidR="005C4C08">
        <w:rPr>
          <w:rFonts w:cs="Arial"/>
          <w:sz w:val="22"/>
          <w:szCs w:val="22"/>
        </w:rPr>
        <w:t xml:space="preserve">OCPP </w:t>
      </w:r>
      <w:r w:rsidR="00F55F2A">
        <w:rPr>
          <w:rFonts w:cs="Arial"/>
          <w:sz w:val="22"/>
          <w:szCs w:val="22"/>
        </w:rPr>
        <w:t>delivery partners</w:t>
      </w:r>
    </w:p>
    <w:p w:rsidR="00F55F2A" w:rsidP="00F55F2A" w:rsidRDefault="001F35DE" w14:paraId="5F1BB3A5" w14:textId="7FB67EF1">
      <w:pPr>
        <w:pStyle w:val="ListParagraph"/>
        <w:ind w:firstLine="360"/>
        <w:rPr>
          <w:rFonts w:cs="Arial"/>
          <w:sz w:val="22"/>
          <w:szCs w:val="22"/>
        </w:rPr>
      </w:pPr>
      <w:r w:rsidRPr="1FB22237">
        <w:rPr>
          <w:rFonts w:cs="Arial"/>
          <w:b/>
          <w:bCs/>
          <w:sz w:val="22"/>
          <w:szCs w:val="22"/>
        </w:rPr>
        <w:t xml:space="preserve"> </w:t>
      </w:r>
      <w:r w:rsidRPr="1FB22237" w:rsidR="00F55F2A">
        <w:rPr>
          <w:rFonts w:cs="Arial"/>
          <w:b/>
          <w:bCs/>
          <w:sz w:val="22"/>
          <w:szCs w:val="22"/>
        </w:rPr>
        <w:t>Deadline:</w:t>
      </w:r>
      <w:r w:rsidRPr="1FB22237" w:rsidR="00F55F2A">
        <w:rPr>
          <w:rFonts w:cs="Arial"/>
          <w:sz w:val="22"/>
          <w:szCs w:val="22"/>
        </w:rPr>
        <w:t xml:space="preserve"> By March 2025</w:t>
      </w:r>
    </w:p>
    <w:p w:rsidRPr="00613681" w:rsidR="00F55F2A" w:rsidP="00F55F2A" w:rsidRDefault="00F55F2A" w14:paraId="1868F4C1" w14:textId="77777777">
      <w:pPr>
        <w:pStyle w:val="ListParagraph"/>
        <w:ind w:left="1080"/>
        <w:rPr>
          <w:rFonts w:cs="Arial"/>
          <w:sz w:val="22"/>
          <w:szCs w:val="22"/>
        </w:rPr>
      </w:pPr>
    </w:p>
    <w:p w:rsidRPr="00A50677" w:rsidR="00AC34F1" w:rsidP="00AC34F1" w:rsidRDefault="00AC34F1" w14:paraId="498443D9" w14:textId="77777777">
      <w:pPr>
        <w:pStyle w:val="ListParagraph"/>
        <w:ind w:left="360"/>
        <w:rPr>
          <w:rFonts w:cs="Arial"/>
          <w:sz w:val="22"/>
          <w:szCs w:val="22"/>
        </w:rPr>
      </w:pPr>
    </w:p>
    <w:p w:rsidRPr="00253D41" w:rsidR="00AC34F1" w:rsidP="001D265D" w:rsidRDefault="00AC34F1" w14:paraId="020D44E1" w14:textId="351D6C60">
      <w:pPr>
        <w:pStyle w:val="ListParagraph"/>
        <w:numPr>
          <w:ilvl w:val="0"/>
          <w:numId w:val="28"/>
        </w:numPr>
        <w:rPr>
          <w:rFonts w:cs="Arial"/>
          <w:b/>
          <w:bCs/>
          <w:sz w:val="22"/>
          <w:szCs w:val="22"/>
        </w:rPr>
      </w:pPr>
      <w:r w:rsidRPr="1FB22237">
        <w:rPr>
          <w:rFonts w:cs="Arial"/>
          <w:b/>
          <w:bCs/>
          <w:sz w:val="22"/>
          <w:szCs w:val="22"/>
        </w:rPr>
        <w:t>Lesson:</w:t>
      </w:r>
      <w:r w:rsidRPr="1FB22237" w:rsidR="002173D0">
        <w:rPr>
          <w:rFonts w:cs="Arial"/>
          <w:b/>
          <w:bCs/>
          <w:sz w:val="22"/>
          <w:szCs w:val="22"/>
        </w:rPr>
        <w:t xml:space="preserve"> </w:t>
      </w:r>
      <w:r w:rsidRPr="1FB22237" w:rsidR="002173D0">
        <w:rPr>
          <w:rFonts w:cs="Arial"/>
          <w:sz w:val="22"/>
          <w:szCs w:val="22"/>
        </w:rPr>
        <w:t xml:space="preserve">Poverty alleviation must be better integrated to achieve </w:t>
      </w:r>
      <w:r w:rsidRPr="1FB22237" w:rsidR="00BC58B5">
        <w:rPr>
          <w:rFonts w:cs="Arial"/>
          <w:sz w:val="22"/>
          <w:szCs w:val="22"/>
        </w:rPr>
        <w:t>the intended</w:t>
      </w:r>
      <w:r w:rsidRPr="1FB22237" w:rsidR="00BC2923">
        <w:rPr>
          <w:rFonts w:cs="Arial"/>
          <w:sz w:val="22"/>
          <w:szCs w:val="22"/>
        </w:rPr>
        <w:t xml:space="preserve"> </w:t>
      </w:r>
      <w:r w:rsidRPr="1FB22237" w:rsidR="002173D0">
        <w:rPr>
          <w:rFonts w:cs="Arial"/>
          <w:sz w:val="22"/>
          <w:szCs w:val="22"/>
        </w:rPr>
        <w:t>impact</w:t>
      </w:r>
      <w:r w:rsidRPr="1FB22237" w:rsidR="00666FDE">
        <w:rPr>
          <w:rFonts w:cs="Arial"/>
          <w:sz w:val="22"/>
          <w:szCs w:val="22"/>
        </w:rPr>
        <w:t xml:space="preserve"> on poverty</w:t>
      </w:r>
      <w:r w:rsidRPr="1FB22237" w:rsidR="002173D0">
        <w:rPr>
          <w:rFonts w:cs="Arial"/>
          <w:sz w:val="22"/>
          <w:szCs w:val="22"/>
        </w:rPr>
        <w:t>. The geographical footprint of the programme is not well aligned with its poverty reduction ambitions and the skills profile of the delivery partners has been a constraint on integrating poverty reduction.</w:t>
      </w:r>
      <w:r w:rsidR="004E6682">
        <w:t xml:space="preserve"> </w:t>
      </w:r>
      <w:r w:rsidRPr="1FB22237" w:rsidR="00253D41">
        <w:rPr>
          <w:rFonts w:cs="Arial"/>
          <w:sz w:val="22"/>
          <w:szCs w:val="22"/>
        </w:rPr>
        <w:t>The programme</w:t>
      </w:r>
      <w:r w:rsidRPr="1FB22237" w:rsidR="004E6682">
        <w:rPr>
          <w:rFonts w:cs="Arial"/>
          <w:sz w:val="22"/>
          <w:szCs w:val="22"/>
        </w:rPr>
        <w:t xml:space="preserve"> should carefully consider country and activity prioritisation in the remaining years of the programme</w:t>
      </w:r>
    </w:p>
    <w:p w:rsidR="00253D41" w:rsidP="009272DF" w:rsidRDefault="00253D41" w14:paraId="3D50B500" w14:textId="77777777">
      <w:pPr>
        <w:pStyle w:val="ListParagraph"/>
        <w:ind w:left="360"/>
        <w:rPr>
          <w:rFonts w:cs="Arial"/>
          <w:sz w:val="22"/>
          <w:szCs w:val="22"/>
        </w:rPr>
      </w:pPr>
    </w:p>
    <w:p w:rsidR="00AC34F1" w:rsidP="00B45FDF" w:rsidRDefault="00AC34F1" w14:paraId="52181207" w14:textId="347D333A">
      <w:pPr>
        <w:pStyle w:val="ListParagraph"/>
        <w:ind w:left="360"/>
        <w:rPr>
          <w:rFonts w:cs="Arial"/>
          <w:sz w:val="22"/>
          <w:szCs w:val="22"/>
        </w:rPr>
      </w:pPr>
      <w:r w:rsidRPr="00B45FDF">
        <w:rPr>
          <w:rFonts w:cs="Arial"/>
          <w:b/>
          <w:bCs/>
          <w:sz w:val="22"/>
          <w:szCs w:val="22"/>
        </w:rPr>
        <w:t>Recommendation</w:t>
      </w:r>
      <w:r w:rsidR="003344E8">
        <w:rPr>
          <w:rFonts w:cs="Arial"/>
          <w:b/>
          <w:bCs/>
          <w:sz w:val="22"/>
          <w:szCs w:val="22"/>
        </w:rPr>
        <w:t>(s)</w:t>
      </w:r>
      <w:r w:rsidRPr="00B45FDF">
        <w:rPr>
          <w:rFonts w:cs="Arial"/>
          <w:b/>
          <w:bCs/>
          <w:sz w:val="22"/>
          <w:szCs w:val="22"/>
        </w:rPr>
        <w:t>:</w:t>
      </w:r>
      <w:r w:rsidRPr="00A50677" w:rsidR="009272DF">
        <w:rPr>
          <w:rFonts w:cs="Arial"/>
          <w:sz w:val="22"/>
          <w:szCs w:val="22"/>
        </w:rPr>
        <w:t xml:space="preserve"> </w:t>
      </w:r>
    </w:p>
    <w:p w:rsidR="002C20A1" w:rsidP="001D265D" w:rsidRDefault="00F82406" w14:paraId="7185CC66" w14:textId="6A9B3A83">
      <w:pPr>
        <w:pStyle w:val="ListParagraph"/>
        <w:numPr>
          <w:ilvl w:val="1"/>
          <w:numId w:val="7"/>
        </w:numPr>
        <w:ind w:left="1080"/>
        <w:rPr>
          <w:rFonts w:cs="Arial"/>
          <w:sz w:val="22"/>
          <w:szCs w:val="22"/>
        </w:rPr>
      </w:pPr>
      <w:r w:rsidRPr="118D9FBE">
        <w:rPr>
          <w:rFonts w:cs="Arial"/>
          <w:sz w:val="22"/>
          <w:szCs w:val="22"/>
        </w:rPr>
        <w:t xml:space="preserve">Delivery partners must ensure </w:t>
      </w:r>
      <w:r w:rsidRPr="118D9FBE" w:rsidR="0004270E">
        <w:rPr>
          <w:rFonts w:cs="Arial"/>
          <w:sz w:val="22"/>
          <w:szCs w:val="22"/>
        </w:rPr>
        <w:t xml:space="preserve">they have </w:t>
      </w:r>
      <w:r w:rsidRPr="118D9FBE" w:rsidR="00CF6370">
        <w:rPr>
          <w:rFonts w:cs="Arial"/>
          <w:sz w:val="22"/>
          <w:szCs w:val="22"/>
        </w:rPr>
        <w:t>access to</w:t>
      </w:r>
      <w:r w:rsidRPr="118D9FBE" w:rsidR="00CB61C5">
        <w:rPr>
          <w:rFonts w:cs="Arial"/>
          <w:sz w:val="22"/>
          <w:szCs w:val="22"/>
        </w:rPr>
        <w:t xml:space="preserve"> </w:t>
      </w:r>
      <w:r w:rsidRPr="118D9FBE" w:rsidR="002C20A1">
        <w:rPr>
          <w:rFonts w:cs="Arial"/>
          <w:sz w:val="22"/>
          <w:szCs w:val="22"/>
        </w:rPr>
        <w:t xml:space="preserve">development </w:t>
      </w:r>
      <w:r w:rsidRPr="118D9FBE" w:rsidR="004C132C">
        <w:rPr>
          <w:rFonts w:cs="Arial"/>
          <w:sz w:val="22"/>
          <w:szCs w:val="22"/>
        </w:rPr>
        <w:t xml:space="preserve">expertise </w:t>
      </w:r>
      <w:r w:rsidRPr="118D9FBE" w:rsidR="002270F7">
        <w:rPr>
          <w:rFonts w:cs="Arial"/>
          <w:sz w:val="22"/>
          <w:szCs w:val="22"/>
        </w:rPr>
        <w:t>to improve</w:t>
      </w:r>
      <w:r w:rsidRPr="118D9FBE" w:rsidR="004C132C">
        <w:rPr>
          <w:rFonts w:cs="Arial"/>
          <w:sz w:val="22"/>
          <w:szCs w:val="22"/>
        </w:rPr>
        <w:t xml:space="preserve"> </w:t>
      </w:r>
      <w:r w:rsidRPr="118D9FBE" w:rsidR="006D713F">
        <w:rPr>
          <w:rFonts w:cs="Arial"/>
          <w:sz w:val="22"/>
          <w:szCs w:val="22"/>
        </w:rPr>
        <w:t>capacity and</w:t>
      </w:r>
      <w:r w:rsidRPr="118D9FBE" w:rsidR="00CF6370">
        <w:rPr>
          <w:rFonts w:cs="Arial"/>
          <w:sz w:val="22"/>
          <w:szCs w:val="22"/>
        </w:rPr>
        <w:t xml:space="preserve"> capability</w:t>
      </w:r>
      <w:r w:rsidRPr="118D9FBE" w:rsidR="002C20A1">
        <w:rPr>
          <w:rFonts w:cs="Arial"/>
          <w:sz w:val="22"/>
          <w:szCs w:val="22"/>
        </w:rPr>
        <w:t xml:space="preserve"> </w:t>
      </w:r>
      <w:r w:rsidRPr="118D9FBE" w:rsidR="006347B6">
        <w:rPr>
          <w:rFonts w:cs="Arial"/>
          <w:sz w:val="22"/>
          <w:szCs w:val="22"/>
        </w:rPr>
        <w:t xml:space="preserve">to </w:t>
      </w:r>
      <w:r w:rsidRPr="118D9FBE" w:rsidR="00B51C43">
        <w:rPr>
          <w:rFonts w:cs="Arial"/>
          <w:sz w:val="22"/>
          <w:szCs w:val="22"/>
        </w:rPr>
        <w:t xml:space="preserve">integrate poverty </w:t>
      </w:r>
      <w:r w:rsidRPr="118D9FBE" w:rsidR="006D434A">
        <w:rPr>
          <w:rFonts w:cs="Arial"/>
          <w:sz w:val="22"/>
          <w:szCs w:val="22"/>
        </w:rPr>
        <w:t>alleviation into programme design and delivery</w:t>
      </w:r>
      <w:r w:rsidRPr="118D9FBE" w:rsidR="002270F7">
        <w:rPr>
          <w:rFonts w:cs="Arial"/>
          <w:sz w:val="22"/>
          <w:szCs w:val="22"/>
        </w:rPr>
        <w:t>.</w:t>
      </w:r>
    </w:p>
    <w:p w:rsidR="002270F7" w:rsidP="00E800A3" w:rsidRDefault="002270F7" w14:paraId="71B3D246" w14:textId="1C312748">
      <w:pPr>
        <w:pStyle w:val="ListParagraph"/>
        <w:ind w:left="1080"/>
        <w:rPr>
          <w:rFonts w:cs="Arial"/>
          <w:sz w:val="22"/>
          <w:szCs w:val="22"/>
        </w:rPr>
      </w:pPr>
      <w:r w:rsidRPr="00605342">
        <w:rPr>
          <w:rFonts w:cs="Arial"/>
          <w:b/>
          <w:bCs/>
          <w:sz w:val="22"/>
          <w:szCs w:val="22"/>
        </w:rPr>
        <w:t>Lead(s):</w:t>
      </w:r>
      <w:r>
        <w:rPr>
          <w:rFonts w:cs="Arial"/>
          <w:sz w:val="22"/>
          <w:szCs w:val="22"/>
        </w:rPr>
        <w:t xml:space="preserve"> </w:t>
      </w:r>
      <w:r w:rsidR="00B941E7">
        <w:rPr>
          <w:rFonts w:cs="Arial"/>
          <w:sz w:val="22"/>
          <w:szCs w:val="22"/>
        </w:rPr>
        <w:t xml:space="preserve">All OCPP </w:t>
      </w:r>
      <w:r w:rsidR="00D136A6">
        <w:rPr>
          <w:rFonts w:cs="Arial"/>
          <w:sz w:val="22"/>
          <w:szCs w:val="22"/>
        </w:rPr>
        <w:t>d</w:t>
      </w:r>
      <w:r w:rsidR="00B941E7">
        <w:rPr>
          <w:rFonts w:cs="Arial"/>
          <w:sz w:val="22"/>
          <w:szCs w:val="22"/>
        </w:rPr>
        <w:t>elivery</w:t>
      </w:r>
      <w:r w:rsidR="00D804C5">
        <w:rPr>
          <w:rFonts w:cs="Arial"/>
          <w:sz w:val="22"/>
          <w:szCs w:val="22"/>
        </w:rPr>
        <w:t xml:space="preserve"> partners</w:t>
      </w:r>
    </w:p>
    <w:p w:rsidR="002270F7" w:rsidP="00E800A3" w:rsidRDefault="002270F7" w14:paraId="19A1F43C" w14:textId="3F36ABE6">
      <w:pPr>
        <w:pStyle w:val="ListParagraph"/>
        <w:ind w:left="1080"/>
        <w:rPr>
          <w:rFonts w:cs="Arial"/>
          <w:sz w:val="22"/>
          <w:szCs w:val="22"/>
        </w:rPr>
      </w:pPr>
      <w:r w:rsidRPr="00605342">
        <w:rPr>
          <w:rFonts w:cs="Arial"/>
          <w:b/>
          <w:bCs/>
          <w:sz w:val="22"/>
          <w:szCs w:val="22"/>
        </w:rPr>
        <w:t>Deadline:</w:t>
      </w:r>
      <w:r>
        <w:rPr>
          <w:rFonts w:cs="Arial"/>
          <w:sz w:val="22"/>
          <w:szCs w:val="22"/>
        </w:rPr>
        <w:t xml:space="preserve"> </w:t>
      </w:r>
      <w:r w:rsidR="00262ECE">
        <w:rPr>
          <w:rFonts w:cs="Arial"/>
          <w:sz w:val="22"/>
          <w:szCs w:val="22"/>
        </w:rPr>
        <w:t>By March 2025</w:t>
      </w:r>
    </w:p>
    <w:p w:rsidR="00F35935" w:rsidP="001B5476" w:rsidRDefault="00F35935" w14:paraId="124EB997" w14:textId="77777777">
      <w:pPr>
        <w:pStyle w:val="ListParagraph"/>
        <w:ind w:left="1080"/>
        <w:rPr>
          <w:rFonts w:cs="Arial"/>
          <w:sz w:val="22"/>
          <w:szCs w:val="22"/>
        </w:rPr>
      </w:pPr>
    </w:p>
    <w:p w:rsidR="00F35935" w:rsidP="001D265D" w:rsidRDefault="00226791" w14:paraId="70AFF38A" w14:textId="15688677">
      <w:pPr>
        <w:pStyle w:val="ListParagraph"/>
        <w:numPr>
          <w:ilvl w:val="1"/>
          <w:numId w:val="7"/>
        </w:numPr>
        <w:ind w:left="1080"/>
        <w:rPr>
          <w:rFonts w:cs="Arial"/>
          <w:sz w:val="22"/>
          <w:szCs w:val="22"/>
        </w:rPr>
      </w:pPr>
      <w:r>
        <w:rPr>
          <w:rFonts w:cs="Arial"/>
          <w:sz w:val="22"/>
          <w:szCs w:val="22"/>
        </w:rPr>
        <w:t>ALB</w:t>
      </w:r>
      <w:r w:rsidR="009F3069">
        <w:rPr>
          <w:rFonts w:cs="Arial"/>
          <w:sz w:val="22"/>
          <w:szCs w:val="22"/>
        </w:rPr>
        <w:t xml:space="preserve"> partners</w:t>
      </w:r>
      <w:r>
        <w:rPr>
          <w:rFonts w:cs="Arial"/>
          <w:sz w:val="22"/>
          <w:szCs w:val="22"/>
        </w:rPr>
        <w:t xml:space="preserve"> should </w:t>
      </w:r>
      <w:r w:rsidR="00C1778B">
        <w:rPr>
          <w:rFonts w:cs="Arial"/>
          <w:sz w:val="22"/>
          <w:szCs w:val="22"/>
        </w:rPr>
        <w:t xml:space="preserve">write </w:t>
      </w:r>
      <w:r w:rsidR="009F4B4E">
        <w:rPr>
          <w:rFonts w:cs="Arial"/>
          <w:sz w:val="22"/>
          <w:szCs w:val="22"/>
        </w:rPr>
        <w:t xml:space="preserve">a </w:t>
      </w:r>
      <w:r w:rsidR="00A62E21">
        <w:rPr>
          <w:rFonts w:cs="Arial"/>
          <w:sz w:val="22"/>
          <w:szCs w:val="22"/>
        </w:rPr>
        <w:t xml:space="preserve">narrative that </w:t>
      </w:r>
      <w:r w:rsidR="00762578">
        <w:rPr>
          <w:rFonts w:cs="Arial"/>
          <w:sz w:val="22"/>
          <w:szCs w:val="22"/>
        </w:rPr>
        <w:t xml:space="preserve">articulates the link between </w:t>
      </w:r>
      <w:r w:rsidR="004A7EA6">
        <w:rPr>
          <w:rFonts w:cs="Arial"/>
          <w:sz w:val="22"/>
          <w:szCs w:val="22"/>
        </w:rPr>
        <w:t xml:space="preserve">the </w:t>
      </w:r>
      <w:r w:rsidR="00020964">
        <w:rPr>
          <w:rFonts w:cs="Arial"/>
          <w:sz w:val="22"/>
          <w:szCs w:val="22"/>
        </w:rPr>
        <w:t>programme’s bilateral delivery to poverty alleviation</w:t>
      </w:r>
      <w:r w:rsidR="007600D8">
        <w:rPr>
          <w:rFonts w:cs="Arial"/>
          <w:sz w:val="22"/>
          <w:szCs w:val="22"/>
        </w:rPr>
        <w:t>.</w:t>
      </w:r>
    </w:p>
    <w:p w:rsidR="2988F73A" w:rsidP="067A6015" w:rsidRDefault="2988F73A" w14:paraId="736D00C6" w14:textId="11CFD5CF">
      <w:pPr>
        <w:pStyle w:val="ListParagraph"/>
        <w:ind w:left="1080"/>
        <w:rPr>
          <w:rFonts w:cs="Arial"/>
          <w:sz w:val="22"/>
          <w:szCs w:val="22"/>
        </w:rPr>
      </w:pPr>
      <w:r w:rsidRPr="3A4C8EAE">
        <w:rPr>
          <w:rFonts w:cs="Arial"/>
          <w:b/>
          <w:bCs/>
          <w:sz w:val="22"/>
          <w:szCs w:val="22"/>
        </w:rPr>
        <w:t>Lead(s):</w:t>
      </w:r>
      <w:r w:rsidRPr="3A4C8EAE">
        <w:rPr>
          <w:rFonts w:cs="Arial"/>
          <w:sz w:val="22"/>
          <w:szCs w:val="22"/>
        </w:rPr>
        <w:t xml:space="preserve"> ALB</w:t>
      </w:r>
      <w:r w:rsidR="00FF6C80">
        <w:rPr>
          <w:rFonts w:cs="Arial"/>
          <w:sz w:val="22"/>
          <w:szCs w:val="22"/>
        </w:rPr>
        <w:t xml:space="preserve"> delivery partners</w:t>
      </w:r>
    </w:p>
    <w:p w:rsidR="2988F73A" w:rsidP="067A6015" w:rsidRDefault="2988F73A" w14:paraId="5DB01516" w14:textId="67C6CDD3">
      <w:pPr>
        <w:pStyle w:val="ListParagraph"/>
        <w:ind w:left="1080"/>
        <w:rPr>
          <w:rFonts w:cs="Arial"/>
          <w:sz w:val="22"/>
          <w:szCs w:val="22"/>
        </w:rPr>
      </w:pPr>
      <w:r w:rsidRPr="1FB22237">
        <w:rPr>
          <w:rFonts w:cs="Arial"/>
          <w:b/>
          <w:bCs/>
          <w:sz w:val="22"/>
          <w:szCs w:val="22"/>
        </w:rPr>
        <w:t>Deadline:</w:t>
      </w:r>
      <w:r w:rsidRPr="1FB22237">
        <w:rPr>
          <w:rFonts w:cs="Arial"/>
          <w:sz w:val="22"/>
          <w:szCs w:val="22"/>
        </w:rPr>
        <w:t xml:space="preserve"> By January 2025</w:t>
      </w:r>
    </w:p>
    <w:p w:rsidR="4FC8D45D" w:rsidP="753DF46A" w:rsidRDefault="4FC8D45D" w14:paraId="2FA32DF5" w14:textId="56209AB6">
      <w:pPr>
        <w:pStyle w:val="ListParagraph"/>
        <w:ind w:left="1080"/>
        <w:rPr>
          <w:rFonts w:cs="Arial"/>
          <w:sz w:val="22"/>
          <w:szCs w:val="22"/>
        </w:rPr>
      </w:pPr>
    </w:p>
    <w:p w:rsidRPr="002C20A1" w:rsidR="002270F7" w:rsidP="00E800A3" w:rsidRDefault="002270F7" w14:paraId="28D8C449" w14:textId="77777777">
      <w:pPr>
        <w:pStyle w:val="ListParagraph"/>
        <w:ind w:left="1080"/>
        <w:rPr>
          <w:rFonts w:cs="Arial"/>
          <w:sz w:val="22"/>
          <w:szCs w:val="22"/>
        </w:rPr>
      </w:pPr>
    </w:p>
    <w:p w:rsidR="00F56343" w:rsidP="001D265D" w:rsidRDefault="00F56343" w14:paraId="12881068" w14:textId="398B0CFE">
      <w:pPr>
        <w:pStyle w:val="ListParagraph"/>
        <w:numPr>
          <w:ilvl w:val="1"/>
          <w:numId w:val="7"/>
        </w:numPr>
        <w:ind w:left="1080"/>
        <w:rPr>
          <w:rFonts w:cs="Arial"/>
          <w:sz w:val="22"/>
          <w:szCs w:val="22"/>
        </w:rPr>
      </w:pPr>
      <w:r w:rsidRPr="2C6B85DE">
        <w:rPr>
          <w:rFonts w:cs="Arial"/>
          <w:sz w:val="22"/>
          <w:szCs w:val="22"/>
        </w:rPr>
        <w:t>Defra and OCPP programme leadership should consider exiting from bilateral partnership countries</w:t>
      </w:r>
      <w:r w:rsidRPr="2C6B85DE" w:rsidR="006B1092">
        <w:rPr>
          <w:rFonts w:cs="Arial"/>
          <w:sz w:val="22"/>
          <w:szCs w:val="22"/>
        </w:rPr>
        <w:t xml:space="preserve"> and/or activities</w:t>
      </w:r>
      <w:r w:rsidRPr="2C6B85DE">
        <w:rPr>
          <w:rFonts w:cs="Arial"/>
          <w:sz w:val="22"/>
          <w:szCs w:val="22"/>
        </w:rPr>
        <w:t xml:space="preserve">. These criteria could include use of newly available evaluation </w:t>
      </w:r>
      <w:r w:rsidRPr="2C6B85DE" w:rsidR="004F21D8">
        <w:rPr>
          <w:rFonts w:cs="Arial"/>
          <w:sz w:val="22"/>
          <w:szCs w:val="22"/>
        </w:rPr>
        <w:t xml:space="preserve">and output </w:t>
      </w:r>
      <w:r w:rsidRPr="2C6B85DE">
        <w:rPr>
          <w:rFonts w:cs="Arial"/>
          <w:sz w:val="22"/>
          <w:szCs w:val="22"/>
        </w:rPr>
        <w:t xml:space="preserve">data to inform decision-making about where </w:t>
      </w:r>
      <w:r w:rsidRPr="2C6B85DE" w:rsidR="00E6252D">
        <w:rPr>
          <w:rFonts w:cs="Arial"/>
          <w:sz w:val="22"/>
          <w:szCs w:val="22"/>
        </w:rPr>
        <w:t xml:space="preserve">the </w:t>
      </w:r>
      <w:r w:rsidRPr="2C6B85DE">
        <w:rPr>
          <w:rFonts w:cs="Arial"/>
          <w:sz w:val="22"/>
          <w:szCs w:val="22"/>
        </w:rPr>
        <w:t xml:space="preserve">OCPP can deliver most impact and potential to impact on poverty reduction. Defra and OCPP programme leadership should then consider withdrawing from bilateral partnerships with countries </w:t>
      </w:r>
      <w:r w:rsidRPr="2C6B85DE" w:rsidR="00233001">
        <w:rPr>
          <w:rFonts w:cs="Arial"/>
          <w:sz w:val="22"/>
          <w:szCs w:val="22"/>
        </w:rPr>
        <w:t xml:space="preserve">and/or activities </w:t>
      </w:r>
      <w:r w:rsidRPr="2C6B85DE">
        <w:rPr>
          <w:rFonts w:cs="Arial"/>
          <w:sz w:val="22"/>
          <w:szCs w:val="22"/>
        </w:rPr>
        <w:t>where output results are below expectations and/or where traction and engagement is difficult to deliver outputs</w:t>
      </w:r>
      <w:r w:rsidRPr="2C6B85DE" w:rsidR="00C97C2B">
        <w:rPr>
          <w:rFonts w:cs="Arial"/>
          <w:sz w:val="22"/>
          <w:szCs w:val="22"/>
        </w:rPr>
        <w:t xml:space="preserve"> and where there is li</w:t>
      </w:r>
      <w:r w:rsidRPr="2C6B85DE" w:rsidR="001A6EE0">
        <w:rPr>
          <w:rFonts w:cs="Arial"/>
          <w:sz w:val="22"/>
          <w:szCs w:val="22"/>
        </w:rPr>
        <w:t xml:space="preserve">mited </w:t>
      </w:r>
      <w:r w:rsidRPr="2C6B85DE" w:rsidR="002A4D42">
        <w:rPr>
          <w:rFonts w:cs="Arial"/>
          <w:sz w:val="22"/>
          <w:szCs w:val="22"/>
        </w:rPr>
        <w:t xml:space="preserve">poverty </w:t>
      </w:r>
      <w:r w:rsidRPr="2C6B85DE" w:rsidR="00D0542F">
        <w:rPr>
          <w:rFonts w:cs="Arial"/>
          <w:sz w:val="22"/>
          <w:szCs w:val="22"/>
        </w:rPr>
        <w:t>impact</w:t>
      </w:r>
      <w:r w:rsidRPr="2C6B85DE">
        <w:rPr>
          <w:rFonts w:cs="Arial"/>
          <w:sz w:val="22"/>
          <w:szCs w:val="22"/>
        </w:rPr>
        <w:t>, to engender more focus and less fragmentation and maximise the impact of ALBs’ work.</w:t>
      </w:r>
      <w:r w:rsidRPr="2C6B85DE" w:rsidR="431AC408">
        <w:rPr>
          <w:rFonts w:cs="Arial"/>
          <w:sz w:val="22"/>
          <w:szCs w:val="22"/>
        </w:rPr>
        <w:t xml:space="preserve"> Any changes should consider the programme and country </w:t>
      </w:r>
      <w:r w:rsidRPr="2C6B85DE" w:rsidR="0014136F">
        <w:rPr>
          <w:rFonts w:cs="Arial"/>
          <w:sz w:val="22"/>
          <w:szCs w:val="22"/>
        </w:rPr>
        <w:t>Theory of Change (</w:t>
      </w:r>
      <w:r w:rsidRPr="2C6B85DE" w:rsidR="431AC408">
        <w:rPr>
          <w:rFonts w:cs="Arial"/>
          <w:sz w:val="22"/>
          <w:szCs w:val="22"/>
        </w:rPr>
        <w:t>ToC</w:t>
      </w:r>
      <w:r w:rsidRPr="2C6B85DE" w:rsidR="0014136F">
        <w:rPr>
          <w:rFonts w:cs="Arial"/>
          <w:sz w:val="22"/>
          <w:szCs w:val="22"/>
        </w:rPr>
        <w:t>)</w:t>
      </w:r>
      <w:r w:rsidRPr="2C6B85DE" w:rsidR="10645FDC">
        <w:rPr>
          <w:rFonts w:cs="Arial"/>
          <w:sz w:val="22"/>
          <w:szCs w:val="22"/>
        </w:rPr>
        <w:t>.</w:t>
      </w:r>
    </w:p>
    <w:p w:rsidR="005C0CF7" w:rsidP="00E800A3" w:rsidRDefault="005C0CF7" w14:paraId="4A8C26EF" w14:textId="3C6E63B2">
      <w:pPr>
        <w:pStyle w:val="ListParagraph"/>
        <w:ind w:left="1080"/>
        <w:rPr>
          <w:rFonts w:cs="Arial"/>
          <w:sz w:val="22"/>
          <w:szCs w:val="22"/>
        </w:rPr>
      </w:pPr>
      <w:r w:rsidRPr="17BFA6D5">
        <w:rPr>
          <w:rFonts w:cs="Arial"/>
          <w:b/>
          <w:bCs/>
          <w:sz w:val="22"/>
          <w:szCs w:val="22"/>
        </w:rPr>
        <w:t>Lead(s):</w:t>
      </w:r>
      <w:r w:rsidRPr="17BFA6D5">
        <w:rPr>
          <w:rFonts w:cs="Arial"/>
          <w:sz w:val="22"/>
          <w:szCs w:val="22"/>
        </w:rPr>
        <w:t xml:space="preserve"> </w:t>
      </w:r>
      <w:r w:rsidRPr="17BFA6D5" w:rsidR="006A36DE">
        <w:rPr>
          <w:rFonts w:cs="Arial"/>
          <w:sz w:val="22"/>
          <w:szCs w:val="22"/>
        </w:rPr>
        <w:t>Cefa</w:t>
      </w:r>
      <w:r w:rsidRPr="17BFA6D5" w:rsidR="70A1AF2C">
        <w:rPr>
          <w:rFonts w:cs="Arial"/>
          <w:sz w:val="22"/>
          <w:szCs w:val="22"/>
        </w:rPr>
        <w:t>s,</w:t>
      </w:r>
      <w:r w:rsidRPr="17BFA6D5" w:rsidR="006A36DE">
        <w:rPr>
          <w:rFonts w:cs="Arial"/>
          <w:sz w:val="22"/>
          <w:szCs w:val="22"/>
        </w:rPr>
        <w:t xml:space="preserve"> Defra</w:t>
      </w:r>
      <w:r w:rsidR="006161C0">
        <w:rPr>
          <w:rFonts w:cs="Arial"/>
          <w:sz w:val="22"/>
          <w:szCs w:val="22"/>
        </w:rPr>
        <w:t>,</w:t>
      </w:r>
      <w:r w:rsidR="003C4E61">
        <w:rPr>
          <w:rFonts w:cs="Arial"/>
          <w:sz w:val="22"/>
          <w:szCs w:val="22"/>
        </w:rPr>
        <w:t xml:space="preserve"> </w:t>
      </w:r>
      <w:r w:rsidRPr="17BFA6D5" w:rsidR="2D7F3050">
        <w:rPr>
          <w:rFonts w:cs="Arial"/>
          <w:sz w:val="22"/>
          <w:szCs w:val="22"/>
        </w:rPr>
        <w:t>NIRAS</w:t>
      </w:r>
    </w:p>
    <w:p w:rsidR="00AC34F1" w:rsidP="007B66D9" w:rsidRDefault="005C0CF7" w14:paraId="3858F220" w14:textId="78D89AF0">
      <w:pPr>
        <w:pStyle w:val="ListParagraph"/>
        <w:ind w:left="1080"/>
        <w:rPr>
          <w:rFonts w:cs="Arial"/>
          <w:sz w:val="22"/>
          <w:szCs w:val="22"/>
        </w:rPr>
      </w:pPr>
      <w:r w:rsidRPr="1FB22237">
        <w:rPr>
          <w:rFonts w:cs="Arial"/>
          <w:b/>
          <w:bCs/>
          <w:sz w:val="22"/>
          <w:szCs w:val="22"/>
        </w:rPr>
        <w:t>Deadline:</w:t>
      </w:r>
      <w:r w:rsidRPr="1FB22237">
        <w:rPr>
          <w:rFonts w:cs="Arial"/>
          <w:sz w:val="22"/>
          <w:szCs w:val="22"/>
        </w:rPr>
        <w:t xml:space="preserve"> </w:t>
      </w:r>
      <w:r w:rsidRPr="1FB22237" w:rsidR="003E59CF">
        <w:rPr>
          <w:rFonts w:cs="Arial"/>
          <w:sz w:val="22"/>
          <w:szCs w:val="22"/>
        </w:rPr>
        <w:t xml:space="preserve">By </w:t>
      </w:r>
      <w:r w:rsidR="00196CB1">
        <w:rPr>
          <w:rFonts w:cs="Arial"/>
          <w:sz w:val="22"/>
          <w:szCs w:val="22"/>
        </w:rPr>
        <w:t>March</w:t>
      </w:r>
      <w:r w:rsidRPr="1FB22237" w:rsidR="00196CB1">
        <w:rPr>
          <w:rFonts w:cs="Arial"/>
          <w:sz w:val="22"/>
          <w:szCs w:val="22"/>
        </w:rPr>
        <w:t xml:space="preserve"> </w:t>
      </w:r>
      <w:r w:rsidRPr="1FB22237" w:rsidR="00123A7F">
        <w:rPr>
          <w:rFonts w:cs="Arial"/>
          <w:sz w:val="22"/>
          <w:szCs w:val="22"/>
        </w:rPr>
        <w:t>2025</w:t>
      </w:r>
    </w:p>
    <w:p w:rsidRPr="00037D88" w:rsidR="007B66D9" w:rsidP="007B66D9" w:rsidRDefault="007B66D9" w14:paraId="38FAC8CD" w14:textId="77777777">
      <w:pPr>
        <w:pStyle w:val="ListParagraph"/>
        <w:ind w:left="1080"/>
        <w:rPr>
          <w:rFonts w:cs="Arial"/>
          <w:sz w:val="22"/>
          <w:szCs w:val="22"/>
        </w:rPr>
      </w:pPr>
    </w:p>
    <w:p w:rsidR="00AC34F1" w:rsidP="001D265D" w:rsidRDefault="00AC34F1" w14:paraId="76D4D044" w14:textId="26112F67">
      <w:pPr>
        <w:pStyle w:val="ListParagraph"/>
        <w:numPr>
          <w:ilvl w:val="0"/>
          <w:numId w:val="28"/>
        </w:numPr>
        <w:rPr>
          <w:rFonts w:cs="Arial"/>
          <w:sz w:val="22"/>
          <w:szCs w:val="22"/>
        </w:rPr>
      </w:pPr>
      <w:r w:rsidRPr="64E2CD73">
        <w:rPr>
          <w:rFonts w:cs="Arial"/>
          <w:b/>
          <w:bCs/>
          <w:sz w:val="22"/>
          <w:szCs w:val="22"/>
        </w:rPr>
        <w:t xml:space="preserve">Lesson: </w:t>
      </w:r>
      <w:r w:rsidRPr="64E2CD73" w:rsidR="00E6252D">
        <w:rPr>
          <w:rFonts w:cs="Arial"/>
          <w:sz w:val="22"/>
          <w:szCs w:val="22"/>
        </w:rPr>
        <w:t>The</w:t>
      </w:r>
      <w:r w:rsidRPr="64E2CD73">
        <w:rPr>
          <w:rFonts w:cs="Arial"/>
          <w:sz w:val="22"/>
          <w:szCs w:val="22"/>
        </w:rPr>
        <w:t xml:space="preserve"> </w:t>
      </w:r>
      <w:r w:rsidR="00335D6E">
        <w:rPr>
          <w:rFonts w:cs="Arial"/>
          <w:sz w:val="22"/>
          <w:szCs w:val="22"/>
        </w:rPr>
        <w:t>ALB</w:t>
      </w:r>
      <w:r w:rsidR="006A02EF">
        <w:rPr>
          <w:rFonts w:cs="Arial"/>
          <w:sz w:val="22"/>
          <w:szCs w:val="22"/>
        </w:rPr>
        <w:t>-led</w:t>
      </w:r>
      <w:r w:rsidR="009A159B">
        <w:rPr>
          <w:rFonts w:cs="Arial"/>
          <w:sz w:val="22"/>
          <w:szCs w:val="22"/>
        </w:rPr>
        <w:t xml:space="preserve"> </w:t>
      </w:r>
      <w:r w:rsidRPr="64E2CD73" w:rsidR="000C6BE4">
        <w:rPr>
          <w:rFonts w:cs="Arial"/>
          <w:sz w:val="22"/>
          <w:szCs w:val="22"/>
        </w:rPr>
        <w:t>bilateral partnerships have had limited strategic focus in their engagements with partner countries</w:t>
      </w:r>
      <w:r w:rsidRPr="64E2CD73" w:rsidR="00EB4A3B">
        <w:rPr>
          <w:rFonts w:cs="Arial"/>
          <w:sz w:val="22"/>
          <w:szCs w:val="22"/>
        </w:rPr>
        <w:t xml:space="preserve"> over what the programme delivers, at both a country and </w:t>
      </w:r>
      <w:r w:rsidRPr="64E2CD73" w:rsidR="001B41C9">
        <w:rPr>
          <w:rFonts w:cs="Arial"/>
          <w:sz w:val="22"/>
          <w:szCs w:val="22"/>
        </w:rPr>
        <w:t>programme</w:t>
      </w:r>
      <w:r w:rsidRPr="64E2CD73" w:rsidR="00EB4A3B">
        <w:rPr>
          <w:rFonts w:cs="Arial"/>
          <w:sz w:val="22"/>
          <w:szCs w:val="22"/>
        </w:rPr>
        <w:t xml:space="preserve"> level</w:t>
      </w:r>
      <w:r w:rsidRPr="64E2CD73" w:rsidR="000C6BE4">
        <w:rPr>
          <w:rFonts w:cs="Arial"/>
          <w:sz w:val="22"/>
          <w:szCs w:val="22"/>
        </w:rPr>
        <w:t>. FOA and GOAP display a strong strategic focus in their engagements.</w:t>
      </w:r>
    </w:p>
    <w:p w:rsidRPr="000C6BE4" w:rsidR="001B41C9" w:rsidP="001B41C9" w:rsidRDefault="001B41C9" w14:paraId="77A6CCC3" w14:textId="77777777">
      <w:pPr>
        <w:pStyle w:val="ListParagraph"/>
        <w:ind w:left="360"/>
        <w:rPr>
          <w:rFonts w:cs="Arial"/>
          <w:sz w:val="22"/>
          <w:szCs w:val="22"/>
        </w:rPr>
      </w:pPr>
    </w:p>
    <w:p w:rsidR="00E800A3" w:rsidP="00D6091E" w:rsidRDefault="00AC34F1" w14:paraId="08923FE7" w14:textId="77777777">
      <w:pPr>
        <w:pStyle w:val="ListParagraph"/>
        <w:ind w:left="360"/>
        <w:rPr>
          <w:sz w:val="22"/>
          <w:szCs w:val="22"/>
        </w:rPr>
      </w:pPr>
      <w:r w:rsidRPr="001B41C9">
        <w:rPr>
          <w:rFonts w:cs="Arial"/>
          <w:b/>
          <w:bCs/>
          <w:sz w:val="22"/>
          <w:szCs w:val="22"/>
        </w:rPr>
        <w:t>Recommendation:</w:t>
      </w:r>
      <w:r w:rsidRPr="00A50677" w:rsidR="000D785F">
        <w:rPr>
          <w:sz w:val="22"/>
          <w:szCs w:val="22"/>
        </w:rPr>
        <w:t xml:space="preserve"> </w:t>
      </w:r>
    </w:p>
    <w:p w:rsidRPr="005D7DE2" w:rsidR="00184A5F" w:rsidP="001D265D" w:rsidRDefault="00E6252D" w14:paraId="76A2947E" w14:textId="4024D093">
      <w:pPr>
        <w:pStyle w:val="ListParagraph"/>
        <w:numPr>
          <w:ilvl w:val="1"/>
          <w:numId w:val="6"/>
        </w:numPr>
        <w:ind w:left="1134"/>
        <w:rPr>
          <w:rFonts w:cs="Arial"/>
          <w:sz w:val="22"/>
          <w:szCs w:val="22"/>
        </w:rPr>
      </w:pPr>
      <w:r w:rsidRPr="635D7FF2">
        <w:rPr>
          <w:rFonts w:cs="Arial"/>
          <w:sz w:val="22"/>
          <w:szCs w:val="22"/>
        </w:rPr>
        <w:t>The</w:t>
      </w:r>
      <w:r w:rsidR="00047EE7">
        <w:rPr>
          <w:rFonts w:cs="Arial"/>
          <w:sz w:val="22"/>
          <w:szCs w:val="22"/>
        </w:rPr>
        <w:t xml:space="preserve"> </w:t>
      </w:r>
      <w:r w:rsidRPr="635D7FF2" w:rsidR="37B52707">
        <w:rPr>
          <w:rFonts w:cs="Arial"/>
          <w:sz w:val="22"/>
          <w:szCs w:val="22"/>
        </w:rPr>
        <w:t>ALB</w:t>
      </w:r>
      <w:r w:rsidRPr="635D7FF2" w:rsidR="000D785F">
        <w:rPr>
          <w:rFonts w:cs="Arial"/>
          <w:sz w:val="22"/>
          <w:szCs w:val="22"/>
        </w:rPr>
        <w:t xml:space="preserve">’s strategic planning processes </w:t>
      </w:r>
      <w:r w:rsidRPr="635D7FF2" w:rsidR="005B2B5E">
        <w:rPr>
          <w:rFonts w:cs="Arial"/>
          <w:sz w:val="22"/>
          <w:szCs w:val="22"/>
        </w:rPr>
        <w:t xml:space="preserve">for bilateral partnerships </w:t>
      </w:r>
      <w:r w:rsidRPr="635D7FF2" w:rsidR="000D785F">
        <w:rPr>
          <w:rFonts w:cs="Arial"/>
          <w:sz w:val="22"/>
          <w:szCs w:val="22"/>
        </w:rPr>
        <w:t xml:space="preserve">need to better integrate the programme and country-level </w:t>
      </w:r>
      <w:r w:rsidRPr="635D7FF2" w:rsidR="0000172F">
        <w:rPr>
          <w:rFonts w:cs="Arial"/>
          <w:sz w:val="22"/>
          <w:szCs w:val="22"/>
        </w:rPr>
        <w:t>To</w:t>
      </w:r>
      <w:r w:rsidR="00282614">
        <w:rPr>
          <w:rFonts w:cs="Arial"/>
          <w:sz w:val="22"/>
          <w:szCs w:val="22"/>
        </w:rPr>
        <w:t>C</w:t>
      </w:r>
      <w:r w:rsidRPr="635D7FF2" w:rsidR="0000172F">
        <w:rPr>
          <w:rFonts w:cs="Arial"/>
          <w:sz w:val="22"/>
          <w:szCs w:val="22"/>
        </w:rPr>
        <w:t>. To</w:t>
      </w:r>
      <w:r w:rsidRPr="635D7FF2" w:rsidR="00FD7EA4">
        <w:rPr>
          <w:rFonts w:cs="Arial"/>
          <w:sz w:val="22"/>
          <w:szCs w:val="22"/>
        </w:rPr>
        <w:t xml:space="preserve"> strengthen effectiveness and encourage programme teams to aim towards the delivery of long-term change (including on poverty reduction) and a more strategic focus of their work, </w:t>
      </w:r>
      <w:r w:rsidRPr="635D7FF2" w:rsidR="4E5912A1">
        <w:rPr>
          <w:rFonts w:cs="Arial"/>
          <w:sz w:val="22"/>
          <w:szCs w:val="22"/>
        </w:rPr>
        <w:t xml:space="preserve">ALB </w:t>
      </w:r>
      <w:r w:rsidRPr="635D7FF2" w:rsidR="00FD7EA4">
        <w:rPr>
          <w:rFonts w:cs="Arial"/>
          <w:sz w:val="22"/>
          <w:szCs w:val="22"/>
        </w:rPr>
        <w:t xml:space="preserve">programme teams need to start actively using the </w:t>
      </w:r>
      <w:r w:rsidRPr="635D7FF2" w:rsidR="00463FE4">
        <w:rPr>
          <w:rFonts w:cs="Arial"/>
          <w:sz w:val="22"/>
          <w:szCs w:val="22"/>
        </w:rPr>
        <w:t xml:space="preserve">programme </w:t>
      </w:r>
      <w:r w:rsidRPr="635D7FF2" w:rsidR="004B73DE">
        <w:rPr>
          <w:rFonts w:cs="Arial"/>
          <w:sz w:val="22"/>
          <w:szCs w:val="22"/>
        </w:rPr>
        <w:t>ToC</w:t>
      </w:r>
      <w:r w:rsidRPr="635D7FF2" w:rsidR="00FD7EA4">
        <w:rPr>
          <w:rFonts w:cs="Arial"/>
          <w:sz w:val="22"/>
          <w:szCs w:val="22"/>
        </w:rPr>
        <w:t xml:space="preserve"> in their programme planning and delivery.</w:t>
      </w:r>
      <w:r w:rsidRPr="635D7FF2" w:rsidR="00D11E80">
        <w:rPr>
          <w:rFonts w:cs="Arial"/>
          <w:sz w:val="22"/>
          <w:szCs w:val="22"/>
        </w:rPr>
        <w:t xml:space="preserve"> </w:t>
      </w:r>
      <w:r w:rsidRPr="635D7FF2" w:rsidR="00F93B5E">
        <w:rPr>
          <w:rFonts w:cs="Arial"/>
          <w:sz w:val="22"/>
          <w:szCs w:val="22"/>
        </w:rPr>
        <w:t>To ensure a more strategic engagement at country level, ALBs should use the country level ToCs (which are aligned to the OCPP programme level ToC) in their country planning and delivery.</w:t>
      </w:r>
    </w:p>
    <w:p w:rsidR="00A46F27" w:rsidP="00A46F27" w:rsidRDefault="00184A5F" w14:paraId="372A277D" w14:textId="21B47A63">
      <w:pPr>
        <w:pStyle w:val="ListParagraph"/>
        <w:ind w:left="1134"/>
        <w:rPr>
          <w:rFonts w:cs="Arial"/>
          <w:sz w:val="22"/>
          <w:szCs w:val="22"/>
        </w:rPr>
      </w:pPr>
      <w:r w:rsidRPr="00605342">
        <w:rPr>
          <w:rFonts w:cs="Arial"/>
          <w:b/>
          <w:bCs/>
          <w:sz w:val="22"/>
          <w:szCs w:val="22"/>
        </w:rPr>
        <w:t>Lead(s):</w:t>
      </w:r>
      <w:r>
        <w:rPr>
          <w:rFonts w:cs="Arial"/>
          <w:sz w:val="22"/>
          <w:szCs w:val="22"/>
        </w:rPr>
        <w:t xml:space="preserve"> ALB </w:t>
      </w:r>
      <w:r w:rsidR="00D136A6">
        <w:rPr>
          <w:rFonts w:cs="Arial"/>
          <w:sz w:val="22"/>
          <w:szCs w:val="22"/>
        </w:rPr>
        <w:t>d</w:t>
      </w:r>
      <w:r>
        <w:rPr>
          <w:rFonts w:cs="Arial"/>
          <w:sz w:val="22"/>
          <w:szCs w:val="22"/>
        </w:rPr>
        <w:t xml:space="preserve">elivery </w:t>
      </w:r>
      <w:r w:rsidR="00D136A6">
        <w:rPr>
          <w:rFonts w:cs="Arial"/>
          <w:sz w:val="22"/>
          <w:szCs w:val="22"/>
        </w:rPr>
        <w:t>p</w:t>
      </w:r>
      <w:r>
        <w:rPr>
          <w:rFonts w:cs="Arial"/>
          <w:sz w:val="22"/>
          <w:szCs w:val="22"/>
        </w:rPr>
        <w:t>artners</w:t>
      </w:r>
    </w:p>
    <w:p w:rsidR="00A46F27" w:rsidP="00A46F27" w:rsidRDefault="00184A5F" w14:paraId="2A068E50" w14:textId="4F9A02A7">
      <w:pPr>
        <w:pStyle w:val="ListParagraph"/>
        <w:ind w:left="1134"/>
        <w:rPr>
          <w:rFonts w:cs="Arial"/>
          <w:sz w:val="22"/>
          <w:szCs w:val="22"/>
        </w:rPr>
      </w:pPr>
      <w:r w:rsidRPr="00A46F27">
        <w:rPr>
          <w:rFonts w:cs="Arial"/>
          <w:b/>
          <w:bCs/>
          <w:sz w:val="22"/>
          <w:szCs w:val="22"/>
        </w:rPr>
        <w:t>Deadline:</w:t>
      </w:r>
      <w:r w:rsidRPr="00A46F27">
        <w:rPr>
          <w:rFonts w:cs="Arial"/>
          <w:sz w:val="22"/>
          <w:szCs w:val="22"/>
        </w:rPr>
        <w:t xml:space="preserve"> </w:t>
      </w:r>
      <w:r w:rsidRPr="00A46F27" w:rsidR="00A46F27">
        <w:rPr>
          <w:rFonts w:cs="Arial"/>
          <w:sz w:val="22"/>
          <w:szCs w:val="22"/>
        </w:rPr>
        <w:t xml:space="preserve">By end of FY 24/25 to ensure </w:t>
      </w:r>
      <w:r w:rsidR="000E05C4">
        <w:rPr>
          <w:rFonts w:cs="Arial"/>
          <w:sz w:val="22"/>
          <w:szCs w:val="22"/>
        </w:rPr>
        <w:t>consideration during</w:t>
      </w:r>
      <w:r w:rsidRPr="00A46F27" w:rsidR="00A46F27">
        <w:rPr>
          <w:rFonts w:cs="Arial"/>
          <w:sz w:val="22"/>
          <w:szCs w:val="22"/>
        </w:rPr>
        <w:t xml:space="preserve"> final year of delivery (FY25/26)</w:t>
      </w:r>
    </w:p>
    <w:p w:rsidR="00EE5418" w:rsidP="00A46F27" w:rsidRDefault="00EE5418" w14:paraId="32A48E77" w14:textId="77777777">
      <w:pPr>
        <w:pStyle w:val="ListParagraph"/>
        <w:ind w:left="1134"/>
        <w:rPr>
          <w:rFonts w:cs="Arial"/>
          <w:sz w:val="22"/>
          <w:szCs w:val="22"/>
        </w:rPr>
      </w:pPr>
    </w:p>
    <w:p w:rsidR="00EE5418" w:rsidP="001F14AF" w:rsidRDefault="007E1256" w14:paraId="01B6A95C" w14:textId="242CFCDD">
      <w:pPr>
        <w:pStyle w:val="ListParagraph"/>
        <w:numPr>
          <w:ilvl w:val="0"/>
          <w:numId w:val="46"/>
        </w:numPr>
        <w:rPr>
          <w:rFonts w:cs="Arial"/>
          <w:sz w:val="22"/>
          <w:szCs w:val="22"/>
        </w:rPr>
      </w:pPr>
      <w:r w:rsidRPr="009A159B">
        <w:rPr>
          <w:rFonts w:cs="Arial"/>
          <w:b/>
          <w:bCs/>
          <w:sz w:val="22"/>
          <w:szCs w:val="22"/>
        </w:rPr>
        <w:t>Lesson:</w:t>
      </w:r>
      <w:r>
        <w:rPr>
          <w:rFonts w:cs="Arial"/>
          <w:sz w:val="22"/>
          <w:szCs w:val="22"/>
        </w:rPr>
        <w:t xml:space="preserve"> </w:t>
      </w:r>
      <w:r w:rsidRPr="002A76CC">
        <w:rPr>
          <w:rFonts w:cs="Arial"/>
          <w:sz w:val="22"/>
          <w:szCs w:val="22"/>
        </w:rPr>
        <w:t>The lack of the bilateral programme’s in-country presence hampers the continuity of activities according to a majority of in-country and delivery partner stakeholders. While ALB visits can galvani</w:t>
      </w:r>
      <w:r w:rsidR="008B0617">
        <w:rPr>
          <w:rFonts w:cs="Arial"/>
          <w:sz w:val="22"/>
          <w:szCs w:val="22"/>
        </w:rPr>
        <w:t>s</w:t>
      </w:r>
      <w:r w:rsidRPr="002A76CC">
        <w:rPr>
          <w:rFonts w:cs="Arial"/>
          <w:sz w:val="22"/>
          <w:szCs w:val="22"/>
        </w:rPr>
        <w:t>e action in-country, as soon as they leave there is a loss of momentum leading to delays in implementation or a loss of direction for the partners</w:t>
      </w:r>
      <w:r w:rsidR="00DB60E6">
        <w:rPr>
          <w:rFonts w:cs="Arial"/>
          <w:sz w:val="22"/>
          <w:szCs w:val="22"/>
        </w:rPr>
        <w:t>.</w:t>
      </w:r>
    </w:p>
    <w:p w:rsidR="007E1256" w:rsidP="009A159B" w:rsidRDefault="007E1256" w14:paraId="1931BB0B" w14:textId="77777777">
      <w:pPr>
        <w:pStyle w:val="ListParagraph"/>
        <w:ind w:left="360"/>
        <w:rPr>
          <w:rFonts w:cs="Arial"/>
          <w:sz w:val="22"/>
          <w:szCs w:val="22"/>
        </w:rPr>
      </w:pPr>
    </w:p>
    <w:p w:rsidR="007E1256" w:rsidP="007E1256" w:rsidRDefault="007E1256" w14:paraId="5E0E5CAC" w14:textId="4B1D7628">
      <w:pPr>
        <w:pStyle w:val="ListParagraph"/>
        <w:ind w:left="360"/>
        <w:rPr>
          <w:rFonts w:cs="Arial"/>
          <w:b/>
          <w:bCs/>
          <w:sz w:val="22"/>
          <w:szCs w:val="22"/>
        </w:rPr>
      </w:pPr>
      <w:r>
        <w:rPr>
          <w:rFonts w:cs="Arial"/>
          <w:b/>
          <w:bCs/>
          <w:sz w:val="22"/>
          <w:szCs w:val="22"/>
        </w:rPr>
        <w:t>Recommendation:</w:t>
      </w:r>
    </w:p>
    <w:p w:rsidR="007E1256" w:rsidP="007E1256" w:rsidRDefault="006B1B46" w14:paraId="0449C2EF" w14:textId="556D67C1">
      <w:pPr>
        <w:pStyle w:val="ListParagraph"/>
        <w:numPr>
          <w:ilvl w:val="2"/>
          <w:numId w:val="46"/>
        </w:numPr>
        <w:ind w:left="1134"/>
        <w:rPr>
          <w:rFonts w:cs="Arial"/>
          <w:sz w:val="22"/>
          <w:szCs w:val="22"/>
        </w:rPr>
      </w:pPr>
      <w:r>
        <w:rPr>
          <w:rFonts w:cs="Arial"/>
          <w:sz w:val="22"/>
          <w:szCs w:val="22"/>
        </w:rPr>
        <w:t>ALB delivery partners</w:t>
      </w:r>
      <w:r w:rsidR="002A08C8">
        <w:rPr>
          <w:rFonts w:cs="Arial"/>
          <w:sz w:val="22"/>
          <w:szCs w:val="22"/>
        </w:rPr>
        <w:t xml:space="preserve"> to update delivery chain maps and assess whether they can improve their in-country</w:t>
      </w:r>
      <w:r w:rsidR="00FD1290">
        <w:rPr>
          <w:rFonts w:cs="Arial"/>
          <w:sz w:val="22"/>
          <w:szCs w:val="22"/>
        </w:rPr>
        <w:t xml:space="preserve"> presence</w:t>
      </w:r>
      <w:r w:rsidR="00415722">
        <w:rPr>
          <w:rFonts w:cs="Arial"/>
          <w:sz w:val="22"/>
          <w:szCs w:val="22"/>
        </w:rPr>
        <w:t xml:space="preserve"> </w:t>
      </w:r>
      <w:r w:rsidR="00A87219">
        <w:rPr>
          <w:rFonts w:cs="Arial"/>
          <w:sz w:val="22"/>
          <w:szCs w:val="22"/>
        </w:rPr>
        <w:t xml:space="preserve">e.g. </w:t>
      </w:r>
      <w:r w:rsidR="00415722">
        <w:rPr>
          <w:rFonts w:cs="Arial"/>
          <w:sz w:val="22"/>
          <w:szCs w:val="22"/>
        </w:rPr>
        <w:t xml:space="preserve">through </w:t>
      </w:r>
      <w:r w:rsidR="00FE685F">
        <w:rPr>
          <w:rFonts w:cs="Arial"/>
          <w:sz w:val="22"/>
          <w:szCs w:val="22"/>
        </w:rPr>
        <w:t>further</w:t>
      </w:r>
      <w:r w:rsidR="00A318F8">
        <w:rPr>
          <w:rFonts w:cs="Arial"/>
          <w:sz w:val="22"/>
          <w:szCs w:val="22"/>
        </w:rPr>
        <w:t xml:space="preserve"> use of </w:t>
      </w:r>
      <w:r w:rsidR="00561A4F">
        <w:rPr>
          <w:rFonts w:cs="Arial"/>
          <w:sz w:val="22"/>
          <w:szCs w:val="22"/>
        </w:rPr>
        <w:t xml:space="preserve">in-country </w:t>
      </w:r>
      <w:r w:rsidR="00916614">
        <w:rPr>
          <w:rFonts w:cs="Arial"/>
          <w:sz w:val="22"/>
          <w:szCs w:val="22"/>
        </w:rPr>
        <w:t>sub-contracting</w:t>
      </w:r>
      <w:r w:rsidR="002D7817">
        <w:rPr>
          <w:rFonts w:cs="Arial"/>
          <w:sz w:val="22"/>
          <w:szCs w:val="22"/>
        </w:rPr>
        <w:t xml:space="preserve"> where appropriate</w:t>
      </w:r>
      <w:r w:rsidR="007600D8">
        <w:rPr>
          <w:rFonts w:cs="Arial"/>
          <w:sz w:val="22"/>
          <w:szCs w:val="22"/>
        </w:rPr>
        <w:t>.</w:t>
      </w:r>
    </w:p>
    <w:p w:rsidR="00182752" w:rsidP="00182752" w:rsidRDefault="00182752" w14:paraId="0D315E9B" w14:textId="42F9136E">
      <w:pPr>
        <w:pStyle w:val="ListParagraph"/>
        <w:ind w:left="1134"/>
        <w:rPr>
          <w:rFonts w:cs="Arial"/>
          <w:sz w:val="22"/>
          <w:szCs w:val="22"/>
        </w:rPr>
      </w:pPr>
      <w:r>
        <w:rPr>
          <w:rFonts w:cs="Arial"/>
          <w:sz w:val="22"/>
          <w:szCs w:val="22"/>
        </w:rPr>
        <w:t>Lead(s): ALB delivery partners</w:t>
      </w:r>
    </w:p>
    <w:p w:rsidRPr="009A159B" w:rsidR="007E1256" w:rsidP="00DB60E6" w:rsidRDefault="00182752" w14:paraId="17AA3A77" w14:textId="639DCE52">
      <w:pPr>
        <w:pStyle w:val="ListParagraph"/>
        <w:ind w:left="1134"/>
        <w:rPr>
          <w:rFonts w:cs="Arial"/>
          <w:sz w:val="22"/>
          <w:szCs w:val="22"/>
        </w:rPr>
      </w:pPr>
      <w:r>
        <w:rPr>
          <w:rFonts w:cs="Arial"/>
          <w:sz w:val="22"/>
          <w:szCs w:val="22"/>
        </w:rPr>
        <w:t>Deadline:</w:t>
      </w:r>
      <w:r w:rsidR="00D11125">
        <w:rPr>
          <w:rFonts w:cs="Arial"/>
          <w:sz w:val="22"/>
          <w:szCs w:val="22"/>
        </w:rPr>
        <w:t xml:space="preserve"> By start of FY25/2</w:t>
      </w:r>
      <w:r w:rsidR="0066153E">
        <w:rPr>
          <w:rFonts w:cs="Arial"/>
          <w:sz w:val="22"/>
          <w:szCs w:val="22"/>
        </w:rPr>
        <w:t>6</w:t>
      </w:r>
    </w:p>
    <w:p w:rsidRPr="00A46F27" w:rsidR="00EE5418" w:rsidP="00A46F27" w:rsidRDefault="00EE5418" w14:paraId="4FDEBCC2" w14:textId="77777777">
      <w:pPr>
        <w:pStyle w:val="ListParagraph"/>
        <w:ind w:left="1134"/>
        <w:rPr>
          <w:rFonts w:cs="Arial"/>
          <w:sz w:val="22"/>
          <w:szCs w:val="22"/>
        </w:rPr>
      </w:pPr>
    </w:p>
    <w:p w:rsidRPr="00A50677" w:rsidR="00AC34F1" w:rsidP="00A46F27" w:rsidRDefault="00AC34F1" w14:paraId="3386F4D3" w14:textId="588E5A9E">
      <w:pPr>
        <w:pStyle w:val="ListParagraph"/>
        <w:ind w:left="1134"/>
        <w:rPr>
          <w:rFonts w:cs="Arial"/>
          <w:b/>
          <w:bCs/>
          <w:sz w:val="22"/>
          <w:szCs w:val="22"/>
        </w:rPr>
      </w:pPr>
    </w:p>
    <w:p w:rsidRPr="0020516E" w:rsidR="0020516E" w:rsidP="009A159B" w:rsidRDefault="00AC34F1" w14:paraId="48EF85CE" w14:textId="60DD4CE7">
      <w:pPr>
        <w:pStyle w:val="ListParagraph"/>
        <w:numPr>
          <w:ilvl w:val="0"/>
          <w:numId w:val="46"/>
        </w:numPr>
        <w:rPr>
          <w:rFonts w:cs="Arial"/>
          <w:b/>
          <w:bCs/>
          <w:sz w:val="22"/>
          <w:szCs w:val="22"/>
        </w:rPr>
      </w:pPr>
      <w:r w:rsidRPr="66F11266">
        <w:rPr>
          <w:rFonts w:cs="Arial"/>
          <w:b/>
          <w:bCs/>
          <w:sz w:val="22"/>
          <w:szCs w:val="22"/>
        </w:rPr>
        <w:t xml:space="preserve">Lesson: </w:t>
      </w:r>
      <w:r w:rsidRPr="66F11266" w:rsidR="007D5BEA">
        <w:rPr>
          <w:rFonts w:cs="Arial"/>
          <w:sz w:val="22"/>
          <w:szCs w:val="22"/>
        </w:rPr>
        <w:t>For OCPP to achieve long-term impact, it will require interventions oriented towards policy change and refo</w:t>
      </w:r>
      <w:r w:rsidRPr="66F11266" w:rsidR="000430BE">
        <w:rPr>
          <w:rFonts w:cs="Arial"/>
          <w:sz w:val="22"/>
          <w:szCs w:val="22"/>
        </w:rPr>
        <w:t>rm</w:t>
      </w:r>
      <w:r w:rsidRPr="66F11266" w:rsidR="008332C6">
        <w:rPr>
          <w:rFonts w:cs="Arial"/>
          <w:sz w:val="22"/>
          <w:szCs w:val="22"/>
        </w:rPr>
        <w:t>.</w:t>
      </w:r>
      <w:r w:rsidRPr="66F11266" w:rsidR="00CA0D35">
        <w:rPr>
          <w:rFonts w:cs="Arial"/>
          <w:sz w:val="22"/>
          <w:szCs w:val="22"/>
        </w:rPr>
        <w:t xml:space="preserve"> The programme </w:t>
      </w:r>
      <w:r w:rsidRPr="66F11266" w:rsidR="00712D66">
        <w:rPr>
          <w:rFonts w:cs="Arial"/>
          <w:sz w:val="22"/>
          <w:szCs w:val="22"/>
        </w:rPr>
        <w:t>does not focus enough</w:t>
      </w:r>
      <w:r w:rsidRPr="66F11266" w:rsidR="0004747E">
        <w:rPr>
          <w:rFonts w:cs="Arial"/>
          <w:sz w:val="22"/>
          <w:szCs w:val="22"/>
        </w:rPr>
        <w:t xml:space="preserve"> on activities </w:t>
      </w:r>
      <w:r w:rsidRPr="66F11266" w:rsidR="00712D66">
        <w:rPr>
          <w:rFonts w:cs="Arial"/>
          <w:sz w:val="22"/>
          <w:szCs w:val="22"/>
        </w:rPr>
        <w:t xml:space="preserve">to achieve </w:t>
      </w:r>
      <w:r w:rsidRPr="66F11266" w:rsidR="007E5F7E">
        <w:rPr>
          <w:rFonts w:cs="Arial"/>
          <w:sz w:val="22"/>
          <w:szCs w:val="22"/>
        </w:rPr>
        <w:t xml:space="preserve">policy change and reform </w:t>
      </w:r>
      <w:r w:rsidRPr="66F11266" w:rsidR="00867D31">
        <w:rPr>
          <w:rFonts w:cs="Arial"/>
          <w:sz w:val="22"/>
          <w:szCs w:val="22"/>
        </w:rPr>
        <w:t xml:space="preserve">which is </w:t>
      </w:r>
      <w:r w:rsidRPr="66F11266" w:rsidR="0F71B168">
        <w:rPr>
          <w:rFonts w:cs="Arial"/>
          <w:sz w:val="22"/>
          <w:szCs w:val="22"/>
        </w:rPr>
        <w:t xml:space="preserve">negatively affecting </w:t>
      </w:r>
      <w:r w:rsidRPr="66F11266" w:rsidR="00ED529D">
        <w:rPr>
          <w:rFonts w:cs="Arial"/>
          <w:sz w:val="22"/>
          <w:szCs w:val="22"/>
        </w:rPr>
        <w:t>its</w:t>
      </w:r>
      <w:r w:rsidRPr="66F11266" w:rsidR="00867D31">
        <w:rPr>
          <w:rFonts w:cs="Arial"/>
          <w:sz w:val="22"/>
          <w:szCs w:val="22"/>
        </w:rPr>
        <w:t xml:space="preserve"> ability to achieve long-term impact.</w:t>
      </w:r>
    </w:p>
    <w:p w:rsidRPr="00A50677" w:rsidR="00AC34F1" w:rsidP="00AC34F1" w:rsidRDefault="00AC34F1" w14:paraId="27ECFF56" w14:textId="77777777">
      <w:pPr>
        <w:pStyle w:val="ListParagraph"/>
        <w:ind w:left="360"/>
        <w:rPr>
          <w:rFonts w:cs="Arial"/>
          <w:sz w:val="22"/>
          <w:szCs w:val="22"/>
        </w:rPr>
      </w:pPr>
    </w:p>
    <w:p w:rsidR="008332C6" w:rsidP="00AC34F1" w:rsidRDefault="00AC34F1" w14:paraId="3DD1803F" w14:textId="5BD3A0DD">
      <w:pPr>
        <w:pStyle w:val="ListParagraph"/>
        <w:ind w:left="360"/>
        <w:rPr>
          <w:sz w:val="22"/>
          <w:szCs w:val="22"/>
        </w:rPr>
      </w:pPr>
      <w:r w:rsidRPr="008332C6">
        <w:rPr>
          <w:rFonts w:cs="Arial"/>
          <w:b/>
          <w:bCs/>
          <w:sz w:val="22"/>
          <w:szCs w:val="22"/>
        </w:rPr>
        <w:t>Recommendation</w:t>
      </w:r>
      <w:r w:rsidR="003344E8">
        <w:rPr>
          <w:rFonts w:cs="Arial"/>
          <w:b/>
          <w:bCs/>
          <w:sz w:val="22"/>
          <w:szCs w:val="22"/>
        </w:rPr>
        <w:t>(s)</w:t>
      </w:r>
      <w:r w:rsidRPr="008332C6">
        <w:rPr>
          <w:rFonts w:cs="Arial"/>
          <w:b/>
          <w:bCs/>
          <w:sz w:val="22"/>
          <w:szCs w:val="22"/>
        </w:rPr>
        <w:t>:</w:t>
      </w:r>
      <w:r w:rsidRPr="00A50677" w:rsidR="00AF097D">
        <w:rPr>
          <w:sz w:val="22"/>
          <w:szCs w:val="22"/>
        </w:rPr>
        <w:t xml:space="preserve"> </w:t>
      </w:r>
    </w:p>
    <w:p w:rsidR="004A44AA" w:rsidP="001D265D" w:rsidRDefault="008332C6" w14:paraId="7FE2567A" w14:textId="67239D38">
      <w:pPr>
        <w:pStyle w:val="ListParagraph"/>
        <w:numPr>
          <w:ilvl w:val="1"/>
          <w:numId w:val="4"/>
        </w:numPr>
        <w:ind w:left="1134"/>
        <w:rPr>
          <w:rFonts w:cs="Arial"/>
          <w:sz w:val="22"/>
          <w:szCs w:val="22"/>
        </w:rPr>
      </w:pPr>
      <w:r w:rsidRPr="1FB22237">
        <w:rPr>
          <w:rFonts w:cs="Arial"/>
          <w:sz w:val="22"/>
          <w:szCs w:val="22"/>
        </w:rPr>
        <w:t>ALB</w:t>
      </w:r>
      <w:r w:rsidRPr="1FB22237" w:rsidR="004410EA">
        <w:rPr>
          <w:rFonts w:cs="Arial"/>
          <w:sz w:val="22"/>
          <w:szCs w:val="22"/>
        </w:rPr>
        <w:t xml:space="preserve"> </w:t>
      </w:r>
      <w:r w:rsidRPr="1FB22237" w:rsidR="00D136A6">
        <w:rPr>
          <w:rFonts w:cs="Arial"/>
          <w:sz w:val="22"/>
          <w:szCs w:val="22"/>
        </w:rPr>
        <w:t>d</w:t>
      </w:r>
      <w:r w:rsidRPr="1FB22237" w:rsidR="004410EA">
        <w:rPr>
          <w:rFonts w:cs="Arial"/>
          <w:sz w:val="22"/>
          <w:szCs w:val="22"/>
        </w:rPr>
        <w:t>elivery</w:t>
      </w:r>
      <w:r w:rsidRPr="1FB22237" w:rsidR="00D804C5">
        <w:rPr>
          <w:rFonts w:cs="Arial"/>
          <w:sz w:val="22"/>
          <w:szCs w:val="22"/>
        </w:rPr>
        <w:t xml:space="preserve"> partners</w:t>
      </w:r>
      <w:r w:rsidRPr="1FB22237" w:rsidR="004410EA">
        <w:rPr>
          <w:rFonts w:cs="Arial"/>
          <w:sz w:val="22"/>
          <w:szCs w:val="22"/>
        </w:rPr>
        <w:t xml:space="preserve"> </w:t>
      </w:r>
      <w:r w:rsidRPr="1FB22237">
        <w:rPr>
          <w:rFonts w:cs="Arial"/>
          <w:sz w:val="22"/>
          <w:szCs w:val="22"/>
        </w:rPr>
        <w:t xml:space="preserve">need to plan what actions </w:t>
      </w:r>
      <w:r w:rsidRPr="1FB22237" w:rsidR="000544F8">
        <w:rPr>
          <w:rFonts w:cs="Arial"/>
          <w:sz w:val="22"/>
          <w:szCs w:val="22"/>
        </w:rPr>
        <w:t>are needed to</w:t>
      </w:r>
      <w:r w:rsidRPr="1FB22237">
        <w:rPr>
          <w:rFonts w:cs="Arial"/>
          <w:sz w:val="22"/>
          <w:szCs w:val="22"/>
        </w:rPr>
        <w:t xml:space="preserve"> promote the adoption and use of the</w:t>
      </w:r>
      <w:r w:rsidRPr="1FB22237" w:rsidR="005A3D29">
        <w:rPr>
          <w:rFonts w:cs="Arial"/>
          <w:sz w:val="22"/>
          <w:szCs w:val="22"/>
        </w:rPr>
        <w:t xml:space="preserve">ir </w:t>
      </w:r>
      <w:r w:rsidRPr="1FB22237">
        <w:rPr>
          <w:rFonts w:cs="Arial"/>
          <w:sz w:val="22"/>
          <w:szCs w:val="22"/>
        </w:rPr>
        <w:t>policy</w:t>
      </w:r>
      <w:r w:rsidRPr="1FB22237" w:rsidR="00BB77F0">
        <w:rPr>
          <w:rFonts w:cs="Arial"/>
          <w:sz w:val="22"/>
          <w:szCs w:val="22"/>
        </w:rPr>
        <w:t xml:space="preserve"> and </w:t>
      </w:r>
      <w:r w:rsidRPr="1FB22237">
        <w:rPr>
          <w:rFonts w:cs="Arial"/>
          <w:sz w:val="22"/>
          <w:szCs w:val="22"/>
        </w:rPr>
        <w:t>guidance</w:t>
      </w:r>
      <w:r w:rsidRPr="1FB22237" w:rsidR="005A3D29">
        <w:rPr>
          <w:rFonts w:cs="Arial"/>
          <w:sz w:val="22"/>
          <w:szCs w:val="22"/>
        </w:rPr>
        <w:t xml:space="preserve"> </w:t>
      </w:r>
      <w:r w:rsidRPr="1FB22237">
        <w:rPr>
          <w:rFonts w:cs="Arial"/>
          <w:sz w:val="22"/>
          <w:szCs w:val="22"/>
        </w:rPr>
        <w:t>recommendations with partner governments</w:t>
      </w:r>
      <w:r w:rsidRPr="1FB22237" w:rsidR="00EB5C61">
        <w:rPr>
          <w:rFonts w:cs="Arial"/>
          <w:sz w:val="22"/>
          <w:szCs w:val="22"/>
        </w:rPr>
        <w:t xml:space="preserve"> and ne</w:t>
      </w:r>
      <w:r w:rsidRPr="1FB22237">
        <w:rPr>
          <w:rFonts w:cs="Arial"/>
          <w:sz w:val="22"/>
          <w:szCs w:val="22"/>
        </w:rPr>
        <w:t xml:space="preserve">ed to invest in </w:t>
      </w:r>
      <w:r w:rsidRPr="1FB22237" w:rsidR="3737D8C7">
        <w:rPr>
          <w:rFonts w:cs="Arial"/>
          <w:sz w:val="22"/>
          <w:szCs w:val="22"/>
        </w:rPr>
        <w:t xml:space="preserve">and implement </w:t>
      </w:r>
      <w:r w:rsidRPr="1FB22237">
        <w:rPr>
          <w:rFonts w:cs="Arial"/>
          <w:sz w:val="22"/>
          <w:szCs w:val="22"/>
        </w:rPr>
        <w:t>policy influencing activities to deliver policy change.</w:t>
      </w:r>
    </w:p>
    <w:p w:rsidR="004A44AA" w:rsidP="004A44AA" w:rsidRDefault="004A44AA" w14:paraId="5CD955B0" w14:textId="7764CBC9">
      <w:pPr>
        <w:pStyle w:val="ListParagraph"/>
        <w:ind w:left="1134"/>
        <w:rPr>
          <w:rFonts w:cs="Arial"/>
          <w:sz w:val="22"/>
          <w:szCs w:val="22"/>
        </w:rPr>
      </w:pPr>
      <w:r w:rsidRPr="004A44AA">
        <w:rPr>
          <w:rFonts w:cs="Arial"/>
          <w:b/>
          <w:bCs/>
          <w:sz w:val="22"/>
          <w:szCs w:val="22"/>
        </w:rPr>
        <w:t>Lead(s):</w:t>
      </w:r>
      <w:r w:rsidRPr="004A44AA">
        <w:rPr>
          <w:rFonts w:cs="Arial"/>
          <w:sz w:val="22"/>
          <w:szCs w:val="22"/>
        </w:rPr>
        <w:t xml:space="preserve"> ALB </w:t>
      </w:r>
      <w:r w:rsidR="00DC1970">
        <w:rPr>
          <w:rFonts w:cs="Arial"/>
          <w:sz w:val="22"/>
          <w:szCs w:val="22"/>
        </w:rPr>
        <w:t>d</w:t>
      </w:r>
      <w:r w:rsidRPr="004A44AA">
        <w:rPr>
          <w:rFonts w:cs="Arial"/>
          <w:sz w:val="22"/>
          <w:szCs w:val="22"/>
        </w:rPr>
        <w:t xml:space="preserve">elivery </w:t>
      </w:r>
      <w:r w:rsidR="00DC1970">
        <w:rPr>
          <w:rFonts w:cs="Arial"/>
          <w:sz w:val="22"/>
          <w:szCs w:val="22"/>
        </w:rPr>
        <w:t>p</w:t>
      </w:r>
      <w:r w:rsidRPr="004A44AA">
        <w:rPr>
          <w:rFonts w:cs="Arial"/>
          <w:sz w:val="22"/>
          <w:szCs w:val="22"/>
        </w:rPr>
        <w:t>artners</w:t>
      </w:r>
    </w:p>
    <w:p w:rsidRPr="004A7828" w:rsidR="004A44AA" w:rsidP="004A7828" w:rsidRDefault="004A44AA" w14:paraId="433EBCA3" w14:textId="2B3D5BA7">
      <w:pPr>
        <w:pStyle w:val="ListParagraph"/>
        <w:ind w:left="1134"/>
        <w:rPr>
          <w:rFonts w:cs="Arial"/>
          <w:sz w:val="22"/>
          <w:szCs w:val="22"/>
        </w:rPr>
      </w:pPr>
      <w:r w:rsidRPr="2DE8E142">
        <w:rPr>
          <w:rFonts w:cs="Arial"/>
          <w:b/>
          <w:bCs/>
          <w:sz w:val="22"/>
          <w:szCs w:val="22"/>
        </w:rPr>
        <w:t>Deadline:</w:t>
      </w:r>
      <w:r w:rsidRPr="2DE8E142">
        <w:rPr>
          <w:rFonts w:cs="Arial"/>
          <w:sz w:val="22"/>
          <w:szCs w:val="22"/>
        </w:rPr>
        <w:t xml:space="preserve"> </w:t>
      </w:r>
      <w:r w:rsidRPr="2DE8E142" w:rsidR="004A7828">
        <w:rPr>
          <w:rFonts w:cs="Arial"/>
          <w:sz w:val="22"/>
          <w:szCs w:val="22"/>
        </w:rPr>
        <w:t>By end of FY 24/25 to ensure consideration during final year of delivery (FY25/26)</w:t>
      </w:r>
      <w:r w:rsidRPr="2DE8E142" w:rsidR="2967A8D9">
        <w:rPr>
          <w:rFonts w:cs="Arial"/>
          <w:sz w:val="22"/>
          <w:szCs w:val="22"/>
        </w:rPr>
        <w:t>.</w:t>
      </w:r>
    </w:p>
    <w:p w:rsidR="004A44AA" w:rsidP="004A44AA" w:rsidRDefault="004A44AA" w14:paraId="60EF5EBD" w14:textId="77777777">
      <w:pPr>
        <w:pStyle w:val="ListParagraph"/>
        <w:ind w:left="1134"/>
        <w:rPr>
          <w:rFonts w:cs="Arial"/>
          <w:sz w:val="22"/>
          <w:szCs w:val="22"/>
        </w:rPr>
      </w:pPr>
    </w:p>
    <w:p w:rsidR="008332C6" w:rsidP="001D265D" w:rsidRDefault="006D5E4B" w14:paraId="4008B529" w14:textId="35C03877">
      <w:pPr>
        <w:pStyle w:val="ListParagraph"/>
        <w:numPr>
          <w:ilvl w:val="1"/>
          <w:numId w:val="4"/>
        </w:numPr>
        <w:ind w:left="1134"/>
        <w:rPr>
          <w:rFonts w:cs="Arial"/>
          <w:sz w:val="22"/>
          <w:szCs w:val="22"/>
        </w:rPr>
      </w:pPr>
      <w:r w:rsidRPr="361D0355">
        <w:rPr>
          <w:rFonts w:cs="Arial"/>
          <w:sz w:val="22"/>
          <w:szCs w:val="22"/>
        </w:rPr>
        <w:t>With elections planned in many partners countries in 20</w:t>
      </w:r>
      <w:r w:rsidRPr="361D0355" w:rsidR="00937957">
        <w:rPr>
          <w:rFonts w:cs="Arial"/>
          <w:sz w:val="22"/>
          <w:szCs w:val="22"/>
        </w:rPr>
        <w:t xml:space="preserve">24, it is important that </w:t>
      </w:r>
      <w:r w:rsidRPr="361D0355" w:rsidR="006400C6">
        <w:rPr>
          <w:rFonts w:cs="Arial"/>
          <w:sz w:val="22"/>
          <w:szCs w:val="22"/>
        </w:rPr>
        <w:t xml:space="preserve">the </w:t>
      </w:r>
      <w:r w:rsidRPr="361D0355" w:rsidR="00937957">
        <w:rPr>
          <w:rFonts w:cs="Arial"/>
          <w:sz w:val="22"/>
          <w:szCs w:val="22"/>
        </w:rPr>
        <w:t>OCPP engage</w:t>
      </w:r>
      <w:r w:rsidRPr="361D0355" w:rsidR="6F2E162C">
        <w:rPr>
          <w:rFonts w:cs="Arial"/>
          <w:sz w:val="22"/>
          <w:szCs w:val="22"/>
        </w:rPr>
        <w:t>s</w:t>
      </w:r>
      <w:r w:rsidRPr="361D0355" w:rsidR="00937957">
        <w:rPr>
          <w:rFonts w:cs="Arial"/>
          <w:sz w:val="22"/>
          <w:szCs w:val="22"/>
        </w:rPr>
        <w:t xml:space="preserve"> with </w:t>
      </w:r>
      <w:r w:rsidRPr="361D0355" w:rsidR="3AEB1CA2">
        <w:rPr>
          <w:rFonts w:cs="Arial"/>
          <w:sz w:val="22"/>
          <w:szCs w:val="22"/>
        </w:rPr>
        <w:t>FCDO P</w:t>
      </w:r>
      <w:r w:rsidRPr="361D0355" w:rsidR="00937957">
        <w:rPr>
          <w:rFonts w:cs="Arial"/>
          <w:sz w:val="22"/>
          <w:szCs w:val="22"/>
        </w:rPr>
        <w:t xml:space="preserve">osts </w:t>
      </w:r>
      <w:r w:rsidRPr="361D0355" w:rsidR="58BBF68C">
        <w:rPr>
          <w:rFonts w:cs="Arial"/>
          <w:sz w:val="22"/>
          <w:szCs w:val="22"/>
        </w:rPr>
        <w:t xml:space="preserve">and considers the relevance of Political Economy Analyses to </w:t>
      </w:r>
      <w:r w:rsidRPr="361D0355" w:rsidR="002226EB">
        <w:rPr>
          <w:rFonts w:cs="Arial"/>
          <w:sz w:val="22"/>
          <w:szCs w:val="22"/>
        </w:rPr>
        <w:t xml:space="preserve">assess the likelihood that the planned work will </w:t>
      </w:r>
      <w:r w:rsidRPr="361D0355" w:rsidR="0014609F">
        <w:rPr>
          <w:rFonts w:cs="Arial"/>
          <w:sz w:val="22"/>
          <w:szCs w:val="22"/>
        </w:rPr>
        <w:t>contribute</w:t>
      </w:r>
      <w:r w:rsidRPr="361D0355" w:rsidR="002226EB">
        <w:rPr>
          <w:rFonts w:cs="Arial"/>
          <w:sz w:val="22"/>
          <w:szCs w:val="22"/>
        </w:rPr>
        <w:t xml:space="preserve"> to impact or whether p</w:t>
      </w:r>
      <w:r w:rsidRPr="361D0355" w:rsidR="0014609F">
        <w:rPr>
          <w:rFonts w:cs="Arial"/>
          <w:sz w:val="22"/>
          <w:szCs w:val="22"/>
        </w:rPr>
        <w:t xml:space="preserve">lanned programmes of work should be changed. </w:t>
      </w:r>
    </w:p>
    <w:p w:rsidR="004A44AA" w:rsidP="004A44AA" w:rsidRDefault="004A44AA" w14:paraId="57214CEF" w14:textId="59C22246">
      <w:pPr>
        <w:pStyle w:val="ListParagraph"/>
        <w:ind w:firstLine="414"/>
        <w:rPr>
          <w:rFonts w:cs="Arial"/>
          <w:sz w:val="22"/>
          <w:szCs w:val="22"/>
        </w:rPr>
      </w:pPr>
      <w:r w:rsidRPr="00605342">
        <w:rPr>
          <w:rFonts w:cs="Arial"/>
          <w:b/>
          <w:bCs/>
          <w:sz w:val="22"/>
          <w:szCs w:val="22"/>
        </w:rPr>
        <w:t>Lead(s):</w:t>
      </w:r>
      <w:r>
        <w:rPr>
          <w:rFonts w:cs="Arial"/>
          <w:sz w:val="22"/>
          <w:szCs w:val="22"/>
        </w:rPr>
        <w:t xml:space="preserve"> ALB </w:t>
      </w:r>
      <w:r w:rsidR="00DC1970">
        <w:rPr>
          <w:rFonts w:cs="Arial"/>
          <w:sz w:val="22"/>
          <w:szCs w:val="22"/>
        </w:rPr>
        <w:t>d</w:t>
      </w:r>
      <w:r>
        <w:rPr>
          <w:rFonts w:cs="Arial"/>
          <w:sz w:val="22"/>
          <w:szCs w:val="22"/>
        </w:rPr>
        <w:t xml:space="preserve">elivery </w:t>
      </w:r>
      <w:r w:rsidR="00DC1970">
        <w:rPr>
          <w:rFonts w:cs="Arial"/>
          <w:sz w:val="22"/>
          <w:szCs w:val="22"/>
        </w:rPr>
        <w:t>p</w:t>
      </w:r>
      <w:r>
        <w:rPr>
          <w:rFonts w:cs="Arial"/>
          <w:sz w:val="22"/>
          <w:szCs w:val="22"/>
        </w:rPr>
        <w:t>artners</w:t>
      </w:r>
    </w:p>
    <w:p w:rsidRPr="00D714A7" w:rsidR="001A38C2" w:rsidP="00D714A7" w:rsidRDefault="004A44AA" w14:paraId="25EC3C90" w14:textId="7C43A899">
      <w:pPr>
        <w:pStyle w:val="ListParagraph"/>
        <w:ind w:left="1134"/>
        <w:rPr>
          <w:rFonts w:cs="Arial"/>
          <w:sz w:val="22"/>
          <w:szCs w:val="22"/>
        </w:rPr>
      </w:pPr>
      <w:r w:rsidRPr="361D0355">
        <w:rPr>
          <w:rFonts w:cs="Arial"/>
          <w:b/>
          <w:bCs/>
          <w:sz w:val="22"/>
          <w:szCs w:val="22"/>
        </w:rPr>
        <w:t>Deadline:</w:t>
      </w:r>
      <w:r w:rsidRPr="361D0355">
        <w:rPr>
          <w:rFonts w:cs="Arial"/>
          <w:sz w:val="22"/>
          <w:szCs w:val="22"/>
        </w:rPr>
        <w:t xml:space="preserve"> </w:t>
      </w:r>
      <w:r w:rsidRPr="361D0355" w:rsidR="00D714A7">
        <w:rPr>
          <w:rFonts w:cs="Arial"/>
          <w:sz w:val="22"/>
          <w:szCs w:val="22"/>
        </w:rPr>
        <w:t>By end of FY 24/25 to ensure consideration during final year of delivery (FY25/26)</w:t>
      </w:r>
      <w:r w:rsidRPr="361D0355" w:rsidR="43360090">
        <w:rPr>
          <w:rFonts w:cs="Arial"/>
          <w:sz w:val="22"/>
          <w:szCs w:val="22"/>
        </w:rPr>
        <w:t>.</w:t>
      </w:r>
    </w:p>
    <w:p w:rsidRPr="00720EC7" w:rsidR="00720EC7" w:rsidP="00720EC7" w:rsidRDefault="00720EC7" w14:paraId="701B0512" w14:textId="77777777">
      <w:pPr>
        <w:pStyle w:val="ListParagraph"/>
        <w:ind w:firstLine="414"/>
        <w:rPr>
          <w:rFonts w:cs="Arial"/>
          <w:sz w:val="22"/>
          <w:szCs w:val="22"/>
        </w:rPr>
      </w:pPr>
    </w:p>
    <w:p w:rsidRPr="00F64B21" w:rsidR="001A38C2" w:rsidP="009A159B" w:rsidRDefault="001A38C2" w14:paraId="048D68E8" w14:textId="62A7611A">
      <w:pPr>
        <w:pStyle w:val="ListParagraph"/>
        <w:numPr>
          <w:ilvl w:val="0"/>
          <w:numId w:val="46"/>
        </w:numPr>
        <w:rPr>
          <w:rFonts w:cs="Arial"/>
          <w:sz w:val="22"/>
          <w:szCs w:val="22"/>
        </w:rPr>
      </w:pPr>
      <w:r w:rsidRPr="1FB22237">
        <w:rPr>
          <w:rFonts w:cs="Arial"/>
          <w:b/>
          <w:bCs/>
          <w:sz w:val="22"/>
          <w:szCs w:val="22"/>
        </w:rPr>
        <w:t xml:space="preserve">Lesson: </w:t>
      </w:r>
      <w:r w:rsidRPr="1FB22237" w:rsidR="002E4A9B">
        <w:rPr>
          <w:rFonts w:cs="Arial"/>
          <w:sz w:val="22"/>
          <w:szCs w:val="22"/>
        </w:rPr>
        <w:t>Sustainability</w:t>
      </w:r>
      <w:r w:rsidRPr="1FB22237" w:rsidR="003B4631">
        <w:rPr>
          <w:rFonts w:cs="Arial"/>
          <w:sz w:val="22"/>
          <w:szCs w:val="22"/>
        </w:rPr>
        <w:t xml:space="preserve"> and transition planning </w:t>
      </w:r>
      <w:r w:rsidRPr="1FB22237" w:rsidR="00BB68E1">
        <w:rPr>
          <w:rFonts w:cs="Arial"/>
          <w:sz w:val="22"/>
          <w:szCs w:val="22"/>
        </w:rPr>
        <w:t>is</w:t>
      </w:r>
      <w:r w:rsidRPr="1FB22237" w:rsidR="005A75BF">
        <w:rPr>
          <w:rFonts w:cs="Arial"/>
          <w:sz w:val="22"/>
          <w:szCs w:val="22"/>
        </w:rPr>
        <w:t xml:space="preserve"> not prioritised </w:t>
      </w:r>
      <w:r w:rsidRPr="1FB22237" w:rsidR="00F073FE">
        <w:rPr>
          <w:rFonts w:cs="Arial"/>
          <w:sz w:val="22"/>
          <w:szCs w:val="22"/>
        </w:rPr>
        <w:t>and is left to</w:t>
      </w:r>
      <w:r w:rsidRPr="1FB22237" w:rsidR="002C5EA2">
        <w:rPr>
          <w:rFonts w:cs="Arial"/>
          <w:sz w:val="22"/>
          <w:szCs w:val="22"/>
        </w:rPr>
        <w:t>o</w:t>
      </w:r>
      <w:r w:rsidRPr="1FB22237" w:rsidR="00F073FE">
        <w:rPr>
          <w:rFonts w:cs="Arial"/>
          <w:sz w:val="22"/>
          <w:szCs w:val="22"/>
        </w:rPr>
        <w:t xml:space="preserve"> late to be effective.</w:t>
      </w:r>
      <w:r w:rsidRPr="1FB22237" w:rsidR="002C5EA2">
        <w:rPr>
          <w:rFonts w:cs="Arial"/>
          <w:sz w:val="22"/>
          <w:szCs w:val="22"/>
        </w:rPr>
        <w:t xml:space="preserve"> GOAP and FOA </w:t>
      </w:r>
      <w:r w:rsidRPr="1FB22237" w:rsidR="00C05F22">
        <w:rPr>
          <w:rFonts w:cs="Arial"/>
          <w:sz w:val="22"/>
          <w:szCs w:val="22"/>
        </w:rPr>
        <w:t>h</w:t>
      </w:r>
      <w:r w:rsidRPr="1FB22237" w:rsidR="0063780D">
        <w:rPr>
          <w:rFonts w:cs="Arial"/>
          <w:sz w:val="22"/>
          <w:szCs w:val="22"/>
        </w:rPr>
        <w:t xml:space="preserve">ave </w:t>
      </w:r>
      <w:r w:rsidRPr="1FB22237" w:rsidR="0008485A">
        <w:rPr>
          <w:rFonts w:cs="Arial"/>
          <w:sz w:val="22"/>
          <w:szCs w:val="22"/>
        </w:rPr>
        <w:t xml:space="preserve">considered </w:t>
      </w:r>
      <w:r w:rsidRPr="1FB22237" w:rsidR="008924A6">
        <w:rPr>
          <w:rFonts w:cs="Arial"/>
          <w:sz w:val="22"/>
          <w:szCs w:val="22"/>
        </w:rPr>
        <w:t>sustainability</w:t>
      </w:r>
      <w:r w:rsidRPr="1FB22237" w:rsidR="0008485A">
        <w:rPr>
          <w:rFonts w:cs="Arial"/>
          <w:sz w:val="22"/>
          <w:szCs w:val="22"/>
        </w:rPr>
        <w:t xml:space="preserve"> in more </w:t>
      </w:r>
      <w:r w:rsidRPr="1FB22237" w:rsidR="00D751B9">
        <w:rPr>
          <w:rFonts w:cs="Arial"/>
          <w:sz w:val="22"/>
          <w:szCs w:val="22"/>
        </w:rPr>
        <w:t>depth but</w:t>
      </w:r>
      <w:r w:rsidRPr="1FB22237" w:rsidR="0008485A">
        <w:rPr>
          <w:rFonts w:cs="Arial"/>
          <w:sz w:val="22"/>
          <w:szCs w:val="22"/>
        </w:rPr>
        <w:t xml:space="preserve"> </w:t>
      </w:r>
      <w:r w:rsidRPr="1FB22237" w:rsidR="001E6F9F">
        <w:rPr>
          <w:rFonts w:cs="Arial"/>
          <w:sz w:val="22"/>
          <w:szCs w:val="22"/>
        </w:rPr>
        <w:t>could still improve</w:t>
      </w:r>
      <w:r w:rsidRPr="1FB22237" w:rsidR="00F64B21">
        <w:rPr>
          <w:rFonts w:cs="Arial"/>
          <w:sz w:val="22"/>
          <w:szCs w:val="22"/>
        </w:rPr>
        <w:t>.</w:t>
      </w:r>
      <w:r w:rsidRPr="1FB22237" w:rsidR="00263E3E">
        <w:rPr>
          <w:rFonts w:cs="Arial"/>
          <w:sz w:val="22"/>
          <w:szCs w:val="22"/>
        </w:rPr>
        <w:t xml:space="preserve"> NIRAS have been commissioned by Defra to develop a transition tool </w:t>
      </w:r>
      <w:r w:rsidRPr="1FB22237" w:rsidR="00E7057F">
        <w:rPr>
          <w:rFonts w:cs="Arial"/>
          <w:sz w:val="22"/>
          <w:szCs w:val="22"/>
        </w:rPr>
        <w:t xml:space="preserve">to guide </w:t>
      </w:r>
      <w:r w:rsidRPr="1FB22237" w:rsidR="00A60264">
        <w:rPr>
          <w:rFonts w:cs="Arial"/>
          <w:sz w:val="22"/>
          <w:szCs w:val="22"/>
        </w:rPr>
        <w:t xml:space="preserve">future </w:t>
      </w:r>
      <w:r w:rsidRPr="1FB22237" w:rsidR="00E7057F">
        <w:rPr>
          <w:rFonts w:cs="Arial"/>
          <w:sz w:val="22"/>
          <w:szCs w:val="22"/>
        </w:rPr>
        <w:t>transition planning</w:t>
      </w:r>
      <w:r w:rsidRPr="1FB22237" w:rsidR="00A60264">
        <w:rPr>
          <w:rFonts w:cs="Arial"/>
          <w:sz w:val="22"/>
          <w:szCs w:val="22"/>
        </w:rPr>
        <w:t>.</w:t>
      </w:r>
      <w:r w:rsidR="00F11FCF">
        <w:t xml:space="preserve"> </w:t>
      </w:r>
      <w:r w:rsidRPr="1FB22237" w:rsidR="00F11FCF">
        <w:rPr>
          <w:sz w:val="22"/>
          <w:szCs w:val="22"/>
        </w:rPr>
        <w:t xml:space="preserve">Better sustainability and transition planning </w:t>
      </w:r>
      <w:r w:rsidRPr="1FB22237" w:rsidR="00F11FCF">
        <w:rPr>
          <w:rFonts w:cs="Arial"/>
          <w:sz w:val="22"/>
          <w:szCs w:val="22"/>
        </w:rPr>
        <w:t xml:space="preserve">will assist other and future programmes going forward and should help </w:t>
      </w:r>
      <w:r w:rsidRPr="1FB22237" w:rsidR="00185493">
        <w:rPr>
          <w:rFonts w:cs="Arial"/>
          <w:sz w:val="22"/>
          <w:szCs w:val="22"/>
        </w:rPr>
        <w:t>identify</w:t>
      </w:r>
      <w:r w:rsidRPr="1FB22237" w:rsidR="002A363C">
        <w:rPr>
          <w:rFonts w:cs="Arial"/>
          <w:sz w:val="22"/>
          <w:szCs w:val="22"/>
        </w:rPr>
        <w:t xml:space="preserve"> </w:t>
      </w:r>
      <w:r w:rsidRPr="1FB22237" w:rsidR="00F11FCF">
        <w:rPr>
          <w:rFonts w:cs="Arial"/>
          <w:sz w:val="22"/>
          <w:szCs w:val="22"/>
        </w:rPr>
        <w:t>future learning</w:t>
      </w:r>
      <w:r w:rsidRPr="1FB22237" w:rsidR="00C50427">
        <w:rPr>
          <w:rFonts w:cs="Arial"/>
          <w:sz w:val="22"/>
          <w:szCs w:val="22"/>
        </w:rPr>
        <w:t xml:space="preserve"> needs</w:t>
      </w:r>
      <w:r w:rsidRPr="1FB22237" w:rsidR="00F11FCF">
        <w:rPr>
          <w:rFonts w:cs="Arial"/>
          <w:sz w:val="22"/>
          <w:szCs w:val="22"/>
        </w:rPr>
        <w:t xml:space="preserve">, opportunities for future south-south collaboration and what resilience local communities can gain from these </w:t>
      </w:r>
      <w:r w:rsidRPr="1FB22237" w:rsidR="00250243">
        <w:rPr>
          <w:rFonts w:cs="Arial"/>
          <w:sz w:val="22"/>
          <w:szCs w:val="22"/>
        </w:rPr>
        <w:t>interventions.</w:t>
      </w:r>
    </w:p>
    <w:p w:rsidR="008924A6" w:rsidP="001A38C2" w:rsidRDefault="003378EC" w14:paraId="75546354" w14:textId="55AE8521">
      <w:pPr>
        <w:ind w:left="360"/>
        <w:rPr>
          <w:rFonts w:cs="Arial"/>
          <w:sz w:val="22"/>
          <w:szCs w:val="22"/>
        </w:rPr>
      </w:pPr>
      <w:r w:rsidRPr="00A60264">
        <w:rPr>
          <w:rFonts w:cs="Arial"/>
          <w:b/>
          <w:bCs/>
          <w:sz w:val="22"/>
          <w:szCs w:val="22"/>
        </w:rPr>
        <w:t>Recommendation</w:t>
      </w:r>
      <w:r w:rsidR="003344E8">
        <w:rPr>
          <w:rFonts w:cs="Arial"/>
          <w:b/>
          <w:bCs/>
          <w:sz w:val="22"/>
          <w:szCs w:val="22"/>
        </w:rPr>
        <w:t>(s)</w:t>
      </w:r>
      <w:r w:rsidRPr="00A50677" w:rsidR="001A38C2">
        <w:rPr>
          <w:rFonts w:cs="Arial"/>
          <w:sz w:val="22"/>
          <w:szCs w:val="22"/>
        </w:rPr>
        <w:t xml:space="preserve">: </w:t>
      </w:r>
    </w:p>
    <w:p w:rsidR="003846D9" w:rsidP="001D265D" w:rsidRDefault="00744913" w14:paraId="17391300" w14:textId="37EFE5C4">
      <w:pPr>
        <w:pStyle w:val="ListParagraph"/>
        <w:numPr>
          <w:ilvl w:val="1"/>
          <w:numId w:val="3"/>
        </w:numPr>
        <w:ind w:left="1134"/>
        <w:rPr>
          <w:rFonts w:cs="Arial"/>
          <w:sz w:val="22"/>
          <w:szCs w:val="22"/>
        </w:rPr>
      </w:pPr>
      <w:r>
        <w:rPr>
          <w:rFonts w:cs="Arial"/>
          <w:sz w:val="22"/>
          <w:szCs w:val="22"/>
        </w:rPr>
        <w:t>Delivery</w:t>
      </w:r>
      <w:r w:rsidR="00D804C5">
        <w:rPr>
          <w:rFonts w:cs="Arial"/>
          <w:sz w:val="22"/>
          <w:szCs w:val="22"/>
        </w:rPr>
        <w:t xml:space="preserve"> partners</w:t>
      </w:r>
      <w:r>
        <w:rPr>
          <w:rFonts w:cs="Arial"/>
          <w:sz w:val="22"/>
          <w:szCs w:val="22"/>
        </w:rPr>
        <w:t xml:space="preserve"> must </w:t>
      </w:r>
      <w:r w:rsidR="00A32AFE">
        <w:rPr>
          <w:rFonts w:cs="Arial"/>
          <w:sz w:val="22"/>
          <w:szCs w:val="22"/>
        </w:rPr>
        <w:t xml:space="preserve">consider </w:t>
      </w:r>
      <w:r w:rsidR="009660D6">
        <w:rPr>
          <w:rFonts w:cs="Arial"/>
          <w:sz w:val="22"/>
          <w:szCs w:val="22"/>
        </w:rPr>
        <w:t xml:space="preserve">sustainability </w:t>
      </w:r>
      <w:r w:rsidR="00F1578B">
        <w:rPr>
          <w:rFonts w:cs="Arial"/>
          <w:sz w:val="22"/>
          <w:szCs w:val="22"/>
        </w:rPr>
        <w:t xml:space="preserve">within all aspects of </w:t>
      </w:r>
      <w:r w:rsidR="00860D43">
        <w:rPr>
          <w:rFonts w:cs="Arial"/>
          <w:sz w:val="22"/>
          <w:szCs w:val="22"/>
        </w:rPr>
        <w:t xml:space="preserve">delivery </w:t>
      </w:r>
      <w:r w:rsidR="0097680D">
        <w:rPr>
          <w:rFonts w:cs="Arial"/>
          <w:sz w:val="22"/>
          <w:szCs w:val="22"/>
        </w:rPr>
        <w:t xml:space="preserve">planning and </w:t>
      </w:r>
      <w:r w:rsidR="00A91DF5">
        <w:rPr>
          <w:rFonts w:cs="Arial"/>
          <w:sz w:val="22"/>
          <w:szCs w:val="22"/>
        </w:rPr>
        <w:t>implementation</w:t>
      </w:r>
      <w:r w:rsidR="00EB06B6">
        <w:rPr>
          <w:rFonts w:cs="Arial"/>
          <w:sz w:val="22"/>
          <w:szCs w:val="22"/>
        </w:rPr>
        <w:t xml:space="preserve">. </w:t>
      </w:r>
    </w:p>
    <w:p w:rsidR="003846D9" w:rsidP="00540FB0" w:rsidRDefault="003846D9" w14:paraId="0E751BE8" w14:textId="442D4893">
      <w:pPr>
        <w:pStyle w:val="ListParagraph"/>
        <w:ind w:left="1134"/>
        <w:rPr>
          <w:rFonts w:cs="Arial"/>
          <w:sz w:val="22"/>
          <w:szCs w:val="22"/>
        </w:rPr>
      </w:pPr>
      <w:r w:rsidRPr="003846D9">
        <w:rPr>
          <w:rFonts w:cs="Arial"/>
          <w:b/>
          <w:bCs/>
          <w:sz w:val="22"/>
          <w:szCs w:val="22"/>
        </w:rPr>
        <w:t>Lead(s):</w:t>
      </w:r>
      <w:r w:rsidRPr="003846D9">
        <w:rPr>
          <w:rFonts w:cs="Arial"/>
          <w:sz w:val="22"/>
          <w:szCs w:val="22"/>
        </w:rPr>
        <w:t xml:space="preserve"> </w:t>
      </w:r>
      <w:r w:rsidR="00AA3FFE">
        <w:rPr>
          <w:rFonts w:cs="Arial"/>
          <w:sz w:val="22"/>
          <w:szCs w:val="22"/>
        </w:rPr>
        <w:t xml:space="preserve">All OCPP </w:t>
      </w:r>
      <w:r w:rsidR="00DC1970">
        <w:rPr>
          <w:rFonts w:cs="Arial"/>
          <w:sz w:val="22"/>
          <w:szCs w:val="22"/>
        </w:rPr>
        <w:t>d</w:t>
      </w:r>
      <w:r w:rsidRPr="003846D9">
        <w:rPr>
          <w:rFonts w:cs="Arial"/>
          <w:sz w:val="22"/>
          <w:szCs w:val="22"/>
        </w:rPr>
        <w:t>elivery</w:t>
      </w:r>
      <w:r w:rsidR="00D804C5">
        <w:rPr>
          <w:rFonts w:cs="Arial"/>
          <w:sz w:val="22"/>
          <w:szCs w:val="22"/>
        </w:rPr>
        <w:t xml:space="preserve"> partners</w:t>
      </w:r>
    </w:p>
    <w:p w:rsidRPr="003846D9" w:rsidR="003846D9" w:rsidP="00540FB0" w:rsidRDefault="003846D9" w14:paraId="6ACAE44E" w14:textId="6666BD32">
      <w:pPr>
        <w:pStyle w:val="ListParagraph"/>
        <w:ind w:left="1134"/>
        <w:rPr>
          <w:rFonts w:cs="Arial"/>
          <w:sz w:val="22"/>
          <w:szCs w:val="22"/>
        </w:rPr>
      </w:pPr>
      <w:r w:rsidRPr="003846D9">
        <w:rPr>
          <w:rFonts w:cs="Arial"/>
          <w:b/>
          <w:bCs/>
          <w:sz w:val="22"/>
          <w:szCs w:val="22"/>
        </w:rPr>
        <w:t>Deadline:</w:t>
      </w:r>
      <w:r w:rsidRPr="003846D9">
        <w:rPr>
          <w:rFonts w:cs="Arial"/>
          <w:sz w:val="22"/>
          <w:szCs w:val="22"/>
        </w:rPr>
        <w:t xml:space="preserve"> ASAP</w:t>
      </w:r>
    </w:p>
    <w:p w:rsidR="003846D9" w:rsidP="00540FB0" w:rsidRDefault="003846D9" w14:paraId="35661E29" w14:textId="77777777">
      <w:pPr>
        <w:pStyle w:val="ListParagraph"/>
        <w:ind w:left="1134"/>
        <w:rPr>
          <w:rFonts w:cs="Arial"/>
          <w:sz w:val="22"/>
          <w:szCs w:val="22"/>
        </w:rPr>
      </w:pPr>
    </w:p>
    <w:p w:rsidR="003846D9" w:rsidP="001D265D" w:rsidRDefault="00AA7003" w14:paraId="0BB3C782" w14:textId="36E004BF">
      <w:pPr>
        <w:pStyle w:val="ListParagraph"/>
        <w:numPr>
          <w:ilvl w:val="1"/>
          <w:numId w:val="3"/>
        </w:numPr>
        <w:ind w:left="1134"/>
        <w:rPr>
          <w:rStyle w:val="cf01"/>
          <w:rFonts w:ascii="Arial" w:hAnsi="Arial" w:cs="Arial"/>
          <w:sz w:val="22"/>
          <w:szCs w:val="22"/>
        </w:rPr>
      </w:pPr>
      <w:r>
        <w:rPr>
          <w:rStyle w:val="cf01"/>
          <w:rFonts w:ascii="Arial" w:hAnsi="Arial" w:cs="Arial"/>
          <w:sz w:val="22"/>
          <w:szCs w:val="22"/>
        </w:rPr>
        <w:t xml:space="preserve">ALB delivery </w:t>
      </w:r>
      <w:r w:rsidR="00C97881">
        <w:rPr>
          <w:rStyle w:val="cf01"/>
          <w:rFonts w:ascii="Arial" w:hAnsi="Arial" w:cs="Arial"/>
          <w:sz w:val="22"/>
          <w:szCs w:val="22"/>
        </w:rPr>
        <w:t>part</w:t>
      </w:r>
      <w:r w:rsidR="004F5DD4">
        <w:rPr>
          <w:rStyle w:val="cf01"/>
          <w:rFonts w:ascii="Arial" w:hAnsi="Arial" w:cs="Arial"/>
          <w:sz w:val="22"/>
          <w:szCs w:val="22"/>
        </w:rPr>
        <w:t xml:space="preserve">ners </w:t>
      </w:r>
      <w:r w:rsidRPr="003846D9" w:rsidR="003846D9">
        <w:rPr>
          <w:rStyle w:val="cf01"/>
          <w:rFonts w:ascii="Arial" w:hAnsi="Arial" w:cs="Arial"/>
          <w:sz w:val="22"/>
          <w:szCs w:val="22"/>
        </w:rPr>
        <w:t xml:space="preserve">should develop transition plans for all </w:t>
      </w:r>
      <w:r w:rsidR="00CA20A0">
        <w:rPr>
          <w:rStyle w:val="cf01"/>
          <w:rFonts w:ascii="Arial" w:hAnsi="Arial" w:cs="Arial"/>
          <w:sz w:val="22"/>
          <w:szCs w:val="22"/>
        </w:rPr>
        <w:t>bilaterial partnerships.</w:t>
      </w:r>
    </w:p>
    <w:p w:rsidR="003846D9" w:rsidP="00540FB0" w:rsidRDefault="003846D9" w14:paraId="1B1879FC" w14:textId="2C396163">
      <w:pPr>
        <w:pStyle w:val="ListParagraph"/>
        <w:ind w:left="1134"/>
        <w:rPr>
          <w:rFonts w:cs="Arial"/>
          <w:sz w:val="22"/>
          <w:szCs w:val="22"/>
        </w:rPr>
      </w:pPr>
      <w:r w:rsidRPr="003846D9">
        <w:rPr>
          <w:rFonts w:cs="Arial"/>
          <w:b/>
          <w:bCs/>
          <w:sz w:val="22"/>
          <w:szCs w:val="22"/>
        </w:rPr>
        <w:t>Lead(s):</w:t>
      </w:r>
      <w:r w:rsidRPr="003846D9">
        <w:rPr>
          <w:rFonts w:cs="Arial"/>
          <w:sz w:val="22"/>
          <w:szCs w:val="22"/>
        </w:rPr>
        <w:t xml:space="preserve"> ALB </w:t>
      </w:r>
      <w:r w:rsidR="00DC1970">
        <w:rPr>
          <w:rFonts w:cs="Arial"/>
          <w:sz w:val="22"/>
          <w:szCs w:val="22"/>
        </w:rPr>
        <w:t>d</w:t>
      </w:r>
      <w:r w:rsidRPr="003846D9">
        <w:rPr>
          <w:rFonts w:cs="Arial"/>
          <w:sz w:val="22"/>
          <w:szCs w:val="22"/>
        </w:rPr>
        <w:t xml:space="preserve">elivery </w:t>
      </w:r>
      <w:r w:rsidR="00DC1970">
        <w:rPr>
          <w:rFonts w:cs="Arial"/>
          <w:sz w:val="22"/>
          <w:szCs w:val="22"/>
        </w:rPr>
        <w:t>p</w:t>
      </w:r>
      <w:r w:rsidRPr="003846D9">
        <w:rPr>
          <w:rFonts w:cs="Arial"/>
          <w:sz w:val="22"/>
          <w:szCs w:val="22"/>
        </w:rPr>
        <w:t>artners</w:t>
      </w:r>
      <w:r w:rsidR="00793BCE">
        <w:rPr>
          <w:rFonts w:cs="Arial"/>
          <w:sz w:val="22"/>
          <w:szCs w:val="22"/>
        </w:rPr>
        <w:t xml:space="preserve">, Defra </w:t>
      </w:r>
    </w:p>
    <w:p w:rsidRPr="00A50677" w:rsidR="00B83A81" w:rsidP="00A46513" w:rsidRDefault="003846D9" w14:paraId="55624D01" w14:textId="50F61BFF">
      <w:pPr>
        <w:pStyle w:val="ListParagraph"/>
        <w:ind w:left="1134"/>
        <w:rPr>
          <w:rFonts w:cs="Arial"/>
          <w:sz w:val="22"/>
          <w:szCs w:val="22"/>
        </w:rPr>
      </w:pPr>
      <w:r w:rsidRPr="003846D9">
        <w:rPr>
          <w:rFonts w:cs="Arial"/>
          <w:b/>
          <w:bCs/>
          <w:sz w:val="22"/>
          <w:szCs w:val="22"/>
        </w:rPr>
        <w:t>Deadline:</w:t>
      </w:r>
      <w:r w:rsidRPr="003846D9">
        <w:rPr>
          <w:rFonts w:cs="Arial"/>
          <w:sz w:val="22"/>
          <w:szCs w:val="22"/>
        </w:rPr>
        <w:t xml:space="preserve"> </w:t>
      </w:r>
      <w:r w:rsidR="00A5669D">
        <w:rPr>
          <w:rFonts w:cs="Arial"/>
          <w:sz w:val="22"/>
          <w:szCs w:val="22"/>
        </w:rPr>
        <w:t>By</w:t>
      </w:r>
      <w:r w:rsidR="006359F8">
        <w:rPr>
          <w:rFonts w:cs="Arial"/>
          <w:sz w:val="22"/>
          <w:szCs w:val="22"/>
        </w:rPr>
        <w:t xml:space="preserve"> the start of FY 25/26</w:t>
      </w:r>
    </w:p>
    <w:p w:rsidRPr="00A50677" w:rsidR="00B83A81" w:rsidP="00B83A81" w:rsidRDefault="00B83A81" w14:paraId="00B3B326" w14:textId="4E800352">
      <w:pPr>
        <w:rPr>
          <w:rFonts w:cs="Arial"/>
          <w:sz w:val="22"/>
          <w:szCs w:val="22"/>
          <w:u w:val="single"/>
        </w:rPr>
      </w:pPr>
      <w:r w:rsidRPr="00A50677">
        <w:rPr>
          <w:rFonts w:cs="Arial"/>
          <w:sz w:val="22"/>
          <w:szCs w:val="22"/>
          <w:u w:val="single"/>
        </w:rPr>
        <w:t>Key recommendations to improve pro</w:t>
      </w:r>
      <w:r w:rsidR="000E574F">
        <w:rPr>
          <w:rFonts w:cs="Arial"/>
          <w:sz w:val="22"/>
          <w:szCs w:val="22"/>
          <w:u w:val="single"/>
        </w:rPr>
        <w:t>cess</w:t>
      </w:r>
    </w:p>
    <w:p w:rsidRPr="00A50677" w:rsidR="00B83A81" w:rsidP="001A38C2" w:rsidRDefault="00B83A81" w14:paraId="796A00FD" w14:textId="77777777">
      <w:pPr>
        <w:ind w:left="360"/>
        <w:rPr>
          <w:rFonts w:cs="Arial"/>
          <w:sz w:val="22"/>
          <w:szCs w:val="22"/>
        </w:rPr>
      </w:pPr>
    </w:p>
    <w:p w:rsidRPr="00432119" w:rsidR="00432119" w:rsidP="001A60FB" w:rsidRDefault="001A38C2" w14:paraId="54CCE010" w14:textId="37D6039C">
      <w:pPr>
        <w:pStyle w:val="ListParagraph"/>
        <w:numPr>
          <w:ilvl w:val="0"/>
          <w:numId w:val="46"/>
        </w:numPr>
        <w:rPr>
          <w:rFonts w:cs="Arial"/>
          <w:sz w:val="22"/>
          <w:szCs w:val="22"/>
        </w:rPr>
      </w:pPr>
      <w:r w:rsidRPr="1FB22237">
        <w:rPr>
          <w:rFonts w:cs="Arial"/>
          <w:b/>
          <w:bCs/>
          <w:sz w:val="22"/>
          <w:szCs w:val="22"/>
        </w:rPr>
        <w:t xml:space="preserve">Lesson: </w:t>
      </w:r>
      <w:r w:rsidRPr="1FB22237" w:rsidR="00060E99">
        <w:rPr>
          <w:rFonts w:cs="Arial"/>
          <w:sz w:val="22"/>
          <w:szCs w:val="22"/>
        </w:rPr>
        <w:t>The OCPP delivery partners should invest in resourcing MEL</w:t>
      </w:r>
      <w:r w:rsidRPr="1FB22237" w:rsidR="00176954">
        <w:rPr>
          <w:rFonts w:cs="Arial"/>
          <w:sz w:val="22"/>
          <w:szCs w:val="22"/>
        </w:rPr>
        <w:t>.</w:t>
      </w:r>
      <w:r w:rsidR="00176954">
        <w:t xml:space="preserve"> </w:t>
      </w:r>
      <w:r w:rsidRPr="1FB22237" w:rsidR="00176954">
        <w:rPr>
          <w:rFonts w:cs="Arial"/>
          <w:sz w:val="22"/>
          <w:szCs w:val="22"/>
        </w:rPr>
        <w:t xml:space="preserve">Shortcomings in </w:t>
      </w:r>
      <w:r w:rsidRPr="1FB22237" w:rsidR="006400C6">
        <w:rPr>
          <w:rFonts w:cs="Arial"/>
          <w:sz w:val="22"/>
          <w:szCs w:val="22"/>
        </w:rPr>
        <w:t xml:space="preserve">the </w:t>
      </w:r>
      <w:r w:rsidRPr="1FB22237" w:rsidR="00176954">
        <w:rPr>
          <w:rFonts w:cs="Arial"/>
          <w:sz w:val="22"/>
          <w:szCs w:val="22"/>
        </w:rPr>
        <w:t xml:space="preserve">OCPP delivery partner MEL systems </w:t>
      </w:r>
      <w:r w:rsidRPr="1FB22237" w:rsidR="00CF22BB">
        <w:rPr>
          <w:rFonts w:cs="Arial"/>
          <w:sz w:val="22"/>
          <w:szCs w:val="22"/>
        </w:rPr>
        <w:t>have</w:t>
      </w:r>
      <w:r w:rsidRPr="1FB22237" w:rsidR="00176954">
        <w:rPr>
          <w:rFonts w:cs="Arial"/>
          <w:sz w:val="22"/>
          <w:szCs w:val="22"/>
        </w:rPr>
        <w:t xml:space="preserve"> somewhat hampered the reporting of results and the assessment of effectiveness</w:t>
      </w:r>
      <w:r w:rsidRPr="1FB22237" w:rsidR="000D1F9C">
        <w:rPr>
          <w:rFonts w:cs="Arial"/>
          <w:sz w:val="22"/>
          <w:szCs w:val="22"/>
        </w:rPr>
        <w:t xml:space="preserve">. This has </w:t>
      </w:r>
      <w:r w:rsidRPr="1FB22237" w:rsidR="00227268">
        <w:rPr>
          <w:rFonts w:cs="Arial"/>
          <w:sz w:val="22"/>
          <w:szCs w:val="22"/>
        </w:rPr>
        <w:t>limit</w:t>
      </w:r>
      <w:r w:rsidRPr="1FB22237" w:rsidR="00D903A5">
        <w:rPr>
          <w:rFonts w:cs="Arial"/>
          <w:sz w:val="22"/>
          <w:szCs w:val="22"/>
        </w:rPr>
        <w:t>ed</w:t>
      </w:r>
      <w:r w:rsidRPr="1FB22237" w:rsidR="00227268">
        <w:rPr>
          <w:rFonts w:cs="Arial"/>
          <w:sz w:val="22"/>
          <w:szCs w:val="22"/>
        </w:rPr>
        <w:t xml:space="preserve"> the potential </w:t>
      </w:r>
      <w:r w:rsidRPr="1FB22237" w:rsidR="002309B4">
        <w:rPr>
          <w:rFonts w:cs="Arial"/>
          <w:sz w:val="22"/>
          <w:szCs w:val="22"/>
        </w:rPr>
        <w:t xml:space="preserve">for </w:t>
      </w:r>
      <w:r w:rsidRPr="1FB22237" w:rsidR="00181BA6">
        <w:rPr>
          <w:rFonts w:cs="Arial"/>
          <w:sz w:val="22"/>
          <w:szCs w:val="22"/>
        </w:rPr>
        <w:t xml:space="preserve">monitoring data </w:t>
      </w:r>
      <w:r w:rsidRPr="1FB22237" w:rsidR="002309B6">
        <w:rPr>
          <w:rFonts w:cs="Arial"/>
          <w:sz w:val="22"/>
          <w:szCs w:val="22"/>
        </w:rPr>
        <w:t xml:space="preserve">to be used to </w:t>
      </w:r>
      <w:r w:rsidRPr="1FB22237" w:rsidR="00356F49">
        <w:rPr>
          <w:rFonts w:cs="Arial"/>
          <w:sz w:val="22"/>
          <w:szCs w:val="22"/>
        </w:rPr>
        <w:t>inform strategic planning</w:t>
      </w:r>
      <w:r w:rsidRPr="1FB22237" w:rsidR="00F941D5">
        <w:rPr>
          <w:rFonts w:cs="Arial"/>
          <w:sz w:val="22"/>
          <w:szCs w:val="22"/>
        </w:rPr>
        <w:t xml:space="preserve"> </w:t>
      </w:r>
    </w:p>
    <w:p w:rsidR="0048459D" w:rsidP="002601E4" w:rsidRDefault="003378EC" w14:paraId="685FAA8C" w14:textId="4F4619B2">
      <w:pPr>
        <w:ind w:left="360"/>
        <w:rPr>
          <w:rFonts w:cs="Arial"/>
          <w:sz w:val="22"/>
          <w:szCs w:val="22"/>
        </w:rPr>
      </w:pPr>
      <w:r w:rsidRPr="00CF22BB">
        <w:rPr>
          <w:rFonts w:cs="Arial"/>
          <w:b/>
          <w:bCs/>
          <w:sz w:val="22"/>
          <w:szCs w:val="22"/>
        </w:rPr>
        <w:t>Recommendation</w:t>
      </w:r>
      <w:r w:rsidR="003344E8">
        <w:rPr>
          <w:rFonts w:cs="Arial"/>
          <w:b/>
          <w:bCs/>
          <w:sz w:val="22"/>
          <w:szCs w:val="22"/>
        </w:rPr>
        <w:t>(s)</w:t>
      </w:r>
      <w:r w:rsidRPr="00CF22BB" w:rsidR="001A38C2">
        <w:rPr>
          <w:rFonts w:cs="Arial"/>
          <w:b/>
          <w:bCs/>
          <w:sz w:val="22"/>
          <w:szCs w:val="22"/>
        </w:rPr>
        <w:t>:</w:t>
      </w:r>
      <w:r w:rsidRPr="00A50677" w:rsidR="001A38C2">
        <w:rPr>
          <w:rFonts w:cs="Arial"/>
          <w:sz w:val="22"/>
          <w:szCs w:val="22"/>
        </w:rPr>
        <w:t xml:space="preserve"> </w:t>
      </w:r>
    </w:p>
    <w:p w:rsidR="00303305" w:rsidP="001D265D" w:rsidRDefault="005A2419" w14:paraId="2C083463" w14:textId="701C476A">
      <w:pPr>
        <w:pStyle w:val="ListParagraph"/>
        <w:numPr>
          <w:ilvl w:val="0"/>
          <w:numId w:val="31"/>
        </w:numPr>
        <w:rPr>
          <w:rFonts w:cs="Arial"/>
          <w:sz w:val="22"/>
          <w:szCs w:val="22"/>
        </w:rPr>
      </w:pPr>
      <w:r w:rsidRPr="1FB22237">
        <w:rPr>
          <w:rFonts w:cs="Arial"/>
          <w:sz w:val="22"/>
          <w:szCs w:val="22"/>
        </w:rPr>
        <w:t>ALB partners</w:t>
      </w:r>
      <w:r w:rsidRPr="1FB22237" w:rsidR="00000BB8">
        <w:rPr>
          <w:rFonts w:cs="Arial"/>
          <w:sz w:val="22"/>
          <w:szCs w:val="22"/>
        </w:rPr>
        <w:t xml:space="preserve"> should ensure they have access to</w:t>
      </w:r>
      <w:r w:rsidRPr="1FB22237" w:rsidR="00303305">
        <w:rPr>
          <w:rFonts w:cs="Arial"/>
          <w:sz w:val="22"/>
          <w:szCs w:val="22"/>
        </w:rPr>
        <w:t xml:space="preserve"> dedicated MEL </w:t>
      </w:r>
      <w:r w:rsidR="00132C0D">
        <w:rPr>
          <w:rFonts w:cs="Arial"/>
          <w:sz w:val="22"/>
          <w:szCs w:val="22"/>
        </w:rPr>
        <w:t>resource</w:t>
      </w:r>
      <w:r w:rsidRPr="1FB22237" w:rsidR="00132C0D">
        <w:rPr>
          <w:rFonts w:cs="Arial"/>
          <w:sz w:val="22"/>
          <w:szCs w:val="22"/>
        </w:rPr>
        <w:t xml:space="preserve"> e.g.</w:t>
      </w:r>
      <w:r w:rsidRPr="1FB22237" w:rsidR="000038CE">
        <w:rPr>
          <w:rFonts w:cs="Arial"/>
          <w:sz w:val="22"/>
          <w:szCs w:val="22"/>
        </w:rPr>
        <w:t xml:space="preserve"> </w:t>
      </w:r>
      <w:r w:rsidRPr="1FB22237" w:rsidR="0086612F">
        <w:rPr>
          <w:rFonts w:cs="Arial"/>
          <w:sz w:val="22"/>
          <w:szCs w:val="22"/>
        </w:rPr>
        <w:t xml:space="preserve">via contracting, </w:t>
      </w:r>
      <w:r w:rsidRPr="1FB22237" w:rsidR="00303305">
        <w:rPr>
          <w:rFonts w:cs="Arial"/>
          <w:sz w:val="22"/>
          <w:szCs w:val="22"/>
        </w:rPr>
        <w:t>a new hir</w:t>
      </w:r>
      <w:r w:rsidRPr="1FB22237" w:rsidR="0086612F">
        <w:rPr>
          <w:rFonts w:cs="Arial"/>
          <w:sz w:val="22"/>
          <w:szCs w:val="22"/>
        </w:rPr>
        <w:t>e or</w:t>
      </w:r>
      <w:r w:rsidRPr="1FB22237" w:rsidR="00303305">
        <w:rPr>
          <w:rFonts w:cs="Arial"/>
          <w:sz w:val="22"/>
          <w:szCs w:val="22"/>
        </w:rPr>
        <w:t xml:space="preserve"> </w:t>
      </w:r>
      <w:r w:rsidRPr="1FB22237" w:rsidR="0086612F">
        <w:rPr>
          <w:rFonts w:cs="Arial"/>
          <w:sz w:val="22"/>
          <w:szCs w:val="22"/>
        </w:rPr>
        <w:t>the</w:t>
      </w:r>
      <w:r w:rsidRPr="1FB22237" w:rsidR="00303305">
        <w:rPr>
          <w:rFonts w:cs="Arial"/>
          <w:sz w:val="22"/>
          <w:szCs w:val="22"/>
        </w:rPr>
        <w:t xml:space="preserve"> assignment of this role to existing team members</w:t>
      </w:r>
      <w:r w:rsidRPr="1FB22237" w:rsidR="008106BB">
        <w:rPr>
          <w:rFonts w:cs="Arial"/>
          <w:sz w:val="22"/>
          <w:szCs w:val="22"/>
        </w:rPr>
        <w:t>.</w:t>
      </w:r>
    </w:p>
    <w:p w:rsidR="008106BB" w:rsidP="008106BB" w:rsidRDefault="008106BB" w14:paraId="5358B1FC" w14:textId="6097A162">
      <w:pPr>
        <w:pStyle w:val="ListParagraph"/>
        <w:ind w:left="1080"/>
        <w:rPr>
          <w:rFonts w:cs="Arial"/>
          <w:sz w:val="22"/>
          <w:szCs w:val="22"/>
        </w:rPr>
      </w:pPr>
      <w:r w:rsidRPr="008106BB">
        <w:rPr>
          <w:rFonts w:cs="Arial"/>
          <w:b/>
          <w:bCs/>
          <w:sz w:val="22"/>
          <w:szCs w:val="22"/>
        </w:rPr>
        <w:t>Lead(s):</w:t>
      </w:r>
      <w:r>
        <w:rPr>
          <w:rFonts w:cs="Arial"/>
          <w:sz w:val="22"/>
          <w:szCs w:val="22"/>
        </w:rPr>
        <w:t xml:space="preserve"> ALB </w:t>
      </w:r>
      <w:r w:rsidR="006161C0">
        <w:rPr>
          <w:rFonts w:cs="Arial"/>
          <w:sz w:val="22"/>
          <w:szCs w:val="22"/>
        </w:rPr>
        <w:t xml:space="preserve">delivery </w:t>
      </w:r>
      <w:r>
        <w:rPr>
          <w:rFonts w:cs="Arial"/>
          <w:sz w:val="22"/>
          <w:szCs w:val="22"/>
        </w:rPr>
        <w:t>partners</w:t>
      </w:r>
    </w:p>
    <w:p w:rsidR="00063823" w:rsidP="008106BB" w:rsidRDefault="008106BB" w14:paraId="30D4E7D1" w14:textId="17AB5140">
      <w:pPr>
        <w:pStyle w:val="ListParagraph"/>
        <w:ind w:left="1080"/>
        <w:rPr>
          <w:rFonts w:cs="Arial"/>
          <w:sz w:val="22"/>
          <w:szCs w:val="22"/>
        </w:rPr>
      </w:pPr>
      <w:r w:rsidRPr="008106BB">
        <w:rPr>
          <w:rFonts w:cs="Arial"/>
          <w:b/>
          <w:bCs/>
          <w:sz w:val="22"/>
          <w:szCs w:val="22"/>
        </w:rPr>
        <w:t>Deadline:</w:t>
      </w:r>
      <w:r w:rsidRPr="00063823" w:rsidR="00063823">
        <w:rPr>
          <w:rFonts w:cs="Arial"/>
          <w:sz w:val="22"/>
          <w:szCs w:val="22"/>
        </w:rPr>
        <w:t xml:space="preserve"> </w:t>
      </w:r>
      <w:r w:rsidRPr="00A46F27" w:rsidR="00545C98">
        <w:rPr>
          <w:rFonts w:cs="Arial"/>
          <w:sz w:val="22"/>
          <w:szCs w:val="22"/>
        </w:rPr>
        <w:t>By end of FY 24/25</w:t>
      </w:r>
    </w:p>
    <w:p w:rsidRPr="00023E24" w:rsidR="00545C98" w:rsidP="008106BB" w:rsidRDefault="00545C98" w14:paraId="41FA3BD1" w14:textId="77777777">
      <w:pPr>
        <w:pStyle w:val="ListParagraph"/>
        <w:ind w:left="1080"/>
        <w:rPr>
          <w:rFonts w:cs="Arial"/>
          <w:sz w:val="22"/>
          <w:szCs w:val="22"/>
        </w:rPr>
      </w:pPr>
    </w:p>
    <w:p w:rsidRPr="006672E7" w:rsidR="008106BB" w:rsidP="001D265D" w:rsidRDefault="00730F93" w14:paraId="14FB642A" w14:textId="61A047B9">
      <w:pPr>
        <w:pStyle w:val="ListParagraph"/>
        <w:numPr>
          <w:ilvl w:val="0"/>
          <w:numId w:val="31"/>
        </w:numPr>
        <w:rPr>
          <w:rFonts w:cs="Arial"/>
          <w:sz w:val="22"/>
          <w:szCs w:val="22"/>
        </w:rPr>
      </w:pPr>
      <w:r w:rsidRPr="006672E7">
        <w:rPr>
          <w:rFonts w:cs="Arial"/>
          <w:sz w:val="22"/>
          <w:szCs w:val="22"/>
        </w:rPr>
        <w:t xml:space="preserve">Delivery Partner </w:t>
      </w:r>
      <w:r w:rsidRPr="006672E7" w:rsidR="00A63312">
        <w:rPr>
          <w:rFonts w:cs="Arial"/>
          <w:sz w:val="22"/>
          <w:szCs w:val="22"/>
        </w:rPr>
        <w:t xml:space="preserve">Programme </w:t>
      </w:r>
      <w:r w:rsidRPr="006672E7" w:rsidR="00191336">
        <w:rPr>
          <w:rFonts w:cs="Arial"/>
          <w:sz w:val="22"/>
          <w:szCs w:val="22"/>
        </w:rPr>
        <w:t xml:space="preserve">Directors </w:t>
      </w:r>
      <w:r w:rsidRPr="006672E7" w:rsidR="00072459">
        <w:rPr>
          <w:rFonts w:cs="Arial"/>
          <w:sz w:val="22"/>
          <w:szCs w:val="22"/>
        </w:rPr>
        <w:t>need</w:t>
      </w:r>
      <w:r w:rsidRPr="006672E7" w:rsidR="00CE4C35">
        <w:rPr>
          <w:rFonts w:cs="Arial"/>
          <w:sz w:val="22"/>
          <w:szCs w:val="22"/>
        </w:rPr>
        <w:t xml:space="preserve"> to</w:t>
      </w:r>
      <w:r w:rsidRPr="006672E7" w:rsidR="003360F0">
        <w:rPr>
          <w:rFonts w:cs="Arial"/>
          <w:sz w:val="22"/>
          <w:szCs w:val="22"/>
        </w:rPr>
        <w:t xml:space="preserve"> ensure </w:t>
      </w:r>
      <w:r w:rsidRPr="006672E7" w:rsidR="00F822D6">
        <w:rPr>
          <w:rFonts w:cs="Arial"/>
          <w:sz w:val="22"/>
          <w:szCs w:val="22"/>
        </w:rPr>
        <w:t xml:space="preserve">delivery teams </w:t>
      </w:r>
      <w:r w:rsidRPr="006672E7" w:rsidR="00726AD4">
        <w:rPr>
          <w:rFonts w:cs="Arial"/>
          <w:sz w:val="22"/>
          <w:szCs w:val="22"/>
        </w:rPr>
        <w:t xml:space="preserve">understand </w:t>
      </w:r>
      <w:r w:rsidRPr="006672E7" w:rsidR="00256E55">
        <w:rPr>
          <w:rFonts w:cs="Arial"/>
          <w:sz w:val="22"/>
          <w:szCs w:val="22"/>
        </w:rPr>
        <w:t>that</w:t>
      </w:r>
      <w:r w:rsidRPr="006672E7" w:rsidR="00726AD4">
        <w:rPr>
          <w:rFonts w:cs="Arial"/>
          <w:sz w:val="22"/>
          <w:szCs w:val="22"/>
        </w:rPr>
        <w:t xml:space="preserve"> MEL </w:t>
      </w:r>
      <w:r w:rsidRPr="006672E7" w:rsidR="00256E55">
        <w:rPr>
          <w:rFonts w:cs="Arial"/>
          <w:sz w:val="22"/>
          <w:szCs w:val="22"/>
        </w:rPr>
        <w:t xml:space="preserve">is foundational </w:t>
      </w:r>
      <w:r w:rsidRPr="006672E7" w:rsidR="00072459">
        <w:rPr>
          <w:rFonts w:cs="Arial"/>
          <w:sz w:val="22"/>
          <w:szCs w:val="22"/>
        </w:rPr>
        <w:t>to the delivery of the programme</w:t>
      </w:r>
      <w:r w:rsidRPr="006672E7" w:rsidR="002437D1">
        <w:rPr>
          <w:rFonts w:cs="Arial"/>
          <w:sz w:val="22"/>
          <w:szCs w:val="22"/>
        </w:rPr>
        <w:t xml:space="preserve"> and </w:t>
      </w:r>
      <w:r w:rsidRPr="006672E7" w:rsidR="00D14A74">
        <w:rPr>
          <w:rFonts w:cs="Arial"/>
          <w:sz w:val="22"/>
          <w:szCs w:val="22"/>
        </w:rPr>
        <w:t>not su</w:t>
      </w:r>
      <w:r w:rsidRPr="006672E7" w:rsidR="006672E7">
        <w:rPr>
          <w:rFonts w:cs="Arial"/>
          <w:sz w:val="22"/>
          <w:szCs w:val="22"/>
        </w:rPr>
        <w:t>pplemental.</w:t>
      </w:r>
    </w:p>
    <w:p w:rsidRPr="00787466" w:rsidR="006672E7" w:rsidP="00787466" w:rsidRDefault="006672E7" w14:paraId="76A3B8B4" w14:textId="2559ECA4">
      <w:pPr>
        <w:pStyle w:val="ListParagraph"/>
        <w:ind w:left="1134"/>
        <w:rPr>
          <w:rFonts w:cs="Arial"/>
          <w:sz w:val="22"/>
          <w:szCs w:val="22"/>
        </w:rPr>
      </w:pPr>
      <w:r w:rsidRPr="36549105">
        <w:rPr>
          <w:rFonts w:cs="Arial"/>
          <w:b/>
          <w:bCs/>
          <w:sz w:val="22"/>
          <w:szCs w:val="22"/>
        </w:rPr>
        <w:t xml:space="preserve">Lead(s): </w:t>
      </w:r>
      <w:r w:rsidR="00787466">
        <w:rPr>
          <w:rFonts w:cs="Arial"/>
          <w:sz w:val="22"/>
          <w:szCs w:val="22"/>
        </w:rPr>
        <w:t xml:space="preserve"> All OCPP d</w:t>
      </w:r>
      <w:r w:rsidRPr="003846D9" w:rsidR="00787466">
        <w:rPr>
          <w:rFonts w:cs="Arial"/>
          <w:sz w:val="22"/>
          <w:szCs w:val="22"/>
        </w:rPr>
        <w:t>elivery</w:t>
      </w:r>
      <w:r w:rsidR="00787466">
        <w:rPr>
          <w:rFonts w:cs="Arial"/>
          <w:sz w:val="22"/>
          <w:szCs w:val="22"/>
        </w:rPr>
        <w:t xml:space="preserve"> partners</w:t>
      </w:r>
    </w:p>
    <w:p w:rsidR="00063823" w:rsidP="006672E7" w:rsidRDefault="006672E7" w14:paraId="642D12D3" w14:textId="5591D551">
      <w:pPr>
        <w:pStyle w:val="ListParagraph"/>
        <w:ind w:left="1080"/>
        <w:rPr>
          <w:rFonts w:cs="Arial"/>
          <w:sz w:val="22"/>
          <w:szCs w:val="22"/>
        </w:rPr>
      </w:pPr>
      <w:r>
        <w:rPr>
          <w:rFonts w:cs="Arial"/>
          <w:b/>
          <w:bCs/>
          <w:sz w:val="22"/>
          <w:szCs w:val="22"/>
        </w:rPr>
        <w:t xml:space="preserve">Deadline: </w:t>
      </w:r>
      <w:r w:rsidRPr="00A46F27" w:rsidR="00545C98">
        <w:rPr>
          <w:rFonts w:cs="Arial"/>
          <w:sz w:val="22"/>
          <w:szCs w:val="22"/>
        </w:rPr>
        <w:t>By end of FY 24/25</w:t>
      </w:r>
    </w:p>
    <w:p w:rsidR="00545C98" w:rsidP="006672E7" w:rsidRDefault="00545C98" w14:paraId="5E9B40B9" w14:textId="77777777">
      <w:pPr>
        <w:pStyle w:val="ListParagraph"/>
        <w:ind w:left="1080"/>
        <w:rPr>
          <w:rFonts w:cs="Arial"/>
          <w:b/>
          <w:bCs/>
          <w:sz w:val="22"/>
          <w:szCs w:val="22"/>
        </w:rPr>
      </w:pPr>
    </w:p>
    <w:p w:rsidRPr="003E5C9F" w:rsidR="00A35617" w:rsidP="001D265D" w:rsidRDefault="001726CE" w14:paraId="2214F56B" w14:textId="33EA2317">
      <w:pPr>
        <w:pStyle w:val="ListParagraph"/>
        <w:numPr>
          <w:ilvl w:val="0"/>
          <w:numId w:val="31"/>
        </w:numPr>
        <w:rPr>
          <w:rFonts w:cs="Arial"/>
          <w:b/>
          <w:bCs/>
          <w:sz w:val="22"/>
          <w:szCs w:val="22"/>
        </w:rPr>
      </w:pPr>
      <w:r>
        <w:rPr>
          <w:rFonts w:cs="Arial"/>
          <w:sz w:val="22"/>
          <w:szCs w:val="22"/>
        </w:rPr>
        <w:t xml:space="preserve">GOAP </w:t>
      </w:r>
      <w:r w:rsidR="00A14FFE">
        <w:rPr>
          <w:rFonts w:cs="Arial"/>
          <w:sz w:val="22"/>
          <w:szCs w:val="22"/>
        </w:rPr>
        <w:t>needs to explore ways of demonstrating evidence of use of ocean accounts in evidenced-based policy making</w:t>
      </w:r>
      <w:r w:rsidR="0056342F">
        <w:rPr>
          <w:rFonts w:cs="Arial"/>
          <w:sz w:val="22"/>
          <w:szCs w:val="22"/>
        </w:rPr>
        <w:t>,</w:t>
      </w:r>
      <w:r w:rsidR="00E35709">
        <w:rPr>
          <w:rFonts w:cs="Arial"/>
          <w:sz w:val="22"/>
          <w:szCs w:val="22"/>
        </w:rPr>
        <w:t xml:space="preserve"> to </w:t>
      </w:r>
      <w:r w:rsidR="00EC03A1">
        <w:rPr>
          <w:rFonts w:cs="Arial"/>
          <w:sz w:val="22"/>
          <w:szCs w:val="22"/>
        </w:rPr>
        <w:t xml:space="preserve">remove </w:t>
      </w:r>
      <w:r w:rsidR="003E5C9F">
        <w:rPr>
          <w:rFonts w:cs="Arial"/>
          <w:sz w:val="22"/>
          <w:szCs w:val="22"/>
        </w:rPr>
        <w:t>constraints</w:t>
      </w:r>
      <w:r w:rsidR="00EC03A1">
        <w:rPr>
          <w:rFonts w:cs="Arial"/>
          <w:sz w:val="22"/>
          <w:szCs w:val="22"/>
        </w:rPr>
        <w:t xml:space="preserve"> in GOAP’s reporting </w:t>
      </w:r>
      <w:r w:rsidR="002C4A9B">
        <w:rPr>
          <w:rFonts w:cs="Arial"/>
          <w:sz w:val="22"/>
          <w:szCs w:val="22"/>
        </w:rPr>
        <w:t xml:space="preserve">on use of ocean accounts </w:t>
      </w:r>
      <w:r w:rsidR="0003294D">
        <w:rPr>
          <w:rFonts w:cs="Arial"/>
          <w:sz w:val="22"/>
          <w:szCs w:val="22"/>
        </w:rPr>
        <w:t xml:space="preserve">into the OCPP </w:t>
      </w:r>
      <w:r w:rsidR="003E5C9F">
        <w:rPr>
          <w:rFonts w:cs="Arial"/>
          <w:sz w:val="22"/>
          <w:szCs w:val="22"/>
        </w:rPr>
        <w:t>logframe.</w:t>
      </w:r>
    </w:p>
    <w:p w:rsidR="0065244B" w:rsidP="0065244B" w:rsidRDefault="0065244B" w14:paraId="5AC34F6B" w14:textId="2C028F39">
      <w:pPr>
        <w:pStyle w:val="ListParagraph"/>
        <w:ind w:left="1080"/>
        <w:rPr>
          <w:rFonts w:cs="Arial"/>
          <w:sz w:val="22"/>
          <w:szCs w:val="22"/>
        </w:rPr>
      </w:pPr>
      <w:r w:rsidRPr="00FE7709">
        <w:rPr>
          <w:rFonts w:cs="Arial"/>
          <w:b/>
          <w:bCs/>
          <w:sz w:val="22"/>
          <w:szCs w:val="22"/>
        </w:rPr>
        <w:t>Lead(s):</w:t>
      </w:r>
      <w:r>
        <w:rPr>
          <w:rFonts w:cs="Arial"/>
          <w:sz w:val="22"/>
          <w:szCs w:val="22"/>
        </w:rPr>
        <w:t xml:space="preserve"> GOAP</w:t>
      </w:r>
    </w:p>
    <w:p w:rsidRPr="00D74BBF" w:rsidR="00B876FE" w:rsidP="004145AC" w:rsidRDefault="0065244B" w14:paraId="68D0B997" w14:textId="353FBD1D">
      <w:pPr>
        <w:pStyle w:val="ListParagraph"/>
        <w:ind w:left="1080"/>
        <w:rPr>
          <w:rFonts w:cs="Arial"/>
          <w:sz w:val="22"/>
          <w:szCs w:val="22"/>
        </w:rPr>
      </w:pPr>
      <w:r w:rsidRPr="36549105">
        <w:rPr>
          <w:rFonts w:cs="Arial"/>
          <w:b/>
          <w:bCs/>
          <w:sz w:val="22"/>
          <w:szCs w:val="22"/>
        </w:rPr>
        <w:t>Deadline:</w:t>
      </w:r>
      <w:r w:rsidRPr="36549105" w:rsidR="00023E24">
        <w:rPr>
          <w:rFonts w:cs="Arial"/>
          <w:b/>
          <w:bCs/>
          <w:sz w:val="22"/>
          <w:szCs w:val="22"/>
        </w:rPr>
        <w:t xml:space="preserve"> </w:t>
      </w:r>
      <w:r w:rsidRPr="00D74BBF" w:rsidR="003B34B0">
        <w:rPr>
          <w:rFonts w:cs="Arial"/>
          <w:sz w:val="22"/>
          <w:szCs w:val="22"/>
        </w:rPr>
        <w:t xml:space="preserve">By </w:t>
      </w:r>
      <w:r w:rsidRPr="00D74BBF" w:rsidR="1949C5BF">
        <w:rPr>
          <w:rFonts w:cs="Arial"/>
          <w:sz w:val="22"/>
          <w:szCs w:val="22"/>
        </w:rPr>
        <w:t>March</w:t>
      </w:r>
      <w:r w:rsidRPr="00D74BBF" w:rsidR="003B34B0">
        <w:rPr>
          <w:rFonts w:cs="Arial"/>
          <w:sz w:val="22"/>
          <w:szCs w:val="22"/>
        </w:rPr>
        <w:t xml:space="preserve"> 2025</w:t>
      </w:r>
    </w:p>
    <w:p w:rsidRPr="004145AC" w:rsidR="004145AC" w:rsidP="004145AC" w:rsidRDefault="004145AC" w14:paraId="34278C7A" w14:textId="77777777">
      <w:pPr>
        <w:pStyle w:val="ListParagraph"/>
        <w:ind w:left="1080"/>
        <w:rPr>
          <w:rFonts w:cs="Arial"/>
          <w:b/>
          <w:bCs/>
          <w:sz w:val="22"/>
          <w:szCs w:val="22"/>
        </w:rPr>
      </w:pPr>
    </w:p>
    <w:p w:rsidR="00F53422" w:rsidP="009A159B" w:rsidRDefault="00B876FE" w14:paraId="2C8E1ACD" w14:textId="6C9A4F2B">
      <w:pPr>
        <w:pStyle w:val="ListParagraph"/>
        <w:numPr>
          <w:ilvl w:val="0"/>
          <w:numId w:val="46"/>
        </w:numPr>
        <w:rPr>
          <w:rFonts w:cs="Arial"/>
          <w:sz w:val="22"/>
          <w:szCs w:val="22"/>
        </w:rPr>
      </w:pPr>
      <w:r w:rsidRPr="550096DF">
        <w:rPr>
          <w:rFonts w:cs="Arial"/>
          <w:b/>
          <w:bCs/>
          <w:sz w:val="22"/>
          <w:szCs w:val="22"/>
        </w:rPr>
        <w:t xml:space="preserve">Lesson: </w:t>
      </w:r>
      <w:r w:rsidRPr="550096DF" w:rsidR="00C21DB8">
        <w:rPr>
          <w:rFonts w:cs="Arial"/>
          <w:sz w:val="22"/>
          <w:szCs w:val="22"/>
        </w:rPr>
        <w:t>Programme governance including decision-making, approvals and escalation need to be streamlined</w:t>
      </w:r>
      <w:r w:rsidRPr="550096DF" w:rsidR="00C21DB8">
        <w:rPr>
          <w:rFonts w:cs="Arial"/>
          <w:b/>
          <w:bCs/>
          <w:sz w:val="22"/>
          <w:szCs w:val="22"/>
        </w:rPr>
        <w:t>.</w:t>
      </w:r>
      <w:r w:rsidRPr="550096DF" w:rsidR="00B97F4B">
        <w:rPr>
          <w:rFonts w:cs="Arial"/>
          <w:b/>
          <w:bCs/>
          <w:sz w:val="22"/>
          <w:szCs w:val="22"/>
        </w:rPr>
        <w:t xml:space="preserve"> </w:t>
      </w:r>
      <w:r w:rsidRPr="550096DF" w:rsidR="00B97F4B">
        <w:rPr>
          <w:rFonts w:cs="Arial"/>
          <w:sz w:val="22"/>
          <w:szCs w:val="22"/>
        </w:rPr>
        <w:t>Delays in approvals from Defra have reduced efficiency of programme delivery</w:t>
      </w:r>
      <w:r w:rsidRPr="550096DF" w:rsidR="00DC06F9">
        <w:rPr>
          <w:rFonts w:cs="Arial"/>
          <w:sz w:val="22"/>
          <w:szCs w:val="22"/>
        </w:rPr>
        <w:t xml:space="preserve">. </w:t>
      </w:r>
      <w:r w:rsidRPr="550096DF" w:rsidR="0079159F">
        <w:rPr>
          <w:rFonts w:cs="Arial"/>
          <w:sz w:val="22"/>
          <w:szCs w:val="22"/>
        </w:rPr>
        <w:t xml:space="preserve">The programme’s previous </w:t>
      </w:r>
      <w:r w:rsidR="00C14357">
        <w:rPr>
          <w:rFonts w:cs="Arial"/>
          <w:sz w:val="22"/>
          <w:szCs w:val="22"/>
        </w:rPr>
        <w:t>a</w:t>
      </w:r>
      <w:r w:rsidRPr="550096DF" w:rsidR="00B97F4B">
        <w:rPr>
          <w:rFonts w:cs="Arial"/>
          <w:sz w:val="22"/>
          <w:szCs w:val="22"/>
        </w:rPr>
        <w:t xml:space="preserve">nnual </w:t>
      </w:r>
      <w:r w:rsidR="00C14357">
        <w:rPr>
          <w:rFonts w:cs="Arial"/>
          <w:sz w:val="22"/>
          <w:szCs w:val="22"/>
        </w:rPr>
        <w:t>r</w:t>
      </w:r>
      <w:r w:rsidRPr="550096DF" w:rsidR="00B97F4B">
        <w:rPr>
          <w:rFonts w:cs="Arial"/>
          <w:sz w:val="22"/>
          <w:szCs w:val="22"/>
        </w:rPr>
        <w:t xml:space="preserve">eview </w:t>
      </w:r>
      <w:r w:rsidRPr="550096DF" w:rsidR="00132856">
        <w:rPr>
          <w:rFonts w:cs="Arial"/>
          <w:sz w:val="22"/>
          <w:szCs w:val="22"/>
        </w:rPr>
        <w:t>ackn</w:t>
      </w:r>
      <w:r w:rsidRPr="550096DF" w:rsidR="008B6AE2">
        <w:rPr>
          <w:rFonts w:cs="Arial"/>
          <w:sz w:val="22"/>
          <w:szCs w:val="22"/>
        </w:rPr>
        <w:t>owledged the</w:t>
      </w:r>
      <w:r w:rsidRPr="550096DF" w:rsidR="00B97F4B">
        <w:rPr>
          <w:rFonts w:cs="Arial"/>
          <w:sz w:val="22"/>
          <w:szCs w:val="22"/>
        </w:rPr>
        <w:t xml:space="preserve"> need for faster turnaround times, </w:t>
      </w:r>
      <w:r w:rsidRPr="550096DF" w:rsidR="008B6AE2">
        <w:rPr>
          <w:rFonts w:cs="Arial"/>
          <w:sz w:val="22"/>
          <w:szCs w:val="22"/>
        </w:rPr>
        <w:t xml:space="preserve">progress has been made </w:t>
      </w:r>
      <w:r w:rsidRPr="550096DF" w:rsidR="00A83063">
        <w:rPr>
          <w:rFonts w:cs="Arial"/>
          <w:sz w:val="22"/>
          <w:szCs w:val="22"/>
        </w:rPr>
        <w:t>but has been slowed due to periods of limited staff resource</w:t>
      </w:r>
      <w:r w:rsidR="000E5F41">
        <w:rPr>
          <w:rFonts w:cs="Arial"/>
          <w:sz w:val="22"/>
          <w:szCs w:val="22"/>
        </w:rPr>
        <w:t xml:space="preserve"> and staff turnover.</w:t>
      </w:r>
      <w:r w:rsidRPr="550096DF" w:rsidR="00A83063">
        <w:rPr>
          <w:rFonts w:cs="Arial"/>
          <w:sz w:val="22"/>
          <w:szCs w:val="22"/>
        </w:rPr>
        <w:t xml:space="preserve"> </w:t>
      </w:r>
      <w:r w:rsidR="00E368E3">
        <w:rPr>
          <w:rFonts w:cs="Arial"/>
          <w:sz w:val="22"/>
          <w:szCs w:val="22"/>
        </w:rPr>
        <w:t>T</w:t>
      </w:r>
      <w:r w:rsidRPr="550096DF" w:rsidR="00E368E3">
        <w:rPr>
          <w:rFonts w:cs="Arial"/>
          <w:sz w:val="22"/>
          <w:szCs w:val="22"/>
        </w:rPr>
        <w:t>hough</w:t>
      </w:r>
      <w:r w:rsidRPr="550096DF" w:rsidR="00677C1E">
        <w:rPr>
          <w:rFonts w:cs="Arial"/>
          <w:sz w:val="22"/>
          <w:szCs w:val="22"/>
        </w:rPr>
        <w:t xml:space="preserve"> a delegated authority table is in place</w:t>
      </w:r>
      <w:r w:rsidRPr="550096DF" w:rsidR="001F7EE4">
        <w:rPr>
          <w:rFonts w:cs="Arial"/>
          <w:sz w:val="22"/>
          <w:szCs w:val="22"/>
        </w:rPr>
        <w:t xml:space="preserve"> for ALB</w:t>
      </w:r>
      <w:r w:rsidRPr="550096DF" w:rsidR="00C21D62">
        <w:rPr>
          <w:rFonts w:cs="Arial"/>
          <w:sz w:val="22"/>
          <w:szCs w:val="22"/>
        </w:rPr>
        <w:t xml:space="preserve"> delivery</w:t>
      </w:r>
      <w:r w:rsidRPr="550096DF" w:rsidR="00EB6BB2">
        <w:rPr>
          <w:rFonts w:cs="Arial"/>
          <w:sz w:val="22"/>
          <w:szCs w:val="22"/>
        </w:rPr>
        <w:t xml:space="preserve">, </w:t>
      </w:r>
      <w:r w:rsidRPr="550096DF" w:rsidR="007D158C">
        <w:rPr>
          <w:rFonts w:cs="Arial"/>
          <w:sz w:val="22"/>
          <w:szCs w:val="22"/>
        </w:rPr>
        <w:t>it has been utilised inconsistently</w:t>
      </w:r>
      <w:r w:rsidRPr="550096DF" w:rsidR="00B97F4B">
        <w:rPr>
          <w:rFonts w:cs="Arial"/>
          <w:sz w:val="22"/>
          <w:szCs w:val="22"/>
        </w:rPr>
        <w:t>.</w:t>
      </w:r>
      <w:r w:rsidRPr="550096DF" w:rsidR="008552A2">
        <w:rPr>
          <w:rFonts w:cs="Arial"/>
          <w:sz w:val="22"/>
          <w:szCs w:val="22"/>
        </w:rPr>
        <w:t xml:space="preserve"> </w:t>
      </w:r>
      <w:r w:rsidRPr="550096DF" w:rsidR="00E856E5">
        <w:rPr>
          <w:rFonts w:cs="Arial"/>
          <w:sz w:val="22"/>
          <w:szCs w:val="22"/>
        </w:rPr>
        <w:t xml:space="preserve">The interim evaluation </w:t>
      </w:r>
      <w:r w:rsidRPr="550096DF" w:rsidR="00F53422">
        <w:rPr>
          <w:rFonts w:cs="Arial"/>
          <w:sz w:val="22"/>
          <w:szCs w:val="22"/>
        </w:rPr>
        <w:t>has found the</w:t>
      </w:r>
      <w:r w:rsidRPr="550096DF" w:rsidR="00B97F4B">
        <w:rPr>
          <w:rFonts w:cs="Arial"/>
          <w:sz w:val="22"/>
          <w:szCs w:val="22"/>
        </w:rPr>
        <w:t xml:space="preserve"> </w:t>
      </w:r>
      <w:r w:rsidRPr="550096DF" w:rsidR="00552756">
        <w:rPr>
          <w:rFonts w:cs="Arial"/>
          <w:sz w:val="22"/>
          <w:szCs w:val="22"/>
        </w:rPr>
        <w:t xml:space="preserve">ALB </w:t>
      </w:r>
      <w:r w:rsidRPr="550096DF" w:rsidR="00B97F4B">
        <w:rPr>
          <w:rFonts w:cs="Arial"/>
          <w:sz w:val="22"/>
          <w:szCs w:val="22"/>
        </w:rPr>
        <w:t xml:space="preserve">annual work planning process </w:t>
      </w:r>
      <w:r w:rsidRPr="550096DF" w:rsidR="00F53422">
        <w:rPr>
          <w:rFonts w:cs="Arial"/>
          <w:sz w:val="22"/>
          <w:szCs w:val="22"/>
        </w:rPr>
        <w:t xml:space="preserve">to be </w:t>
      </w:r>
      <w:r w:rsidRPr="550096DF" w:rsidR="00B97F4B">
        <w:rPr>
          <w:rFonts w:cs="Arial"/>
          <w:sz w:val="22"/>
          <w:szCs w:val="22"/>
        </w:rPr>
        <w:t xml:space="preserve">reactive </w:t>
      </w:r>
      <w:r w:rsidR="00944EF2">
        <w:rPr>
          <w:rFonts w:cs="Arial"/>
          <w:sz w:val="22"/>
          <w:szCs w:val="22"/>
        </w:rPr>
        <w:t xml:space="preserve">rather than strategic </w:t>
      </w:r>
      <w:r w:rsidRPr="550096DF" w:rsidR="00B97F4B">
        <w:rPr>
          <w:rFonts w:cs="Arial"/>
          <w:sz w:val="22"/>
          <w:szCs w:val="22"/>
        </w:rPr>
        <w:t xml:space="preserve">and </w:t>
      </w:r>
      <w:r w:rsidRPr="00944EF2" w:rsidR="00944EF2">
        <w:rPr>
          <w:rFonts w:cs="Arial"/>
          <w:sz w:val="22"/>
          <w:szCs w:val="22"/>
        </w:rPr>
        <w:t>40</w:t>
      </w:r>
      <w:r w:rsidR="00944EF2">
        <w:rPr>
          <w:rFonts w:cs="Arial"/>
          <w:sz w:val="22"/>
          <w:szCs w:val="22"/>
        </w:rPr>
        <w:t>%</w:t>
      </w:r>
      <w:r w:rsidRPr="00944EF2" w:rsidR="00944EF2">
        <w:rPr>
          <w:rFonts w:cs="Arial"/>
          <w:sz w:val="22"/>
          <w:szCs w:val="22"/>
        </w:rPr>
        <w:t xml:space="preserve"> of ALB personnel interviewed </w:t>
      </w:r>
      <w:r w:rsidR="00944EF2">
        <w:rPr>
          <w:rFonts w:cs="Arial"/>
          <w:sz w:val="22"/>
          <w:szCs w:val="22"/>
        </w:rPr>
        <w:t xml:space="preserve">felt the process was </w:t>
      </w:r>
      <w:r w:rsidRPr="550096DF" w:rsidR="00B97F4B">
        <w:rPr>
          <w:rFonts w:cs="Arial"/>
          <w:sz w:val="22"/>
          <w:szCs w:val="22"/>
        </w:rPr>
        <w:t>inefficient</w:t>
      </w:r>
      <w:r w:rsidRPr="550096DF" w:rsidR="00CA322E">
        <w:rPr>
          <w:rFonts w:cs="Arial"/>
          <w:sz w:val="22"/>
          <w:szCs w:val="22"/>
        </w:rPr>
        <w:t>.</w:t>
      </w:r>
    </w:p>
    <w:p w:rsidR="00F53422" w:rsidP="00F53422" w:rsidRDefault="00F53422" w14:paraId="392447DA" w14:textId="77777777">
      <w:pPr>
        <w:pStyle w:val="ListParagraph"/>
        <w:ind w:left="360"/>
        <w:rPr>
          <w:rFonts w:cs="Arial"/>
          <w:sz w:val="22"/>
          <w:szCs w:val="22"/>
        </w:rPr>
      </w:pPr>
    </w:p>
    <w:p w:rsidRPr="00A46513" w:rsidR="00DF101E" w:rsidP="00A46513" w:rsidRDefault="003378EC" w14:paraId="64BEEC14" w14:textId="0E2B7F76">
      <w:pPr>
        <w:pStyle w:val="ListParagraph"/>
        <w:ind w:left="360"/>
        <w:rPr>
          <w:rFonts w:cs="Arial"/>
          <w:b/>
          <w:bCs/>
          <w:sz w:val="22"/>
          <w:szCs w:val="22"/>
        </w:rPr>
      </w:pPr>
      <w:r w:rsidRPr="00F53422">
        <w:rPr>
          <w:rFonts w:cs="Arial"/>
          <w:b/>
          <w:bCs/>
          <w:sz w:val="22"/>
          <w:szCs w:val="22"/>
        </w:rPr>
        <w:t>Recommendation</w:t>
      </w:r>
      <w:r w:rsidR="003344E8">
        <w:rPr>
          <w:rFonts w:cs="Arial"/>
          <w:b/>
          <w:bCs/>
          <w:sz w:val="22"/>
          <w:szCs w:val="22"/>
        </w:rPr>
        <w:t>(s)</w:t>
      </w:r>
      <w:r w:rsidRPr="00F53422" w:rsidR="00B876FE">
        <w:rPr>
          <w:rFonts w:cs="Arial"/>
          <w:b/>
          <w:bCs/>
          <w:sz w:val="22"/>
          <w:szCs w:val="22"/>
        </w:rPr>
        <w:t xml:space="preserve">: </w:t>
      </w:r>
    </w:p>
    <w:p w:rsidR="00DF101E" w:rsidP="001D265D" w:rsidRDefault="00DF101E" w14:paraId="1AA59D0D" w14:textId="69AD0248">
      <w:pPr>
        <w:pStyle w:val="ListParagraph"/>
        <w:numPr>
          <w:ilvl w:val="0"/>
          <w:numId w:val="32"/>
        </w:numPr>
        <w:rPr>
          <w:rFonts w:cs="Arial"/>
          <w:sz w:val="22"/>
          <w:szCs w:val="22"/>
        </w:rPr>
      </w:pPr>
      <w:r w:rsidRPr="00DF101E">
        <w:rPr>
          <w:rFonts w:cs="Arial"/>
          <w:sz w:val="22"/>
          <w:szCs w:val="22"/>
        </w:rPr>
        <w:t xml:space="preserve">Defra programme management should seek to respond to delivery partner queries and decision-making </w:t>
      </w:r>
      <w:r w:rsidR="0044181D">
        <w:rPr>
          <w:rFonts w:cs="Arial"/>
          <w:sz w:val="22"/>
          <w:szCs w:val="22"/>
        </w:rPr>
        <w:t xml:space="preserve">requests </w:t>
      </w:r>
      <w:r w:rsidR="00181AD8">
        <w:rPr>
          <w:rFonts w:cs="Arial"/>
          <w:sz w:val="22"/>
          <w:szCs w:val="22"/>
        </w:rPr>
        <w:t>with</w:t>
      </w:r>
      <w:r w:rsidR="00C11CB1">
        <w:rPr>
          <w:rFonts w:cs="Arial"/>
          <w:sz w:val="22"/>
          <w:szCs w:val="22"/>
        </w:rPr>
        <w:t>in a two-week</w:t>
      </w:r>
      <w:r w:rsidR="00181AD8">
        <w:rPr>
          <w:rFonts w:cs="Arial"/>
          <w:sz w:val="22"/>
          <w:szCs w:val="22"/>
        </w:rPr>
        <w:t xml:space="preserve"> </w:t>
      </w:r>
      <w:r w:rsidR="00C11CB1">
        <w:rPr>
          <w:rFonts w:cs="Arial"/>
          <w:sz w:val="22"/>
          <w:szCs w:val="22"/>
        </w:rPr>
        <w:t>response time.</w:t>
      </w:r>
    </w:p>
    <w:p w:rsidRPr="00C11CB1" w:rsidR="00C11CB1" w:rsidP="00C11CB1" w:rsidRDefault="00C11CB1" w14:paraId="2BD7D16C" w14:textId="707011B9">
      <w:pPr>
        <w:pStyle w:val="ListParagraph"/>
        <w:ind w:left="1080"/>
        <w:rPr>
          <w:rFonts w:cs="Arial"/>
          <w:sz w:val="22"/>
          <w:szCs w:val="22"/>
        </w:rPr>
      </w:pPr>
      <w:r w:rsidRPr="00C11CB1">
        <w:rPr>
          <w:rFonts w:cs="Arial"/>
          <w:b/>
          <w:bCs/>
          <w:sz w:val="22"/>
          <w:szCs w:val="22"/>
        </w:rPr>
        <w:t>Lead(s):</w:t>
      </w:r>
      <w:r>
        <w:rPr>
          <w:rFonts w:cs="Arial"/>
          <w:b/>
          <w:bCs/>
          <w:sz w:val="22"/>
          <w:szCs w:val="22"/>
        </w:rPr>
        <w:t xml:space="preserve"> </w:t>
      </w:r>
      <w:r>
        <w:rPr>
          <w:rFonts w:cs="Arial"/>
          <w:sz w:val="22"/>
          <w:szCs w:val="22"/>
        </w:rPr>
        <w:t>Defra</w:t>
      </w:r>
    </w:p>
    <w:p w:rsidR="00C11CB1" w:rsidP="00C11CB1" w:rsidRDefault="00C11CB1" w14:paraId="68FB932F" w14:textId="2855405B">
      <w:pPr>
        <w:pStyle w:val="ListParagraph"/>
        <w:ind w:left="1080"/>
        <w:rPr>
          <w:rFonts w:cs="Arial"/>
          <w:sz w:val="22"/>
          <w:szCs w:val="22"/>
        </w:rPr>
      </w:pPr>
      <w:r w:rsidRPr="00C11CB1">
        <w:rPr>
          <w:rFonts w:cs="Arial"/>
          <w:b/>
          <w:bCs/>
          <w:sz w:val="22"/>
          <w:szCs w:val="22"/>
        </w:rPr>
        <w:t>Deadline:</w:t>
      </w:r>
      <w:r w:rsidR="005352B7">
        <w:rPr>
          <w:rFonts w:cs="Arial"/>
          <w:b/>
          <w:bCs/>
          <w:sz w:val="22"/>
          <w:szCs w:val="22"/>
        </w:rPr>
        <w:t xml:space="preserve"> </w:t>
      </w:r>
      <w:r w:rsidR="00CF016C">
        <w:rPr>
          <w:rFonts w:cs="Arial"/>
          <w:sz w:val="22"/>
          <w:szCs w:val="22"/>
        </w:rPr>
        <w:t>ASAP</w:t>
      </w:r>
    </w:p>
    <w:p w:rsidRPr="00C11CB1" w:rsidR="00F6549E" w:rsidP="00C11CB1" w:rsidRDefault="00F6549E" w14:paraId="4BCABE58" w14:textId="77777777">
      <w:pPr>
        <w:pStyle w:val="ListParagraph"/>
        <w:ind w:left="1080"/>
        <w:rPr>
          <w:rFonts w:cs="Arial"/>
          <w:b/>
          <w:bCs/>
          <w:sz w:val="22"/>
          <w:szCs w:val="22"/>
        </w:rPr>
      </w:pPr>
    </w:p>
    <w:p w:rsidR="00DF101E" w:rsidP="001D265D" w:rsidRDefault="5A8CFF82" w14:paraId="64BC6053" w14:textId="180FDAFB">
      <w:pPr>
        <w:pStyle w:val="ListParagraph"/>
        <w:numPr>
          <w:ilvl w:val="0"/>
          <w:numId w:val="32"/>
        </w:numPr>
        <w:rPr>
          <w:rFonts w:cs="Arial"/>
          <w:sz w:val="22"/>
          <w:szCs w:val="22"/>
        </w:rPr>
      </w:pPr>
      <w:r w:rsidRPr="1FB22237">
        <w:rPr>
          <w:rFonts w:cs="Arial"/>
          <w:sz w:val="22"/>
          <w:szCs w:val="22"/>
        </w:rPr>
        <w:t xml:space="preserve">Defra programme management should review the Defra-ALB MoU to ensure it is </w:t>
      </w:r>
      <w:r w:rsidRPr="1FB22237" w:rsidR="484C1D63">
        <w:rPr>
          <w:rFonts w:cs="Arial"/>
          <w:sz w:val="22"/>
          <w:szCs w:val="22"/>
        </w:rPr>
        <w:t xml:space="preserve">up </w:t>
      </w:r>
      <w:r w:rsidRPr="1FB22237">
        <w:rPr>
          <w:rFonts w:cs="Arial"/>
          <w:sz w:val="22"/>
          <w:szCs w:val="22"/>
        </w:rPr>
        <w:t>t</w:t>
      </w:r>
      <w:r w:rsidRPr="1FB22237" w:rsidR="484C1D63">
        <w:rPr>
          <w:rFonts w:cs="Arial"/>
          <w:sz w:val="22"/>
          <w:szCs w:val="22"/>
        </w:rPr>
        <w:t xml:space="preserve">o date, including the </w:t>
      </w:r>
      <w:r w:rsidRPr="1FB22237" w:rsidR="00F871DC">
        <w:rPr>
          <w:rFonts w:cs="Arial"/>
          <w:sz w:val="22"/>
          <w:szCs w:val="22"/>
        </w:rPr>
        <w:t>ALB d</w:t>
      </w:r>
      <w:r w:rsidRPr="1FB22237" w:rsidR="00DF101E">
        <w:rPr>
          <w:rFonts w:cs="Arial"/>
          <w:sz w:val="22"/>
          <w:szCs w:val="22"/>
        </w:rPr>
        <w:t>elegat</w:t>
      </w:r>
      <w:r w:rsidRPr="1FB22237" w:rsidR="00F871DC">
        <w:rPr>
          <w:rFonts w:cs="Arial"/>
          <w:sz w:val="22"/>
          <w:szCs w:val="22"/>
        </w:rPr>
        <w:t>ed</w:t>
      </w:r>
      <w:r w:rsidRPr="1FB22237" w:rsidR="00DF101E">
        <w:rPr>
          <w:rFonts w:cs="Arial"/>
          <w:sz w:val="22"/>
          <w:szCs w:val="22"/>
        </w:rPr>
        <w:t xml:space="preserve"> </w:t>
      </w:r>
      <w:r w:rsidRPr="1FB22237" w:rsidR="00F871DC">
        <w:rPr>
          <w:rFonts w:cs="Arial"/>
          <w:sz w:val="22"/>
          <w:szCs w:val="22"/>
        </w:rPr>
        <w:t>authority</w:t>
      </w:r>
      <w:r w:rsidRPr="1FB22237" w:rsidR="00DF101E">
        <w:rPr>
          <w:rFonts w:cs="Arial"/>
          <w:sz w:val="22"/>
          <w:szCs w:val="22"/>
        </w:rPr>
        <w:t xml:space="preserve"> table to clarify roles</w:t>
      </w:r>
      <w:r w:rsidRPr="1FB22237" w:rsidR="53EE8331">
        <w:rPr>
          <w:rFonts w:cs="Arial"/>
          <w:sz w:val="22"/>
          <w:szCs w:val="22"/>
        </w:rPr>
        <w:t xml:space="preserve">, </w:t>
      </w:r>
      <w:r w:rsidRPr="1FB22237" w:rsidR="00DF101E">
        <w:rPr>
          <w:rFonts w:cs="Arial"/>
          <w:sz w:val="22"/>
          <w:szCs w:val="22"/>
        </w:rPr>
        <w:t>responsibilities</w:t>
      </w:r>
      <w:r w:rsidRPr="1FB22237" w:rsidR="6B1C0CDC">
        <w:rPr>
          <w:rFonts w:cs="Arial"/>
          <w:sz w:val="22"/>
          <w:szCs w:val="22"/>
        </w:rPr>
        <w:t xml:space="preserve"> and decision-making authority</w:t>
      </w:r>
      <w:r w:rsidRPr="1FB22237" w:rsidR="00DF101E">
        <w:rPr>
          <w:rFonts w:cs="Arial"/>
          <w:sz w:val="22"/>
          <w:szCs w:val="22"/>
        </w:rPr>
        <w:t>.</w:t>
      </w:r>
      <w:r w:rsidRPr="1FB22237" w:rsidR="00FF78EA">
        <w:rPr>
          <w:rFonts w:cs="Arial"/>
          <w:sz w:val="22"/>
          <w:szCs w:val="22"/>
        </w:rPr>
        <w:t xml:space="preserve"> ALB </w:t>
      </w:r>
      <w:r w:rsidRPr="1FB22237" w:rsidR="005F3C84">
        <w:rPr>
          <w:rFonts w:cs="Arial"/>
          <w:sz w:val="22"/>
          <w:szCs w:val="22"/>
        </w:rPr>
        <w:t xml:space="preserve">programme leadership should then ensure clear understanding </w:t>
      </w:r>
      <w:r w:rsidRPr="1FB22237" w:rsidR="00E12516">
        <w:rPr>
          <w:rFonts w:cs="Arial"/>
          <w:sz w:val="22"/>
          <w:szCs w:val="22"/>
        </w:rPr>
        <w:t xml:space="preserve">across OCPP </w:t>
      </w:r>
      <w:r w:rsidRPr="1FB22237" w:rsidR="00C42824">
        <w:rPr>
          <w:rFonts w:cs="Arial"/>
          <w:sz w:val="22"/>
          <w:szCs w:val="22"/>
        </w:rPr>
        <w:t>staff</w:t>
      </w:r>
      <w:r w:rsidRPr="1FB22237" w:rsidR="735218DA">
        <w:rPr>
          <w:rFonts w:cs="Arial"/>
          <w:sz w:val="22"/>
          <w:szCs w:val="22"/>
        </w:rPr>
        <w:t>. Steers and messaging from Defra should be cascaded to delivery teams to ensure</w:t>
      </w:r>
      <w:r w:rsidRPr="1FB22237" w:rsidR="297161FA">
        <w:rPr>
          <w:rFonts w:cs="Arial"/>
          <w:sz w:val="22"/>
          <w:szCs w:val="22"/>
        </w:rPr>
        <w:t xml:space="preserve"> clear understanding</w:t>
      </w:r>
      <w:r w:rsidRPr="1FB22237" w:rsidR="3EE2B132">
        <w:rPr>
          <w:rFonts w:cs="Arial"/>
          <w:sz w:val="22"/>
          <w:szCs w:val="22"/>
        </w:rPr>
        <w:t>.</w:t>
      </w:r>
    </w:p>
    <w:p w:rsidR="00C42824" w:rsidP="00C42824" w:rsidRDefault="00C42824" w14:paraId="78DA6F28" w14:textId="34CA567D">
      <w:pPr>
        <w:pStyle w:val="ListParagraph"/>
        <w:ind w:left="1080"/>
        <w:rPr>
          <w:rFonts w:cs="Arial"/>
          <w:sz w:val="22"/>
          <w:szCs w:val="22"/>
        </w:rPr>
      </w:pPr>
      <w:r w:rsidRPr="007B66D9">
        <w:rPr>
          <w:rFonts w:cs="Arial"/>
          <w:b/>
          <w:bCs/>
          <w:sz w:val="22"/>
          <w:szCs w:val="22"/>
        </w:rPr>
        <w:t>Leads(s):</w:t>
      </w:r>
      <w:r>
        <w:rPr>
          <w:rFonts w:cs="Arial"/>
          <w:sz w:val="22"/>
          <w:szCs w:val="22"/>
        </w:rPr>
        <w:t xml:space="preserve"> Defra, Cefas, </w:t>
      </w:r>
      <w:r w:rsidR="003217F2">
        <w:rPr>
          <w:rFonts w:cs="Arial"/>
          <w:sz w:val="22"/>
          <w:szCs w:val="22"/>
        </w:rPr>
        <w:t>ALB Programme Directors</w:t>
      </w:r>
    </w:p>
    <w:p w:rsidR="003217F2" w:rsidP="00C42824" w:rsidRDefault="003217F2" w14:paraId="20FB331A" w14:textId="04133B69">
      <w:pPr>
        <w:pStyle w:val="ListParagraph"/>
        <w:ind w:left="1080"/>
        <w:rPr>
          <w:rFonts w:cs="Arial"/>
          <w:sz w:val="22"/>
          <w:szCs w:val="22"/>
        </w:rPr>
      </w:pPr>
      <w:r w:rsidRPr="6ABEF138">
        <w:rPr>
          <w:rFonts w:cs="Arial"/>
          <w:b/>
          <w:bCs/>
          <w:sz w:val="22"/>
          <w:szCs w:val="22"/>
        </w:rPr>
        <w:t>Deadline:</w:t>
      </w:r>
      <w:r w:rsidRPr="6ABEF138">
        <w:rPr>
          <w:rFonts w:cs="Arial"/>
          <w:sz w:val="22"/>
          <w:szCs w:val="22"/>
        </w:rPr>
        <w:t xml:space="preserve"> By </w:t>
      </w:r>
      <w:r w:rsidRPr="6ABEF138" w:rsidR="00472219">
        <w:rPr>
          <w:rFonts w:cs="Arial"/>
          <w:sz w:val="22"/>
          <w:szCs w:val="22"/>
        </w:rPr>
        <w:t xml:space="preserve">end of </w:t>
      </w:r>
      <w:r w:rsidR="000006EA">
        <w:rPr>
          <w:rFonts w:cs="Arial"/>
          <w:sz w:val="22"/>
          <w:szCs w:val="22"/>
        </w:rPr>
        <w:t>FY</w:t>
      </w:r>
      <w:r w:rsidR="008E542A">
        <w:rPr>
          <w:rFonts w:cs="Arial"/>
          <w:sz w:val="22"/>
          <w:szCs w:val="22"/>
        </w:rPr>
        <w:t xml:space="preserve"> </w:t>
      </w:r>
      <w:r w:rsidR="000006EA">
        <w:rPr>
          <w:rFonts w:cs="Arial"/>
          <w:sz w:val="22"/>
          <w:szCs w:val="22"/>
        </w:rPr>
        <w:t>25/26</w:t>
      </w:r>
    </w:p>
    <w:p w:rsidRPr="00DF101E" w:rsidR="00F6549E" w:rsidP="00C42824" w:rsidRDefault="00F6549E" w14:paraId="432FEC96" w14:textId="77777777">
      <w:pPr>
        <w:pStyle w:val="ListParagraph"/>
        <w:ind w:left="1080"/>
        <w:rPr>
          <w:rFonts w:cs="Arial"/>
          <w:sz w:val="22"/>
          <w:szCs w:val="22"/>
        </w:rPr>
      </w:pPr>
    </w:p>
    <w:p w:rsidR="00DF101E" w:rsidP="001D265D" w:rsidRDefault="00974231" w14:paraId="5E86AFCC" w14:textId="302C2A1D">
      <w:pPr>
        <w:pStyle w:val="ListParagraph"/>
        <w:numPr>
          <w:ilvl w:val="0"/>
          <w:numId w:val="32"/>
        </w:numPr>
        <w:rPr>
          <w:rFonts w:cs="Arial"/>
          <w:sz w:val="22"/>
          <w:szCs w:val="22"/>
        </w:rPr>
      </w:pPr>
      <w:r w:rsidRPr="52C23699">
        <w:rPr>
          <w:rFonts w:cs="Arial"/>
          <w:sz w:val="22"/>
          <w:szCs w:val="22"/>
        </w:rPr>
        <w:t>ALB</w:t>
      </w:r>
      <w:r w:rsidRPr="52C23699" w:rsidR="00DF101E">
        <w:rPr>
          <w:rFonts w:cs="Arial"/>
          <w:sz w:val="22"/>
          <w:szCs w:val="22"/>
        </w:rPr>
        <w:t xml:space="preserve"> Tier One Delivery </w:t>
      </w:r>
      <w:r w:rsidRPr="52C23699" w:rsidR="0039085F">
        <w:rPr>
          <w:rFonts w:cs="Arial"/>
          <w:sz w:val="22"/>
          <w:szCs w:val="22"/>
        </w:rPr>
        <w:t>Partner Cefas</w:t>
      </w:r>
      <w:r w:rsidRPr="52C23699" w:rsidR="00DF101E">
        <w:rPr>
          <w:rFonts w:cs="Arial"/>
          <w:sz w:val="22"/>
          <w:szCs w:val="22"/>
        </w:rPr>
        <w:t xml:space="preserve"> should </w:t>
      </w:r>
      <w:r w:rsidRPr="52C23699" w:rsidR="0039085F">
        <w:rPr>
          <w:rFonts w:cs="Arial"/>
          <w:sz w:val="22"/>
          <w:szCs w:val="22"/>
        </w:rPr>
        <w:t>ensure</w:t>
      </w:r>
      <w:r w:rsidRPr="52C23699" w:rsidR="00DF101E">
        <w:rPr>
          <w:rFonts w:cs="Arial"/>
          <w:sz w:val="22"/>
          <w:szCs w:val="22"/>
        </w:rPr>
        <w:t xml:space="preserve"> there are appropriate escalation routes of </w:t>
      </w:r>
      <w:r w:rsidRPr="52C23699" w:rsidR="0039085F">
        <w:rPr>
          <w:rFonts w:cs="Arial"/>
          <w:sz w:val="22"/>
          <w:szCs w:val="22"/>
        </w:rPr>
        <w:t>risk</w:t>
      </w:r>
      <w:r w:rsidRPr="52C23699" w:rsidR="008668A8">
        <w:rPr>
          <w:rFonts w:cs="Arial"/>
          <w:sz w:val="22"/>
          <w:szCs w:val="22"/>
        </w:rPr>
        <w:t>s</w:t>
      </w:r>
      <w:r w:rsidRPr="52C23699" w:rsidR="0039085F">
        <w:rPr>
          <w:rFonts w:cs="Arial"/>
          <w:sz w:val="22"/>
          <w:szCs w:val="22"/>
        </w:rPr>
        <w:t xml:space="preserve">, </w:t>
      </w:r>
      <w:r w:rsidRPr="52C23699" w:rsidR="00DF101E">
        <w:rPr>
          <w:rFonts w:cs="Arial"/>
          <w:sz w:val="22"/>
          <w:szCs w:val="22"/>
        </w:rPr>
        <w:t xml:space="preserve">issues </w:t>
      </w:r>
      <w:r w:rsidRPr="52C23699" w:rsidR="008668A8">
        <w:rPr>
          <w:rFonts w:cs="Arial"/>
          <w:sz w:val="22"/>
          <w:szCs w:val="22"/>
        </w:rPr>
        <w:t xml:space="preserve">and approvals </w:t>
      </w:r>
      <w:r w:rsidRPr="52C23699" w:rsidR="00DF101E">
        <w:rPr>
          <w:rFonts w:cs="Arial"/>
          <w:sz w:val="22"/>
          <w:szCs w:val="22"/>
        </w:rPr>
        <w:t>identified in country level cross theme meetings to Defra</w:t>
      </w:r>
      <w:r w:rsidRPr="52C23699" w:rsidR="005973B2">
        <w:rPr>
          <w:rFonts w:cs="Arial"/>
          <w:sz w:val="22"/>
          <w:szCs w:val="22"/>
        </w:rPr>
        <w:t xml:space="preserve"> </w:t>
      </w:r>
      <w:r w:rsidRPr="52C23699" w:rsidR="00E75468">
        <w:rPr>
          <w:rFonts w:cs="Arial"/>
          <w:sz w:val="22"/>
          <w:szCs w:val="22"/>
        </w:rPr>
        <w:t>country leads</w:t>
      </w:r>
      <w:r w:rsidRPr="52C23699" w:rsidR="12A9ADF4">
        <w:rPr>
          <w:rFonts w:cs="Arial"/>
          <w:sz w:val="22"/>
          <w:szCs w:val="22"/>
        </w:rPr>
        <w:t>.</w:t>
      </w:r>
    </w:p>
    <w:p w:rsidR="0094309E" w:rsidP="0094309E" w:rsidRDefault="005973B2" w14:paraId="6BBF05E2" w14:textId="77777777">
      <w:pPr>
        <w:pStyle w:val="ListParagraph"/>
        <w:ind w:left="1080"/>
        <w:rPr>
          <w:rFonts w:cs="Arial"/>
          <w:sz w:val="22"/>
          <w:szCs w:val="22"/>
        </w:rPr>
      </w:pPr>
      <w:r w:rsidRPr="0094309E">
        <w:rPr>
          <w:rFonts w:cs="Arial"/>
          <w:b/>
          <w:bCs/>
          <w:sz w:val="22"/>
          <w:szCs w:val="22"/>
        </w:rPr>
        <w:t>Lead(s):</w:t>
      </w:r>
      <w:r w:rsidRPr="0094309E">
        <w:rPr>
          <w:rFonts w:cs="Arial"/>
          <w:sz w:val="22"/>
          <w:szCs w:val="22"/>
        </w:rPr>
        <w:t xml:space="preserve"> </w:t>
      </w:r>
      <w:r w:rsidRPr="0094309E" w:rsidR="006E1576">
        <w:rPr>
          <w:rFonts w:cs="Arial"/>
          <w:sz w:val="22"/>
          <w:szCs w:val="22"/>
        </w:rPr>
        <w:t>Cefas</w:t>
      </w:r>
    </w:p>
    <w:p w:rsidR="00F6549E" w:rsidP="00BC16DE" w:rsidRDefault="00F41A6D" w14:paraId="34261EC2" w14:textId="6EF506C5">
      <w:pPr>
        <w:pStyle w:val="ListParagraph"/>
        <w:ind w:left="1080"/>
        <w:rPr>
          <w:rFonts w:cs="Arial"/>
          <w:sz w:val="22"/>
          <w:szCs w:val="22"/>
        </w:rPr>
      </w:pPr>
      <w:r w:rsidRPr="0094309E">
        <w:rPr>
          <w:rFonts w:cs="Arial"/>
          <w:b/>
          <w:bCs/>
          <w:sz w:val="22"/>
          <w:szCs w:val="22"/>
        </w:rPr>
        <w:t>Deadline:</w:t>
      </w:r>
      <w:r w:rsidRPr="0094309E">
        <w:rPr>
          <w:rFonts w:cs="Arial"/>
          <w:sz w:val="22"/>
          <w:szCs w:val="22"/>
        </w:rPr>
        <w:t xml:space="preserve"> </w:t>
      </w:r>
      <w:r w:rsidRPr="0094309E" w:rsidR="00B91FDA">
        <w:rPr>
          <w:rFonts w:cs="Arial"/>
          <w:sz w:val="22"/>
          <w:szCs w:val="22"/>
        </w:rPr>
        <w:t>End of January 2025</w:t>
      </w:r>
    </w:p>
    <w:p w:rsidRPr="00BC16DE" w:rsidR="00D96692" w:rsidP="00BC16DE" w:rsidRDefault="00D96692" w14:paraId="73A0C7AA" w14:textId="77777777">
      <w:pPr>
        <w:pStyle w:val="ListParagraph"/>
        <w:ind w:left="1080"/>
      </w:pPr>
    </w:p>
    <w:p w:rsidR="00DC04AD" w:rsidP="001D265D" w:rsidRDefault="00705868" w14:paraId="4A49432C" w14:textId="56F4749C">
      <w:pPr>
        <w:pStyle w:val="ListParagraph"/>
        <w:numPr>
          <w:ilvl w:val="0"/>
          <w:numId w:val="32"/>
        </w:numPr>
        <w:rPr>
          <w:rFonts w:cs="Arial"/>
          <w:sz w:val="22"/>
          <w:szCs w:val="22"/>
        </w:rPr>
      </w:pPr>
      <w:r>
        <w:rPr>
          <w:rFonts w:cs="Arial"/>
          <w:sz w:val="22"/>
          <w:szCs w:val="22"/>
        </w:rPr>
        <w:t>The ALB a</w:t>
      </w:r>
      <w:r w:rsidR="00AD7270">
        <w:rPr>
          <w:rFonts w:cs="Arial"/>
          <w:sz w:val="22"/>
          <w:szCs w:val="22"/>
        </w:rPr>
        <w:t xml:space="preserve">nnual work planning process </w:t>
      </w:r>
      <w:r>
        <w:rPr>
          <w:rFonts w:cs="Arial"/>
          <w:sz w:val="22"/>
          <w:szCs w:val="22"/>
        </w:rPr>
        <w:t>should</w:t>
      </w:r>
      <w:r w:rsidR="00AD7270">
        <w:rPr>
          <w:rFonts w:cs="Arial"/>
          <w:sz w:val="22"/>
          <w:szCs w:val="22"/>
        </w:rPr>
        <w:t xml:space="preserve"> be reviewed to increase </w:t>
      </w:r>
      <w:r w:rsidR="00CD5C00">
        <w:rPr>
          <w:rFonts w:cs="Arial"/>
          <w:sz w:val="22"/>
          <w:szCs w:val="22"/>
        </w:rPr>
        <w:t xml:space="preserve">efficiency and </w:t>
      </w:r>
      <w:r w:rsidR="00DD4A95">
        <w:rPr>
          <w:rFonts w:cs="Arial"/>
          <w:sz w:val="22"/>
          <w:szCs w:val="22"/>
        </w:rPr>
        <w:t>strateg</w:t>
      </w:r>
      <w:r w:rsidR="00032AAF">
        <w:rPr>
          <w:rFonts w:cs="Arial"/>
          <w:sz w:val="22"/>
          <w:szCs w:val="22"/>
        </w:rPr>
        <w:t>ic</w:t>
      </w:r>
      <w:r w:rsidR="00DD4A95">
        <w:rPr>
          <w:rFonts w:cs="Arial"/>
          <w:sz w:val="22"/>
          <w:szCs w:val="22"/>
        </w:rPr>
        <w:t xml:space="preserve"> focus</w:t>
      </w:r>
      <w:r w:rsidR="00632EDA">
        <w:rPr>
          <w:rFonts w:cs="Arial"/>
          <w:sz w:val="22"/>
          <w:szCs w:val="22"/>
        </w:rPr>
        <w:t>. A</w:t>
      </w:r>
      <w:r w:rsidR="00C947DA">
        <w:rPr>
          <w:rFonts w:cs="Arial"/>
          <w:sz w:val="22"/>
          <w:szCs w:val="22"/>
        </w:rPr>
        <w:t xml:space="preserve">ligning with lesson </w:t>
      </w:r>
      <w:r w:rsidR="00290D4A">
        <w:rPr>
          <w:rFonts w:cs="Arial"/>
          <w:sz w:val="22"/>
          <w:szCs w:val="22"/>
        </w:rPr>
        <w:t>3</w:t>
      </w:r>
      <w:r w:rsidR="00A215ED">
        <w:rPr>
          <w:rFonts w:cs="Arial"/>
          <w:sz w:val="22"/>
          <w:szCs w:val="22"/>
        </w:rPr>
        <w:t xml:space="preserve">, recommendation 1. </w:t>
      </w:r>
    </w:p>
    <w:p w:rsidR="00632EDA" w:rsidP="00632EDA" w:rsidRDefault="00632EDA" w14:paraId="697B0DCC" w14:textId="02494337">
      <w:pPr>
        <w:pStyle w:val="ListParagraph"/>
        <w:ind w:left="1080"/>
        <w:rPr>
          <w:rFonts w:cs="Arial"/>
          <w:sz w:val="22"/>
          <w:szCs w:val="22"/>
        </w:rPr>
      </w:pPr>
      <w:r w:rsidRPr="00632EDA">
        <w:rPr>
          <w:rFonts w:cs="Arial"/>
          <w:b/>
          <w:bCs/>
          <w:sz w:val="22"/>
          <w:szCs w:val="22"/>
        </w:rPr>
        <w:t>Lead(s):</w:t>
      </w:r>
      <w:r>
        <w:rPr>
          <w:rFonts w:cs="Arial"/>
          <w:sz w:val="22"/>
          <w:szCs w:val="22"/>
        </w:rPr>
        <w:t xml:space="preserve"> Cefas</w:t>
      </w:r>
    </w:p>
    <w:p w:rsidR="00350623" w:rsidP="00350623" w:rsidRDefault="00632EDA" w14:paraId="5E165BD6" w14:textId="66A50AAC">
      <w:pPr>
        <w:pStyle w:val="ListParagraph"/>
        <w:ind w:left="1080"/>
        <w:rPr>
          <w:rFonts w:cs="Arial"/>
          <w:sz w:val="22"/>
          <w:szCs w:val="22"/>
        </w:rPr>
      </w:pPr>
      <w:r w:rsidRPr="550096DF">
        <w:rPr>
          <w:rFonts w:cs="Arial"/>
          <w:b/>
          <w:bCs/>
          <w:sz w:val="22"/>
          <w:szCs w:val="22"/>
        </w:rPr>
        <w:t>Deadline:</w:t>
      </w:r>
      <w:r w:rsidRPr="550096DF">
        <w:rPr>
          <w:rFonts w:cs="Arial"/>
          <w:sz w:val="22"/>
          <w:szCs w:val="22"/>
        </w:rPr>
        <w:t xml:space="preserve"> By start of </w:t>
      </w:r>
      <w:r w:rsidRPr="550096DF" w:rsidR="3B54C22E">
        <w:rPr>
          <w:rFonts w:cs="Arial"/>
          <w:sz w:val="22"/>
          <w:szCs w:val="22"/>
        </w:rPr>
        <w:t>FY 25/26.</w:t>
      </w:r>
    </w:p>
    <w:p w:rsidR="00350623" w:rsidP="00350623" w:rsidRDefault="00350623" w14:paraId="1A30019A" w14:textId="77777777">
      <w:pPr>
        <w:pStyle w:val="ListParagraph"/>
        <w:ind w:left="1080"/>
        <w:rPr>
          <w:rFonts w:cs="Arial"/>
          <w:sz w:val="22"/>
          <w:szCs w:val="22"/>
        </w:rPr>
      </w:pPr>
    </w:p>
    <w:p w:rsidRPr="00F275E8" w:rsidR="00275A0B" w:rsidP="00F275E8" w:rsidRDefault="00350623" w14:paraId="7C21B3BF" w14:textId="7032AF75">
      <w:pPr>
        <w:pStyle w:val="ListParagraph"/>
        <w:numPr>
          <w:ilvl w:val="0"/>
          <w:numId w:val="46"/>
        </w:numPr>
        <w:rPr>
          <w:rFonts w:cs="Arial"/>
          <w:sz w:val="22"/>
          <w:szCs w:val="22"/>
        </w:rPr>
      </w:pPr>
      <w:r w:rsidRPr="00F275E8">
        <w:rPr>
          <w:rFonts w:cs="Arial"/>
          <w:b/>
          <w:bCs/>
          <w:sz w:val="22"/>
          <w:szCs w:val="22"/>
        </w:rPr>
        <w:t>Lesson:</w:t>
      </w:r>
      <w:r w:rsidR="00647A17">
        <w:rPr>
          <w:rFonts w:cs="Arial"/>
          <w:b/>
          <w:bCs/>
          <w:sz w:val="22"/>
          <w:szCs w:val="22"/>
        </w:rPr>
        <w:t xml:space="preserve"> </w:t>
      </w:r>
      <w:r w:rsidRPr="00F275E8" w:rsidR="00AF0052">
        <w:rPr>
          <w:rFonts w:cs="Arial"/>
          <w:sz w:val="22"/>
          <w:szCs w:val="22"/>
        </w:rPr>
        <w:t>R</w:t>
      </w:r>
      <w:r w:rsidRPr="00E619DD" w:rsidR="00E619DD">
        <w:rPr>
          <w:rFonts w:eastAsia="Arial"/>
          <w:sz w:val="22"/>
          <w:szCs w:val="22"/>
        </w:rPr>
        <w:t xml:space="preserve">isks and issues </w:t>
      </w:r>
      <w:r w:rsidR="00230F8F">
        <w:rPr>
          <w:rFonts w:eastAsia="Arial"/>
          <w:sz w:val="22"/>
          <w:szCs w:val="22"/>
        </w:rPr>
        <w:t xml:space="preserve">management </w:t>
      </w:r>
      <w:r w:rsidR="00470A22">
        <w:rPr>
          <w:rFonts w:eastAsia="Arial"/>
          <w:sz w:val="22"/>
          <w:szCs w:val="22"/>
        </w:rPr>
        <w:t>for the programme could be strengthened wi</w:t>
      </w:r>
      <w:r w:rsidR="0098795C">
        <w:rPr>
          <w:rFonts w:eastAsia="Arial"/>
          <w:sz w:val="22"/>
          <w:szCs w:val="22"/>
        </w:rPr>
        <w:t>th more frequent forums</w:t>
      </w:r>
      <w:r w:rsidR="00041ADD">
        <w:rPr>
          <w:rFonts w:eastAsia="Arial"/>
          <w:sz w:val="22"/>
          <w:szCs w:val="22"/>
        </w:rPr>
        <w:t xml:space="preserve"> </w:t>
      </w:r>
      <w:r w:rsidR="001421F2">
        <w:rPr>
          <w:rFonts w:eastAsia="Arial"/>
          <w:sz w:val="22"/>
          <w:szCs w:val="22"/>
        </w:rPr>
        <w:t xml:space="preserve">for discussion. Current </w:t>
      </w:r>
      <w:r w:rsidR="00C52BD0">
        <w:rPr>
          <w:rFonts w:eastAsia="Arial"/>
          <w:sz w:val="22"/>
          <w:szCs w:val="22"/>
        </w:rPr>
        <w:t>reporting structures</w:t>
      </w:r>
      <w:r w:rsidR="003772E3">
        <w:rPr>
          <w:rFonts w:eastAsia="Arial"/>
          <w:sz w:val="22"/>
          <w:szCs w:val="22"/>
        </w:rPr>
        <w:t xml:space="preserve"> allow for </w:t>
      </w:r>
      <w:r w:rsidR="00556B45">
        <w:rPr>
          <w:rFonts w:eastAsia="Arial"/>
          <w:sz w:val="22"/>
          <w:szCs w:val="22"/>
        </w:rPr>
        <w:t>risks and issue monitoring but are infrequent</w:t>
      </w:r>
      <w:r w:rsidR="00F96555">
        <w:rPr>
          <w:rFonts w:eastAsia="Arial"/>
          <w:sz w:val="22"/>
          <w:szCs w:val="22"/>
        </w:rPr>
        <w:t xml:space="preserve">, creating a risk that risks and issues </w:t>
      </w:r>
      <w:r w:rsidR="00DB628D">
        <w:rPr>
          <w:rFonts w:eastAsia="Arial"/>
          <w:sz w:val="22"/>
          <w:szCs w:val="22"/>
        </w:rPr>
        <w:t>will be unreported and unmitigated</w:t>
      </w:r>
      <w:r w:rsidR="00556B45">
        <w:rPr>
          <w:rFonts w:eastAsia="Arial"/>
          <w:sz w:val="22"/>
          <w:szCs w:val="22"/>
        </w:rPr>
        <w:t>.</w:t>
      </w:r>
    </w:p>
    <w:p w:rsidR="008E2568" w:rsidP="008E2568" w:rsidRDefault="008E2568" w14:paraId="54F87AD2" w14:textId="77777777">
      <w:pPr>
        <w:pStyle w:val="ListParagraph"/>
        <w:ind w:left="360"/>
        <w:rPr>
          <w:rFonts w:cs="Arial"/>
          <w:b/>
          <w:bCs/>
          <w:sz w:val="22"/>
          <w:szCs w:val="22"/>
        </w:rPr>
      </w:pPr>
    </w:p>
    <w:p w:rsidR="008E2568" w:rsidP="008E2568" w:rsidRDefault="008E2568" w14:paraId="6AE7CB02" w14:textId="11326279">
      <w:pPr>
        <w:pStyle w:val="ListParagraph"/>
        <w:ind w:left="360"/>
        <w:rPr>
          <w:rFonts w:cs="Arial"/>
          <w:b/>
          <w:bCs/>
          <w:sz w:val="22"/>
          <w:szCs w:val="22"/>
        </w:rPr>
      </w:pPr>
      <w:r>
        <w:rPr>
          <w:rFonts w:cs="Arial"/>
          <w:b/>
          <w:bCs/>
          <w:sz w:val="22"/>
          <w:szCs w:val="22"/>
        </w:rPr>
        <w:t>Recommendation:</w:t>
      </w:r>
    </w:p>
    <w:p w:rsidRPr="00F275E8" w:rsidR="008E2568" w:rsidP="009A159B" w:rsidRDefault="1ED1D622" w14:paraId="568E672A" w14:textId="695D304C">
      <w:pPr>
        <w:pStyle w:val="ListParagraph"/>
        <w:numPr>
          <w:ilvl w:val="1"/>
          <w:numId w:val="47"/>
        </w:numPr>
        <w:rPr>
          <w:rFonts w:cs="Arial"/>
          <w:sz w:val="22"/>
          <w:szCs w:val="22"/>
        </w:rPr>
      </w:pPr>
      <w:r w:rsidRPr="646DDAD6">
        <w:rPr>
          <w:rFonts w:eastAsia="Arial"/>
          <w:sz w:val="22"/>
          <w:szCs w:val="22"/>
        </w:rPr>
        <w:t xml:space="preserve">Monthly </w:t>
      </w:r>
      <w:r w:rsidRPr="646DDAD6" w:rsidR="7042F9CD">
        <w:rPr>
          <w:rFonts w:eastAsia="Arial"/>
          <w:sz w:val="22"/>
          <w:szCs w:val="22"/>
        </w:rPr>
        <w:t xml:space="preserve">risk </w:t>
      </w:r>
      <w:r w:rsidRPr="646DDAD6">
        <w:rPr>
          <w:rFonts w:eastAsia="Arial"/>
          <w:sz w:val="22"/>
          <w:szCs w:val="22"/>
        </w:rPr>
        <w:t>meetings between delivery partners and Defra should be implemented immediately to improve the frequency of risks and issues reporting</w:t>
      </w:r>
      <w:r w:rsidRPr="646DDAD6" w:rsidR="5F841ACD">
        <w:rPr>
          <w:rFonts w:eastAsia="Arial"/>
          <w:sz w:val="22"/>
          <w:szCs w:val="22"/>
        </w:rPr>
        <w:t>.</w:t>
      </w:r>
    </w:p>
    <w:p w:rsidR="008E2568" w:rsidP="008E2568" w:rsidRDefault="008E2568" w14:paraId="0E38DFCA" w14:textId="244C0DB4">
      <w:pPr>
        <w:pStyle w:val="ListParagraph"/>
        <w:ind w:left="1080"/>
        <w:rPr>
          <w:rFonts w:eastAsia="Arial"/>
          <w:sz w:val="22"/>
          <w:szCs w:val="22"/>
        </w:rPr>
      </w:pPr>
      <w:r>
        <w:rPr>
          <w:rFonts w:eastAsia="Arial"/>
          <w:sz w:val="22"/>
          <w:szCs w:val="22"/>
        </w:rPr>
        <w:t xml:space="preserve">Lead(s): Defra, </w:t>
      </w:r>
      <w:r w:rsidR="00F4027C">
        <w:rPr>
          <w:rFonts w:eastAsia="Arial"/>
          <w:sz w:val="22"/>
          <w:szCs w:val="22"/>
        </w:rPr>
        <w:t xml:space="preserve">all </w:t>
      </w:r>
      <w:r w:rsidR="005C4C08">
        <w:rPr>
          <w:rFonts w:eastAsia="Arial"/>
          <w:sz w:val="22"/>
          <w:szCs w:val="22"/>
        </w:rPr>
        <w:t xml:space="preserve">OCPP </w:t>
      </w:r>
      <w:r>
        <w:rPr>
          <w:rFonts w:eastAsia="Arial"/>
          <w:sz w:val="22"/>
          <w:szCs w:val="22"/>
        </w:rPr>
        <w:t>deliver</w:t>
      </w:r>
      <w:r w:rsidR="00F4027C">
        <w:rPr>
          <w:rFonts w:eastAsia="Arial"/>
          <w:sz w:val="22"/>
          <w:szCs w:val="22"/>
        </w:rPr>
        <w:t>y partners</w:t>
      </w:r>
    </w:p>
    <w:p w:rsidRPr="00F275E8" w:rsidR="00F4027C" w:rsidP="008E2568" w:rsidRDefault="00F4027C" w14:paraId="41291CCF" w14:textId="22F36FEC">
      <w:pPr>
        <w:pStyle w:val="ListParagraph"/>
        <w:ind w:left="1080"/>
        <w:rPr>
          <w:rFonts w:cs="Arial"/>
          <w:sz w:val="22"/>
          <w:szCs w:val="22"/>
        </w:rPr>
      </w:pPr>
      <w:r>
        <w:rPr>
          <w:rFonts w:eastAsia="Arial"/>
          <w:sz w:val="22"/>
          <w:szCs w:val="22"/>
        </w:rPr>
        <w:t xml:space="preserve">Deadline: </w:t>
      </w:r>
      <w:r w:rsidR="00AD31AF">
        <w:rPr>
          <w:rFonts w:eastAsia="Arial"/>
          <w:sz w:val="22"/>
          <w:szCs w:val="22"/>
        </w:rPr>
        <w:t>by January 2025</w:t>
      </w:r>
    </w:p>
    <w:p w:rsidRPr="00F70DBE" w:rsidR="006F3AE7" w:rsidP="006F3AE7" w:rsidRDefault="006F3AE7" w14:paraId="5B0C6A76" w14:textId="3B0B3FF5">
      <w:pPr>
        <w:pStyle w:val="Heading2"/>
        <w:pBdr>
          <w:top w:val="single" w:color="auto" w:sz="4" w:space="1"/>
          <w:left w:val="single" w:color="auto" w:sz="4" w:space="4"/>
          <w:bottom w:val="single" w:color="auto" w:sz="4" w:space="1"/>
          <w:right w:val="single" w:color="auto" w:sz="4" w:space="4"/>
        </w:pBdr>
        <w:shd w:val="clear" w:color="auto" w:fill="D9E2F3" w:themeFill="accent1" w:themeFillTint="33"/>
        <w:spacing w:before="0"/>
        <w:rPr>
          <w:b w:val="0"/>
          <w:i w:val="0"/>
          <w:sz w:val="20"/>
          <w:szCs w:val="20"/>
        </w:rPr>
      </w:pPr>
      <w:r>
        <w:rPr>
          <w:i w:val="0"/>
        </w:rPr>
        <w:t>B: THEORY OF CHANGE AND PROGRESS TOWARDS OUTCOMES</w:t>
      </w:r>
    </w:p>
    <w:p w:rsidR="006F3AE7" w:rsidP="006F3AE7" w:rsidRDefault="006F3AE7" w14:paraId="065D0850" w14:textId="77777777">
      <w:pPr>
        <w:rPr>
          <w:rFonts w:cs="Arial"/>
          <w:b/>
          <w:sz w:val="22"/>
          <w:szCs w:val="22"/>
        </w:rPr>
      </w:pPr>
    </w:p>
    <w:p w:rsidR="006F3AE7" w:rsidP="1F9FCF51" w:rsidRDefault="1D9D3DDB" w14:paraId="0C00D2A6" w14:textId="52C68868">
      <w:pPr>
        <w:rPr>
          <w:rFonts w:cs="Arial"/>
          <w:b/>
          <w:bCs/>
          <w:sz w:val="22"/>
          <w:szCs w:val="22"/>
        </w:rPr>
      </w:pPr>
      <w:r w:rsidRPr="2C6B85DE">
        <w:rPr>
          <w:rFonts w:cs="Arial"/>
          <w:b/>
          <w:bCs/>
          <w:sz w:val="22"/>
          <w:szCs w:val="22"/>
        </w:rPr>
        <w:t xml:space="preserve">B1. </w:t>
      </w:r>
      <w:r w:rsidRPr="2C6B85DE" w:rsidR="006F3AE7">
        <w:rPr>
          <w:rFonts w:cs="Arial"/>
          <w:b/>
          <w:bCs/>
          <w:sz w:val="22"/>
          <w:szCs w:val="22"/>
        </w:rPr>
        <w:t xml:space="preserve">Summarise the programme’s </w:t>
      </w:r>
      <w:hyperlink r:id="rId14">
        <w:r w:rsidRPr="2C6B85DE" w:rsidR="006F3AE7">
          <w:rPr>
            <w:rStyle w:val="Hyperlink"/>
            <w:rFonts w:cs="Arial"/>
            <w:b/>
            <w:bCs/>
            <w:sz w:val="22"/>
            <w:szCs w:val="22"/>
          </w:rPr>
          <w:t>theory of change</w:t>
        </w:r>
      </w:hyperlink>
      <w:r w:rsidRPr="2C6B85DE" w:rsidR="006F3AE7">
        <w:rPr>
          <w:rFonts w:cs="Arial"/>
          <w:b/>
          <w:bCs/>
          <w:sz w:val="22"/>
          <w:szCs w:val="22"/>
        </w:rPr>
        <w:t xml:space="preserve">, including any changes to outcome and impact indicators from the original business case. </w:t>
      </w:r>
    </w:p>
    <w:p w:rsidR="007F54CB" w:rsidP="69AE3331" w:rsidRDefault="007F54CB" w14:paraId="15268C1F" w14:textId="29C2B832">
      <w:pPr>
        <w:tabs>
          <w:tab w:val="left" w:pos="3495"/>
        </w:tabs>
        <w:rPr>
          <w:sz w:val="20"/>
          <w:szCs w:val="20"/>
        </w:rPr>
      </w:pPr>
    </w:p>
    <w:p w:rsidRPr="008D40A6" w:rsidR="005A7BD8" w:rsidP="69AE3331" w:rsidRDefault="00955E61" w14:paraId="349900A2" w14:textId="16F53A3E">
      <w:pPr>
        <w:tabs>
          <w:tab w:val="left" w:pos="3495"/>
        </w:tabs>
        <w:rPr>
          <w:sz w:val="22"/>
          <w:szCs w:val="22"/>
        </w:rPr>
      </w:pPr>
      <w:r w:rsidRPr="008D40A6">
        <w:rPr>
          <w:sz w:val="22"/>
          <w:szCs w:val="22"/>
        </w:rPr>
        <w:t>The OC</w:t>
      </w:r>
      <w:r w:rsidRPr="008D40A6" w:rsidR="006038DF">
        <w:rPr>
          <w:sz w:val="22"/>
          <w:szCs w:val="22"/>
        </w:rPr>
        <w:t>P</w:t>
      </w:r>
      <w:r w:rsidRPr="008D40A6">
        <w:rPr>
          <w:sz w:val="22"/>
          <w:szCs w:val="22"/>
        </w:rPr>
        <w:t>P Theory of Change (ToC)</w:t>
      </w:r>
      <w:r w:rsidRPr="008D40A6" w:rsidR="005A7BD8">
        <w:rPr>
          <w:sz w:val="22"/>
          <w:szCs w:val="22"/>
        </w:rPr>
        <w:t xml:space="preserve"> </w:t>
      </w:r>
      <w:r w:rsidRPr="008D40A6" w:rsidR="000C195D">
        <w:rPr>
          <w:sz w:val="22"/>
          <w:szCs w:val="22"/>
        </w:rPr>
        <w:t>sets out the challenge</w:t>
      </w:r>
      <w:r w:rsidRPr="008D40A6" w:rsidR="00CF207A">
        <w:rPr>
          <w:sz w:val="22"/>
          <w:szCs w:val="22"/>
        </w:rPr>
        <w:t xml:space="preserve"> </w:t>
      </w:r>
      <w:r w:rsidR="00F70592">
        <w:rPr>
          <w:sz w:val="22"/>
          <w:szCs w:val="22"/>
        </w:rPr>
        <w:t>a</w:t>
      </w:r>
      <w:r w:rsidRPr="008D40A6" w:rsidR="00203457">
        <w:rPr>
          <w:sz w:val="22"/>
          <w:szCs w:val="22"/>
        </w:rPr>
        <w:t xml:space="preserve">ffecting </w:t>
      </w:r>
      <w:r w:rsidR="00D40C2F">
        <w:rPr>
          <w:sz w:val="22"/>
          <w:szCs w:val="22"/>
        </w:rPr>
        <w:t xml:space="preserve">vulnerable </w:t>
      </w:r>
      <w:r w:rsidRPr="008D40A6" w:rsidR="00203457">
        <w:rPr>
          <w:sz w:val="22"/>
          <w:szCs w:val="22"/>
        </w:rPr>
        <w:t xml:space="preserve">coastal </w:t>
      </w:r>
      <w:r w:rsidRPr="008D40A6" w:rsidR="006038DF">
        <w:rPr>
          <w:sz w:val="22"/>
          <w:szCs w:val="22"/>
        </w:rPr>
        <w:t>communities</w:t>
      </w:r>
      <w:r w:rsidRPr="008D40A6" w:rsidR="004F2E09">
        <w:rPr>
          <w:sz w:val="22"/>
          <w:szCs w:val="22"/>
        </w:rPr>
        <w:t xml:space="preserve"> and </w:t>
      </w:r>
      <w:r w:rsidRPr="008D40A6" w:rsidR="00414DDD">
        <w:rPr>
          <w:sz w:val="22"/>
          <w:szCs w:val="22"/>
        </w:rPr>
        <w:t xml:space="preserve">their </w:t>
      </w:r>
      <w:r w:rsidRPr="008D40A6" w:rsidR="004906DC">
        <w:rPr>
          <w:sz w:val="22"/>
          <w:szCs w:val="22"/>
        </w:rPr>
        <w:t xml:space="preserve">supporting </w:t>
      </w:r>
      <w:r w:rsidRPr="008D40A6" w:rsidR="00272FCE">
        <w:rPr>
          <w:sz w:val="22"/>
          <w:szCs w:val="22"/>
        </w:rPr>
        <w:t>ecosystems</w:t>
      </w:r>
      <w:r w:rsidRPr="008D40A6" w:rsidR="004906DC">
        <w:rPr>
          <w:sz w:val="22"/>
          <w:szCs w:val="22"/>
        </w:rPr>
        <w:t xml:space="preserve"> and the use of science to address th</w:t>
      </w:r>
      <w:r w:rsidRPr="008D40A6" w:rsidR="00272FCE">
        <w:rPr>
          <w:sz w:val="22"/>
          <w:szCs w:val="22"/>
        </w:rPr>
        <w:t>is challenge</w:t>
      </w:r>
      <w:r w:rsidRPr="008D40A6" w:rsidR="006038DF">
        <w:rPr>
          <w:sz w:val="22"/>
          <w:szCs w:val="22"/>
        </w:rPr>
        <w:t>:</w:t>
      </w:r>
      <w:r w:rsidRPr="008D40A6" w:rsidR="005A7BD8">
        <w:rPr>
          <w:sz w:val="22"/>
          <w:szCs w:val="22"/>
        </w:rPr>
        <w:t xml:space="preserve"> </w:t>
      </w:r>
    </w:p>
    <w:p w:rsidRPr="008D40A6" w:rsidR="00272FCE" w:rsidP="69AE3331" w:rsidRDefault="00272FCE" w14:paraId="1CAF229E" w14:textId="114917B5">
      <w:pPr>
        <w:tabs>
          <w:tab w:val="left" w:pos="3495"/>
        </w:tabs>
        <w:rPr>
          <w:sz w:val="22"/>
          <w:szCs w:val="22"/>
        </w:rPr>
      </w:pPr>
    </w:p>
    <w:p w:rsidRPr="008D40A6" w:rsidR="00272FCE" w:rsidP="001D265D" w:rsidRDefault="005A7BD8" w14:paraId="268C95BD" w14:textId="3A313D8D">
      <w:pPr>
        <w:pStyle w:val="ListParagraph"/>
        <w:numPr>
          <w:ilvl w:val="0"/>
          <w:numId w:val="11"/>
        </w:numPr>
        <w:tabs>
          <w:tab w:val="left" w:pos="3495"/>
        </w:tabs>
        <w:rPr>
          <w:sz w:val="22"/>
          <w:szCs w:val="22"/>
        </w:rPr>
      </w:pPr>
      <w:r w:rsidRPr="008D40A6">
        <w:rPr>
          <w:sz w:val="22"/>
          <w:szCs w:val="22"/>
        </w:rPr>
        <w:t xml:space="preserve">The ocean </w:t>
      </w:r>
      <w:r w:rsidR="00CC7E1E">
        <w:rPr>
          <w:sz w:val="22"/>
          <w:szCs w:val="22"/>
        </w:rPr>
        <w:t>is</w:t>
      </w:r>
      <w:r w:rsidRPr="008D40A6">
        <w:rPr>
          <w:sz w:val="22"/>
          <w:szCs w:val="22"/>
        </w:rPr>
        <w:t xml:space="preserve"> negatively impacted by a breadth of human activities, endangering fragile environments and the livelihoods and wellbeing of vulnerable communities that rely on them. </w:t>
      </w:r>
    </w:p>
    <w:p w:rsidRPr="008D40A6" w:rsidR="00472C8D" w:rsidP="001D265D" w:rsidRDefault="005A7BD8" w14:paraId="42DE0519" w14:textId="5CDE412E">
      <w:pPr>
        <w:pStyle w:val="ListParagraph"/>
        <w:numPr>
          <w:ilvl w:val="0"/>
          <w:numId w:val="11"/>
        </w:numPr>
        <w:tabs>
          <w:tab w:val="left" w:pos="3495"/>
        </w:tabs>
        <w:rPr>
          <w:sz w:val="22"/>
          <w:szCs w:val="22"/>
        </w:rPr>
      </w:pPr>
      <w:r w:rsidRPr="008D40A6">
        <w:rPr>
          <w:sz w:val="22"/>
          <w:szCs w:val="22"/>
        </w:rPr>
        <w:t xml:space="preserve">Partner country stakeholders often require increased capacity to generate and use scientific knowledge to inform robust policymaking and implement actions to address ocean pollution, biodiversity loss, access to sustainable seafood and the impacts of climate change. </w:t>
      </w:r>
    </w:p>
    <w:p w:rsidRPr="008D40A6" w:rsidR="00472C8D" w:rsidP="69AE3331" w:rsidRDefault="005A7BD8" w14:paraId="0E53F72F" w14:textId="6CB5E3D6">
      <w:pPr>
        <w:tabs>
          <w:tab w:val="left" w:pos="3495"/>
        </w:tabs>
        <w:rPr>
          <w:sz w:val="22"/>
          <w:szCs w:val="22"/>
        </w:rPr>
      </w:pPr>
      <w:r w:rsidRPr="008D40A6">
        <w:rPr>
          <w:sz w:val="22"/>
          <w:szCs w:val="22"/>
        </w:rPr>
        <w:t xml:space="preserve">The following constraints were identified: </w:t>
      </w:r>
    </w:p>
    <w:p w:rsidRPr="008D40A6" w:rsidR="00472C8D" w:rsidP="69AE3331" w:rsidRDefault="00472C8D" w14:paraId="64207B08" w14:textId="13EC6147">
      <w:pPr>
        <w:tabs>
          <w:tab w:val="left" w:pos="3495"/>
        </w:tabs>
        <w:rPr>
          <w:sz w:val="22"/>
          <w:szCs w:val="22"/>
        </w:rPr>
      </w:pPr>
    </w:p>
    <w:p w:rsidRPr="008D40A6" w:rsidR="00472C8D" w:rsidP="001D265D" w:rsidRDefault="005A7BD8" w14:paraId="4704AD14" w14:textId="2CBF4DA8">
      <w:pPr>
        <w:pStyle w:val="ListParagraph"/>
        <w:numPr>
          <w:ilvl w:val="0"/>
          <w:numId w:val="13"/>
        </w:numPr>
        <w:tabs>
          <w:tab w:val="left" w:pos="3495"/>
        </w:tabs>
        <w:rPr>
          <w:sz w:val="22"/>
          <w:szCs w:val="22"/>
        </w:rPr>
      </w:pPr>
      <w:r w:rsidRPr="008D40A6">
        <w:rPr>
          <w:sz w:val="22"/>
          <w:szCs w:val="22"/>
        </w:rPr>
        <w:t>Funding for research, resulting in knowledge and evidence gaps to support new policies.</w:t>
      </w:r>
    </w:p>
    <w:p w:rsidRPr="008D40A6" w:rsidR="00472C8D" w:rsidP="001D265D" w:rsidRDefault="00472C8D" w14:paraId="47A6DD85" w14:textId="0D128165">
      <w:pPr>
        <w:pStyle w:val="ListParagraph"/>
        <w:numPr>
          <w:ilvl w:val="0"/>
          <w:numId w:val="13"/>
        </w:numPr>
        <w:tabs>
          <w:tab w:val="left" w:pos="3495"/>
        </w:tabs>
        <w:rPr>
          <w:sz w:val="22"/>
          <w:szCs w:val="22"/>
        </w:rPr>
      </w:pPr>
      <w:r w:rsidRPr="008D40A6">
        <w:rPr>
          <w:sz w:val="22"/>
          <w:szCs w:val="22"/>
        </w:rPr>
        <w:t xml:space="preserve">Capacity levels for science, technology, and governance, including lack of physical resources and limited access to training. </w:t>
      </w:r>
    </w:p>
    <w:p w:rsidRPr="008D40A6" w:rsidR="00472C8D" w:rsidP="001D265D" w:rsidRDefault="00472C8D" w14:paraId="7365B8E0" w14:textId="3DE96B39">
      <w:pPr>
        <w:pStyle w:val="ListParagraph"/>
        <w:numPr>
          <w:ilvl w:val="0"/>
          <w:numId w:val="13"/>
        </w:numPr>
        <w:tabs>
          <w:tab w:val="left" w:pos="3495"/>
        </w:tabs>
        <w:rPr>
          <w:sz w:val="22"/>
          <w:szCs w:val="22"/>
        </w:rPr>
      </w:pPr>
      <w:r w:rsidRPr="008D40A6">
        <w:rPr>
          <w:sz w:val="22"/>
          <w:szCs w:val="22"/>
        </w:rPr>
        <w:t>Knowledge exchange of importance of healthy ocean ecosystems and local context.</w:t>
      </w:r>
    </w:p>
    <w:p w:rsidRPr="008D40A6" w:rsidR="00472C8D" w:rsidP="001D265D" w:rsidRDefault="00472C8D" w14:paraId="4BD9BB70" w14:textId="415231E3">
      <w:pPr>
        <w:pStyle w:val="ListParagraph"/>
        <w:numPr>
          <w:ilvl w:val="0"/>
          <w:numId w:val="13"/>
        </w:numPr>
        <w:tabs>
          <w:tab w:val="left" w:pos="3495"/>
        </w:tabs>
        <w:rPr>
          <w:sz w:val="22"/>
          <w:szCs w:val="22"/>
        </w:rPr>
      </w:pPr>
      <w:r w:rsidRPr="008D40A6">
        <w:rPr>
          <w:sz w:val="22"/>
          <w:szCs w:val="22"/>
        </w:rPr>
        <w:t>Capabilities for effective evidence interpretation and policy response / implementation.</w:t>
      </w:r>
    </w:p>
    <w:p w:rsidRPr="008D40A6" w:rsidR="00472C8D" w:rsidP="001D265D" w:rsidRDefault="00472C8D" w14:paraId="6BEBB14F" w14:textId="7DDC534E">
      <w:pPr>
        <w:pStyle w:val="ListParagraph"/>
        <w:numPr>
          <w:ilvl w:val="0"/>
          <w:numId w:val="13"/>
        </w:numPr>
        <w:tabs>
          <w:tab w:val="left" w:pos="3495"/>
        </w:tabs>
        <w:rPr>
          <w:sz w:val="22"/>
          <w:szCs w:val="22"/>
        </w:rPr>
      </w:pPr>
      <w:r w:rsidRPr="1201F839" w:rsidR="00472C8D">
        <w:rPr>
          <w:sz w:val="22"/>
          <w:szCs w:val="22"/>
        </w:rPr>
        <w:t>Competing priorities, particularly in lower income developing countries, that would deprioritise marine conservation, sustainable fisheries, and climate challenges</w:t>
      </w:r>
      <w:r w:rsidRPr="1201F839" w:rsidR="003A1420">
        <w:rPr>
          <w:sz w:val="22"/>
          <w:szCs w:val="22"/>
        </w:rPr>
        <w:t xml:space="preserve"> </w:t>
      </w:r>
      <w:r w:rsidRPr="1201F839" w:rsidR="00C0558D">
        <w:rPr>
          <w:sz w:val="22"/>
          <w:szCs w:val="22"/>
        </w:rPr>
        <w:t xml:space="preserve">for </w:t>
      </w:r>
      <w:r w:rsidRPr="1201F839" w:rsidR="64207230">
        <w:rPr>
          <w:sz w:val="22"/>
          <w:szCs w:val="22"/>
        </w:rPr>
        <w:t>economic development in the near term</w:t>
      </w:r>
      <w:r w:rsidRPr="1201F839" w:rsidR="00C0558D">
        <w:rPr>
          <w:sz w:val="22"/>
          <w:szCs w:val="22"/>
        </w:rPr>
        <w:t>, but leaving vulnerable communities worse off in the long term</w:t>
      </w:r>
    </w:p>
    <w:p w:rsidRPr="008D40A6" w:rsidR="00472C8D" w:rsidP="001D265D" w:rsidRDefault="00472C8D" w14:paraId="484FEC79" w14:textId="17DBA893">
      <w:pPr>
        <w:pStyle w:val="ListParagraph"/>
        <w:numPr>
          <w:ilvl w:val="0"/>
          <w:numId w:val="13"/>
        </w:numPr>
        <w:tabs>
          <w:tab w:val="left" w:pos="3495"/>
        </w:tabs>
        <w:rPr>
          <w:sz w:val="22"/>
          <w:szCs w:val="22"/>
        </w:rPr>
      </w:pPr>
      <w:r w:rsidRPr="008D40A6">
        <w:rPr>
          <w:sz w:val="22"/>
          <w:szCs w:val="22"/>
        </w:rPr>
        <w:t>Lack of clear and consistent economic arguments for the importance of conservation.</w:t>
      </w:r>
    </w:p>
    <w:p w:rsidR="00E94974" w:rsidP="69AE3331" w:rsidRDefault="00E94974" w14:paraId="1858E98E" w14:textId="160D8E3D">
      <w:pPr>
        <w:tabs>
          <w:tab w:val="left" w:pos="3495"/>
        </w:tabs>
        <w:rPr>
          <w:sz w:val="22"/>
          <w:szCs w:val="22"/>
        </w:rPr>
      </w:pPr>
      <w:r w:rsidRPr="008D40A6">
        <w:rPr>
          <w:sz w:val="22"/>
          <w:szCs w:val="22"/>
        </w:rPr>
        <w:t xml:space="preserve">There are four pathways to change (causal pathways) for the OCPP: </w:t>
      </w:r>
    </w:p>
    <w:p w:rsidRPr="008D40A6" w:rsidR="0017652D" w:rsidP="69AE3331" w:rsidRDefault="0017652D" w14:paraId="7A5E46FA" w14:textId="77777777">
      <w:pPr>
        <w:tabs>
          <w:tab w:val="left" w:pos="3495"/>
        </w:tabs>
        <w:rPr>
          <w:sz w:val="22"/>
          <w:szCs w:val="22"/>
        </w:rPr>
      </w:pPr>
    </w:p>
    <w:p w:rsidR="00792F06" w:rsidP="001D265D" w:rsidRDefault="00E94974" w14:paraId="14F0FB21" w14:textId="77777777">
      <w:pPr>
        <w:pStyle w:val="ListParagraph"/>
        <w:numPr>
          <w:ilvl w:val="0"/>
          <w:numId w:val="14"/>
        </w:numPr>
        <w:tabs>
          <w:tab w:val="left" w:pos="3495"/>
        </w:tabs>
        <w:rPr>
          <w:sz w:val="22"/>
          <w:szCs w:val="22"/>
        </w:rPr>
      </w:pPr>
      <w:r w:rsidRPr="00792F06">
        <w:rPr>
          <w:sz w:val="22"/>
          <w:szCs w:val="22"/>
        </w:rPr>
        <w:t xml:space="preserve">Capacity building </w:t>
      </w:r>
    </w:p>
    <w:p w:rsidR="00792F06" w:rsidP="001D265D" w:rsidRDefault="00E94974" w14:paraId="67CB1E36" w14:textId="77777777">
      <w:pPr>
        <w:pStyle w:val="ListParagraph"/>
        <w:numPr>
          <w:ilvl w:val="0"/>
          <w:numId w:val="14"/>
        </w:numPr>
        <w:tabs>
          <w:tab w:val="left" w:pos="3495"/>
        </w:tabs>
        <w:rPr>
          <w:sz w:val="22"/>
          <w:szCs w:val="22"/>
        </w:rPr>
      </w:pPr>
      <w:r w:rsidRPr="00792F06">
        <w:rPr>
          <w:sz w:val="22"/>
          <w:szCs w:val="22"/>
        </w:rPr>
        <w:t xml:space="preserve">Governance and regulation </w:t>
      </w:r>
    </w:p>
    <w:p w:rsidR="00792F06" w:rsidP="001D265D" w:rsidRDefault="00E94974" w14:paraId="25467E28" w14:textId="77777777">
      <w:pPr>
        <w:pStyle w:val="ListParagraph"/>
        <w:numPr>
          <w:ilvl w:val="0"/>
          <w:numId w:val="14"/>
        </w:numPr>
        <w:tabs>
          <w:tab w:val="left" w:pos="3495"/>
        </w:tabs>
        <w:rPr>
          <w:sz w:val="22"/>
          <w:szCs w:val="22"/>
        </w:rPr>
      </w:pPr>
      <w:r w:rsidRPr="1FB22237">
        <w:rPr>
          <w:sz w:val="22"/>
          <w:szCs w:val="22"/>
        </w:rPr>
        <w:t xml:space="preserve">Science, education and knowledge exchange </w:t>
      </w:r>
    </w:p>
    <w:p w:rsidRPr="00792F06" w:rsidR="00E94974" w:rsidP="001D265D" w:rsidRDefault="00E94974" w14:paraId="64C25203" w14:textId="7540613C">
      <w:pPr>
        <w:pStyle w:val="ListParagraph"/>
        <w:numPr>
          <w:ilvl w:val="0"/>
          <w:numId w:val="14"/>
        </w:numPr>
        <w:tabs>
          <w:tab w:val="left" w:pos="3495"/>
        </w:tabs>
        <w:rPr>
          <w:sz w:val="22"/>
          <w:szCs w:val="22"/>
        </w:rPr>
      </w:pPr>
      <w:r w:rsidRPr="00792F06">
        <w:rPr>
          <w:sz w:val="22"/>
          <w:szCs w:val="22"/>
        </w:rPr>
        <w:t xml:space="preserve">Value chain and market access improvements for seafood </w:t>
      </w:r>
    </w:p>
    <w:p w:rsidR="00C93BA7" w:rsidP="69AE3331" w:rsidRDefault="00E94974" w14:paraId="0DBDA3C4" w14:textId="76E151AE">
      <w:pPr>
        <w:tabs>
          <w:tab w:val="left" w:pos="3495"/>
        </w:tabs>
        <w:rPr>
          <w:sz w:val="22"/>
          <w:szCs w:val="22"/>
        </w:rPr>
      </w:pPr>
      <w:r w:rsidRPr="1FB22237">
        <w:rPr>
          <w:sz w:val="22"/>
          <w:szCs w:val="22"/>
        </w:rPr>
        <w:t xml:space="preserve">The causal pathways demonstrate the linkages between </w:t>
      </w:r>
      <w:r w:rsidRPr="1FB22237" w:rsidR="006400C6">
        <w:rPr>
          <w:sz w:val="22"/>
          <w:szCs w:val="22"/>
        </w:rPr>
        <w:t xml:space="preserve">the </w:t>
      </w:r>
      <w:r w:rsidRPr="1FB22237">
        <w:rPr>
          <w:sz w:val="22"/>
          <w:szCs w:val="22"/>
        </w:rPr>
        <w:t xml:space="preserve">OCPP’s activities and inputs and the sequence necessary for creating the expected changes in marine science and management capacity and capabilities within partnership countries and regional or global partnerships. The outcome of </w:t>
      </w:r>
      <w:r w:rsidRPr="1FB22237" w:rsidR="006400C6">
        <w:rPr>
          <w:sz w:val="22"/>
          <w:szCs w:val="22"/>
        </w:rPr>
        <w:t>the</w:t>
      </w:r>
      <w:r w:rsidRPr="1FB22237">
        <w:rPr>
          <w:sz w:val="22"/>
          <w:szCs w:val="22"/>
        </w:rPr>
        <w:t xml:space="preserve"> OCPP increasing the capacity and capability of partnership countries and regional/global partnerships is expected to result in effective and sustainable management of marine environments</w:t>
      </w:r>
      <w:r w:rsidRPr="1FB22237" w:rsidR="00287290">
        <w:rPr>
          <w:sz w:val="22"/>
          <w:szCs w:val="22"/>
        </w:rPr>
        <w:t xml:space="preserve"> which will improve the live</w:t>
      </w:r>
      <w:r w:rsidRPr="1FB22237" w:rsidR="00A27C77">
        <w:rPr>
          <w:sz w:val="22"/>
          <w:szCs w:val="22"/>
        </w:rPr>
        <w:t xml:space="preserve">lihoods of </w:t>
      </w:r>
      <w:r w:rsidRPr="1FB22237" w:rsidR="00B35A94">
        <w:rPr>
          <w:sz w:val="22"/>
          <w:szCs w:val="22"/>
        </w:rPr>
        <w:t>coastal communities</w:t>
      </w:r>
      <w:r w:rsidRPr="1FB22237">
        <w:rPr>
          <w:sz w:val="22"/>
          <w:szCs w:val="22"/>
        </w:rPr>
        <w:t xml:space="preserve">. The causal pathways are also the avenues in which </w:t>
      </w:r>
      <w:r w:rsidRPr="1FB22237" w:rsidR="006400C6">
        <w:rPr>
          <w:sz w:val="22"/>
          <w:szCs w:val="22"/>
        </w:rPr>
        <w:t xml:space="preserve">the </w:t>
      </w:r>
      <w:r w:rsidRPr="1FB22237">
        <w:rPr>
          <w:sz w:val="22"/>
          <w:szCs w:val="22"/>
        </w:rPr>
        <w:t xml:space="preserve">OCPP will address the identified constraints and problem statement. For example, through providing technical assistance on marine pollution, the OCPP should enact a positive change and increase a country’s capacity (i.e. resources) and capability (i.e. ability) to respond to marine pollution. </w:t>
      </w:r>
    </w:p>
    <w:p w:rsidR="00C93BA7" w:rsidP="69AE3331" w:rsidRDefault="00C93BA7" w14:paraId="1FADD184" w14:textId="77777777">
      <w:pPr>
        <w:tabs>
          <w:tab w:val="left" w:pos="3495"/>
        </w:tabs>
        <w:rPr>
          <w:sz w:val="22"/>
          <w:szCs w:val="22"/>
        </w:rPr>
      </w:pPr>
    </w:p>
    <w:p w:rsidR="007F396B" w:rsidP="69AE3331" w:rsidRDefault="00E94974" w14:paraId="267D4C01" w14:textId="3F404542">
      <w:pPr>
        <w:tabs>
          <w:tab w:val="left" w:pos="3495"/>
        </w:tabs>
        <w:rPr>
          <w:sz w:val="22"/>
          <w:szCs w:val="22"/>
        </w:rPr>
      </w:pPr>
      <w:r w:rsidRPr="008D40A6">
        <w:rPr>
          <w:sz w:val="22"/>
          <w:szCs w:val="22"/>
        </w:rPr>
        <w:t xml:space="preserve">The change that is expected to occur along these pathways is not linear, nor does each pathway operate in isolation; they should collectively support each other and result in synergies. Technical assistance for marine pollution could involve both training in-country scientists and providing access to better datasets to support in-country work, while simultaneously working with country governments and ministries to strengthen policies around marine pollution. Cross-cutting these four causal pathways is the critical linkage of GESI and safeguarding that the OCPP intervention design must consider. </w:t>
      </w:r>
    </w:p>
    <w:p w:rsidR="007F396B" w:rsidP="69AE3331" w:rsidRDefault="007F396B" w14:paraId="47702969" w14:textId="77777777">
      <w:pPr>
        <w:tabs>
          <w:tab w:val="left" w:pos="3495"/>
        </w:tabs>
        <w:rPr>
          <w:sz w:val="22"/>
          <w:szCs w:val="22"/>
        </w:rPr>
      </w:pPr>
    </w:p>
    <w:p w:rsidR="007F396B" w:rsidP="69AE3331" w:rsidRDefault="00E94974" w14:paraId="309A551D" w14:textId="1886DADB">
      <w:pPr>
        <w:tabs>
          <w:tab w:val="left" w:pos="3495"/>
        </w:tabs>
        <w:rPr>
          <w:sz w:val="22"/>
          <w:szCs w:val="22"/>
        </w:rPr>
      </w:pPr>
      <w:r w:rsidRPr="008D40A6">
        <w:rPr>
          <w:sz w:val="22"/>
          <w:szCs w:val="22"/>
        </w:rPr>
        <w:t xml:space="preserve">Evidence for the efficacy of these causal pathways is </w:t>
      </w:r>
      <w:r w:rsidRPr="008F78CA" w:rsidR="00AD7515">
        <w:rPr>
          <w:sz w:val="22"/>
          <w:szCs w:val="22"/>
        </w:rPr>
        <w:t xml:space="preserve">outlined within the </w:t>
      </w:r>
      <w:r w:rsidRPr="008F78CA" w:rsidR="004D56CC">
        <w:rPr>
          <w:sz w:val="22"/>
          <w:szCs w:val="22"/>
        </w:rPr>
        <w:t>programme Theory of Change narrative (annex C)</w:t>
      </w:r>
      <w:r w:rsidRPr="008F78CA">
        <w:rPr>
          <w:sz w:val="22"/>
          <w:szCs w:val="22"/>
        </w:rPr>
        <w:t xml:space="preserve"> </w:t>
      </w:r>
      <w:r w:rsidRPr="008F78CA" w:rsidR="004D56CC">
        <w:rPr>
          <w:sz w:val="22"/>
          <w:szCs w:val="22"/>
        </w:rPr>
        <w:t xml:space="preserve">and is </w:t>
      </w:r>
      <w:r w:rsidRPr="008D40A6">
        <w:rPr>
          <w:sz w:val="22"/>
          <w:szCs w:val="22"/>
        </w:rPr>
        <w:t xml:space="preserve">linked with interdependent inputs (i.e. the activities or resources provided by the programme) that result in the OCPP’s outputs. The inputs for </w:t>
      </w:r>
      <w:r w:rsidR="006400C6">
        <w:rPr>
          <w:sz w:val="22"/>
          <w:szCs w:val="22"/>
        </w:rPr>
        <w:t>the</w:t>
      </w:r>
      <w:r w:rsidRPr="008D40A6">
        <w:rPr>
          <w:sz w:val="22"/>
          <w:szCs w:val="22"/>
        </w:rPr>
        <w:t xml:space="preserve"> OCPP include: </w:t>
      </w:r>
    </w:p>
    <w:p w:rsidR="007F396B" w:rsidP="69AE3331" w:rsidRDefault="007F396B" w14:paraId="02695EEA" w14:textId="77777777">
      <w:pPr>
        <w:tabs>
          <w:tab w:val="left" w:pos="3495"/>
        </w:tabs>
        <w:rPr>
          <w:sz w:val="22"/>
          <w:szCs w:val="22"/>
        </w:rPr>
      </w:pPr>
    </w:p>
    <w:p w:rsidR="007F396B" w:rsidP="001D265D" w:rsidRDefault="00E94974" w14:paraId="6C571274" w14:textId="77777777">
      <w:pPr>
        <w:pStyle w:val="ListParagraph"/>
        <w:numPr>
          <w:ilvl w:val="0"/>
          <w:numId w:val="12"/>
        </w:numPr>
        <w:tabs>
          <w:tab w:val="left" w:pos="3495"/>
        </w:tabs>
        <w:rPr>
          <w:sz w:val="22"/>
          <w:szCs w:val="22"/>
        </w:rPr>
      </w:pPr>
      <w:r w:rsidRPr="007F396B">
        <w:rPr>
          <w:sz w:val="22"/>
          <w:szCs w:val="22"/>
        </w:rPr>
        <w:t>Research and evidence</w:t>
      </w:r>
    </w:p>
    <w:p w:rsidR="007F396B" w:rsidP="001D265D" w:rsidRDefault="00E94974" w14:paraId="7E48835B" w14:textId="77777777">
      <w:pPr>
        <w:pStyle w:val="ListParagraph"/>
        <w:numPr>
          <w:ilvl w:val="0"/>
          <w:numId w:val="12"/>
        </w:numPr>
        <w:tabs>
          <w:tab w:val="left" w:pos="3495"/>
        </w:tabs>
        <w:rPr>
          <w:sz w:val="22"/>
          <w:szCs w:val="22"/>
        </w:rPr>
      </w:pPr>
      <w:r w:rsidRPr="007F396B">
        <w:rPr>
          <w:sz w:val="22"/>
          <w:szCs w:val="22"/>
        </w:rPr>
        <w:t>Technical expertise</w:t>
      </w:r>
    </w:p>
    <w:p w:rsidR="007F396B" w:rsidP="001D265D" w:rsidRDefault="00E94974" w14:paraId="3B4D7E56" w14:textId="77777777">
      <w:pPr>
        <w:pStyle w:val="ListParagraph"/>
        <w:numPr>
          <w:ilvl w:val="0"/>
          <w:numId w:val="12"/>
        </w:numPr>
        <w:tabs>
          <w:tab w:val="left" w:pos="3495"/>
        </w:tabs>
        <w:rPr>
          <w:sz w:val="22"/>
          <w:szCs w:val="22"/>
        </w:rPr>
      </w:pPr>
      <w:r w:rsidRPr="007F396B">
        <w:rPr>
          <w:sz w:val="22"/>
          <w:szCs w:val="22"/>
        </w:rPr>
        <w:t>Assets and equipment</w:t>
      </w:r>
    </w:p>
    <w:p w:rsidR="007F396B" w:rsidP="001D265D" w:rsidRDefault="00E94974" w14:paraId="287B263A" w14:textId="77777777">
      <w:pPr>
        <w:pStyle w:val="ListParagraph"/>
        <w:numPr>
          <w:ilvl w:val="0"/>
          <w:numId w:val="12"/>
        </w:numPr>
        <w:tabs>
          <w:tab w:val="left" w:pos="3495"/>
        </w:tabs>
        <w:rPr>
          <w:sz w:val="22"/>
          <w:szCs w:val="22"/>
        </w:rPr>
      </w:pPr>
      <w:r w:rsidRPr="007F396B">
        <w:rPr>
          <w:sz w:val="22"/>
          <w:szCs w:val="22"/>
        </w:rPr>
        <w:t>UK leadership</w:t>
      </w:r>
    </w:p>
    <w:p w:rsidR="007F396B" w:rsidP="001D265D" w:rsidRDefault="00E94974" w14:paraId="7992A065" w14:textId="77777777">
      <w:pPr>
        <w:pStyle w:val="ListParagraph"/>
        <w:numPr>
          <w:ilvl w:val="0"/>
          <w:numId w:val="12"/>
        </w:numPr>
        <w:tabs>
          <w:tab w:val="left" w:pos="3495"/>
        </w:tabs>
        <w:rPr>
          <w:sz w:val="22"/>
          <w:szCs w:val="22"/>
        </w:rPr>
      </w:pPr>
      <w:r w:rsidRPr="007F396B">
        <w:rPr>
          <w:sz w:val="22"/>
          <w:szCs w:val="22"/>
        </w:rPr>
        <w:t>Partner country government leadershi</w:t>
      </w:r>
      <w:r w:rsidR="007F396B">
        <w:rPr>
          <w:sz w:val="22"/>
          <w:szCs w:val="22"/>
        </w:rPr>
        <w:t>p</w:t>
      </w:r>
    </w:p>
    <w:p w:rsidR="007F396B" w:rsidP="001D265D" w:rsidRDefault="001A461B" w14:paraId="751615F7" w14:textId="77777777">
      <w:pPr>
        <w:pStyle w:val="ListParagraph"/>
        <w:numPr>
          <w:ilvl w:val="0"/>
          <w:numId w:val="12"/>
        </w:numPr>
        <w:tabs>
          <w:tab w:val="left" w:pos="3495"/>
        </w:tabs>
        <w:rPr>
          <w:sz w:val="22"/>
          <w:szCs w:val="22"/>
        </w:rPr>
      </w:pPr>
      <w:r w:rsidRPr="007F396B">
        <w:rPr>
          <w:sz w:val="22"/>
          <w:szCs w:val="22"/>
        </w:rPr>
        <w:t>Global and regional delivery</w:t>
      </w:r>
    </w:p>
    <w:p w:rsidRPr="00277AB9" w:rsidR="00BB4013" w:rsidP="001D265D" w:rsidRDefault="001A461B" w14:paraId="31E64DB9" w14:textId="1A261290">
      <w:pPr>
        <w:pStyle w:val="ListParagraph"/>
        <w:numPr>
          <w:ilvl w:val="0"/>
          <w:numId w:val="12"/>
        </w:numPr>
        <w:tabs>
          <w:tab w:val="left" w:pos="3495"/>
        </w:tabs>
        <w:rPr>
          <w:sz w:val="22"/>
          <w:szCs w:val="22"/>
        </w:rPr>
      </w:pPr>
      <w:r w:rsidRPr="007F396B">
        <w:rPr>
          <w:sz w:val="22"/>
          <w:szCs w:val="22"/>
        </w:rPr>
        <w:t xml:space="preserve">Consultations, knowledge processes and participation from local communities. </w:t>
      </w:r>
    </w:p>
    <w:p w:rsidRPr="008D40A6" w:rsidR="0084186A" w:rsidP="69AE3331" w:rsidRDefault="00160E95" w14:paraId="5744225C" w14:textId="4A93E3C0">
      <w:pPr>
        <w:tabs>
          <w:tab w:val="left" w:pos="3495"/>
        </w:tabs>
        <w:rPr>
          <w:sz w:val="22"/>
          <w:szCs w:val="22"/>
        </w:rPr>
      </w:pPr>
      <w:r w:rsidRPr="1FB22237">
        <w:rPr>
          <w:sz w:val="22"/>
          <w:szCs w:val="22"/>
        </w:rPr>
        <w:t xml:space="preserve">At the </w:t>
      </w:r>
      <w:r w:rsidRPr="1FB22237" w:rsidR="001B09BE">
        <w:rPr>
          <w:sz w:val="22"/>
          <w:szCs w:val="22"/>
        </w:rPr>
        <w:t>i</w:t>
      </w:r>
      <w:r w:rsidRPr="1FB22237">
        <w:rPr>
          <w:sz w:val="22"/>
          <w:szCs w:val="22"/>
        </w:rPr>
        <w:t xml:space="preserve">ntermediate </w:t>
      </w:r>
      <w:r w:rsidRPr="1FB22237" w:rsidR="001B09BE">
        <w:rPr>
          <w:sz w:val="22"/>
          <w:szCs w:val="22"/>
        </w:rPr>
        <w:t>o</w:t>
      </w:r>
      <w:r w:rsidRPr="1FB22237">
        <w:rPr>
          <w:sz w:val="22"/>
          <w:szCs w:val="22"/>
        </w:rPr>
        <w:t xml:space="preserve">utcome level, the OCPP will result in: </w:t>
      </w:r>
    </w:p>
    <w:p w:rsidRPr="008D40A6" w:rsidR="0084186A" w:rsidP="69AE3331" w:rsidRDefault="0084186A" w14:paraId="38422220" w14:textId="5731BC99">
      <w:pPr>
        <w:tabs>
          <w:tab w:val="left" w:pos="3495"/>
        </w:tabs>
        <w:rPr>
          <w:sz w:val="22"/>
          <w:szCs w:val="22"/>
        </w:rPr>
      </w:pPr>
    </w:p>
    <w:p w:rsidRPr="008D40A6" w:rsidR="0084186A" w:rsidP="009A7B4B" w:rsidRDefault="00160E95" w14:paraId="165852FB" w14:textId="791C7297">
      <w:pPr>
        <w:tabs>
          <w:tab w:val="left" w:pos="3495"/>
        </w:tabs>
        <w:rPr>
          <w:sz w:val="22"/>
          <w:szCs w:val="22"/>
        </w:rPr>
      </w:pPr>
      <w:r w:rsidRPr="008D40A6">
        <w:rPr>
          <w:sz w:val="22"/>
          <w:szCs w:val="22"/>
        </w:rPr>
        <w:t>‘Improved policies and regulation with enhanced capabilities and inclusive governance in place to implement and enforce these’</w:t>
      </w:r>
    </w:p>
    <w:p w:rsidRPr="008D40A6" w:rsidR="0084186A" w:rsidP="69AE3331" w:rsidRDefault="0084186A" w14:paraId="65996FC0" w14:textId="1B6A1D55">
      <w:pPr>
        <w:tabs>
          <w:tab w:val="left" w:pos="3495"/>
        </w:tabs>
        <w:rPr>
          <w:sz w:val="22"/>
          <w:szCs w:val="22"/>
        </w:rPr>
      </w:pPr>
    </w:p>
    <w:p w:rsidR="0084186A" w:rsidP="69AE3331" w:rsidRDefault="00160E95" w14:paraId="0630068C" w14:textId="2C30F23A">
      <w:pPr>
        <w:tabs>
          <w:tab w:val="left" w:pos="3495"/>
        </w:tabs>
        <w:rPr>
          <w:sz w:val="22"/>
          <w:szCs w:val="22"/>
        </w:rPr>
      </w:pPr>
      <w:r w:rsidRPr="008D40A6">
        <w:rPr>
          <w:sz w:val="22"/>
          <w:szCs w:val="22"/>
        </w:rPr>
        <w:t xml:space="preserve">To reach this </w:t>
      </w:r>
      <w:r w:rsidR="001B09BE">
        <w:rPr>
          <w:sz w:val="22"/>
          <w:szCs w:val="22"/>
        </w:rPr>
        <w:t>i</w:t>
      </w:r>
      <w:r w:rsidRPr="008D40A6">
        <w:rPr>
          <w:sz w:val="22"/>
          <w:szCs w:val="22"/>
        </w:rPr>
        <w:t xml:space="preserve">ntermediate </w:t>
      </w:r>
      <w:r w:rsidR="001B09BE">
        <w:rPr>
          <w:sz w:val="22"/>
          <w:szCs w:val="22"/>
        </w:rPr>
        <w:t>o</w:t>
      </w:r>
      <w:r w:rsidRPr="008D40A6">
        <w:rPr>
          <w:sz w:val="22"/>
          <w:szCs w:val="22"/>
        </w:rPr>
        <w:t xml:space="preserve">utcome level, the programme must result in </w:t>
      </w:r>
      <w:r w:rsidR="0046337E">
        <w:rPr>
          <w:sz w:val="22"/>
          <w:szCs w:val="22"/>
        </w:rPr>
        <w:t xml:space="preserve">the </w:t>
      </w:r>
      <w:r w:rsidRPr="61FB12B1" w:rsidR="0046337E">
        <w:rPr>
          <w:sz w:val="22"/>
          <w:szCs w:val="22"/>
        </w:rPr>
        <w:t>followi</w:t>
      </w:r>
      <w:r w:rsidRPr="61FB12B1" w:rsidR="70210FFB">
        <w:rPr>
          <w:sz w:val="22"/>
          <w:szCs w:val="22"/>
        </w:rPr>
        <w:t>ng</w:t>
      </w:r>
      <w:r w:rsidRPr="30DC66EE" w:rsidR="70210FFB">
        <w:rPr>
          <w:sz w:val="22"/>
          <w:szCs w:val="22"/>
        </w:rPr>
        <w:t xml:space="preserve"> in partner country </w:t>
      </w:r>
      <w:r w:rsidRPr="061F0433" w:rsidR="70210FFB">
        <w:rPr>
          <w:sz w:val="22"/>
          <w:szCs w:val="22"/>
        </w:rPr>
        <w:t>governments</w:t>
      </w:r>
      <w:r w:rsidRPr="061F0433" w:rsidR="639F21B3">
        <w:rPr>
          <w:sz w:val="22"/>
          <w:szCs w:val="22"/>
        </w:rPr>
        <w:t>:</w:t>
      </w:r>
    </w:p>
    <w:p w:rsidRPr="008D40A6" w:rsidR="0017156B" w:rsidP="69AE3331" w:rsidRDefault="0017156B" w14:paraId="635B132B" w14:textId="77777777">
      <w:pPr>
        <w:tabs>
          <w:tab w:val="left" w:pos="3495"/>
        </w:tabs>
        <w:rPr>
          <w:sz w:val="22"/>
          <w:szCs w:val="22"/>
        </w:rPr>
      </w:pPr>
    </w:p>
    <w:p w:rsidR="0017156B" w:rsidP="001D265D" w:rsidRDefault="54C402C4" w14:paraId="237F0187" w14:textId="5912F833">
      <w:pPr>
        <w:pStyle w:val="ListParagraph"/>
        <w:numPr>
          <w:ilvl w:val="0"/>
          <w:numId w:val="15"/>
        </w:numPr>
        <w:tabs>
          <w:tab w:val="left" w:pos="3495"/>
        </w:tabs>
        <w:rPr>
          <w:sz w:val="22"/>
          <w:szCs w:val="22"/>
        </w:rPr>
      </w:pPr>
      <w:r w:rsidRPr="1FB22237">
        <w:rPr>
          <w:sz w:val="22"/>
          <w:szCs w:val="22"/>
        </w:rPr>
        <w:t xml:space="preserve">improved </w:t>
      </w:r>
      <w:r w:rsidRPr="1FB22237" w:rsidR="00160E95">
        <w:rPr>
          <w:sz w:val="22"/>
          <w:szCs w:val="22"/>
        </w:rPr>
        <w:t>capabilit</w:t>
      </w:r>
      <w:r w:rsidRPr="1FB22237" w:rsidR="2C9175E4">
        <w:rPr>
          <w:sz w:val="22"/>
          <w:szCs w:val="22"/>
        </w:rPr>
        <w:t>y</w:t>
      </w:r>
      <w:r w:rsidRPr="1FB22237" w:rsidR="00160E95">
        <w:rPr>
          <w:sz w:val="22"/>
          <w:szCs w:val="22"/>
        </w:rPr>
        <w:t xml:space="preserve"> to implement improved policies, regulations, and approaches for sustainable marine environment management and emergency response </w:t>
      </w:r>
    </w:p>
    <w:p w:rsidR="0017156B" w:rsidP="001D265D" w:rsidRDefault="610C533C" w14:paraId="61770270" w14:textId="5F6A4CD6">
      <w:pPr>
        <w:pStyle w:val="ListParagraph"/>
        <w:numPr>
          <w:ilvl w:val="0"/>
          <w:numId w:val="15"/>
        </w:numPr>
        <w:tabs>
          <w:tab w:val="left" w:pos="3495"/>
        </w:tabs>
        <w:rPr>
          <w:sz w:val="22"/>
          <w:szCs w:val="22"/>
        </w:rPr>
      </w:pPr>
      <w:r w:rsidRPr="061F0433">
        <w:rPr>
          <w:sz w:val="22"/>
          <w:szCs w:val="22"/>
        </w:rPr>
        <w:t>I</w:t>
      </w:r>
      <w:r w:rsidRPr="061F0433" w:rsidR="5D56CD9E">
        <w:rPr>
          <w:sz w:val="22"/>
          <w:szCs w:val="22"/>
        </w:rPr>
        <w:t>mplementation</w:t>
      </w:r>
      <w:r w:rsidRPr="61FB12B1" w:rsidR="5D56CD9E">
        <w:rPr>
          <w:sz w:val="22"/>
          <w:szCs w:val="22"/>
        </w:rPr>
        <w:t xml:space="preserve"> of</w:t>
      </w:r>
      <w:r w:rsidRPr="013C49CB" w:rsidR="69AABB6D">
        <w:rPr>
          <w:sz w:val="22"/>
          <w:szCs w:val="22"/>
        </w:rPr>
        <w:t xml:space="preserve"> </w:t>
      </w:r>
      <w:r w:rsidRPr="647E7365" w:rsidR="69AABB6D">
        <w:rPr>
          <w:sz w:val="22"/>
          <w:szCs w:val="22"/>
        </w:rPr>
        <w:t>i</w:t>
      </w:r>
      <w:r w:rsidRPr="647E7365" w:rsidR="00160E95">
        <w:rPr>
          <w:sz w:val="22"/>
          <w:szCs w:val="22"/>
        </w:rPr>
        <w:t>mproved</w:t>
      </w:r>
      <w:r w:rsidRPr="0017156B" w:rsidR="00160E95">
        <w:rPr>
          <w:sz w:val="22"/>
          <w:szCs w:val="22"/>
        </w:rPr>
        <w:t xml:space="preserve"> policies, regulation frameworks, and approaches for sustainable marine environmental management &amp; emergency response </w:t>
      </w:r>
    </w:p>
    <w:p w:rsidRPr="0017156B" w:rsidR="00E729F2" w:rsidP="001D265D" w:rsidRDefault="0EEE64F7" w14:paraId="4F77F690" w14:textId="78EE5153">
      <w:pPr>
        <w:pStyle w:val="ListParagraph"/>
        <w:numPr>
          <w:ilvl w:val="0"/>
          <w:numId w:val="15"/>
        </w:numPr>
        <w:tabs>
          <w:tab w:val="left" w:pos="3495"/>
        </w:tabs>
        <w:rPr>
          <w:sz w:val="22"/>
          <w:szCs w:val="22"/>
        </w:rPr>
      </w:pPr>
      <w:r w:rsidRPr="21F926CB">
        <w:rPr>
          <w:sz w:val="22"/>
          <w:szCs w:val="22"/>
        </w:rPr>
        <w:t>C</w:t>
      </w:r>
      <w:r w:rsidRPr="21F926CB" w:rsidR="00160E95">
        <w:rPr>
          <w:sz w:val="22"/>
          <w:szCs w:val="22"/>
        </w:rPr>
        <w:t>ommunity</w:t>
      </w:r>
      <w:r w:rsidRPr="0017156B" w:rsidR="00160E95">
        <w:rPr>
          <w:sz w:val="22"/>
          <w:szCs w:val="22"/>
        </w:rPr>
        <w:t xml:space="preserve"> ownership and / or support from public-private partnerships for policies, regulations and practices that support effective management of the marine environment</w:t>
      </w:r>
    </w:p>
    <w:p w:rsidR="001210BD" w:rsidP="00E729F2" w:rsidRDefault="00E729F2" w14:paraId="1238663E" w14:textId="684C9CAE">
      <w:pPr>
        <w:tabs>
          <w:tab w:val="left" w:pos="3495"/>
        </w:tabs>
        <w:rPr>
          <w:sz w:val="22"/>
          <w:szCs w:val="22"/>
        </w:rPr>
      </w:pPr>
      <w:r w:rsidRPr="1FB22237">
        <w:rPr>
          <w:sz w:val="22"/>
          <w:szCs w:val="22"/>
        </w:rPr>
        <w:t xml:space="preserve">The programme’s stated </w:t>
      </w:r>
      <w:r w:rsidRPr="1FB22237" w:rsidR="001B09BE">
        <w:rPr>
          <w:sz w:val="22"/>
          <w:szCs w:val="22"/>
        </w:rPr>
        <w:t>o</w:t>
      </w:r>
      <w:r w:rsidRPr="1FB22237">
        <w:rPr>
          <w:sz w:val="22"/>
          <w:szCs w:val="22"/>
        </w:rPr>
        <w:t xml:space="preserve">utcome is: </w:t>
      </w:r>
    </w:p>
    <w:p w:rsidR="001210BD" w:rsidP="00E729F2" w:rsidRDefault="001210BD" w14:paraId="42E69B91" w14:textId="77777777">
      <w:pPr>
        <w:tabs>
          <w:tab w:val="left" w:pos="3495"/>
        </w:tabs>
        <w:rPr>
          <w:sz w:val="22"/>
          <w:szCs w:val="22"/>
        </w:rPr>
      </w:pPr>
    </w:p>
    <w:p w:rsidR="001210BD" w:rsidP="00024D6F" w:rsidRDefault="00E729F2" w14:paraId="04DC53FE" w14:textId="5ACC49DE">
      <w:pPr>
        <w:tabs>
          <w:tab w:val="left" w:pos="3495"/>
        </w:tabs>
        <w:rPr>
          <w:sz w:val="22"/>
          <w:szCs w:val="22"/>
        </w:rPr>
      </w:pPr>
      <w:r w:rsidRPr="008D40A6">
        <w:rPr>
          <w:sz w:val="22"/>
          <w:szCs w:val="22"/>
        </w:rPr>
        <w:t>‘Partner country stakeholders take enhanced collaborative action to effectively and sustainably manage and protect their marine environments’</w:t>
      </w:r>
    </w:p>
    <w:p w:rsidR="001210BD" w:rsidP="00E729F2" w:rsidRDefault="001210BD" w14:paraId="6B8EA7E7" w14:textId="77777777">
      <w:pPr>
        <w:tabs>
          <w:tab w:val="left" w:pos="3495"/>
        </w:tabs>
        <w:rPr>
          <w:sz w:val="22"/>
          <w:szCs w:val="22"/>
        </w:rPr>
      </w:pPr>
    </w:p>
    <w:p w:rsidR="00E729F2" w:rsidP="00E729F2" w:rsidRDefault="00E729F2" w14:paraId="18E1E508" w14:textId="3DAB16A3">
      <w:pPr>
        <w:tabs>
          <w:tab w:val="left" w:pos="3495"/>
        </w:tabs>
        <w:rPr>
          <w:sz w:val="22"/>
          <w:szCs w:val="22"/>
        </w:rPr>
      </w:pPr>
      <w:r w:rsidRPr="008D40A6">
        <w:rPr>
          <w:sz w:val="22"/>
          <w:szCs w:val="22"/>
        </w:rPr>
        <w:t>To reach that Outcome, the intervention must first result in the</w:t>
      </w:r>
      <w:r w:rsidR="006E3F62">
        <w:rPr>
          <w:sz w:val="22"/>
          <w:szCs w:val="22"/>
        </w:rPr>
        <w:t xml:space="preserve"> effective</w:t>
      </w:r>
      <w:r w:rsidRPr="008D40A6">
        <w:rPr>
          <w:sz w:val="22"/>
          <w:szCs w:val="22"/>
        </w:rPr>
        <w:t xml:space="preserve"> implementation of the following</w:t>
      </w:r>
      <w:r w:rsidR="006E3F62">
        <w:rPr>
          <w:sz w:val="22"/>
          <w:szCs w:val="22"/>
        </w:rPr>
        <w:t xml:space="preserve"> by partner countries</w:t>
      </w:r>
      <w:r w:rsidRPr="008D40A6">
        <w:rPr>
          <w:sz w:val="22"/>
          <w:szCs w:val="22"/>
        </w:rPr>
        <w:t xml:space="preserve">: </w:t>
      </w:r>
    </w:p>
    <w:p w:rsidRPr="008D40A6" w:rsidR="001210BD" w:rsidP="00E729F2" w:rsidRDefault="001210BD" w14:paraId="3C5ACA1A" w14:textId="77777777">
      <w:pPr>
        <w:tabs>
          <w:tab w:val="left" w:pos="3495"/>
        </w:tabs>
        <w:rPr>
          <w:sz w:val="22"/>
          <w:szCs w:val="22"/>
        </w:rPr>
      </w:pPr>
    </w:p>
    <w:p w:rsidR="001210BD" w:rsidP="001D265D" w:rsidRDefault="00E729F2" w14:paraId="0F8B9701" w14:textId="71AC31B0">
      <w:pPr>
        <w:pStyle w:val="ListParagraph"/>
        <w:numPr>
          <w:ilvl w:val="0"/>
          <w:numId w:val="16"/>
        </w:numPr>
        <w:tabs>
          <w:tab w:val="left" w:pos="3495"/>
        </w:tabs>
        <w:rPr>
          <w:sz w:val="22"/>
          <w:szCs w:val="22"/>
        </w:rPr>
      </w:pPr>
      <w:r w:rsidRPr="001210BD">
        <w:rPr>
          <w:sz w:val="22"/>
          <w:szCs w:val="22"/>
        </w:rPr>
        <w:t xml:space="preserve">Improved policies and practices that protect and conserve marine environment effectively, with strengthened preparedness to respond to emergencies </w:t>
      </w:r>
    </w:p>
    <w:p w:rsidR="001210BD" w:rsidP="001D265D" w:rsidRDefault="000F5BFF" w14:paraId="16D6594F" w14:textId="372492B6">
      <w:pPr>
        <w:pStyle w:val="ListParagraph"/>
        <w:numPr>
          <w:ilvl w:val="0"/>
          <w:numId w:val="16"/>
        </w:numPr>
        <w:tabs>
          <w:tab w:val="left" w:pos="3495"/>
        </w:tabs>
        <w:rPr>
          <w:sz w:val="22"/>
          <w:szCs w:val="22"/>
        </w:rPr>
      </w:pPr>
      <w:r>
        <w:rPr>
          <w:sz w:val="22"/>
          <w:szCs w:val="22"/>
        </w:rPr>
        <w:t>Effective e</w:t>
      </w:r>
      <w:r w:rsidR="00E179A1">
        <w:rPr>
          <w:sz w:val="22"/>
          <w:szCs w:val="22"/>
        </w:rPr>
        <w:t xml:space="preserve">nforcement </w:t>
      </w:r>
      <w:r>
        <w:rPr>
          <w:sz w:val="22"/>
          <w:szCs w:val="22"/>
        </w:rPr>
        <w:t>of e</w:t>
      </w:r>
      <w:r w:rsidRPr="001210BD" w:rsidR="00E729F2">
        <w:rPr>
          <w:sz w:val="22"/>
          <w:szCs w:val="22"/>
        </w:rPr>
        <w:t xml:space="preserve">nhanced and inclusive regulations that protect and conserve marine environment </w:t>
      </w:r>
    </w:p>
    <w:p w:rsidRPr="001210BD" w:rsidR="0036076F" w:rsidP="001D265D" w:rsidRDefault="00E729F2" w14:paraId="38A4EBA2" w14:textId="305B49E9">
      <w:pPr>
        <w:pStyle w:val="ListParagraph"/>
        <w:numPr>
          <w:ilvl w:val="0"/>
          <w:numId w:val="16"/>
        </w:numPr>
        <w:tabs>
          <w:tab w:val="left" w:pos="3495"/>
        </w:tabs>
        <w:rPr>
          <w:sz w:val="22"/>
          <w:szCs w:val="22"/>
        </w:rPr>
      </w:pPr>
      <w:r w:rsidRPr="1FB22237">
        <w:rPr>
          <w:sz w:val="22"/>
          <w:szCs w:val="22"/>
        </w:rPr>
        <w:t xml:space="preserve">Enhanced and inclusive community ownership, resourcing, and public-private partnerships and action [including scale up of successful innovations] to effectively manage their marine environment </w:t>
      </w:r>
    </w:p>
    <w:p w:rsidR="006822F2" w:rsidP="69AE3331" w:rsidRDefault="0036076F" w14:paraId="73494211" w14:textId="6E9EBFF6">
      <w:pPr>
        <w:tabs>
          <w:tab w:val="left" w:pos="3495"/>
        </w:tabs>
        <w:rPr>
          <w:sz w:val="22"/>
          <w:szCs w:val="22"/>
        </w:rPr>
      </w:pPr>
      <w:r w:rsidRPr="1FB22237">
        <w:rPr>
          <w:sz w:val="22"/>
          <w:szCs w:val="22"/>
        </w:rPr>
        <w:t>The OCPP Theory of Change and logframe were refreshed by our MEL partner NIRAS</w:t>
      </w:r>
      <w:r w:rsidRPr="1FB22237" w:rsidR="001B40E2">
        <w:rPr>
          <w:sz w:val="22"/>
          <w:szCs w:val="22"/>
        </w:rPr>
        <w:t xml:space="preserve">, </w:t>
      </w:r>
      <w:r w:rsidRPr="1FB22237" w:rsidR="007812B9">
        <w:rPr>
          <w:sz w:val="22"/>
          <w:szCs w:val="22"/>
        </w:rPr>
        <w:t xml:space="preserve">endorsed </w:t>
      </w:r>
      <w:r w:rsidRPr="1FB22237" w:rsidR="00003241">
        <w:rPr>
          <w:sz w:val="22"/>
          <w:szCs w:val="22"/>
        </w:rPr>
        <w:t xml:space="preserve">at the </w:t>
      </w:r>
      <w:r w:rsidRPr="1FB22237" w:rsidR="002120C2">
        <w:rPr>
          <w:sz w:val="22"/>
          <w:szCs w:val="22"/>
        </w:rPr>
        <w:t>Dec 2023</w:t>
      </w:r>
      <w:r w:rsidRPr="1FB22237" w:rsidR="00003241">
        <w:rPr>
          <w:sz w:val="22"/>
          <w:szCs w:val="22"/>
        </w:rPr>
        <w:t xml:space="preserve"> Senior Management Board</w:t>
      </w:r>
      <w:r w:rsidRPr="1FB22237" w:rsidR="00D81BF8">
        <w:rPr>
          <w:sz w:val="22"/>
          <w:szCs w:val="22"/>
        </w:rPr>
        <w:t xml:space="preserve"> and approved by the programme </w:t>
      </w:r>
      <w:r w:rsidR="00E82682">
        <w:rPr>
          <w:sz w:val="22"/>
          <w:szCs w:val="22"/>
        </w:rPr>
        <w:t>Senior Reporting Officer (</w:t>
      </w:r>
      <w:r w:rsidRPr="1FB22237" w:rsidR="00D81BF8">
        <w:rPr>
          <w:sz w:val="22"/>
          <w:szCs w:val="22"/>
        </w:rPr>
        <w:t>SRO</w:t>
      </w:r>
      <w:r w:rsidR="00E82682">
        <w:rPr>
          <w:sz w:val="22"/>
          <w:szCs w:val="22"/>
        </w:rPr>
        <w:t>)</w:t>
      </w:r>
      <w:r w:rsidRPr="1FB22237" w:rsidR="00800850">
        <w:rPr>
          <w:sz w:val="22"/>
          <w:szCs w:val="22"/>
        </w:rPr>
        <w:t xml:space="preserve">. </w:t>
      </w:r>
      <w:r w:rsidRPr="1FB22237" w:rsidR="00C53204">
        <w:rPr>
          <w:sz w:val="22"/>
          <w:szCs w:val="22"/>
        </w:rPr>
        <w:t xml:space="preserve">Changes were made to better align the </w:t>
      </w:r>
      <w:r w:rsidRPr="1FB22237" w:rsidR="005A64C3">
        <w:rPr>
          <w:sz w:val="22"/>
          <w:szCs w:val="22"/>
        </w:rPr>
        <w:t xml:space="preserve">ToC </w:t>
      </w:r>
      <w:r w:rsidRPr="1FB22237" w:rsidR="00B05A37">
        <w:rPr>
          <w:sz w:val="22"/>
          <w:szCs w:val="22"/>
        </w:rPr>
        <w:t>with the breath of work undertaken by the programme</w:t>
      </w:r>
      <w:r w:rsidRPr="1FB22237" w:rsidR="00086484">
        <w:rPr>
          <w:sz w:val="22"/>
          <w:szCs w:val="22"/>
        </w:rPr>
        <w:t xml:space="preserve">, include GESI indicators </w:t>
      </w:r>
      <w:r w:rsidRPr="1FB22237" w:rsidR="00D37D3E">
        <w:rPr>
          <w:sz w:val="22"/>
          <w:szCs w:val="22"/>
        </w:rPr>
        <w:t>and ensure better integration of GESI into outcomes including</w:t>
      </w:r>
      <w:r w:rsidRPr="1FB22237" w:rsidR="004D2E13">
        <w:rPr>
          <w:sz w:val="22"/>
          <w:szCs w:val="22"/>
        </w:rPr>
        <w:t xml:space="preserve"> ‘</w:t>
      </w:r>
      <w:r w:rsidRPr="1FB22237" w:rsidR="00D94378">
        <w:rPr>
          <w:sz w:val="22"/>
          <w:szCs w:val="22"/>
        </w:rPr>
        <w:t>I</w:t>
      </w:r>
      <w:r w:rsidRPr="1FB22237" w:rsidR="004D2E13">
        <w:rPr>
          <w:sz w:val="22"/>
          <w:szCs w:val="22"/>
        </w:rPr>
        <w:t xml:space="preserve">ncreased effective and equitable </w:t>
      </w:r>
      <w:r w:rsidRPr="1FB22237" w:rsidR="00E60F7D">
        <w:rPr>
          <w:sz w:val="22"/>
          <w:szCs w:val="22"/>
        </w:rPr>
        <w:t xml:space="preserve">representation </w:t>
      </w:r>
      <w:r w:rsidRPr="1FB22237" w:rsidR="00B47F88">
        <w:rPr>
          <w:sz w:val="22"/>
          <w:szCs w:val="22"/>
        </w:rPr>
        <w:t>and part</w:t>
      </w:r>
      <w:r w:rsidRPr="1FB22237" w:rsidR="00C170DF">
        <w:rPr>
          <w:sz w:val="22"/>
          <w:szCs w:val="22"/>
        </w:rPr>
        <w:t>icipation of coastal resources</w:t>
      </w:r>
      <w:r w:rsidRPr="1FB22237" w:rsidR="007E6A5F">
        <w:rPr>
          <w:sz w:val="22"/>
          <w:szCs w:val="22"/>
        </w:rPr>
        <w:t xml:space="preserve"> sta</w:t>
      </w:r>
      <w:r w:rsidRPr="1FB22237" w:rsidR="0010234E">
        <w:rPr>
          <w:sz w:val="22"/>
          <w:szCs w:val="22"/>
        </w:rPr>
        <w:t>keholders in management’</w:t>
      </w:r>
      <w:r w:rsidRPr="1FB22237" w:rsidR="00940709">
        <w:rPr>
          <w:sz w:val="22"/>
          <w:szCs w:val="22"/>
        </w:rPr>
        <w:t xml:space="preserve"> (outcome i</w:t>
      </w:r>
      <w:r w:rsidRPr="1FB22237" w:rsidR="00986D05">
        <w:rPr>
          <w:sz w:val="22"/>
          <w:szCs w:val="22"/>
        </w:rPr>
        <w:t>ndicator 4) and ‘</w:t>
      </w:r>
      <w:r w:rsidRPr="1FB22237" w:rsidR="00D94378">
        <w:rPr>
          <w:sz w:val="22"/>
          <w:szCs w:val="22"/>
        </w:rPr>
        <w:t>Number of projects / planning and/or governance processes with increased inclusion of local people and their knowledge in decision making’</w:t>
      </w:r>
      <w:r w:rsidRPr="1FB22237" w:rsidR="00EB12F7">
        <w:rPr>
          <w:sz w:val="22"/>
          <w:szCs w:val="22"/>
        </w:rPr>
        <w:t xml:space="preserve"> (</w:t>
      </w:r>
      <w:r w:rsidRPr="1FB22237" w:rsidR="006D54B8">
        <w:rPr>
          <w:sz w:val="22"/>
          <w:szCs w:val="22"/>
        </w:rPr>
        <w:t xml:space="preserve">intermediate outcome indicator </w:t>
      </w:r>
      <w:r w:rsidRPr="1FB22237" w:rsidR="00D756AD">
        <w:rPr>
          <w:sz w:val="22"/>
          <w:szCs w:val="22"/>
        </w:rPr>
        <w:t>3)</w:t>
      </w:r>
      <w:r w:rsidRPr="1FB22237" w:rsidR="006822F2">
        <w:rPr>
          <w:sz w:val="22"/>
          <w:szCs w:val="22"/>
        </w:rPr>
        <w:t xml:space="preserve">. </w:t>
      </w:r>
    </w:p>
    <w:p w:rsidR="006822F2" w:rsidP="69AE3331" w:rsidRDefault="006822F2" w14:paraId="143006CA" w14:textId="77777777">
      <w:pPr>
        <w:tabs>
          <w:tab w:val="left" w:pos="3495"/>
        </w:tabs>
        <w:rPr>
          <w:sz w:val="22"/>
          <w:szCs w:val="22"/>
        </w:rPr>
      </w:pPr>
    </w:p>
    <w:p w:rsidRPr="002E692E" w:rsidR="0036076F" w:rsidP="69AE3331" w:rsidRDefault="00B05A37" w14:paraId="06B94502" w14:textId="22A8D6C6">
      <w:pPr>
        <w:tabs>
          <w:tab w:val="left" w:pos="3495"/>
        </w:tabs>
        <w:rPr>
          <w:sz w:val="22"/>
          <w:szCs w:val="22"/>
        </w:rPr>
      </w:pPr>
      <w:r w:rsidRPr="2C6B85DE">
        <w:rPr>
          <w:sz w:val="22"/>
          <w:szCs w:val="22"/>
        </w:rPr>
        <w:t xml:space="preserve">The ToC </w:t>
      </w:r>
      <w:r w:rsidRPr="2C6B85DE" w:rsidR="007147E2">
        <w:rPr>
          <w:sz w:val="22"/>
          <w:szCs w:val="22"/>
        </w:rPr>
        <w:t xml:space="preserve">and logframe </w:t>
      </w:r>
      <w:r w:rsidRPr="2C6B85DE">
        <w:rPr>
          <w:sz w:val="22"/>
          <w:szCs w:val="22"/>
        </w:rPr>
        <w:t xml:space="preserve">will be reviewed and updated on an annual basis </w:t>
      </w:r>
      <w:r w:rsidRPr="2C6B85DE" w:rsidR="00676CF6">
        <w:rPr>
          <w:sz w:val="22"/>
          <w:szCs w:val="22"/>
        </w:rPr>
        <w:t xml:space="preserve">following the </w:t>
      </w:r>
      <w:r w:rsidRPr="2C6B85DE" w:rsidR="00C14357">
        <w:rPr>
          <w:sz w:val="22"/>
          <w:szCs w:val="22"/>
        </w:rPr>
        <w:t>annual review</w:t>
      </w:r>
      <w:r w:rsidRPr="2C6B85DE" w:rsidR="001A1490">
        <w:rPr>
          <w:sz w:val="22"/>
          <w:szCs w:val="22"/>
        </w:rPr>
        <w:t xml:space="preserve"> </w:t>
      </w:r>
      <w:r w:rsidRPr="2C6B85DE" w:rsidR="001B161F">
        <w:rPr>
          <w:sz w:val="22"/>
          <w:szCs w:val="22"/>
        </w:rPr>
        <w:t>to embed lesson</w:t>
      </w:r>
      <w:r w:rsidRPr="2C6B85DE" w:rsidR="00407472">
        <w:rPr>
          <w:sz w:val="22"/>
          <w:szCs w:val="22"/>
        </w:rPr>
        <w:t>s</w:t>
      </w:r>
      <w:r w:rsidRPr="2C6B85DE" w:rsidR="00D61BE4">
        <w:rPr>
          <w:sz w:val="22"/>
          <w:szCs w:val="22"/>
        </w:rPr>
        <w:t xml:space="preserve"> learned f</w:t>
      </w:r>
      <w:r w:rsidRPr="2C6B85DE" w:rsidR="001B161F">
        <w:rPr>
          <w:sz w:val="22"/>
          <w:szCs w:val="22"/>
        </w:rPr>
        <w:t xml:space="preserve">rom </w:t>
      </w:r>
      <w:r w:rsidRPr="2C6B85DE" w:rsidR="00240F7F">
        <w:rPr>
          <w:sz w:val="22"/>
          <w:szCs w:val="22"/>
        </w:rPr>
        <w:t xml:space="preserve">the </w:t>
      </w:r>
      <w:r w:rsidRPr="2C6B85DE" w:rsidR="001B161F">
        <w:rPr>
          <w:sz w:val="22"/>
          <w:szCs w:val="22"/>
        </w:rPr>
        <w:t xml:space="preserve">OCPP’s delivery, results achieved, and emerging evidence </w:t>
      </w:r>
      <w:r w:rsidRPr="2C6B85DE" w:rsidR="001F3080">
        <w:rPr>
          <w:sz w:val="22"/>
          <w:szCs w:val="22"/>
        </w:rPr>
        <w:t xml:space="preserve">from </w:t>
      </w:r>
      <w:r w:rsidRPr="2C6B85DE" w:rsidR="001B161F">
        <w:rPr>
          <w:sz w:val="22"/>
          <w:szCs w:val="22"/>
        </w:rPr>
        <w:t>within and beyond</w:t>
      </w:r>
      <w:r w:rsidRPr="2C6B85DE" w:rsidR="00240F7F">
        <w:rPr>
          <w:sz w:val="22"/>
          <w:szCs w:val="22"/>
        </w:rPr>
        <w:t xml:space="preserve"> the</w:t>
      </w:r>
      <w:r w:rsidRPr="2C6B85DE" w:rsidR="001B161F">
        <w:rPr>
          <w:sz w:val="22"/>
          <w:szCs w:val="22"/>
        </w:rPr>
        <w:t xml:space="preserve"> OCPP</w:t>
      </w:r>
      <w:r w:rsidRPr="2C6B85DE" w:rsidR="00B6583D">
        <w:rPr>
          <w:sz w:val="22"/>
          <w:szCs w:val="22"/>
        </w:rPr>
        <w:t xml:space="preserve">, and </w:t>
      </w:r>
      <w:r w:rsidRPr="2C6B85DE" w:rsidR="00E064EB">
        <w:rPr>
          <w:sz w:val="22"/>
          <w:szCs w:val="22"/>
        </w:rPr>
        <w:t xml:space="preserve">will </w:t>
      </w:r>
      <w:r w:rsidRPr="2C6B85DE" w:rsidR="00B6583D">
        <w:rPr>
          <w:sz w:val="22"/>
          <w:szCs w:val="22"/>
        </w:rPr>
        <w:t xml:space="preserve">consider where further amendments are required to </w:t>
      </w:r>
      <w:r w:rsidRPr="2C6B85DE" w:rsidR="002E335F">
        <w:rPr>
          <w:sz w:val="22"/>
          <w:szCs w:val="22"/>
        </w:rPr>
        <w:t>ensure</w:t>
      </w:r>
      <w:r w:rsidRPr="2C6B85DE" w:rsidR="00B6583D">
        <w:rPr>
          <w:sz w:val="22"/>
          <w:szCs w:val="22"/>
        </w:rPr>
        <w:t xml:space="preserve"> it remains valid. </w:t>
      </w:r>
      <w:r w:rsidRPr="2C6B85DE" w:rsidR="006376F6">
        <w:rPr>
          <w:sz w:val="22"/>
          <w:szCs w:val="22"/>
        </w:rPr>
        <w:t xml:space="preserve">The next ToC </w:t>
      </w:r>
      <w:r w:rsidRPr="2C6B85DE" w:rsidR="007147E2">
        <w:rPr>
          <w:sz w:val="22"/>
          <w:szCs w:val="22"/>
        </w:rPr>
        <w:t xml:space="preserve">and logframe </w:t>
      </w:r>
      <w:r w:rsidRPr="2C6B85DE" w:rsidR="006376F6">
        <w:rPr>
          <w:sz w:val="22"/>
          <w:szCs w:val="22"/>
        </w:rPr>
        <w:t xml:space="preserve">review will focus on </w:t>
      </w:r>
      <w:r w:rsidRPr="2C6B85DE" w:rsidR="001D3256">
        <w:rPr>
          <w:sz w:val="22"/>
          <w:szCs w:val="22"/>
        </w:rPr>
        <w:t xml:space="preserve">better </w:t>
      </w:r>
      <w:r w:rsidRPr="2C6B85DE" w:rsidR="003A0BC1">
        <w:rPr>
          <w:sz w:val="22"/>
          <w:szCs w:val="22"/>
        </w:rPr>
        <w:t xml:space="preserve">embedding </w:t>
      </w:r>
      <w:r w:rsidRPr="2C6B85DE" w:rsidR="006425E4">
        <w:rPr>
          <w:sz w:val="22"/>
          <w:szCs w:val="22"/>
        </w:rPr>
        <w:t xml:space="preserve">GESI and </w:t>
      </w:r>
      <w:r w:rsidRPr="2C6B85DE" w:rsidR="001D3256">
        <w:rPr>
          <w:sz w:val="22"/>
          <w:szCs w:val="22"/>
        </w:rPr>
        <w:t>poverty alleviation</w:t>
      </w:r>
      <w:r w:rsidRPr="2C6B85DE" w:rsidR="00166151">
        <w:rPr>
          <w:sz w:val="22"/>
          <w:szCs w:val="22"/>
        </w:rPr>
        <w:t xml:space="preserve"> and will take place between November 2024 and January </w:t>
      </w:r>
      <w:r w:rsidRPr="2C6B85DE" w:rsidR="007718D0">
        <w:rPr>
          <w:sz w:val="22"/>
          <w:szCs w:val="22"/>
        </w:rPr>
        <w:t>2025.</w:t>
      </w:r>
    </w:p>
    <w:p w:rsidR="006F3AE7" w:rsidP="006F3AE7" w:rsidRDefault="006F3AE7" w14:paraId="412F9A3A" w14:textId="77777777">
      <w:pPr>
        <w:rPr>
          <w:rFonts w:cs="Arial"/>
          <w:b/>
          <w:bCs/>
          <w:sz w:val="22"/>
          <w:szCs w:val="22"/>
        </w:rPr>
      </w:pPr>
    </w:p>
    <w:p w:rsidRPr="00F70DBE" w:rsidR="006F3AE7" w:rsidP="2350498C" w:rsidRDefault="4D4F44B5" w14:paraId="5A3C7F9B" w14:textId="1E3F1B05">
      <w:pPr>
        <w:rPr>
          <w:rFonts w:cs="Arial"/>
          <w:b/>
          <w:bCs/>
          <w:sz w:val="22"/>
          <w:szCs w:val="22"/>
        </w:rPr>
      </w:pPr>
      <w:r w:rsidRPr="2350498C">
        <w:rPr>
          <w:rFonts w:cs="Arial"/>
          <w:b/>
          <w:bCs/>
          <w:sz w:val="22"/>
          <w:szCs w:val="22"/>
        </w:rPr>
        <w:t xml:space="preserve">B2. </w:t>
      </w:r>
      <w:r w:rsidRPr="2350498C" w:rsidR="006F3AE7">
        <w:rPr>
          <w:rFonts w:cs="Arial"/>
          <w:b/>
          <w:bCs/>
          <w:sz w:val="22"/>
          <w:szCs w:val="22"/>
        </w:rPr>
        <w:t>Describe where the programme is on/off track to contribute to the expected outcomes and impact. What action is planned in the year ahead?</w:t>
      </w:r>
    </w:p>
    <w:p w:rsidRPr="00A672E3" w:rsidR="006F3AE7" w:rsidP="006F3AE7" w:rsidRDefault="006F3AE7" w14:paraId="5DF843A9" w14:textId="77777777">
      <w:pPr>
        <w:rPr>
          <w:color w:val="000000" w:themeColor="text1"/>
          <w:sz w:val="20"/>
          <w:szCs w:val="20"/>
          <w:highlight w:val="yellow"/>
        </w:rPr>
      </w:pPr>
    </w:p>
    <w:p w:rsidR="00DF0A50" w:rsidP="1F9FCF51" w:rsidRDefault="00DF0A50" w14:paraId="754B8DFF" w14:textId="77777777">
      <w:pPr>
        <w:rPr>
          <w:sz w:val="20"/>
          <w:szCs w:val="20"/>
        </w:rPr>
      </w:pPr>
    </w:p>
    <w:p w:rsidR="002B6DD0" w:rsidP="1F9FCF51" w:rsidRDefault="00F05235" w14:paraId="65667CAB" w14:textId="4FF417F7">
      <w:pPr>
        <w:rPr>
          <w:sz w:val="22"/>
          <w:szCs w:val="22"/>
        </w:rPr>
      </w:pPr>
      <w:r>
        <w:rPr>
          <w:sz w:val="22"/>
          <w:szCs w:val="22"/>
        </w:rPr>
        <w:t xml:space="preserve">This is the first year that the programme has </w:t>
      </w:r>
      <w:r w:rsidR="00536AFE">
        <w:rPr>
          <w:sz w:val="22"/>
          <w:szCs w:val="22"/>
        </w:rPr>
        <w:t xml:space="preserve">been able to report progress </w:t>
      </w:r>
      <w:r w:rsidR="00AB64C5">
        <w:rPr>
          <w:sz w:val="22"/>
          <w:szCs w:val="22"/>
        </w:rPr>
        <w:t xml:space="preserve">against outcome indicators. Reporting has shown a mixed picture, with some success towards translating outputs to </w:t>
      </w:r>
      <w:r w:rsidR="00536AFE">
        <w:rPr>
          <w:sz w:val="22"/>
          <w:szCs w:val="22"/>
        </w:rPr>
        <w:t>outcomes</w:t>
      </w:r>
      <w:r w:rsidR="00586632">
        <w:rPr>
          <w:sz w:val="22"/>
          <w:szCs w:val="22"/>
        </w:rPr>
        <w:t>, however</w:t>
      </w:r>
      <w:r w:rsidR="00E619C1">
        <w:rPr>
          <w:sz w:val="22"/>
          <w:szCs w:val="22"/>
        </w:rPr>
        <w:t>,</w:t>
      </w:r>
      <w:r w:rsidR="00586632">
        <w:rPr>
          <w:sz w:val="22"/>
          <w:szCs w:val="22"/>
        </w:rPr>
        <w:t xml:space="preserve"> in other areas the programme has not </w:t>
      </w:r>
      <w:r w:rsidR="007B0779">
        <w:rPr>
          <w:sz w:val="22"/>
          <w:szCs w:val="22"/>
        </w:rPr>
        <w:t xml:space="preserve">yet </w:t>
      </w:r>
      <w:r w:rsidR="00586632">
        <w:rPr>
          <w:sz w:val="22"/>
          <w:szCs w:val="22"/>
        </w:rPr>
        <w:t xml:space="preserve">achieved </w:t>
      </w:r>
      <w:r w:rsidR="00E619C1">
        <w:rPr>
          <w:sz w:val="22"/>
          <w:szCs w:val="22"/>
        </w:rPr>
        <w:t>progress.</w:t>
      </w:r>
      <w:r w:rsidR="005D165C">
        <w:rPr>
          <w:sz w:val="22"/>
          <w:szCs w:val="22"/>
        </w:rPr>
        <w:t xml:space="preserve"> The table below provides a summary of</w:t>
      </w:r>
      <w:r w:rsidR="00F27B41">
        <w:rPr>
          <w:sz w:val="22"/>
          <w:szCs w:val="22"/>
        </w:rPr>
        <w:t xml:space="preserve"> progress towards</w:t>
      </w:r>
      <w:r w:rsidR="005D165C">
        <w:rPr>
          <w:sz w:val="22"/>
          <w:szCs w:val="22"/>
        </w:rPr>
        <w:t xml:space="preserve"> </w:t>
      </w:r>
      <w:r w:rsidR="00B6487E">
        <w:rPr>
          <w:sz w:val="22"/>
          <w:szCs w:val="22"/>
        </w:rPr>
        <w:t>outcome and i</w:t>
      </w:r>
      <w:r w:rsidR="00F27B41">
        <w:rPr>
          <w:sz w:val="22"/>
          <w:szCs w:val="22"/>
        </w:rPr>
        <w:t xml:space="preserve">ntermediate outcome level change. </w:t>
      </w:r>
      <w:r w:rsidRPr="00F27B41" w:rsidR="00F27B41">
        <w:rPr>
          <w:sz w:val="22"/>
          <w:szCs w:val="22"/>
        </w:rPr>
        <w:t>Intermediate outcome milestones and targets were not set as this level of reporting was included to capture the steps towards outcome level change</w:t>
      </w:r>
      <w:r w:rsidR="00F27B41">
        <w:rPr>
          <w:sz w:val="22"/>
          <w:szCs w:val="22"/>
        </w:rPr>
        <w:t>,</w:t>
      </w:r>
      <w:r w:rsidRPr="00F27B41" w:rsidR="00F27B41">
        <w:rPr>
          <w:sz w:val="22"/>
          <w:szCs w:val="22"/>
        </w:rPr>
        <w:t xml:space="preserve"> </w:t>
      </w:r>
      <w:r w:rsidR="0061138A">
        <w:rPr>
          <w:sz w:val="22"/>
          <w:szCs w:val="22"/>
        </w:rPr>
        <w:t>meaning</w:t>
      </w:r>
      <w:r w:rsidRPr="00F27B41" w:rsidR="00F27B41">
        <w:rPr>
          <w:sz w:val="22"/>
          <w:szCs w:val="22"/>
        </w:rPr>
        <w:t xml:space="preserve"> targets would</w:t>
      </w:r>
      <w:r w:rsidR="0061138A">
        <w:rPr>
          <w:sz w:val="22"/>
          <w:szCs w:val="22"/>
        </w:rPr>
        <w:t xml:space="preserve"> </w:t>
      </w:r>
      <w:r w:rsidRPr="00F27B41" w:rsidR="00F27B41">
        <w:rPr>
          <w:sz w:val="22"/>
          <w:szCs w:val="22"/>
        </w:rPr>
        <w:t>overlap with outcome targets.</w:t>
      </w:r>
    </w:p>
    <w:p w:rsidR="008E32C4" w:rsidP="1F9FCF51" w:rsidRDefault="008E32C4" w14:paraId="6B7B9C22" w14:textId="77777777">
      <w:pPr>
        <w:rPr>
          <w:sz w:val="22"/>
          <w:szCs w:val="22"/>
        </w:rPr>
      </w:pPr>
    </w:p>
    <w:p w:rsidRPr="00240EAB" w:rsidR="008E32C4" w:rsidP="008E32C4" w:rsidRDefault="00575AFD" w14:paraId="3738642B" w14:textId="07609246">
      <w:pPr>
        <w:rPr>
          <w:b/>
          <w:bCs/>
          <w:sz w:val="22"/>
          <w:szCs w:val="22"/>
        </w:rPr>
      </w:pPr>
      <w:r w:rsidRPr="7A147194">
        <w:rPr>
          <w:b/>
          <w:bCs/>
          <w:sz w:val="22"/>
          <w:szCs w:val="22"/>
        </w:rPr>
        <w:t xml:space="preserve">Outcome and </w:t>
      </w:r>
      <w:r w:rsidRPr="7A147194" w:rsidR="00BE0101">
        <w:rPr>
          <w:b/>
          <w:bCs/>
          <w:sz w:val="22"/>
          <w:szCs w:val="22"/>
        </w:rPr>
        <w:t>Intermediate</w:t>
      </w:r>
      <w:r w:rsidRPr="7A147194">
        <w:rPr>
          <w:b/>
          <w:bCs/>
          <w:sz w:val="22"/>
          <w:szCs w:val="22"/>
        </w:rPr>
        <w:t xml:space="preserve"> outcome </w:t>
      </w:r>
      <w:r w:rsidRPr="7A147194" w:rsidR="00335511">
        <w:rPr>
          <w:b/>
          <w:bCs/>
          <w:sz w:val="22"/>
          <w:szCs w:val="22"/>
        </w:rPr>
        <w:t>r</w:t>
      </w:r>
      <w:r w:rsidRPr="7A147194" w:rsidR="00BE0101">
        <w:rPr>
          <w:b/>
          <w:bCs/>
          <w:sz w:val="22"/>
          <w:szCs w:val="22"/>
        </w:rPr>
        <w:t>eporting</w:t>
      </w:r>
      <w:r w:rsidR="005961C9">
        <w:rPr>
          <w:rStyle w:val="FootnoteReference"/>
          <w:b/>
          <w:bCs/>
          <w:sz w:val="22"/>
          <w:szCs w:val="22"/>
        </w:rPr>
        <w:footnoteReference w:id="2"/>
      </w:r>
    </w:p>
    <w:tbl>
      <w:tblPr>
        <w:tblW w:w="9010"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109"/>
        <w:gridCol w:w="3994"/>
        <w:gridCol w:w="1944"/>
        <w:gridCol w:w="963"/>
      </w:tblGrid>
      <w:tr w:rsidRPr="008E32C4" w:rsidR="0037332A" w:rsidTr="2C6B85DE" w14:paraId="348CC942" w14:textId="77777777">
        <w:trPr>
          <w:trHeight w:val="570"/>
        </w:trPr>
        <w:tc>
          <w:tcPr>
            <w:tcW w:w="1693" w:type="dxa"/>
            <w:tcBorders>
              <w:top w:val="single" w:color="auto" w:sz="4" w:space="0"/>
              <w:left w:val="single" w:color="auto" w:sz="4" w:space="0"/>
              <w:bottom w:val="single" w:color="auto" w:sz="4" w:space="0"/>
              <w:right w:val="single" w:color="auto" w:sz="4" w:space="0"/>
            </w:tcBorders>
            <w:shd w:val="clear" w:color="auto" w:fill="B7D6E1"/>
            <w:hideMark/>
          </w:tcPr>
          <w:p w:rsidRPr="00240EAB" w:rsidR="008E32C4" w:rsidP="008E32C4" w:rsidRDefault="008E32C4" w14:paraId="09678DA1" w14:textId="77777777">
            <w:pPr>
              <w:rPr>
                <w:b/>
                <w:bCs/>
                <w:sz w:val="20"/>
                <w:szCs w:val="20"/>
              </w:rPr>
            </w:pPr>
            <w:r w:rsidRPr="00240EAB">
              <w:rPr>
                <w:b/>
                <w:bCs/>
                <w:sz w:val="20"/>
                <w:szCs w:val="20"/>
              </w:rPr>
              <w:t>​</w:t>
            </w:r>
          </w:p>
        </w:tc>
        <w:tc>
          <w:tcPr>
            <w:tcW w:w="4358" w:type="dxa"/>
            <w:tcBorders>
              <w:top w:val="single" w:color="auto" w:sz="4" w:space="0"/>
              <w:left w:val="single" w:color="auto" w:sz="4" w:space="0"/>
              <w:bottom w:val="single" w:color="auto" w:sz="4" w:space="0"/>
              <w:right w:val="single" w:color="auto" w:sz="4" w:space="0"/>
            </w:tcBorders>
            <w:shd w:val="clear" w:color="auto" w:fill="B7D6E1"/>
            <w:vAlign w:val="center"/>
            <w:hideMark/>
          </w:tcPr>
          <w:p w:rsidRPr="00240EAB" w:rsidR="008E32C4" w:rsidP="008E32C4" w:rsidRDefault="008E32C4" w14:paraId="64B12251" w14:textId="77777777">
            <w:pPr>
              <w:rPr>
                <w:b/>
                <w:bCs/>
                <w:sz w:val="20"/>
                <w:szCs w:val="20"/>
                <w:lang w:val="en-US"/>
              </w:rPr>
            </w:pPr>
            <w:r w:rsidRPr="00240EAB">
              <w:rPr>
                <w:b/>
                <w:bCs/>
                <w:sz w:val="20"/>
                <w:szCs w:val="20"/>
              </w:rPr>
              <w:t>Indicator</w:t>
            </w:r>
            <w:r w:rsidRPr="00240EAB">
              <w:rPr>
                <w:b/>
                <w:bCs/>
                <w:sz w:val="20"/>
                <w:szCs w:val="20"/>
                <w:lang w:val="en-US"/>
              </w:rPr>
              <w:t>​</w:t>
            </w:r>
          </w:p>
        </w:tc>
        <w:tc>
          <w:tcPr>
            <w:tcW w:w="1979" w:type="dxa"/>
            <w:tcBorders>
              <w:top w:val="single" w:color="auto" w:sz="4" w:space="0"/>
              <w:left w:val="single" w:color="auto" w:sz="4" w:space="0"/>
              <w:bottom w:val="single" w:color="auto" w:sz="4" w:space="0"/>
              <w:right w:val="single" w:color="auto" w:sz="4" w:space="0"/>
            </w:tcBorders>
            <w:shd w:val="clear" w:color="auto" w:fill="B7D6E1"/>
            <w:vAlign w:val="center"/>
            <w:hideMark/>
          </w:tcPr>
          <w:p w:rsidRPr="00240EAB" w:rsidR="008E32C4" w:rsidP="008E32C4" w:rsidRDefault="008E32C4" w14:paraId="7A7E6C8B" w14:textId="77777777">
            <w:pPr>
              <w:rPr>
                <w:b/>
                <w:bCs/>
                <w:sz w:val="20"/>
                <w:szCs w:val="20"/>
                <w:lang w:val="en-US"/>
              </w:rPr>
            </w:pPr>
            <w:r w:rsidRPr="00240EAB">
              <w:rPr>
                <w:b/>
                <w:bCs/>
                <w:sz w:val="20"/>
                <w:szCs w:val="20"/>
              </w:rPr>
              <w:t>Programme Target (2026)</w:t>
            </w:r>
            <w:r w:rsidRPr="00240EAB">
              <w:rPr>
                <w:b/>
                <w:bCs/>
                <w:sz w:val="20"/>
                <w:szCs w:val="20"/>
                <w:lang w:val="en-US"/>
              </w:rPr>
              <w:t>​</w:t>
            </w:r>
          </w:p>
        </w:tc>
        <w:tc>
          <w:tcPr>
            <w:tcW w:w="980" w:type="dxa"/>
            <w:tcBorders>
              <w:top w:val="single" w:color="auto" w:sz="4" w:space="0"/>
              <w:left w:val="single" w:color="auto" w:sz="4" w:space="0"/>
              <w:bottom w:val="single" w:color="auto" w:sz="4" w:space="0"/>
              <w:right w:val="single" w:color="auto" w:sz="4" w:space="0"/>
            </w:tcBorders>
            <w:shd w:val="clear" w:color="auto" w:fill="B7D6E1"/>
            <w:vAlign w:val="center"/>
            <w:hideMark/>
          </w:tcPr>
          <w:p w:rsidRPr="00240EAB" w:rsidR="008E32C4" w:rsidP="008E32C4" w:rsidRDefault="008E32C4" w14:paraId="5F16F8A5" w14:textId="77777777">
            <w:pPr>
              <w:rPr>
                <w:b/>
                <w:bCs/>
                <w:sz w:val="20"/>
                <w:szCs w:val="20"/>
                <w:lang w:val="en-US"/>
              </w:rPr>
            </w:pPr>
            <w:r w:rsidRPr="00240EAB">
              <w:rPr>
                <w:b/>
                <w:bCs/>
                <w:sz w:val="20"/>
                <w:szCs w:val="20"/>
              </w:rPr>
              <w:t>Progress</w:t>
            </w:r>
            <w:r w:rsidRPr="00240EAB">
              <w:rPr>
                <w:b/>
                <w:bCs/>
                <w:sz w:val="20"/>
                <w:szCs w:val="20"/>
                <w:lang w:val="en-US"/>
              </w:rPr>
              <w:t>​</w:t>
            </w:r>
          </w:p>
          <w:p w:rsidRPr="00240EAB" w:rsidR="008E32C4" w:rsidP="008E32C4" w:rsidRDefault="008E32C4" w14:paraId="0F4DBE5E" w14:textId="77777777">
            <w:pPr>
              <w:rPr>
                <w:b/>
                <w:bCs/>
                <w:sz w:val="20"/>
                <w:szCs w:val="20"/>
                <w:lang w:val="en-US"/>
              </w:rPr>
            </w:pPr>
            <w:r w:rsidRPr="00240EAB">
              <w:rPr>
                <w:b/>
                <w:bCs/>
                <w:sz w:val="20"/>
                <w:szCs w:val="20"/>
              </w:rPr>
              <w:t>23-24</w:t>
            </w:r>
            <w:r w:rsidRPr="00240EAB">
              <w:rPr>
                <w:b/>
                <w:bCs/>
                <w:sz w:val="20"/>
                <w:szCs w:val="20"/>
                <w:lang w:val="en-US"/>
              </w:rPr>
              <w:t>​</w:t>
            </w:r>
          </w:p>
        </w:tc>
      </w:tr>
      <w:tr w:rsidRPr="008E32C4" w:rsidR="00380EA8" w:rsidTr="2C6B85DE" w14:paraId="210054F4" w14:textId="77777777">
        <w:trPr>
          <w:trHeight w:val="570"/>
        </w:trPr>
        <w:tc>
          <w:tcPr>
            <w:tcW w:w="1693" w:type="dxa"/>
            <w:vMerge w:val="restart"/>
            <w:tcBorders>
              <w:top w:val="single" w:color="auto" w:sz="4" w:space="0"/>
              <w:left w:val="single" w:color="auto" w:sz="4" w:space="0"/>
              <w:bottom w:val="single" w:color="auto" w:sz="4" w:space="0"/>
              <w:right w:val="single" w:color="auto" w:sz="4" w:space="0"/>
            </w:tcBorders>
            <w:shd w:val="clear" w:color="auto" w:fill="E6F0F4"/>
            <w:vAlign w:val="center"/>
            <w:hideMark/>
          </w:tcPr>
          <w:p w:rsidR="00986FED" w:rsidP="008E32C4" w:rsidRDefault="008E32C4" w14:paraId="1DD174F5" w14:textId="77777777">
            <w:pPr>
              <w:rPr>
                <w:b/>
                <w:bCs/>
                <w:sz w:val="20"/>
                <w:szCs w:val="20"/>
              </w:rPr>
            </w:pPr>
            <w:r w:rsidRPr="00240EAB">
              <w:rPr>
                <w:b/>
                <w:bCs/>
                <w:sz w:val="20"/>
                <w:szCs w:val="20"/>
              </w:rPr>
              <w:t>Intermediate outcome</w:t>
            </w:r>
          </w:p>
          <w:p w:rsidRPr="00240EAB" w:rsidR="008E32C4" w:rsidP="008E32C4" w:rsidRDefault="00986FED" w14:paraId="1811A9CB" w14:textId="11208D2A">
            <w:pPr>
              <w:rPr>
                <w:sz w:val="20"/>
                <w:szCs w:val="20"/>
                <w:lang w:val="en-US"/>
              </w:rPr>
            </w:pPr>
            <w:r>
              <w:rPr>
                <w:b/>
                <w:bCs/>
                <w:sz w:val="20"/>
                <w:szCs w:val="20"/>
                <w:lang w:val="en-US"/>
              </w:rPr>
              <w:t>“</w:t>
            </w:r>
            <w:r w:rsidRPr="00240EAB" w:rsidR="00BC1A44">
              <w:rPr>
                <w:sz w:val="20"/>
                <w:szCs w:val="20"/>
                <w:lang w:val="en-US"/>
              </w:rPr>
              <w:t>I</w:t>
            </w:r>
            <w:r w:rsidRPr="00240EAB" w:rsidR="00A805F0">
              <w:rPr>
                <w:sz w:val="20"/>
                <w:szCs w:val="20"/>
                <w:lang w:val="en-US"/>
              </w:rPr>
              <w:t>mproved policies and regulations and practices established with enhanced awareness, capabilities and inclusive governance in place to implement and enforce them</w:t>
            </w:r>
            <w:r w:rsidR="00A805F0">
              <w:rPr>
                <w:b/>
                <w:bCs/>
                <w:sz w:val="20"/>
                <w:szCs w:val="20"/>
                <w:lang w:val="en-US"/>
              </w:rPr>
              <w:t>”</w:t>
            </w:r>
            <w:r w:rsidRPr="00240EAB" w:rsidR="008E32C4">
              <w:rPr>
                <w:sz w:val="20"/>
                <w:szCs w:val="20"/>
                <w:lang w:val="en-US"/>
              </w:rPr>
              <w:t>​</w:t>
            </w:r>
          </w:p>
        </w:tc>
        <w:tc>
          <w:tcPr>
            <w:tcW w:w="4358" w:type="dxa"/>
            <w:tcBorders>
              <w:top w:val="single" w:color="auto" w:sz="4" w:space="0"/>
              <w:left w:val="single" w:color="auto" w:sz="4" w:space="0"/>
              <w:bottom w:val="single" w:color="auto" w:sz="4" w:space="0"/>
              <w:right w:val="single" w:color="auto" w:sz="4" w:space="0"/>
            </w:tcBorders>
            <w:shd w:val="clear" w:color="auto" w:fill="E6F0F4"/>
            <w:hideMark/>
          </w:tcPr>
          <w:p w:rsidRPr="00240EAB" w:rsidR="008E32C4" w:rsidP="008E32C4" w:rsidRDefault="00F066F6" w14:paraId="78AB88CA" w14:textId="087B31F7">
            <w:pPr>
              <w:rPr>
                <w:sz w:val="20"/>
                <w:szCs w:val="20"/>
                <w:lang w:val="en-US"/>
              </w:rPr>
            </w:pPr>
            <w:r>
              <w:rPr>
                <w:sz w:val="20"/>
                <w:szCs w:val="20"/>
              </w:rPr>
              <w:t>I</w:t>
            </w:r>
            <w:r w:rsidR="00C641FF">
              <w:rPr>
                <w:sz w:val="20"/>
                <w:szCs w:val="20"/>
              </w:rPr>
              <w:t xml:space="preserve">ntermediate </w:t>
            </w:r>
            <w:r>
              <w:rPr>
                <w:sz w:val="20"/>
                <w:szCs w:val="20"/>
              </w:rPr>
              <w:t>O</w:t>
            </w:r>
            <w:r w:rsidR="00C641FF">
              <w:rPr>
                <w:sz w:val="20"/>
                <w:szCs w:val="20"/>
              </w:rPr>
              <w:t xml:space="preserve">utcome </w:t>
            </w:r>
            <w:r>
              <w:rPr>
                <w:sz w:val="20"/>
                <w:szCs w:val="20"/>
              </w:rPr>
              <w:t xml:space="preserve">1: </w:t>
            </w:r>
            <w:r w:rsidRPr="00240EAB" w:rsidR="008E32C4">
              <w:rPr>
                <w:sz w:val="20"/>
                <w:szCs w:val="20"/>
              </w:rPr>
              <w:t>Number of cases where there is evidence of uptake of policy recommendations or demonstration of practical improvements and / or uptake of sustainable practices by country stakeholders</w:t>
            </w:r>
            <w:r w:rsidRPr="00240EAB" w:rsidR="008E32C4">
              <w:rPr>
                <w:sz w:val="20"/>
                <w:szCs w:val="20"/>
                <w:lang w:val="en-US"/>
              </w:rPr>
              <w:t>​</w:t>
            </w:r>
          </w:p>
        </w:tc>
        <w:tc>
          <w:tcPr>
            <w:tcW w:w="1979" w:type="dxa"/>
            <w:tcBorders>
              <w:top w:val="single" w:color="auto" w:sz="4" w:space="0"/>
              <w:left w:val="single" w:color="auto" w:sz="4" w:space="0"/>
              <w:bottom w:val="single" w:color="auto" w:sz="4" w:space="0"/>
              <w:right w:val="single" w:color="auto" w:sz="4" w:space="0"/>
            </w:tcBorders>
            <w:shd w:val="clear" w:color="auto" w:fill="E6F0F4"/>
            <w:hideMark/>
          </w:tcPr>
          <w:p w:rsidRPr="00240EAB" w:rsidR="008E32C4" w:rsidP="008E32C4" w:rsidRDefault="49CF38BF" w14:paraId="67ABA87D" w14:textId="1B72DFDB">
            <w:pPr>
              <w:rPr>
                <w:sz w:val="20"/>
                <w:szCs w:val="20"/>
                <w:lang w:val="en-US"/>
              </w:rPr>
            </w:pPr>
            <w:r w:rsidRPr="2C6B85DE">
              <w:rPr>
                <w:sz w:val="20"/>
                <w:szCs w:val="20"/>
              </w:rPr>
              <w:t>No target</w:t>
            </w:r>
            <w:r w:rsidRPr="2C6B85DE">
              <w:rPr>
                <w:sz w:val="20"/>
                <w:szCs w:val="20"/>
                <w:lang w:val="en-US"/>
              </w:rPr>
              <w:t>​</w:t>
            </w:r>
          </w:p>
        </w:tc>
        <w:tc>
          <w:tcPr>
            <w:tcW w:w="980" w:type="dxa"/>
            <w:tcBorders>
              <w:top w:val="single" w:color="auto" w:sz="4" w:space="0"/>
              <w:left w:val="single" w:color="auto" w:sz="4" w:space="0"/>
              <w:bottom w:val="single" w:color="auto" w:sz="4" w:space="0"/>
              <w:right w:val="single" w:color="auto" w:sz="4" w:space="0"/>
            </w:tcBorders>
            <w:shd w:val="clear" w:color="auto" w:fill="E6F0F4"/>
            <w:hideMark/>
          </w:tcPr>
          <w:p w:rsidRPr="00240EAB" w:rsidR="008E32C4" w:rsidP="008E32C4" w:rsidRDefault="008E32C4" w14:paraId="3F6BAE09" w14:textId="77777777">
            <w:pPr>
              <w:rPr>
                <w:sz w:val="20"/>
                <w:szCs w:val="20"/>
                <w:lang w:val="en-US"/>
              </w:rPr>
            </w:pPr>
            <w:r w:rsidRPr="00240EAB">
              <w:rPr>
                <w:b/>
                <w:bCs/>
                <w:sz w:val="20"/>
                <w:szCs w:val="20"/>
              </w:rPr>
              <w:t>7</w:t>
            </w:r>
            <w:r w:rsidRPr="00240EAB">
              <w:rPr>
                <w:sz w:val="20"/>
                <w:szCs w:val="20"/>
                <w:lang w:val="en-US"/>
              </w:rPr>
              <w:t>​</w:t>
            </w:r>
          </w:p>
        </w:tc>
      </w:tr>
      <w:tr w:rsidRPr="008E32C4" w:rsidR="00380EA8" w:rsidTr="2C6B85DE" w14:paraId="31818618" w14:textId="77777777">
        <w:trPr>
          <w:trHeight w:val="570"/>
        </w:trPr>
        <w:tc>
          <w:tcPr>
            <w:tcW w:w="1693" w:type="dxa"/>
            <w:vMerge/>
            <w:vAlign w:val="center"/>
            <w:hideMark/>
          </w:tcPr>
          <w:p w:rsidRPr="00240EAB" w:rsidR="008E32C4" w:rsidP="008E32C4" w:rsidRDefault="008E32C4" w14:paraId="24C7EBA2" w14:textId="77777777">
            <w:pPr>
              <w:rPr>
                <w:sz w:val="20"/>
                <w:szCs w:val="20"/>
                <w:lang w:val="en-US"/>
              </w:rPr>
            </w:pPr>
          </w:p>
        </w:tc>
        <w:tc>
          <w:tcPr>
            <w:tcW w:w="4358" w:type="dxa"/>
            <w:tcBorders>
              <w:top w:val="single" w:color="auto" w:sz="4" w:space="0"/>
              <w:left w:val="single" w:color="auto" w:sz="4" w:space="0"/>
              <w:bottom w:val="single" w:color="auto" w:sz="4" w:space="0"/>
              <w:right w:val="single" w:color="auto" w:sz="4" w:space="0"/>
            </w:tcBorders>
            <w:shd w:val="clear" w:color="auto" w:fill="F3F8F9"/>
            <w:hideMark/>
          </w:tcPr>
          <w:p w:rsidRPr="00240EAB" w:rsidR="008E32C4" w:rsidP="008E32C4" w:rsidRDefault="001365A0" w14:paraId="24A77B46" w14:textId="0D9A3A97">
            <w:pPr>
              <w:rPr>
                <w:sz w:val="20"/>
                <w:szCs w:val="20"/>
                <w:lang w:val="en-US"/>
              </w:rPr>
            </w:pPr>
            <w:r>
              <w:rPr>
                <w:sz w:val="20"/>
                <w:szCs w:val="20"/>
              </w:rPr>
              <w:t xml:space="preserve">Intermediate Outcome </w:t>
            </w:r>
            <w:r w:rsidR="00F066F6">
              <w:rPr>
                <w:sz w:val="20"/>
                <w:szCs w:val="20"/>
              </w:rPr>
              <w:t xml:space="preserve">2: </w:t>
            </w:r>
            <w:r w:rsidRPr="00240EAB" w:rsidR="008E32C4">
              <w:rPr>
                <w:sz w:val="20"/>
                <w:szCs w:val="20"/>
              </w:rPr>
              <w:t>Extent to which partner countries have demonstrated change in 5 key dimensions of the policy process</w:t>
            </w:r>
            <w:r w:rsidRPr="00240EAB" w:rsidR="008E32C4">
              <w:rPr>
                <w:sz w:val="20"/>
                <w:szCs w:val="20"/>
                <w:lang w:val="en-US"/>
              </w:rPr>
              <w:t>​</w:t>
            </w:r>
          </w:p>
        </w:tc>
        <w:tc>
          <w:tcPr>
            <w:tcW w:w="1979" w:type="dxa"/>
            <w:tcBorders>
              <w:top w:val="single" w:color="auto" w:sz="4" w:space="0"/>
              <w:left w:val="single" w:color="auto" w:sz="4" w:space="0"/>
              <w:bottom w:val="single" w:color="auto" w:sz="4" w:space="0"/>
              <w:right w:val="single" w:color="auto" w:sz="4" w:space="0"/>
            </w:tcBorders>
            <w:shd w:val="clear" w:color="auto" w:fill="F3F8F9"/>
            <w:hideMark/>
          </w:tcPr>
          <w:p w:rsidRPr="00240EAB" w:rsidR="008E32C4" w:rsidP="008E32C4" w:rsidRDefault="008E32C4" w14:paraId="4830E29A" w14:textId="77777777">
            <w:pPr>
              <w:rPr>
                <w:sz w:val="20"/>
                <w:szCs w:val="20"/>
                <w:lang w:val="en-US"/>
              </w:rPr>
            </w:pPr>
            <w:r w:rsidRPr="00240EAB">
              <w:rPr>
                <w:sz w:val="20"/>
                <w:szCs w:val="20"/>
              </w:rPr>
              <w:t>No target</w:t>
            </w:r>
            <w:r w:rsidRPr="00240EAB">
              <w:rPr>
                <w:sz w:val="20"/>
                <w:szCs w:val="20"/>
                <w:lang w:val="en-US"/>
              </w:rPr>
              <w:t>​</w:t>
            </w:r>
          </w:p>
        </w:tc>
        <w:tc>
          <w:tcPr>
            <w:tcW w:w="980" w:type="dxa"/>
            <w:tcBorders>
              <w:top w:val="single" w:color="auto" w:sz="4" w:space="0"/>
              <w:left w:val="single" w:color="auto" w:sz="4" w:space="0"/>
              <w:bottom w:val="single" w:color="auto" w:sz="4" w:space="0"/>
              <w:right w:val="single" w:color="auto" w:sz="4" w:space="0"/>
            </w:tcBorders>
            <w:shd w:val="clear" w:color="auto" w:fill="F3F8F9"/>
            <w:hideMark/>
          </w:tcPr>
          <w:p w:rsidRPr="00240EAB" w:rsidR="008E32C4" w:rsidP="008E32C4" w:rsidRDefault="008E32C4" w14:paraId="1672144D" w14:textId="77777777">
            <w:pPr>
              <w:rPr>
                <w:sz w:val="20"/>
                <w:szCs w:val="20"/>
                <w:lang w:val="en-US"/>
              </w:rPr>
            </w:pPr>
            <w:r w:rsidRPr="00240EAB">
              <w:rPr>
                <w:b/>
                <w:bCs/>
                <w:sz w:val="20"/>
                <w:szCs w:val="20"/>
              </w:rPr>
              <w:t>9</w:t>
            </w:r>
            <w:r w:rsidRPr="00240EAB">
              <w:rPr>
                <w:sz w:val="20"/>
                <w:szCs w:val="20"/>
                <w:lang w:val="en-US"/>
              </w:rPr>
              <w:t>​</w:t>
            </w:r>
          </w:p>
        </w:tc>
      </w:tr>
      <w:tr w:rsidRPr="008E32C4" w:rsidR="008F1365" w:rsidTr="2C6B85DE" w14:paraId="70F86B76" w14:textId="77777777">
        <w:trPr>
          <w:trHeight w:val="570"/>
        </w:trPr>
        <w:tc>
          <w:tcPr>
            <w:tcW w:w="1693" w:type="dxa"/>
            <w:vMerge/>
            <w:vAlign w:val="center"/>
            <w:hideMark/>
          </w:tcPr>
          <w:p w:rsidRPr="00240EAB" w:rsidR="008E32C4" w:rsidP="008E32C4" w:rsidRDefault="008E32C4" w14:paraId="5102226E" w14:textId="77777777">
            <w:pPr>
              <w:rPr>
                <w:sz w:val="20"/>
                <w:szCs w:val="20"/>
                <w:lang w:val="en-US"/>
              </w:rPr>
            </w:pPr>
          </w:p>
        </w:tc>
        <w:tc>
          <w:tcPr>
            <w:tcW w:w="4358" w:type="dxa"/>
            <w:tcBorders>
              <w:top w:val="single" w:color="auto" w:sz="4" w:space="0"/>
              <w:left w:val="single" w:color="auto" w:sz="4" w:space="0"/>
              <w:bottom w:val="single" w:color="auto" w:sz="4" w:space="0"/>
              <w:right w:val="single" w:color="auto" w:sz="4" w:space="0"/>
            </w:tcBorders>
            <w:shd w:val="clear" w:color="auto" w:fill="E6F0F4"/>
            <w:hideMark/>
          </w:tcPr>
          <w:p w:rsidRPr="00240EAB" w:rsidR="008E32C4" w:rsidP="008E32C4" w:rsidRDefault="001365A0" w14:paraId="59EFBC63" w14:textId="4DCF5D1F">
            <w:pPr>
              <w:rPr>
                <w:sz w:val="20"/>
                <w:szCs w:val="20"/>
                <w:lang w:val="en-US"/>
              </w:rPr>
            </w:pPr>
            <w:r>
              <w:rPr>
                <w:sz w:val="20"/>
                <w:szCs w:val="20"/>
              </w:rPr>
              <w:t xml:space="preserve">Intermediate Outcome </w:t>
            </w:r>
            <w:r w:rsidR="00F066F6">
              <w:rPr>
                <w:sz w:val="20"/>
                <w:szCs w:val="20"/>
              </w:rPr>
              <w:t xml:space="preserve">3: </w:t>
            </w:r>
            <w:r w:rsidRPr="00240EAB" w:rsidR="008E32C4">
              <w:rPr>
                <w:sz w:val="20"/>
                <w:szCs w:val="20"/>
              </w:rPr>
              <w:t>Number of projects / planning and/or governance processes with increased inclusion of local people and their knowledge in decision-making</w:t>
            </w:r>
            <w:r w:rsidRPr="00240EAB" w:rsidR="008E32C4">
              <w:rPr>
                <w:sz w:val="20"/>
                <w:szCs w:val="20"/>
                <w:lang w:val="en-US"/>
              </w:rPr>
              <w:t>​</w:t>
            </w:r>
          </w:p>
        </w:tc>
        <w:tc>
          <w:tcPr>
            <w:tcW w:w="2959" w:type="dxa"/>
            <w:gridSpan w:val="2"/>
            <w:tcBorders>
              <w:top w:val="single" w:color="auto" w:sz="4" w:space="0"/>
              <w:left w:val="single" w:color="auto" w:sz="4" w:space="0"/>
              <w:bottom w:val="single" w:color="auto" w:sz="4" w:space="0"/>
              <w:right w:val="single" w:color="auto" w:sz="4" w:space="0"/>
            </w:tcBorders>
            <w:shd w:val="clear" w:color="auto" w:fill="E6F0F4"/>
            <w:vAlign w:val="center"/>
            <w:hideMark/>
          </w:tcPr>
          <w:p w:rsidRPr="00240EAB" w:rsidR="008E32C4" w:rsidP="008E32C4" w:rsidRDefault="008E32C4" w14:paraId="5D1B076B" w14:textId="1F8AFAF3">
            <w:pPr>
              <w:rPr>
                <w:sz w:val="20"/>
                <w:szCs w:val="20"/>
                <w:lang w:val="en-US"/>
              </w:rPr>
            </w:pPr>
            <w:r w:rsidRPr="15CBECDE">
              <w:rPr>
                <w:sz w:val="20"/>
                <w:szCs w:val="20"/>
              </w:rPr>
              <w:t>Not reported this year</w:t>
            </w:r>
            <w:r w:rsidRPr="15CBECDE">
              <w:rPr>
                <w:sz w:val="20"/>
                <w:szCs w:val="20"/>
                <w:lang w:val="en-US"/>
              </w:rPr>
              <w:t>​</w:t>
            </w:r>
            <w:r w:rsidR="005A40F8">
              <w:rPr>
                <w:rStyle w:val="FootnoteReference"/>
                <w:sz w:val="20"/>
                <w:szCs w:val="20"/>
              </w:rPr>
              <w:footnoteReference w:id="3"/>
            </w:r>
          </w:p>
        </w:tc>
      </w:tr>
      <w:tr w:rsidRPr="008E32C4" w:rsidR="00380EA8" w:rsidTr="2C6B85DE" w14:paraId="2FA9170C" w14:textId="77777777">
        <w:trPr>
          <w:trHeight w:val="570"/>
        </w:trPr>
        <w:tc>
          <w:tcPr>
            <w:tcW w:w="1693" w:type="dxa"/>
            <w:vMerge w:val="restart"/>
            <w:tcBorders>
              <w:top w:val="single" w:color="auto" w:sz="4" w:space="0"/>
              <w:left w:val="single" w:color="auto" w:sz="4" w:space="0"/>
              <w:bottom w:val="single" w:color="auto" w:sz="4" w:space="0"/>
              <w:right w:val="single" w:color="auto" w:sz="4" w:space="0"/>
            </w:tcBorders>
            <w:shd w:val="clear" w:color="auto" w:fill="F3F8F9"/>
            <w:vAlign w:val="center"/>
            <w:hideMark/>
          </w:tcPr>
          <w:p w:rsidR="008E32C4" w:rsidP="008E32C4" w:rsidRDefault="008E32C4" w14:paraId="006C36CE" w14:textId="77777777">
            <w:pPr>
              <w:rPr>
                <w:sz w:val="20"/>
                <w:szCs w:val="20"/>
                <w:lang w:val="en-US"/>
              </w:rPr>
            </w:pPr>
            <w:r w:rsidRPr="00240EAB">
              <w:rPr>
                <w:b/>
                <w:bCs/>
                <w:sz w:val="20"/>
                <w:szCs w:val="20"/>
              </w:rPr>
              <w:t>Outcome</w:t>
            </w:r>
            <w:r w:rsidRPr="00240EAB">
              <w:rPr>
                <w:sz w:val="20"/>
                <w:szCs w:val="20"/>
                <w:lang w:val="en-US"/>
              </w:rPr>
              <w:t>​</w:t>
            </w:r>
          </w:p>
          <w:p w:rsidRPr="00240EAB" w:rsidR="002B1CF8" w:rsidP="008E32C4" w:rsidRDefault="002B1CF8" w14:paraId="053F74AC" w14:textId="657BBAC8">
            <w:pPr>
              <w:rPr>
                <w:sz w:val="20"/>
                <w:szCs w:val="20"/>
                <w:lang w:val="en-US"/>
              </w:rPr>
            </w:pPr>
            <w:r>
              <w:rPr>
                <w:sz w:val="20"/>
                <w:szCs w:val="20"/>
              </w:rPr>
              <w:t>“</w:t>
            </w:r>
            <w:r w:rsidRPr="00240EAB">
              <w:rPr>
                <w:sz w:val="20"/>
                <w:szCs w:val="20"/>
              </w:rPr>
              <w:t>Partner country stakeholders take action to effectively and sustainably manage and protect their marine environments</w:t>
            </w:r>
            <w:r>
              <w:rPr>
                <w:sz w:val="20"/>
                <w:szCs w:val="20"/>
              </w:rPr>
              <w:t>”</w:t>
            </w:r>
          </w:p>
        </w:tc>
        <w:tc>
          <w:tcPr>
            <w:tcW w:w="4358" w:type="dxa"/>
            <w:tcBorders>
              <w:top w:val="single" w:color="auto" w:sz="4" w:space="0"/>
              <w:left w:val="single" w:color="auto" w:sz="4" w:space="0"/>
              <w:bottom w:val="single" w:color="auto" w:sz="4" w:space="0"/>
              <w:right w:val="single" w:color="auto" w:sz="4" w:space="0"/>
            </w:tcBorders>
            <w:shd w:val="clear" w:color="auto" w:fill="F3F8F9"/>
            <w:hideMark/>
          </w:tcPr>
          <w:p w:rsidRPr="00240EAB" w:rsidR="008E32C4" w:rsidP="008E32C4" w:rsidRDefault="007C4292" w14:paraId="6E6BA60D" w14:textId="76075D77">
            <w:pPr>
              <w:rPr>
                <w:sz w:val="20"/>
                <w:szCs w:val="20"/>
              </w:rPr>
            </w:pPr>
            <w:r>
              <w:rPr>
                <w:sz w:val="20"/>
                <w:szCs w:val="20"/>
              </w:rPr>
              <w:t>O</w:t>
            </w:r>
            <w:r w:rsidR="001365A0">
              <w:rPr>
                <w:sz w:val="20"/>
                <w:szCs w:val="20"/>
              </w:rPr>
              <w:t xml:space="preserve">utcome </w:t>
            </w:r>
            <w:r>
              <w:rPr>
                <w:sz w:val="20"/>
                <w:szCs w:val="20"/>
              </w:rPr>
              <w:t xml:space="preserve">1: </w:t>
            </w:r>
            <w:r w:rsidRPr="00240EAB" w:rsidR="008E32C4">
              <w:rPr>
                <w:sz w:val="20"/>
                <w:szCs w:val="20"/>
              </w:rPr>
              <w:t>Number of partner countries where there is evidence of strengthened preparedness to respond to emergencies​</w:t>
            </w:r>
          </w:p>
        </w:tc>
        <w:tc>
          <w:tcPr>
            <w:tcW w:w="1979" w:type="dxa"/>
            <w:tcBorders>
              <w:top w:val="single" w:color="auto" w:sz="4" w:space="0"/>
              <w:left w:val="single" w:color="auto" w:sz="4" w:space="0"/>
              <w:bottom w:val="single" w:color="auto" w:sz="4" w:space="0"/>
              <w:right w:val="single" w:color="auto" w:sz="4" w:space="0"/>
            </w:tcBorders>
            <w:shd w:val="clear" w:color="auto" w:fill="F3F8F9"/>
            <w:hideMark/>
          </w:tcPr>
          <w:p w:rsidRPr="00240EAB" w:rsidR="008E32C4" w:rsidP="008E32C4" w:rsidRDefault="008E32C4" w14:paraId="32CE2A13" w14:textId="77777777">
            <w:pPr>
              <w:rPr>
                <w:sz w:val="20"/>
                <w:szCs w:val="20"/>
                <w:lang w:val="en-US"/>
              </w:rPr>
            </w:pPr>
            <w:r w:rsidRPr="00240EAB">
              <w:rPr>
                <w:sz w:val="20"/>
                <w:szCs w:val="20"/>
              </w:rPr>
              <w:t>10 (ALBs)</w:t>
            </w:r>
            <w:r w:rsidRPr="00240EAB">
              <w:rPr>
                <w:sz w:val="20"/>
                <w:szCs w:val="20"/>
                <w:lang w:val="en-US"/>
              </w:rPr>
              <w:t>​</w:t>
            </w:r>
          </w:p>
        </w:tc>
        <w:tc>
          <w:tcPr>
            <w:tcW w:w="980" w:type="dxa"/>
            <w:tcBorders>
              <w:top w:val="single" w:color="auto" w:sz="4" w:space="0"/>
              <w:left w:val="single" w:color="auto" w:sz="4" w:space="0"/>
              <w:bottom w:val="single" w:color="auto" w:sz="4" w:space="0"/>
              <w:right w:val="single" w:color="auto" w:sz="4" w:space="0"/>
            </w:tcBorders>
            <w:shd w:val="clear" w:color="auto" w:fill="F3F8F9"/>
            <w:hideMark/>
          </w:tcPr>
          <w:p w:rsidRPr="00240EAB" w:rsidR="008E32C4" w:rsidP="008E32C4" w:rsidRDefault="008E32C4" w14:paraId="2A30DD5E" w14:textId="77777777">
            <w:pPr>
              <w:rPr>
                <w:sz w:val="20"/>
                <w:szCs w:val="20"/>
                <w:lang w:val="en-US"/>
              </w:rPr>
            </w:pPr>
            <w:r w:rsidRPr="00240EAB">
              <w:rPr>
                <w:b/>
                <w:bCs/>
                <w:sz w:val="20"/>
                <w:szCs w:val="20"/>
              </w:rPr>
              <w:t>2</w:t>
            </w:r>
            <w:r w:rsidRPr="00240EAB">
              <w:rPr>
                <w:sz w:val="20"/>
                <w:szCs w:val="20"/>
                <w:lang w:val="en-US"/>
              </w:rPr>
              <w:t>​</w:t>
            </w:r>
          </w:p>
        </w:tc>
      </w:tr>
      <w:tr w:rsidRPr="008E32C4" w:rsidR="00380EA8" w:rsidTr="2C6B85DE" w14:paraId="1EE11EC3" w14:textId="77777777">
        <w:trPr>
          <w:trHeight w:val="570"/>
        </w:trPr>
        <w:tc>
          <w:tcPr>
            <w:tcW w:w="1693" w:type="dxa"/>
            <w:vMerge/>
            <w:vAlign w:val="center"/>
            <w:hideMark/>
          </w:tcPr>
          <w:p w:rsidRPr="00240EAB" w:rsidR="008E32C4" w:rsidP="008E32C4" w:rsidRDefault="008E32C4" w14:paraId="04E5EE2C" w14:textId="77777777">
            <w:pPr>
              <w:rPr>
                <w:sz w:val="20"/>
                <w:szCs w:val="20"/>
                <w:lang w:val="en-US"/>
              </w:rPr>
            </w:pPr>
          </w:p>
        </w:tc>
        <w:tc>
          <w:tcPr>
            <w:tcW w:w="4358" w:type="dxa"/>
            <w:tcBorders>
              <w:top w:val="single" w:color="auto" w:sz="4" w:space="0"/>
              <w:left w:val="single" w:color="auto" w:sz="4" w:space="0"/>
              <w:bottom w:val="single" w:color="auto" w:sz="4" w:space="0"/>
              <w:right w:val="single" w:color="auto" w:sz="4" w:space="0"/>
            </w:tcBorders>
            <w:shd w:val="clear" w:color="auto" w:fill="E6F0F4"/>
            <w:hideMark/>
          </w:tcPr>
          <w:p w:rsidRPr="00240EAB" w:rsidR="008E32C4" w:rsidP="008E32C4" w:rsidRDefault="007C4292" w14:paraId="03EEB40D" w14:textId="728ADD1A">
            <w:pPr>
              <w:rPr>
                <w:sz w:val="20"/>
                <w:szCs w:val="20"/>
              </w:rPr>
            </w:pPr>
            <w:r>
              <w:rPr>
                <w:sz w:val="20"/>
                <w:szCs w:val="20"/>
              </w:rPr>
              <w:t>O</w:t>
            </w:r>
            <w:r w:rsidR="001365A0">
              <w:rPr>
                <w:sz w:val="20"/>
                <w:szCs w:val="20"/>
              </w:rPr>
              <w:t xml:space="preserve">utcome </w:t>
            </w:r>
            <w:r>
              <w:rPr>
                <w:sz w:val="20"/>
                <w:szCs w:val="20"/>
              </w:rPr>
              <w:t xml:space="preserve">2: </w:t>
            </w:r>
            <w:r w:rsidRPr="00240EAB" w:rsidR="008E32C4">
              <w:rPr>
                <w:sz w:val="20"/>
                <w:szCs w:val="20"/>
              </w:rPr>
              <w:t xml:space="preserve">Number </w:t>
            </w:r>
            <w:r w:rsidRPr="00BC1A44" w:rsidR="00BC1A44">
              <w:rPr>
                <w:sz w:val="20"/>
                <w:szCs w:val="20"/>
              </w:rPr>
              <w:t>of improved</w:t>
            </w:r>
            <w:r w:rsidRPr="00240EAB" w:rsidR="008E32C4">
              <w:rPr>
                <w:sz w:val="20"/>
                <w:szCs w:val="20"/>
              </w:rPr>
              <w:t xml:space="preserve"> policies, regulations and guidelines or recommended </w:t>
            </w:r>
            <w:r w:rsidRPr="00240EAB" w:rsidR="008D1964">
              <w:rPr>
                <w:sz w:val="20"/>
                <w:szCs w:val="20"/>
              </w:rPr>
              <w:t>practices implemented​</w:t>
            </w:r>
          </w:p>
        </w:tc>
        <w:tc>
          <w:tcPr>
            <w:tcW w:w="1979" w:type="dxa"/>
            <w:tcBorders>
              <w:top w:val="single" w:color="auto" w:sz="4" w:space="0"/>
              <w:left w:val="single" w:color="auto" w:sz="4" w:space="0"/>
              <w:bottom w:val="single" w:color="auto" w:sz="4" w:space="0"/>
              <w:right w:val="single" w:color="auto" w:sz="4" w:space="0"/>
            </w:tcBorders>
            <w:shd w:val="clear" w:color="auto" w:fill="E6F0F4"/>
            <w:hideMark/>
          </w:tcPr>
          <w:p w:rsidRPr="00240EAB" w:rsidR="008E32C4" w:rsidP="008E32C4" w:rsidRDefault="008E32C4" w14:paraId="777E14AF" w14:textId="77777777">
            <w:pPr>
              <w:rPr>
                <w:sz w:val="20"/>
                <w:szCs w:val="20"/>
                <w:lang w:val="en-US"/>
              </w:rPr>
            </w:pPr>
            <w:r w:rsidRPr="00240EAB">
              <w:rPr>
                <w:sz w:val="20"/>
                <w:szCs w:val="20"/>
              </w:rPr>
              <w:t>11 (ALBs)</w:t>
            </w:r>
            <w:r w:rsidRPr="00240EAB">
              <w:rPr>
                <w:sz w:val="20"/>
                <w:szCs w:val="20"/>
                <w:lang w:val="en-US"/>
              </w:rPr>
              <w:t>​</w:t>
            </w:r>
          </w:p>
        </w:tc>
        <w:tc>
          <w:tcPr>
            <w:tcW w:w="980" w:type="dxa"/>
            <w:tcBorders>
              <w:top w:val="single" w:color="auto" w:sz="4" w:space="0"/>
              <w:left w:val="single" w:color="auto" w:sz="4" w:space="0"/>
              <w:bottom w:val="single" w:color="auto" w:sz="4" w:space="0"/>
              <w:right w:val="single" w:color="auto" w:sz="4" w:space="0"/>
            </w:tcBorders>
            <w:shd w:val="clear" w:color="auto" w:fill="E6F0F4"/>
            <w:hideMark/>
          </w:tcPr>
          <w:p w:rsidRPr="00240EAB" w:rsidR="008E32C4" w:rsidP="008E32C4" w:rsidRDefault="008E32C4" w14:paraId="3AEC8618" w14:textId="77777777">
            <w:pPr>
              <w:rPr>
                <w:sz w:val="20"/>
                <w:szCs w:val="20"/>
                <w:lang w:val="en-US"/>
              </w:rPr>
            </w:pPr>
            <w:r w:rsidRPr="00240EAB">
              <w:rPr>
                <w:b/>
                <w:bCs/>
                <w:sz w:val="20"/>
                <w:szCs w:val="20"/>
              </w:rPr>
              <w:t>2</w:t>
            </w:r>
            <w:r w:rsidRPr="00240EAB">
              <w:rPr>
                <w:sz w:val="20"/>
                <w:szCs w:val="20"/>
                <w:lang w:val="en-US"/>
              </w:rPr>
              <w:t>​</w:t>
            </w:r>
          </w:p>
        </w:tc>
      </w:tr>
      <w:tr w:rsidRPr="008E32C4" w:rsidR="00380EA8" w:rsidTr="2C6B85DE" w14:paraId="6E4BD7A2" w14:textId="77777777">
        <w:trPr>
          <w:trHeight w:val="570"/>
        </w:trPr>
        <w:tc>
          <w:tcPr>
            <w:tcW w:w="1693" w:type="dxa"/>
            <w:vMerge/>
            <w:vAlign w:val="center"/>
            <w:hideMark/>
          </w:tcPr>
          <w:p w:rsidRPr="00240EAB" w:rsidR="008E32C4" w:rsidP="008E32C4" w:rsidRDefault="008E32C4" w14:paraId="3D65E2BA" w14:textId="77777777">
            <w:pPr>
              <w:rPr>
                <w:sz w:val="20"/>
                <w:szCs w:val="20"/>
                <w:lang w:val="en-US"/>
              </w:rPr>
            </w:pPr>
          </w:p>
        </w:tc>
        <w:tc>
          <w:tcPr>
            <w:tcW w:w="4358" w:type="dxa"/>
            <w:tcBorders>
              <w:top w:val="single" w:color="auto" w:sz="4" w:space="0"/>
              <w:left w:val="single" w:color="auto" w:sz="4" w:space="0"/>
              <w:bottom w:val="single" w:color="auto" w:sz="4" w:space="0"/>
              <w:right w:val="single" w:color="auto" w:sz="4" w:space="0"/>
            </w:tcBorders>
            <w:shd w:val="clear" w:color="auto" w:fill="F3F8F9"/>
            <w:hideMark/>
          </w:tcPr>
          <w:p w:rsidRPr="00240EAB" w:rsidR="008E32C4" w:rsidP="008E32C4" w:rsidRDefault="007C4292" w14:paraId="08B7C2C7" w14:textId="63B81012">
            <w:pPr>
              <w:rPr>
                <w:sz w:val="20"/>
                <w:szCs w:val="20"/>
              </w:rPr>
            </w:pPr>
            <w:r>
              <w:rPr>
                <w:sz w:val="20"/>
                <w:szCs w:val="20"/>
              </w:rPr>
              <w:t>O</w:t>
            </w:r>
            <w:r w:rsidR="001365A0">
              <w:rPr>
                <w:sz w:val="20"/>
                <w:szCs w:val="20"/>
              </w:rPr>
              <w:t>utc</w:t>
            </w:r>
            <w:r w:rsidR="00ED4D82">
              <w:rPr>
                <w:sz w:val="20"/>
                <w:szCs w:val="20"/>
              </w:rPr>
              <w:t xml:space="preserve">ome </w:t>
            </w:r>
            <w:r>
              <w:rPr>
                <w:sz w:val="20"/>
                <w:szCs w:val="20"/>
              </w:rPr>
              <w:t xml:space="preserve">3: </w:t>
            </w:r>
            <w:r w:rsidRPr="00240EAB" w:rsidR="008E32C4">
              <w:rPr>
                <w:sz w:val="20"/>
                <w:szCs w:val="20"/>
              </w:rPr>
              <w:t>Number countries where enforcement or monitoring activities are implemented and resourced.​</w:t>
            </w:r>
          </w:p>
        </w:tc>
        <w:tc>
          <w:tcPr>
            <w:tcW w:w="1979" w:type="dxa"/>
            <w:tcBorders>
              <w:top w:val="single" w:color="auto" w:sz="4" w:space="0"/>
              <w:left w:val="single" w:color="auto" w:sz="4" w:space="0"/>
              <w:bottom w:val="single" w:color="auto" w:sz="4" w:space="0"/>
              <w:right w:val="single" w:color="auto" w:sz="4" w:space="0"/>
            </w:tcBorders>
            <w:shd w:val="clear" w:color="auto" w:fill="F3F8F9"/>
            <w:hideMark/>
          </w:tcPr>
          <w:p w:rsidRPr="00240EAB" w:rsidR="008E32C4" w:rsidP="008E32C4" w:rsidRDefault="008E32C4" w14:paraId="0CB81188" w14:textId="77777777">
            <w:pPr>
              <w:rPr>
                <w:sz w:val="20"/>
                <w:szCs w:val="20"/>
                <w:lang w:val="en-US"/>
              </w:rPr>
            </w:pPr>
            <w:r w:rsidRPr="00240EAB">
              <w:rPr>
                <w:sz w:val="20"/>
                <w:szCs w:val="20"/>
              </w:rPr>
              <w:t>10 (ALBs)</w:t>
            </w:r>
            <w:r w:rsidRPr="00240EAB">
              <w:rPr>
                <w:sz w:val="20"/>
                <w:szCs w:val="20"/>
                <w:lang w:val="en-US"/>
              </w:rPr>
              <w:t>​</w:t>
            </w:r>
          </w:p>
        </w:tc>
        <w:tc>
          <w:tcPr>
            <w:tcW w:w="980" w:type="dxa"/>
            <w:tcBorders>
              <w:top w:val="single" w:color="auto" w:sz="4" w:space="0"/>
              <w:left w:val="single" w:color="auto" w:sz="4" w:space="0"/>
              <w:bottom w:val="single" w:color="auto" w:sz="4" w:space="0"/>
              <w:right w:val="single" w:color="auto" w:sz="4" w:space="0"/>
            </w:tcBorders>
            <w:shd w:val="clear" w:color="auto" w:fill="F3F8F9"/>
            <w:hideMark/>
          </w:tcPr>
          <w:p w:rsidRPr="00240EAB" w:rsidR="008E32C4" w:rsidP="008E32C4" w:rsidRDefault="008E32C4" w14:paraId="0C853B97" w14:textId="77777777">
            <w:pPr>
              <w:rPr>
                <w:sz w:val="20"/>
                <w:szCs w:val="20"/>
                <w:lang w:val="en-US"/>
              </w:rPr>
            </w:pPr>
            <w:r w:rsidRPr="00240EAB">
              <w:rPr>
                <w:b/>
                <w:bCs/>
                <w:sz w:val="20"/>
                <w:szCs w:val="20"/>
              </w:rPr>
              <w:t>1</w:t>
            </w:r>
            <w:r w:rsidRPr="00240EAB">
              <w:rPr>
                <w:sz w:val="20"/>
                <w:szCs w:val="20"/>
                <w:lang w:val="en-US"/>
              </w:rPr>
              <w:t>​</w:t>
            </w:r>
          </w:p>
        </w:tc>
      </w:tr>
      <w:tr w:rsidRPr="008E32C4" w:rsidR="008F1365" w:rsidTr="2C6B85DE" w14:paraId="277340DB" w14:textId="77777777">
        <w:trPr>
          <w:trHeight w:val="570"/>
        </w:trPr>
        <w:tc>
          <w:tcPr>
            <w:tcW w:w="1693" w:type="dxa"/>
            <w:vMerge/>
            <w:vAlign w:val="center"/>
            <w:hideMark/>
          </w:tcPr>
          <w:p w:rsidRPr="00240EAB" w:rsidR="008E32C4" w:rsidP="008E32C4" w:rsidRDefault="008E32C4" w14:paraId="6E9C6280" w14:textId="77777777">
            <w:pPr>
              <w:rPr>
                <w:sz w:val="20"/>
                <w:szCs w:val="20"/>
                <w:lang w:val="en-US"/>
              </w:rPr>
            </w:pPr>
          </w:p>
        </w:tc>
        <w:tc>
          <w:tcPr>
            <w:tcW w:w="4358" w:type="dxa"/>
            <w:tcBorders>
              <w:top w:val="single" w:color="auto" w:sz="4" w:space="0"/>
              <w:left w:val="single" w:color="auto" w:sz="4" w:space="0"/>
              <w:bottom w:val="single" w:color="auto" w:sz="4" w:space="0"/>
              <w:right w:val="single" w:color="auto" w:sz="4" w:space="0"/>
            </w:tcBorders>
            <w:shd w:val="clear" w:color="auto" w:fill="E6F0F4"/>
            <w:hideMark/>
          </w:tcPr>
          <w:p w:rsidRPr="00240EAB" w:rsidR="008E32C4" w:rsidP="008E32C4" w:rsidRDefault="007C4292" w14:paraId="007BC410" w14:textId="55E5223E">
            <w:pPr>
              <w:rPr>
                <w:sz w:val="20"/>
                <w:szCs w:val="20"/>
                <w:lang w:val="en-US"/>
              </w:rPr>
            </w:pPr>
            <w:r>
              <w:rPr>
                <w:sz w:val="20"/>
                <w:szCs w:val="20"/>
              </w:rPr>
              <w:t>O</w:t>
            </w:r>
            <w:r w:rsidR="00ED4D82">
              <w:rPr>
                <w:sz w:val="20"/>
                <w:szCs w:val="20"/>
              </w:rPr>
              <w:t>utcome</w:t>
            </w:r>
            <w:r w:rsidR="005A2529">
              <w:rPr>
                <w:sz w:val="20"/>
                <w:szCs w:val="20"/>
              </w:rPr>
              <w:t xml:space="preserve"> </w:t>
            </w:r>
            <w:r>
              <w:rPr>
                <w:sz w:val="20"/>
                <w:szCs w:val="20"/>
              </w:rPr>
              <w:t xml:space="preserve">4: </w:t>
            </w:r>
            <w:r w:rsidRPr="00240EAB" w:rsidR="008E32C4">
              <w:rPr>
                <w:sz w:val="20"/>
                <w:szCs w:val="20"/>
              </w:rPr>
              <w:t>Increased effective and equitable representation and participation of coastal resources stakeholders in management </w:t>
            </w:r>
            <w:r w:rsidRPr="00240EAB" w:rsidR="008E32C4">
              <w:rPr>
                <w:sz w:val="20"/>
                <w:szCs w:val="20"/>
                <w:lang w:val="en-US"/>
              </w:rPr>
              <w:t>​</w:t>
            </w:r>
          </w:p>
        </w:tc>
        <w:tc>
          <w:tcPr>
            <w:tcW w:w="2959" w:type="dxa"/>
            <w:gridSpan w:val="2"/>
            <w:tcBorders>
              <w:top w:val="single" w:color="auto" w:sz="4" w:space="0"/>
              <w:left w:val="single" w:color="auto" w:sz="4" w:space="0"/>
              <w:bottom w:val="single" w:color="auto" w:sz="4" w:space="0"/>
              <w:right w:val="single" w:color="auto" w:sz="4" w:space="0"/>
            </w:tcBorders>
            <w:shd w:val="clear" w:color="auto" w:fill="E6F0F4"/>
            <w:vAlign w:val="center"/>
            <w:hideMark/>
          </w:tcPr>
          <w:p w:rsidRPr="00240EAB" w:rsidR="008E32C4" w:rsidP="008E32C4" w:rsidRDefault="008E32C4" w14:paraId="271D3B28" w14:textId="6FFAA914">
            <w:pPr>
              <w:rPr>
                <w:sz w:val="20"/>
                <w:szCs w:val="20"/>
                <w:lang w:val="en-US"/>
              </w:rPr>
            </w:pPr>
            <w:r w:rsidRPr="5A589726">
              <w:rPr>
                <w:sz w:val="20"/>
                <w:szCs w:val="20"/>
              </w:rPr>
              <w:t>Not reported this year</w:t>
            </w:r>
            <w:r w:rsidRPr="5A589726">
              <w:rPr>
                <w:sz w:val="20"/>
                <w:szCs w:val="20"/>
                <w:lang w:val="en-US"/>
              </w:rPr>
              <w:t>​</w:t>
            </w:r>
            <w:r w:rsidR="00526BE6">
              <w:rPr>
                <w:rStyle w:val="FootnoteReference"/>
                <w:sz w:val="20"/>
                <w:szCs w:val="20"/>
              </w:rPr>
              <w:footnoteReference w:id="4"/>
            </w:r>
          </w:p>
        </w:tc>
      </w:tr>
    </w:tbl>
    <w:p w:rsidR="008E32C4" w:rsidP="1F9FCF51" w:rsidRDefault="008E32C4" w14:paraId="295EDA44" w14:textId="77777777">
      <w:pPr>
        <w:rPr>
          <w:sz w:val="22"/>
          <w:szCs w:val="22"/>
        </w:rPr>
      </w:pPr>
    </w:p>
    <w:p w:rsidR="008E32C4" w:rsidP="1F9FCF51" w:rsidRDefault="008E32C4" w14:paraId="35F76A58" w14:textId="77777777">
      <w:pPr>
        <w:rPr>
          <w:sz w:val="22"/>
          <w:szCs w:val="22"/>
        </w:rPr>
      </w:pPr>
    </w:p>
    <w:p w:rsidRPr="002B6DD0" w:rsidR="002B6DD0" w:rsidP="002B6DD0" w:rsidRDefault="00D460CD" w14:paraId="2889F299" w14:textId="7AD9C0B7">
      <w:pPr>
        <w:rPr>
          <w:sz w:val="22"/>
          <w:szCs w:val="22"/>
        </w:rPr>
      </w:pPr>
      <w:r w:rsidRPr="6FDF2318">
        <w:rPr>
          <w:sz w:val="22"/>
          <w:szCs w:val="22"/>
        </w:rPr>
        <w:t>T</w:t>
      </w:r>
      <w:r w:rsidRPr="6FDF2318" w:rsidR="002B6DD0">
        <w:rPr>
          <w:sz w:val="22"/>
          <w:szCs w:val="22"/>
        </w:rPr>
        <w:t xml:space="preserve">here are five results </w:t>
      </w:r>
      <w:r w:rsidRPr="6FDF2318" w:rsidR="008357D0">
        <w:rPr>
          <w:sz w:val="22"/>
          <w:szCs w:val="22"/>
        </w:rPr>
        <w:t>towards the</w:t>
      </w:r>
      <w:r w:rsidRPr="6FDF2318" w:rsidR="008631D8">
        <w:rPr>
          <w:sz w:val="22"/>
          <w:szCs w:val="22"/>
        </w:rPr>
        <w:t xml:space="preserve"> </w:t>
      </w:r>
      <w:r w:rsidRPr="6FDF2318" w:rsidR="002B6DD0">
        <w:rPr>
          <w:sz w:val="22"/>
          <w:szCs w:val="22"/>
        </w:rPr>
        <w:t xml:space="preserve">OCPP's </w:t>
      </w:r>
      <w:r w:rsidRPr="6FDF2318" w:rsidR="00CE38BA">
        <w:rPr>
          <w:sz w:val="22"/>
          <w:szCs w:val="22"/>
        </w:rPr>
        <w:t>outcome statement</w:t>
      </w:r>
      <w:r w:rsidRPr="6FDF2318" w:rsidR="00F40969">
        <w:rPr>
          <w:sz w:val="22"/>
          <w:szCs w:val="22"/>
        </w:rPr>
        <w:t>.</w:t>
      </w:r>
      <w:r w:rsidRPr="6FDF2318" w:rsidR="00CE38BA">
        <w:rPr>
          <w:sz w:val="22"/>
          <w:szCs w:val="22"/>
        </w:rPr>
        <w:t xml:space="preserve"> </w:t>
      </w:r>
      <w:r w:rsidRPr="6FDF2318" w:rsidR="002B6DD0">
        <w:rPr>
          <w:sz w:val="22"/>
          <w:szCs w:val="22"/>
        </w:rPr>
        <w:t xml:space="preserve">For </w:t>
      </w:r>
      <w:r w:rsidRPr="6FDF2318" w:rsidR="00A1770F">
        <w:rPr>
          <w:sz w:val="22"/>
          <w:szCs w:val="22"/>
        </w:rPr>
        <w:t>outcome 1</w:t>
      </w:r>
      <w:r w:rsidRPr="6FDF2318" w:rsidR="002B6DD0">
        <w:rPr>
          <w:sz w:val="22"/>
          <w:szCs w:val="22"/>
        </w:rPr>
        <w:t xml:space="preserve">, significant progress has been made in </w:t>
      </w:r>
      <w:r w:rsidRPr="6FDF2318" w:rsidR="004665C0">
        <w:rPr>
          <w:sz w:val="22"/>
          <w:szCs w:val="22"/>
        </w:rPr>
        <w:t>Sri Lanka and Maldives</w:t>
      </w:r>
      <w:r w:rsidRPr="6FDF2318" w:rsidR="002B6DD0">
        <w:rPr>
          <w:sz w:val="22"/>
          <w:szCs w:val="22"/>
        </w:rPr>
        <w:t xml:space="preserve"> with changes noted across more than one dimension</w:t>
      </w:r>
      <w:r w:rsidRPr="6FDF2318" w:rsidR="008A06DF">
        <w:rPr>
          <w:sz w:val="22"/>
          <w:szCs w:val="22"/>
        </w:rPr>
        <w:t xml:space="preserve"> of </w:t>
      </w:r>
      <w:r w:rsidRPr="6FDF2318" w:rsidR="00EE6C42">
        <w:rPr>
          <w:sz w:val="22"/>
          <w:szCs w:val="22"/>
        </w:rPr>
        <w:t xml:space="preserve">emergency response </w:t>
      </w:r>
      <w:r w:rsidRPr="6FDF2318" w:rsidR="008A06DF">
        <w:rPr>
          <w:sz w:val="22"/>
          <w:szCs w:val="22"/>
        </w:rPr>
        <w:t>preparedness</w:t>
      </w:r>
      <w:r w:rsidRPr="6FDF2318" w:rsidR="002B6DD0">
        <w:rPr>
          <w:sz w:val="22"/>
          <w:szCs w:val="22"/>
        </w:rPr>
        <w:t xml:space="preserve">. Work has started in a further </w:t>
      </w:r>
      <w:r w:rsidRPr="6FDF2318" w:rsidR="0061DC53">
        <w:rPr>
          <w:sz w:val="22"/>
          <w:szCs w:val="22"/>
        </w:rPr>
        <w:t>seven</w:t>
      </w:r>
      <w:r w:rsidRPr="6FDF2318" w:rsidR="002B6DD0">
        <w:rPr>
          <w:sz w:val="22"/>
          <w:szCs w:val="22"/>
        </w:rPr>
        <w:t xml:space="preserve"> countries to establish baselines</w:t>
      </w:r>
      <w:r w:rsidRPr="6FDF2318" w:rsidR="45D5301A">
        <w:rPr>
          <w:sz w:val="22"/>
          <w:szCs w:val="22"/>
        </w:rPr>
        <w:t>,</w:t>
      </w:r>
      <w:r w:rsidRPr="6FDF2318" w:rsidR="002B6DD0">
        <w:rPr>
          <w:sz w:val="22"/>
          <w:szCs w:val="22"/>
        </w:rPr>
        <w:t xml:space="preserve"> with the baselines for Solomon Islands and Vanuatu completed in July 2024. There is still a substantial amount of work to be carried out to affect change in the remaining targeted countries before the end of the programme. </w:t>
      </w:r>
    </w:p>
    <w:p w:rsidRPr="002B6DD0" w:rsidR="002B6DD0" w:rsidP="002B6DD0" w:rsidRDefault="002B6DD0" w14:paraId="4F2CA941" w14:textId="77777777">
      <w:pPr>
        <w:rPr>
          <w:sz w:val="22"/>
          <w:szCs w:val="22"/>
        </w:rPr>
      </w:pPr>
    </w:p>
    <w:p w:rsidRPr="002B6DD0" w:rsidR="002B6DD0" w:rsidP="002B6DD0" w:rsidRDefault="002B6DD0" w14:paraId="7F65FC00" w14:textId="570F6F83">
      <w:pPr>
        <w:rPr>
          <w:sz w:val="22"/>
          <w:szCs w:val="22"/>
        </w:rPr>
      </w:pPr>
      <w:r w:rsidRPr="2C6B85DE">
        <w:rPr>
          <w:sz w:val="22"/>
          <w:szCs w:val="22"/>
        </w:rPr>
        <w:t xml:space="preserve">For </w:t>
      </w:r>
      <w:r w:rsidRPr="2C6B85DE" w:rsidR="00710154">
        <w:rPr>
          <w:sz w:val="22"/>
          <w:szCs w:val="22"/>
        </w:rPr>
        <w:t xml:space="preserve">outcome 2 </w:t>
      </w:r>
      <w:r w:rsidRPr="2C6B85DE">
        <w:rPr>
          <w:sz w:val="22"/>
          <w:szCs w:val="22"/>
        </w:rPr>
        <w:t xml:space="preserve">this year, the programme has </w:t>
      </w:r>
      <w:r w:rsidRPr="2C6B85DE" w:rsidR="007C3B21">
        <w:rPr>
          <w:sz w:val="22"/>
          <w:szCs w:val="22"/>
        </w:rPr>
        <w:t xml:space="preserve">reported </w:t>
      </w:r>
      <w:r w:rsidRPr="2C6B85DE" w:rsidR="35D343DB">
        <w:rPr>
          <w:sz w:val="22"/>
          <w:szCs w:val="22"/>
        </w:rPr>
        <w:t>two</w:t>
      </w:r>
      <w:r w:rsidRPr="2C6B85DE" w:rsidR="007C3B21">
        <w:rPr>
          <w:sz w:val="22"/>
          <w:szCs w:val="22"/>
        </w:rPr>
        <w:t xml:space="preserve"> </w:t>
      </w:r>
      <w:r w:rsidRPr="2C6B85DE" w:rsidR="00AE3171">
        <w:rPr>
          <w:sz w:val="22"/>
          <w:szCs w:val="22"/>
        </w:rPr>
        <w:t>areas of progress</w:t>
      </w:r>
      <w:r w:rsidRPr="2C6B85DE">
        <w:rPr>
          <w:sz w:val="22"/>
          <w:szCs w:val="22"/>
        </w:rPr>
        <w:t>, one from the bilateral programme in Sri Lanka and the other from F</w:t>
      </w:r>
      <w:r w:rsidRPr="2C6B85DE" w:rsidR="00720D17">
        <w:rPr>
          <w:sz w:val="22"/>
          <w:szCs w:val="22"/>
        </w:rPr>
        <w:t>OA</w:t>
      </w:r>
      <w:r w:rsidRPr="2C6B85DE">
        <w:rPr>
          <w:sz w:val="22"/>
          <w:szCs w:val="22"/>
        </w:rPr>
        <w:t xml:space="preserve"> with its S</w:t>
      </w:r>
      <w:r w:rsidRPr="2C6B85DE" w:rsidR="00F761EC">
        <w:rPr>
          <w:sz w:val="22"/>
          <w:szCs w:val="22"/>
        </w:rPr>
        <w:t xml:space="preserve">upply </w:t>
      </w:r>
      <w:r w:rsidRPr="2C6B85DE">
        <w:rPr>
          <w:sz w:val="22"/>
          <w:szCs w:val="22"/>
        </w:rPr>
        <w:t>C</w:t>
      </w:r>
      <w:r w:rsidRPr="2C6B85DE" w:rsidR="00F761EC">
        <w:rPr>
          <w:sz w:val="22"/>
          <w:szCs w:val="22"/>
        </w:rPr>
        <w:t xml:space="preserve">hain </w:t>
      </w:r>
      <w:r w:rsidRPr="2C6B85DE">
        <w:rPr>
          <w:sz w:val="22"/>
          <w:szCs w:val="22"/>
        </w:rPr>
        <w:t>R</w:t>
      </w:r>
      <w:r w:rsidRPr="2C6B85DE" w:rsidR="00F761EC">
        <w:rPr>
          <w:sz w:val="22"/>
          <w:szCs w:val="22"/>
        </w:rPr>
        <w:t xml:space="preserve">isk </w:t>
      </w:r>
      <w:r w:rsidRPr="2C6B85DE">
        <w:rPr>
          <w:sz w:val="22"/>
          <w:szCs w:val="22"/>
        </w:rPr>
        <w:t>T</w:t>
      </w:r>
      <w:r w:rsidRPr="2C6B85DE" w:rsidR="00F761EC">
        <w:rPr>
          <w:sz w:val="22"/>
          <w:szCs w:val="22"/>
        </w:rPr>
        <w:t>ool</w:t>
      </w:r>
      <w:r w:rsidRPr="2C6B85DE">
        <w:rPr>
          <w:sz w:val="22"/>
          <w:szCs w:val="22"/>
        </w:rPr>
        <w:t xml:space="preserve"> project. In Sri Lanka, </w:t>
      </w:r>
      <w:r w:rsidRPr="2C6B85DE" w:rsidR="006400C6">
        <w:rPr>
          <w:sz w:val="22"/>
          <w:szCs w:val="22"/>
        </w:rPr>
        <w:t>the</w:t>
      </w:r>
      <w:r w:rsidRPr="2C6B85DE">
        <w:rPr>
          <w:sz w:val="22"/>
          <w:szCs w:val="22"/>
        </w:rPr>
        <w:t xml:space="preserve"> OCPP has contributed to various bans on plastic products based on evidence sources such as the Marine Litter Database developed </w:t>
      </w:r>
      <w:r w:rsidRPr="2C6B85DE" w:rsidR="00085095">
        <w:rPr>
          <w:sz w:val="22"/>
          <w:szCs w:val="22"/>
        </w:rPr>
        <w:t xml:space="preserve">by the </w:t>
      </w:r>
      <w:r w:rsidRPr="2C6B85DE" w:rsidR="0070548B">
        <w:rPr>
          <w:sz w:val="22"/>
          <w:szCs w:val="22"/>
        </w:rPr>
        <w:t xml:space="preserve">OCPP’s predecessor </w:t>
      </w:r>
      <w:r w:rsidRPr="2C6B85DE" w:rsidR="00085095">
        <w:rPr>
          <w:sz w:val="22"/>
          <w:szCs w:val="22"/>
        </w:rPr>
        <w:t>the Commonwealth Litter Programme (</w:t>
      </w:r>
      <w:r w:rsidRPr="2C6B85DE">
        <w:rPr>
          <w:sz w:val="22"/>
          <w:szCs w:val="22"/>
        </w:rPr>
        <w:t>CLiP</w:t>
      </w:r>
      <w:r w:rsidRPr="2C6B85DE" w:rsidR="00085095">
        <w:rPr>
          <w:sz w:val="22"/>
          <w:szCs w:val="22"/>
        </w:rPr>
        <w:t>)</w:t>
      </w:r>
      <w:r w:rsidRPr="2C6B85DE">
        <w:rPr>
          <w:sz w:val="22"/>
          <w:szCs w:val="22"/>
        </w:rPr>
        <w:t xml:space="preserve"> and </w:t>
      </w:r>
      <w:r w:rsidRPr="2C6B85DE" w:rsidR="006400C6">
        <w:rPr>
          <w:sz w:val="22"/>
          <w:szCs w:val="22"/>
        </w:rPr>
        <w:t xml:space="preserve">the </w:t>
      </w:r>
      <w:r w:rsidRPr="2C6B85DE">
        <w:rPr>
          <w:sz w:val="22"/>
          <w:szCs w:val="22"/>
        </w:rPr>
        <w:t xml:space="preserve">OCPP support on beach and marine litter analysis. In addition, </w:t>
      </w:r>
      <w:r w:rsidRPr="2C6B85DE" w:rsidR="006400C6">
        <w:rPr>
          <w:sz w:val="22"/>
          <w:szCs w:val="22"/>
        </w:rPr>
        <w:t xml:space="preserve">the </w:t>
      </w:r>
      <w:r w:rsidRPr="2C6B85DE">
        <w:rPr>
          <w:sz w:val="22"/>
          <w:szCs w:val="22"/>
        </w:rPr>
        <w:t xml:space="preserve">OCPP has supported all multi-media campaigns to raise public awareness of these bans. It should be noted that </w:t>
      </w:r>
      <w:r w:rsidRPr="2C6B85DE" w:rsidR="006400C6">
        <w:rPr>
          <w:sz w:val="22"/>
          <w:szCs w:val="22"/>
        </w:rPr>
        <w:t>the</w:t>
      </w:r>
      <w:r w:rsidRPr="2C6B85DE">
        <w:rPr>
          <w:sz w:val="22"/>
          <w:szCs w:val="22"/>
        </w:rPr>
        <w:t xml:space="preserve"> OCPP contribution to this change was found to be 'low' by the interim evaluation, as the government was already on the path to enacting the plastic bans. With the SCRT project, the use of the supply chain risk tool by </w:t>
      </w:r>
      <w:r w:rsidRPr="2C6B85DE" w:rsidR="176A600E">
        <w:rPr>
          <w:sz w:val="22"/>
          <w:szCs w:val="22"/>
        </w:rPr>
        <w:t>five</w:t>
      </w:r>
      <w:r w:rsidRPr="2C6B85DE">
        <w:rPr>
          <w:sz w:val="22"/>
          <w:szCs w:val="22"/>
        </w:rPr>
        <w:t xml:space="preserve"> companies and use by enforcement agencies to assess the risk of IUU fishing within their supply chain and take action is</w:t>
      </w:r>
      <w:r w:rsidRPr="2C6B85DE" w:rsidR="003869A2">
        <w:rPr>
          <w:sz w:val="22"/>
          <w:szCs w:val="22"/>
        </w:rPr>
        <w:t xml:space="preserve"> considered to be an</w:t>
      </w:r>
      <w:r w:rsidRPr="2C6B85DE">
        <w:rPr>
          <w:sz w:val="22"/>
          <w:szCs w:val="22"/>
        </w:rPr>
        <w:t xml:space="preserve"> outcome-level change. ​</w:t>
      </w:r>
    </w:p>
    <w:p w:rsidRPr="002B6DD0" w:rsidR="002B6DD0" w:rsidP="002B6DD0" w:rsidRDefault="002B6DD0" w14:paraId="06818098" w14:textId="77777777">
      <w:pPr>
        <w:rPr>
          <w:sz w:val="22"/>
          <w:szCs w:val="22"/>
        </w:rPr>
      </w:pPr>
    </w:p>
    <w:p w:rsidR="007810CF" w:rsidP="002B6DD0" w:rsidRDefault="002B6DD0" w14:paraId="2AB2D18A" w14:textId="25311FE8">
      <w:pPr>
        <w:rPr>
          <w:sz w:val="22"/>
          <w:szCs w:val="22"/>
        </w:rPr>
      </w:pPr>
      <w:r w:rsidRPr="32190D26">
        <w:rPr>
          <w:sz w:val="22"/>
          <w:szCs w:val="22"/>
        </w:rPr>
        <w:t xml:space="preserve">For outcome </w:t>
      </w:r>
      <w:r w:rsidRPr="32190D26" w:rsidR="003D6DCA">
        <w:rPr>
          <w:sz w:val="22"/>
          <w:szCs w:val="22"/>
        </w:rPr>
        <w:t>3</w:t>
      </w:r>
      <w:r w:rsidRPr="32190D26">
        <w:rPr>
          <w:sz w:val="22"/>
          <w:szCs w:val="22"/>
        </w:rPr>
        <w:t xml:space="preserve">, the programme in Belize has contributed to the Department of Environment being able to monitor water quality and plastic pollution in </w:t>
      </w:r>
      <w:r w:rsidRPr="32190D26" w:rsidR="1249A7FE">
        <w:rPr>
          <w:sz w:val="22"/>
          <w:szCs w:val="22"/>
        </w:rPr>
        <w:t>seven</w:t>
      </w:r>
      <w:r w:rsidRPr="32190D26">
        <w:rPr>
          <w:sz w:val="22"/>
          <w:szCs w:val="22"/>
        </w:rPr>
        <w:t xml:space="preserve"> rivers (previously only </w:t>
      </w:r>
      <w:r w:rsidRPr="32190D26" w:rsidR="48939699">
        <w:rPr>
          <w:sz w:val="22"/>
          <w:szCs w:val="22"/>
        </w:rPr>
        <w:t>one</w:t>
      </w:r>
      <w:r w:rsidRPr="32190D26">
        <w:rPr>
          <w:sz w:val="22"/>
          <w:szCs w:val="22"/>
        </w:rPr>
        <w:t xml:space="preserve">) supporting implementation of the National Marine Litter Action Plan of 2020 and its capacity and capability to fulfil their delivery of the Ridge to Reef </w:t>
      </w:r>
      <w:r w:rsidRPr="32190D26" w:rsidR="00E02A6C">
        <w:rPr>
          <w:sz w:val="22"/>
          <w:szCs w:val="22"/>
        </w:rPr>
        <w:t>programme</w:t>
      </w:r>
      <w:r w:rsidRPr="32190D26">
        <w:rPr>
          <w:sz w:val="22"/>
          <w:szCs w:val="22"/>
        </w:rPr>
        <w:t xml:space="preserve">. </w:t>
      </w:r>
      <w:r w:rsidRPr="32190D26" w:rsidR="006400C6">
        <w:rPr>
          <w:sz w:val="22"/>
          <w:szCs w:val="22"/>
        </w:rPr>
        <w:t xml:space="preserve">The </w:t>
      </w:r>
      <w:r w:rsidRPr="32190D26">
        <w:rPr>
          <w:sz w:val="22"/>
          <w:szCs w:val="22"/>
        </w:rPr>
        <w:t>OCPP provided equipment and training to increase in-country capacity to conduct laboratory analyses on pollution. ​</w:t>
      </w:r>
    </w:p>
    <w:p w:rsidR="007810CF" w:rsidP="1F9FCF51" w:rsidRDefault="007810CF" w14:paraId="6761559E" w14:textId="77777777">
      <w:pPr>
        <w:rPr>
          <w:sz w:val="22"/>
          <w:szCs w:val="22"/>
        </w:rPr>
      </w:pPr>
    </w:p>
    <w:p w:rsidR="00E227C4" w:rsidP="1F9FCF51" w:rsidRDefault="008435C4" w14:paraId="2B618908" w14:textId="2C9080AE">
      <w:pPr>
        <w:rPr>
          <w:sz w:val="22"/>
          <w:szCs w:val="22"/>
        </w:rPr>
      </w:pPr>
      <w:r w:rsidRPr="336257AB">
        <w:rPr>
          <w:sz w:val="22"/>
          <w:szCs w:val="22"/>
        </w:rPr>
        <w:t xml:space="preserve">Given the </w:t>
      </w:r>
      <w:r w:rsidRPr="336257AB" w:rsidR="00A65573">
        <w:rPr>
          <w:sz w:val="22"/>
          <w:szCs w:val="22"/>
        </w:rPr>
        <w:t xml:space="preserve">amount of time the programme has been in delivery, the reported results at outcome level </w:t>
      </w:r>
      <w:r w:rsidRPr="336257AB" w:rsidR="00271A07">
        <w:rPr>
          <w:sz w:val="22"/>
          <w:szCs w:val="22"/>
        </w:rPr>
        <w:t>are not at the expected level</w:t>
      </w:r>
      <w:r w:rsidRPr="336257AB" w:rsidR="00AE18ED">
        <w:rPr>
          <w:sz w:val="22"/>
          <w:szCs w:val="22"/>
        </w:rPr>
        <w:t>, particularly on GESI</w:t>
      </w:r>
      <w:r w:rsidRPr="336257AB" w:rsidR="49F392B6">
        <w:rPr>
          <w:sz w:val="22"/>
          <w:szCs w:val="22"/>
        </w:rPr>
        <w:t xml:space="preserve"> due to a lack of analysis to inform design of programme activities</w:t>
      </w:r>
      <w:r w:rsidRPr="336257AB" w:rsidR="00271A07">
        <w:rPr>
          <w:sz w:val="22"/>
          <w:szCs w:val="22"/>
        </w:rPr>
        <w:t xml:space="preserve">. </w:t>
      </w:r>
      <w:r w:rsidRPr="336257AB" w:rsidR="009D203E">
        <w:rPr>
          <w:sz w:val="22"/>
          <w:szCs w:val="22"/>
        </w:rPr>
        <w:t xml:space="preserve">This could be due to lack of strategic oversight and understanding by </w:t>
      </w:r>
      <w:r w:rsidRPr="336257AB" w:rsidR="004165F7">
        <w:rPr>
          <w:sz w:val="22"/>
          <w:szCs w:val="22"/>
        </w:rPr>
        <w:t xml:space="preserve">OCPP programme leadership </w:t>
      </w:r>
      <w:r w:rsidRPr="336257AB" w:rsidR="009D203E">
        <w:rPr>
          <w:sz w:val="22"/>
          <w:szCs w:val="22"/>
        </w:rPr>
        <w:t>about what the programme is delivering at an output level and how these outputs will be taken up by stakeholders to contribute to the OCPP's outcome level ambition. It could also be an indication of the programme's struggle to produce outputs in a timely manner that are adopted by stakeholders</w:t>
      </w:r>
      <w:r w:rsidRPr="336257AB" w:rsidR="00D55065">
        <w:rPr>
          <w:sz w:val="22"/>
          <w:szCs w:val="22"/>
        </w:rPr>
        <w:t xml:space="preserve"> due to multiple factors, including</w:t>
      </w:r>
      <w:r w:rsidRPr="336257AB" w:rsidR="00770A1F">
        <w:rPr>
          <w:sz w:val="22"/>
          <w:szCs w:val="22"/>
        </w:rPr>
        <w:t xml:space="preserve"> </w:t>
      </w:r>
      <w:r w:rsidRPr="336257AB" w:rsidR="00EC039B">
        <w:rPr>
          <w:sz w:val="22"/>
          <w:szCs w:val="22"/>
        </w:rPr>
        <w:t xml:space="preserve">ALB difficulties in gaining traction with certain government partners </w:t>
      </w:r>
      <w:r w:rsidRPr="336257AB" w:rsidR="00773AEE">
        <w:rPr>
          <w:sz w:val="22"/>
          <w:szCs w:val="22"/>
        </w:rPr>
        <w:t>to agree and progress delivery</w:t>
      </w:r>
      <w:r w:rsidRPr="336257AB" w:rsidR="00770A1F">
        <w:rPr>
          <w:sz w:val="22"/>
          <w:szCs w:val="22"/>
        </w:rPr>
        <w:t>,</w:t>
      </w:r>
      <w:r w:rsidRPr="336257AB" w:rsidR="00773AEE">
        <w:rPr>
          <w:sz w:val="22"/>
          <w:szCs w:val="22"/>
        </w:rPr>
        <w:t xml:space="preserve"> in-country </w:t>
      </w:r>
      <w:r w:rsidRPr="336257AB" w:rsidR="00434379">
        <w:rPr>
          <w:sz w:val="22"/>
          <w:szCs w:val="22"/>
        </w:rPr>
        <w:t>governments</w:t>
      </w:r>
      <w:r w:rsidRPr="336257AB" w:rsidR="19C0E559">
        <w:rPr>
          <w:sz w:val="22"/>
          <w:szCs w:val="22"/>
        </w:rPr>
        <w:t>’</w:t>
      </w:r>
      <w:r w:rsidRPr="336257AB" w:rsidR="00434379">
        <w:rPr>
          <w:sz w:val="22"/>
          <w:szCs w:val="22"/>
        </w:rPr>
        <w:t xml:space="preserve"> limited capacity to engage with the programme</w:t>
      </w:r>
      <w:r w:rsidRPr="336257AB" w:rsidR="564F4353">
        <w:rPr>
          <w:sz w:val="22"/>
          <w:szCs w:val="22"/>
        </w:rPr>
        <w:t>,</w:t>
      </w:r>
      <w:r w:rsidRPr="336257AB" w:rsidR="00434379">
        <w:rPr>
          <w:sz w:val="22"/>
          <w:szCs w:val="22"/>
        </w:rPr>
        <w:t xml:space="preserve"> and staff turnover within government. For example, in Ghana the ALBs </w:t>
      </w:r>
      <w:r w:rsidRPr="336257AB" w:rsidR="00B35EC8">
        <w:rPr>
          <w:sz w:val="22"/>
          <w:szCs w:val="22"/>
        </w:rPr>
        <w:t xml:space="preserve">encountered difficulties </w:t>
      </w:r>
      <w:r w:rsidRPr="336257AB" w:rsidR="00434379">
        <w:rPr>
          <w:sz w:val="22"/>
          <w:szCs w:val="22"/>
        </w:rPr>
        <w:t>progress</w:t>
      </w:r>
      <w:r w:rsidRPr="336257AB" w:rsidR="00B35EC8">
        <w:rPr>
          <w:sz w:val="22"/>
          <w:szCs w:val="22"/>
        </w:rPr>
        <w:t>ing</w:t>
      </w:r>
      <w:r w:rsidRPr="336257AB" w:rsidR="00301787">
        <w:rPr>
          <w:sz w:val="22"/>
          <w:szCs w:val="22"/>
        </w:rPr>
        <w:t xml:space="preserve"> t</w:t>
      </w:r>
      <w:r w:rsidRPr="336257AB" w:rsidR="00434379">
        <w:rPr>
          <w:sz w:val="22"/>
          <w:szCs w:val="22"/>
        </w:rPr>
        <w:t>he biodiversity workstream out of scoping to implementation to produce MPA-related outputs during the first year of delivery</w:t>
      </w:r>
      <w:r w:rsidRPr="336257AB" w:rsidR="0005047E">
        <w:rPr>
          <w:sz w:val="22"/>
          <w:szCs w:val="22"/>
        </w:rPr>
        <w:t xml:space="preserve">, </w:t>
      </w:r>
      <w:r w:rsidRPr="336257AB" w:rsidR="00434379">
        <w:rPr>
          <w:sz w:val="22"/>
          <w:szCs w:val="22"/>
        </w:rPr>
        <w:t>due to engagement and traction issues with government</w:t>
      </w:r>
      <w:r w:rsidRPr="336257AB" w:rsidR="00462F08">
        <w:rPr>
          <w:sz w:val="22"/>
          <w:szCs w:val="22"/>
        </w:rPr>
        <w:t xml:space="preserve"> stakeholders</w:t>
      </w:r>
      <w:r w:rsidRPr="336257AB" w:rsidR="009D203E">
        <w:rPr>
          <w:sz w:val="22"/>
          <w:szCs w:val="22"/>
        </w:rPr>
        <w:t xml:space="preserve">. While the adoption of outputs by stakeholders is less within the control of the programme, the production and delivery of outputs is </w:t>
      </w:r>
      <w:r w:rsidR="00841F27">
        <w:rPr>
          <w:sz w:val="22"/>
          <w:szCs w:val="22"/>
        </w:rPr>
        <w:t xml:space="preserve">more </w:t>
      </w:r>
      <w:r w:rsidRPr="336257AB" w:rsidR="009D203E">
        <w:rPr>
          <w:sz w:val="22"/>
          <w:szCs w:val="22"/>
        </w:rPr>
        <w:t>within the control of the programme</w:t>
      </w:r>
      <w:r w:rsidRPr="336257AB" w:rsidR="00944EF2">
        <w:rPr>
          <w:sz w:val="22"/>
          <w:szCs w:val="22"/>
        </w:rPr>
        <w:t xml:space="preserve"> (</w:t>
      </w:r>
      <w:r w:rsidR="00841F27">
        <w:rPr>
          <w:sz w:val="22"/>
          <w:szCs w:val="22"/>
        </w:rPr>
        <w:t>although</w:t>
      </w:r>
      <w:r w:rsidRPr="336257AB" w:rsidR="00944EF2">
        <w:rPr>
          <w:sz w:val="22"/>
          <w:szCs w:val="22"/>
        </w:rPr>
        <w:t xml:space="preserve"> some external factors do exist such as government buy-in from partner countries)</w:t>
      </w:r>
      <w:r w:rsidRPr="336257AB" w:rsidR="009D203E">
        <w:rPr>
          <w:sz w:val="22"/>
          <w:szCs w:val="22"/>
        </w:rPr>
        <w:t>​</w:t>
      </w:r>
      <w:r w:rsidRPr="336257AB" w:rsidR="004B23C1">
        <w:rPr>
          <w:sz w:val="22"/>
          <w:szCs w:val="22"/>
        </w:rPr>
        <w:t>.</w:t>
      </w:r>
    </w:p>
    <w:p w:rsidR="004F0233" w:rsidP="1F9FCF51" w:rsidRDefault="004F0233" w14:paraId="5E9F2993" w14:textId="77777777">
      <w:pPr>
        <w:rPr>
          <w:sz w:val="22"/>
          <w:szCs w:val="22"/>
        </w:rPr>
      </w:pPr>
    </w:p>
    <w:p w:rsidR="00250E49" w:rsidP="1F9FCF51" w:rsidRDefault="004F0233" w14:paraId="10B2ED71" w14:textId="6C47E419">
      <w:pPr>
        <w:rPr>
          <w:sz w:val="22"/>
          <w:szCs w:val="22"/>
        </w:rPr>
      </w:pPr>
      <w:r w:rsidRPr="2C6B85DE">
        <w:rPr>
          <w:sz w:val="22"/>
          <w:szCs w:val="22"/>
        </w:rPr>
        <w:t xml:space="preserve">The intermediate outcome reporting identifies progression in </w:t>
      </w:r>
      <w:r w:rsidRPr="2C6B85DE" w:rsidR="00FC195C">
        <w:rPr>
          <w:sz w:val="22"/>
          <w:szCs w:val="22"/>
        </w:rPr>
        <w:t>16</w:t>
      </w:r>
      <w:r w:rsidRPr="2C6B85DE">
        <w:rPr>
          <w:sz w:val="22"/>
          <w:szCs w:val="22"/>
        </w:rPr>
        <w:t xml:space="preserve"> </w:t>
      </w:r>
      <w:r w:rsidRPr="2C6B85DE" w:rsidR="00FC195C">
        <w:rPr>
          <w:sz w:val="22"/>
          <w:szCs w:val="22"/>
        </w:rPr>
        <w:t xml:space="preserve">areas of </w:t>
      </w:r>
      <w:r w:rsidRPr="2C6B85DE">
        <w:rPr>
          <w:sz w:val="22"/>
          <w:szCs w:val="22"/>
        </w:rPr>
        <w:t>change pathways that could progress to outcome</w:t>
      </w:r>
      <w:r w:rsidRPr="2C6B85DE" w:rsidR="00E8418D">
        <w:rPr>
          <w:sz w:val="22"/>
          <w:szCs w:val="22"/>
        </w:rPr>
        <w:t>-</w:t>
      </w:r>
      <w:r w:rsidRPr="2C6B85DE">
        <w:rPr>
          <w:sz w:val="22"/>
          <w:szCs w:val="22"/>
        </w:rPr>
        <w:t xml:space="preserve">level in the next </w:t>
      </w:r>
      <w:r w:rsidRPr="2C6B85DE" w:rsidR="549D0445">
        <w:rPr>
          <w:sz w:val="22"/>
          <w:szCs w:val="22"/>
        </w:rPr>
        <w:t>two</w:t>
      </w:r>
      <w:r w:rsidRPr="2C6B85DE">
        <w:rPr>
          <w:sz w:val="22"/>
          <w:szCs w:val="22"/>
        </w:rPr>
        <w:t xml:space="preserve"> years.</w:t>
      </w:r>
      <w:r w:rsidRPr="2C6B85DE" w:rsidR="002B5411">
        <w:rPr>
          <w:sz w:val="22"/>
          <w:szCs w:val="22"/>
        </w:rPr>
        <w:t xml:space="preserve"> For intermediate outcome </w:t>
      </w:r>
      <w:r w:rsidRPr="2C6B85DE" w:rsidR="00073D18">
        <w:rPr>
          <w:sz w:val="22"/>
          <w:szCs w:val="22"/>
        </w:rPr>
        <w:t>1</w:t>
      </w:r>
      <w:r w:rsidRPr="2C6B85DE" w:rsidR="00F303D0">
        <w:rPr>
          <w:sz w:val="22"/>
          <w:szCs w:val="22"/>
        </w:rPr>
        <w:t>,</w:t>
      </w:r>
      <w:r w:rsidRPr="2C6B85DE" w:rsidR="00FB6371">
        <w:rPr>
          <w:sz w:val="22"/>
          <w:szCs w:val="22"/>
        </w:rPr>
        <w:t xml:space="preserve"> </w:t>
      </w:r>
      <w:r w:rsidRPr="2C6B85DE" w:rsidR="3FF04D56">
        <w:rPr>
          <w:sz w:val="22"/>
          <w:szCs w:val="22"/>
        </w:rPr>
        <w:t xml:space="preserve">seven </w:t>
      </w:r>
      <w:r w:rsidRPr="2C6B85DE" w:rsidR="00073D18">
        <w:rPr>
          <w:sz w:val="22"/>
          <w:szCs w:val="22"/>
        </w:rPr>
        <w:t xml:space="preserve">areas of progress have been identified. </w:t>
      </w:r>
      <w:r w:rsidRPr="2C6B85DE" w:rsidR="00003CFD">
        <w:rPr>
          <w:sz w:val="22"/>
          <w:szCs w:val="22"/>
        </w:rPr>
        <w:t>ALBs have reported progress in Bangladesh, Belize, Maldives and Sri Lanka</w:t>
      </w:r>
      <w:r w:rsidRPr="2C6B85DE" w:rsidR="002C1DFC">
        <w:rPr>
          <w:sz w:val="22"/>
          <w:szCs w:val="22"/>
        </w:rPr>
        <w:t xml:space="preserve">, </w:t>
      </w:r>
      <w:r w:rsidRPr="2C6B85DE" w:rsidR="00976BEE">
        <w:rPr>
          <w:sz w:val="22"/>
          <w:szCs w:val="22"/>
        </w:rPr>
        <w:t xml:space="preserve">where </w:t>
      </w:r>
      <w:r w:rsidRPr="2C6B85DE" w:rsidR="006F025A">
        <w:rPr>
          <w:sz w:val="22"/>
          <w:szCs w:val="22"/>
        </w:rPr>
        <w:t>for example</w:t>
      </w:r>
      <w:r w:rsidRPr="2C6B85DE" w:rsidR="00516510">
        <w:rPr>
          <w:sz w:val="22"/>
          <w:szCs w:val="22"/>
        </w:rPr>
        <w:t xml:space="preserve">, </w:t>
      </w:r>
      <w:r w:rsidRPr="2C6B85DE" w:rsidR="005F13AC">
        <w:rPr>
          <w:sz w:val="22"/>
          <w:szCs w:val="22"/>
        </w:rPr>
        <w:t xml:space="preserve">the </w:t>
      </w:r>
      <w:r w:rsidRPr="2C6B85DE" w:rsidR="00516510">
        <w:rPr>
          <w:sz w:val="22"/>
          <w:szCs w:val="22"/>
        </w:rPr>
        <w:t>Sri Lanka</w:t>
      </w:r>
      <w:r w:rsidRPr="2C6B85DE" w:rsidR="005F13AC">
        <w:rPr>
          <w:sz w:val="22"/>
          <w:szCs w:val="22"/>
        </w:rPr>
        <w:t xml:space="preserve"> Coral Reef Initiative </w:t>
      </w:r>
      <w:r w:rsidRPr="2C6B85DE" w:rsidR="00213805">
        <w:rPr>
          <w:sz w:val="22"/>
          <w:szCs w:val="22"/>
        </w:rPr>
        <w:t xml:space="preserve">has committed </w:t>
      </w:r>
      <w:r w:rsidRPr="2C6B85DE" w:rsidR="006A036E">
        <w:rPr>
          <w:sz w:val="22"/>
          <w:szCs w:val="22"/>
        </w:rPr>
        <w:t xml:space="preserve">to take forward issues identified in </w:t>
      </w:r>
      <w:r w:rsidRPr="2C6B85DE" w:rsidR="769E204F">
        <w:rPr>
          <w:sz w:val="22"/>
          <w:szCs w:val="22"/>
        </w:rPr>
        <w:t>three</w:t>
      </w:r>
      <w:r w:rsidRPr="2C6B85DE" w:rsidR="006A036E">
        <w:rPr>
          <w:sz w:val="22"/>
          <w:szCs w:val="22"/>
        </w:rPr>
        <w:t xml:space="preserve"> MPA assessments </w:t>
      </w:r>
      <w:r w:rsidRPr="2C6B85DE" w:rsidR="007E6F82">
        <w:rPr>
          <w:sz w:val="22"/>
          <w:szCs w:val="22"/>
        </w:rPr>
        <w:t xml:space="preserve">carried out by OCPP. </w:t>
      </w:r>
      <w:r w:rsidRPr="2C6B85DE" w:rsidR="007472F9">
        <w:rPr>
          <w:sz w:val="22"/>
          <w:szCs w:val="22"/>
        </w:rPr>
        <w:t>FOA</w:t>
      </w:r>
      <w:r w:rsidRPr="2C6B85DE" w:rsidR="002523E5">
        <w:rPr>
          <w:sz w:val="22"/>
          <w:szCs w:val="22"/>
        </w:rPr>
        <w:t xml:space="preserve"> have reported </w:t>
      </w:r>
      <w:r w:rsidRPr="2C6B85DE" w:rsidR="63DE6BEC">
        <w:rPr>
          <w:sz w:val="22"/>
          <w:szCs w:val="22"/>
        </w:rPr>
        <w:t>three</w:t>
      </w:r>
      <w:r w:rsidRPr="2C6B85DE" w:rsidR="00EF6538">
        <w:rPr>
          <w:sz w:val="22"/>
          <w:szCs w:val="22"/>
        </w:rPr>
        <w:t xml:space="preserve"> areas of </w:t>
      </w:r>
      <w:r w:rsidRPr="2C6B85DE" w:rsidR="002523E5">
        <w:rPr>
          <w:sz w:val="22"/>
          <w:szCs w:val="22"/>
        </w:rPr>
        <w:t>progress</w:t>
      </w:r>
      <w:r w:rsidRPr="2C6B85DE" w:rsidR="00EF6538">
        <w:rPr>
          <w:sz w:val="22"/>
          <w:szCs w:val="22"/>
        </w:rPr>
        <w:t xml:space="preserve">, </w:t>
      </w:r>
      <w:r w:rsidRPr="2C6B85DE" w:rsidR="377807F1">
        <w:rPr>
          <w:sz w:val="22"/>
          <w:szCs w:val="22"/>
        </w:rPr>
        <w:t>two</w:t>
      </w:r>
      <w:r w:rsidRPr="2C6B85DE" w:rsidR="00F40969">
        <w:rPr>
          <w:sz w:val="22"/>
          <w:szCs w:val="22"/>
        </w:rPr>
        <w:t xml:space="preserve"> </w:t>
      </w:r>
      <w:r w:rsidRPr="2C6B85DE" w:rsidR="002523E5">
        <w:rPr>
          <w:sz w:val="22"/>
          <w:szCs w:val="22"/>
        </w:rPr>
        <w:t>globally</w:t>
      </w:r>
      <w:r w:rsidR="004162DD">
        <w:rPr>
          <w:sz w:val="22"/>
          <w:szCs w:val="22"/>
        </w:rPr>
        <w:t xml:space="preserve">, </w:t>
      </w:r>
      <w:r w:rsidR="00A00E17">
        <w:rPr>
          <w:sz w:val="22"/>
          <w:szCs w:val="22"/>
        </w:rPr>
        <w:t xml:space="preserve">including the development </w:t>
      </w:r>
      <w:r w:rsidR="000E216D">
        <w:rPr>
          <w:sz w:val="22"/>
          <w:szCs w:val="22"/>
        </w:rPr>
        <w:t xml:space="preserve">of the Global Sustainable </w:t>
      </w:r>
      <w:r w:rsidR="00E015B4">
        <w:rPr>
          <w:sz w:val="22"/>
          <w:szCs w:val="22"/>
        </w:rPr>
        <w:t>Aquaculture</w:t>
      </w:r>
      <w:r w:rsidR="000E216D">
        <w:rPr>
          <w:sz w:val="22"/>
          <w:szCs w:val="22"/>
        </w:rPr>
        <w:t xml:space="preserve"> Roadmap</w:t>
      </w:r>
      <w:r w:rsidR="00BC23BD">
        <w:rPr>
          <w:sz w:val="22"/>
          <w:szCs w:val="22"/>
        </w:rPr>
        <w:t>,</w:t>
      </w:r>
      <w:r w:rsidRPr="2C6B85DE" w:rsidR="002523E5">
        <w:rPr>
          <w:sz w:val="22"/>
          <w:szCs w:val="22"/>
        </w:rPr>
        <w:t xml:space="preserve"> and </w:t>
      </w:r>
      <w:r w:rsidRPr="2C6B85DE" w:rsidR="00EF6538">
        <w:rPr>
          <w:sz w:val="22"/>
          <w:szCs w:val="22"/>
        </w:rPr>
        <w:t xml:space="preserve">one </w:t>
      </w:r>
      <w:r w:rsidRPr="2C6B85DE" w:rsidR="002523E5">
        <w:rPr>
          <w:sz w:val="22"/>
          <w:szCs w:val="22"/>
        </w:rPr>
        <w:t>in Namibia</w:t>
      </w:r>
      <w:r w:rsidRPr="2C6B85DE" w:rsidR="00311C94">
        <w:rPr>
          <w:sz w:val="22"/>
          <w:szCs w:val="22"/>
        </w:rPr>
        <w:t xml:space="preserve">, where </w:t>
      </w:r>
      <w:r w:rsidRPr="2C6B85DE" w:rsidR="00C6374C">
        <w:rPr>
          <w:sz w:val="22"/>
          <w:szCs w:val="22"/>
        </w:rPr>
        <w:t>the Namibian Ocean Cluster committed to brin</w:t>
      </w:r>
      <w:r w:rsidRPr="2C6B85DE" w:rsidR="00862846">
        <w:rPr>
          <w:sz w:val="22"/>
          <w:szCs w:val="22"/>
        </w:rPr>
        <w:t>g</w:t>
      </w:r>
      <w:r w:rsidRPr="2C6B85DE" w:rsidR="00721FAC">
        <w:rPr>
          <w:sz w:val="22"/>
          <w:szCs w:val="22"/>
        </w:rPr>
        <w:t>ing fish by-products to shore</w:t>
      </w:r>
      <w:r w:rsidRPr="2C6B85DE" w:rsidR="00EF6538">
        <w:rPr>
          <w:sz w:val="22"/>
          <w:szCs w:val="22"/>
        </w:rPr>
        <w:t>.</w:t>
      </w:r>
      <w:r w:rsidRPr="2C6B85DE" w:rsidR="006F025A">
        <w:rPr>
          <w:sz w:val="22"/>
          <w:szCs w:val="22"/>
        </w:rPr>
        <w:t xml:space="preserve"> </w:t>
      </w:r>
    </w:p>
    <w:p w:rsidR="00250E49" w:rsidP="1F9FCF51" w:rsidRDefault="00250E49" w14:paraId="52C5EE24" w14:textId="77777777">
      <w:pPr>
        <w:rPr>
          <w:sz w:val="22"/>
          <w:szCs w:val="22"/>
        </w:rPr>
      </w:pPr>
    </w:p>
    <w:p w:rsidR="00C65E60" w:rsidP="1F9FCF51" w:rsidRDefault="00250E49" w14:paraId="0202322A" w14:textId="49D5F43C">
      <w:pPr>
        <w:rPr>
          <w:sz w:val="22"/>
          <w:szCs w:val="22"/>
        </w:rPr>
      </w:pPr>
      <w:r w:rsidRPr="2C6B85DE">
        <w:rPr>
          <w:sz w:val="22"/>
          <w:szCs w:val="22"/>
        </w:rPr>
        <w:t>For intermediate outcome 2</w:t>
      </w:r>
      <w:r w:rsidRPr="2C6B85DE" w:rsidR="00B93CEB">
        <w:rPr>
          <w:sz w:val="22"/>
          <w:szCs w:val="22"/>
        </w:rPr>
        <w:t xml:space="preserve">, </w:t>
      </w:r>
      <w:r w:rsidRPr="2C6B85DE" w:rsidR="4819A162">
        <w:rPr>
          <w:sz w:val="22"/>
          <w:szCs w:val="22"/>
        </w:rPr>
        <w:t>nine</w:t>
      </w:r>
      <w:r w:rsidRPr="2C6B85DE" w:rsidR="00531AD3">
        <w:rPr>
          <w:sz w:val="22"/>
          <w:szCs w:val="22"/>
        </w:rPr>
        <w:t xml:space="preserve"> areas of </w:t>
      </w:r>
      <w:r w:rsidRPr="2C6B85DE" w:rsidR="00B93CEB">
        <w:rPr>
          <w:sz w:val="22"/>
          <w:szCs w:val="22"/>
        </w:rPr>
        <w:t>p</w:t>
      </w:r>
      <w:r w:rsidRPr="2C6B85DE" w:rsidR="00C74E19">
        <w:rPr>
          <w:sz w:val="22"/>
          <w:szCs w:val="22"/>
        </w:rPr>
        <w:t>rogress ha</w:t>
      </w:r>
      <w:r w:rsidRPr="2C6B85DE" w:rsidR="00531AD3">
        <w:rPr>
          <w:sz w:val="22"/>
          <w:szCs w:val="22"/>
        </w:rPr>
        <w:t>ve</w:t>
      </w:r>
      <w:r w:rsidRPr="2C6B85DE" w:rsidR="00C74E19">
        <w:rPr>
          <w:sz w:val="22"/>
          <w:szCs w:val="22"/>
        </w:rPr>
        <w:t xml:space="preserve"> been reported</w:t>
      </w:r>
      <w:r w:rsidRPr="2C6B85DE" w:rsidR="00531AD3">
        <w:rPr>
          <w:sz w:val="22"/>
          <w:szCs w:val="22"/>
        </w:rPr>
        <w:t>.</w:t>
      </w:r>
      <w:r w:rsidRPr="2C6B85DE" w:rsidR="00EA564E">
        <w:rPr>
          <w:sz w:val="22"/>
          <w:szCs w:val="22"/>
        </w:rPr>
        <w:t xml:space="preserve"> GOAP has </w:t>
      </w:r>
      <w:r w:rsidRPr="2C6B85DE" w:rsidR="00493CD1">
        <w:rPr>
          <w:sz w:val="22"/>
          <w:szCs w:val="22"/>
        </w:rPr>
        <w:t xml:space="preserve">made </w:t>
      </w:r>
      <w:r w:rsidRPr="2C6B85DE" w:rsidR="0044616A">
        <w:rPr>
          <w:sz w:val="22"/>
          <w:szCs w:val="22"/>
        </w:rPr>
        <w:t>progress in Indonesia</w:t>
      </w:r>
      <w:r w:rsidRPr="2C6B85DE" w:rsidR="00F95F12">
        <w:rPr>
          <w:sz w:val="22"/>
          <w:szCs w:val="22"/>
        </w:rPr>
        <w:t xml:space="preserve"> where the Indonesia National Standard (SNI) for Ocean Accounting has been established. This aims to ensure economic valuation of marine ecosystems is incorporated in national economic planning and environmental governance. ​</w:t>
      </w:r>
      <w:r w:rsidRPr="2C6B85DE" w:rsidR="003C3253">
        <w:rPr>
          <w:sz w:val="22"/>
          <w:szCs w:val="22"/>
        </w:rPr>
        <w:t xml:space="preserve">FOA </w:t>
      </w:r>
      <w:r w:rsidR="007245EB">
        <w:rPr>
          <w:sz w:val="22"/>
          <w:szCs w:val="22"/>
        </w:rPr>
        <w:t>made global progress</w:t>
      </w:r>
      <w:r w:rsidR="0049410E">
        <w:rPr>
          <w:sz w:val="22"/>
          <w:szCs w:val="22"/>
        </w:rPr>
        <w:t xml:space="preserve">, </w:t>
      </w:r>
      <w:r w:rsidR="00C25859">
        <w:rPr>
          <w:sz w:val="22"/>
          <w:szCs w:val="22"/>
        </w:rPr>
        <w:t>notab</w:t>
      </w:r>
      <w:r w:rsidR="003D7EAA">
        <w:rPr>
          <w:sz w:val="22"/>
          <w:szCs w:val="22"/>
        </w:rPr>
        <w:t xml:space="preserve">ly </w:t>
      </w:r>
      <w:r w:rsidR="00267797">
        <w:rPr>
          <w:sz w:val="22"/>
          <w:szCs w:val="22"/>
        </w:rPr>
        <w:t>in</w:t>
      </w:r>
      <w:r w:rsidRPr="2C6B85DE" w:rsidR="00F53D77">
        <w:rPr>
          <w:sz w:val="22"/>
          <w:szCs w:val="22"/>
        </w:rPr>
        <w:t xml:space="preserve"> </w:t>
      </w:r>
      <w:r w:rsidRPr="2C6B85DE" w:rsidR="007D2972">
        <w:rPr>
          <w:sz w:val="22"/>
          <w:szCs w:val="22"/>
        </w:rPr>
        <w:t>Ghana</w:t>
      </w:r>
      <w:r w:rsidRPr="2C6B85DE" w:rsidR="00F53D77">
        <w:rPr>
          <w:sz w:val="22"/>
          <w:szCs w:val="22"/>
        </w:rPr>
        <w:t xml:space="preserve"> and</w:t>
      </w:r>
      <w:r w:rsidRPr="2C6B85DE" w:rsidR="007D2972">
        <w:rPr>
          <w:sz w:val="22"/>
          <w:szCs w:val="22"/>
        </w:rPr>
        <w:t xml:space="preserve"> </w:t>
      </w:r>
      <w:r w:rsidR="00891968">
        <w:rPr>
          <w:sz w:val="22"/>
          <w:szCs w:val="22"/>
        </w:rPr>
        <w:t xml:space="preserve">in </w:t>
      </w:r>
      <w:r w:rsidRPr="2C6B85DE" w:rsidR="007D2972">
        <w:rPr>
          <w:sz w:val="22"/>
          <w:szCs w:val="22"/>
        </w:rPr>
        <w:t xml:space="preserve">Fiji, where the </w:t>
      </w:r>
      <w:r w:rsidRPr="2C6B85DE" w:rsidR="00E43293">
        <w:rPr>
          <w:sz w:val="22"/>
          <w:szCs w:val="22"/>
        </w:rPr>
        <w:t>Fijian Government used statistics from the Fiji post COVID Appraisal Assessment reporting to prepare national budget allocations and put the National Aquaculture Bill up for parliamentary review.</w:t>
      </w:r>
      <w:r w:rsidRPr="2C6B85DE" w:rsidR="002B2ADF">
        <w:rPr>
          <w:sz w:val="22"/>
          <w:szCs w:val="22"/>
        </w:rPr>
        <w:t xml:space="preserve"> ALBs achieved progress in Belize, Maldives </w:t>
      </w:r>
      <w:r w:rsidRPr="2C6B85DE" w:rsidR="0001609D">
        <w:rPr>
          <w:sz w:val="22"/>
          <w:szCs w:val="22"/>
        </w:rPr>
        <w:t xml:space="preserve">and Sri Lanka </w:t>
      </w:r>
      <w:r w:rsidRPr="2C6B85DE" w:rsidR="00B86381">
        <w:rPr>
          <w:sz w:val="22"/>
          <w:szCs w:val="22"/>
        </w:rPr>
        <w:t>e.g.</w:t>
      </w:r>
      <w:r w:rsidRPr="2C6B85DE" w:rsidR="0013291D">
        <w:rPr>
          <w:sz w:val="22"/>
          <w:szCs w:val="22"/>
        </w:rPr>
        <w:t>in Belize a National Mari</w:t>
      </w:r>
      <w:r w:rsidRPr="2C6B85DE" w:rsidR="006135F6">
        <w:rPr>
          <w:sz w:val="22"/>
          <w:szCs w:val="22"/>
        </w:rPr>
        <w:t>time Transport Policy has been developed.</w:t>
      </w:r>
    </w:p>
    <w:p w:rsidR="00F40969" w:rsidP="1F9FCF51" w:rsidRDefault="00F40969" w14:paraId="17AC4EBD" w14:textId="77777777">
      <w:pPr>
        <w:rPr>
          <w:sz w:val="22"/>
          <w:szCs w:val="22"/>
        </w:rPr>
      </w:pPr>
    </w:p>
    <w:p w:rsidR="004F0233" w:rsidP="1F9FCF51" w:rsidRDefault="00363BB3" w14:paraId="0C4671F1" w14:textId="13650B4F">
      <w:pPr>
        <w:rPr>
          <w:sz w:val="22"/>
          <w:szCs w:val="22"/>
        </w:rPr>
      </w:pPr>
      <w:r>
        <w:rPr>
          <w:sz w:val="22"/>
          <w:szCs w:val="22"/>
        </w:rPr>
        <w:t xml:space="preserve">This represents a strong pipeline of work for the OCPP to drive </w:t>
      </w:r>
      <w:r w:rsidR="00D55F79">
        <w:rPr>
          <w:sz w:val="22"/>
          <w:szCs w:val="22"/>
        </w:rPr>
        <w:t>forward to outcome</w:t>
      </w:r>
      <w:r w:rsidR="00E8418D">
        <w:rPr>
          <w:sz w:val="22"/>
          <w:szCs w:val="22"/>
        </w:rPr>
        <w:t>-</w:t>
      </w:r>
      <w:r w:rsidR="00D55F79">
        <w:rPr>
          <w:sz w:val="22"/>
          <w:szCs w:val="22"/>
        </w:rPr>
        <w:t xml:space="preserve">level change. </w:t>
      </w:r>
      <w:r w:rsidRPr="004F0233" w:rsidR="004F0233">
        <w:rPr>
          <w:sz w:val="22"/>
          <w:szCs w:val="22"/>
        </w:rPr>
        <w:t xml:space="preserve">The </w:t>
      </w:r>
      <w:r w:rsidR="00003043">
        <w:rPr>
          <w:sz w:val="22"/>
          <w:szCs w:val="22"/>
        </w:rPr>
        <w:t xml:space="preserve">interim </w:t>
      </w:r>
      <w:r w:rsidRPr="004F0233" w:rsidR="004F0233">
        <w:rPr>
          <w:sz w:val="22"/>
          <w:szCs w:val="22"/>
        </w:rPr>
        <w:t xml:space="preserve">evaluation report </w:t>
      </w:r>
      <w:r w:rsidR="00003043">
        <w:rPr>
          <w:sz w:val="22"/>
          <w:szCs w:val="22"/>
        </w:rPr>
        <w:t>supports these findings but noted that</w:t>
      </w:r>
      <w:r w:rsidRPr="004F0233" w:rsidR="004F0233">
        <w:rPr>
          <w:sz w:val="22"/>
          <w:szCs w:val="22"/>
        </w:rPr>
        <w:t xml:space="preserve"> this </w:t>
      </w:r>
      <w:r w:rsidR="00003043">
        <w:rPr>
          <w:sz w:val="22"/>
          <w:szCs w:val="22"/>
        </w:rPr>
        <w:t>conversion</w:t>
      </w:r>
      <w:r w:rsidRPr="004F0233" w:rsidR="004F0233">
        <w:rPr>
          <w:sz w:val="22"/>
          <w:szCs w:val="22"/>
        </w:rPr>
        <w:t xml:space="preserve"> is not </w:t>
      </w:r>
      <w:r w:rsidRPr="004F0233" w:rsidR="0021099E">
        <w:rPr>
          <w:sz w:val="22"/>
          <w:szCs w:val="22"/>
        </w:rPr>
        <w:t>guaranteed</w:t>
      </w:r>
      <w:r w:rsidRPr="004F0233" w:rsidR="004F0233">
        <w:rPr>
          <w:sz w:val="22"/>
          <w:szCs w:val="22"/>
        </w:rPr>
        <w:t>.</w:t>
      </w:r>
      <w:r w:rsidR="00586AE1">
        <w:rPr>
          <w:sz w:val="22"/>
          <w:szCs w:val="22"/>
        </w:rPr>
        <w:t xml:space="preserve"> T</w:t>
      </w:r>
      <w:r w:rsidRPr="004F0233" w:rsidR="004F0233">
        <w:rPr>
          <w:sz w:val="22"/>
          <w:szCs w:val="22"/>
        </w:rPr>
        <w:t xml:space="preserve">he programme needs to focus on converting the outputs delivered into outcome level change in the final two years to be able to meet its targets. Given the extent and breadth of </w:t>
      </w:r>
      <w:r w:rsidR="006400C6">
        <w:rPr>
          <w:sz w:val="22"/>
          <w:szCs w:val="22"/>
        </w:rPr>
        <w:t xml:space="preserve">the </w:t>
      </w:r>
      <w:r w:rsidRPr="004F0233" w:rsidR="004F0233">
        <w:rPr>
          <w:sz w:val="22"/>
          <w:szCs w:val="22"/>
        </w:rPr>
        <w:t>OCPP</w:t>
      </w:r>
      <w:r w:rsidR="006400C6">
        <w:rPr>
          <w:sz w:val="22"/>
          <w:szCs w:val="22"/>
        </w:rPr>
        <w:t>’</w:t>
      </w:r>
      <w:r w:rsidRPr="004F0233" w:rsidR="004F0233">
        <w:rPr>
          <w:sz w:val="22"/>
          <w:szCs w:val="22"/>
        </w:rPr>
        <w:t>s work, these targets do not seem too ambitious if attention is focused in the coming years. ​</w:t>
      </w:r>
    </w:p>
    <w:p w:rsidR="00E227C4" w:rsidP="1F9FCF51" w:rsidRDefault="00E227C4" w14:paraId="4B35FB8B" w14:textId="77777777">
      <w:pPr>
        <w:rPr>
          <w:sz w:val="22"/>
          <w:szCs w:val="22"/>
        </w:rPr>
      </w:pPr>
    </w:p>
    <w:p w:rsidRPr="0022247D" w:rsidR="00DF0A50" w:rsidP="1F9FCF51" w:rsidRDefault="00E95938" w14:paraId="25E0A357" w14:textId="4E72FF0D">
      <w:pPr>
        <w:rPr>
          <w:sz w:val="22"/>
          <w:szCs w:val="22"/>
        </w:rPr>
      </w:pPr>
      <w:r w:rsidRPr="7D84B0CB">
        <w:rPr>
          <w:sz w:val="22"/>
          <w:szCs w:val="22"/>
        </w:rPr>
        <w:t xml:space="preserve">An independent mid-term evaluation </w:t>
      </w:r>
      <w:r w:rsidRPr="7D84B0CB" w:rsidR="006F4754">
        <w:rPr>
          <w:sz w:val="22"/>
          <w:szCs w:val="22"/>
        </w:rPr>
        <w:t xml:space="preserve">of the programme has been conducted </w:t>
      </w:r>
      <w:r w:rsidRPr="7D84B0CB" w:rsidR="001C291F">
        <w:rPr>
          <w:sz w:val="22"/>
          <w:szCs w:val="22"/>
        </w:rPr>
        <w:t>and the final report received in Sept</w:t>
      </w:r>
      <w:r w:rsidRPr="7D84B0CB" w:rsidR="7736560F">
        <w:rPr>
          <w:sz w:val="22"/>
          <w:szCs w:val="22"/>
        </w:rPr>
        <w:t>ember</w:t>
      </w:r>
      <w:r w:rsidRPr="7D84B0CB" w:rsidR="009929A4">
        <w:rPr>
          <w:sz w:val="22"/>
          <w:szCs w:val="22"/>
        </w:rPr>
        <w:t xml:space="preserve">. Findings and recommendations from the evaluation have been utilised within this </w:t>
      </w:r>
      <w:r w:rsidR="00C14357">
        <w:rPr>
          <w:sz w:val="22"/>
          <w:szCs w:val="22"/>
        </w:rPr>
        <w:t>annual review</w:t>
      </w:r>
      <w:r w:rsidRPr="7D84B0CB" w:rsidR="008940AB">
        <w:rPr>
          <w:sz w:val="22"/>
          <w:szCs w:val="22"/>
        </w:rPr>
        <w:t xml:space="preserve">. A </w:t>
      </w:r>
      <w:r w:rsidRPr="7D84B0CB" w:rsidR="00A701FC">
        <w:rPr>
          <w:sz w:val="22"/>
          <w:szCs w:val="22"/>
        </w:rPr>
        <w:t>thematic</w:t>
      </w:r>
      <w:r w:rsidRPr="7D84B0CB" w:rsidR="008940AB">
        <w:rPr>
          <w:sz w:val="22"/>
          <w:szCs w:val="22"/>
        </w:rPr>
        <w:t xml:space="preserve"> </w:t>
      </w:r>
      <w:r w:rsidRPr="7D84B0CB" w:rsidR="00CB318D">
        <w:rPr>
          <w:sz w:val="22"/>
          <w:szCs w:val="22"/>
        </w:rPr>
        <w:t>evaluation</w:t>
      </w:r>
      <w:r w:rsidRPr="7D84B0CB" w:rsidR="008940AB">
        <w:rPr>
          <w:sz w:val="22"/>
          <w:szCs w:val="22"/>
        </w:rPr>
        <w:t xml:space="preserve"> is planned </w:t>
      </w:r>
      <w:r w:rsidRPr="7D84B0CB" w:rsidR="00A936FD">
        <w:rPr>
          <w:sz w:val="22"/>
          <w:szCs w:val="22"/>
        </w:rPr>
        <w:t>within the next year</w:t>
      </w:r>
      <w:r w:rsidRPr="7D84B0CB" w:rsidR="00CB318D">
        <w:rPr>
          <w:sz w:val="22"/>
          <w:szCs w:val="22"/>
        </w:rPr>
        <w:t xml:space="preserve"> and </w:t>
      </w:r>
      <w:r w:rsidRPr="7D84B0CB" w:rsidR="00EC28AB">
        <w:rPr>
          <w:sz w:val="22"/>
          <w:szCs w:val="22"/>
        </w:rPr>
        <w:t xml:space="preserve">a final evaluation </w:t>
      </w:r>
      <w:r w:rsidRPr="7D84B0CB" w:rsidR="007330F1">
        <w:rPr>
          <w:sz w:val="22"/>
          <w:szCs w:val="22"/>
        </w:rPr>
        <w:t xml:space="preserve">is due to be completed </w:t>
      </w:r>
      <w:r w:rsidRPr="7D84B0CB" w:rsidR="00BB0B82">
        <w:rPr>
          <w:sz w:val="22"/>
          <w:szCs w:val="22"/>
        </w:rPr>
        <w:t>aft</w:t>
      </w:r>
      <w:r w:rsidRPr="7D84B0CB" w:rsidR="00F65078">
        <w:rPr>
          <w:sz w:val="22"/>
          <w:szCs w:val="22"/>
        </w:rPr>
        <w:t xml:space="preserve">er the end of the programme in March 2026. </w:t>
      </w:r>
      <w:r w:rsidRPr="7D84B0CB" w:rsidR="004878CC">
        <w:rPr>
          <w:sz w:val="22"/>
          <w:szCs w:val="22"/>
        </w:rPr>
        <w:t>These evaluations are</w:t>
      </w:r>
      <w:r w:rsidRPr="7D84B0CB" w:rsidR="00EB5F63">
        <w:rPr>
          <w:sz w:val="22"/>
          <w:szCs w:val="22"/>
        </w:rPr>
        <w:t xml:space="preserve"> critical </w:t>
      </w:r>
      <w:r w:rsidRPr="7D84B0CB" w:rsidR="00312169">
        <w:rPr>
          <w:sz w:val="22"/>
          <w:szCs w:val="22"/>
        </w:rPr>
        <w:t xml:space="preserve">to </w:t>
      </w:r>
      <w:r w:rsidRPr="7D84B0CB" w:rsidR="004878CC">
        <w:rPr>
          <w:sz w:val="22"/>
          <w:szCs w:val="22"/>
        </w:rPr>
        <w:t xml:space="preserve">ensure </w:t>
      </w:r>
      <w:r w:rsidRPr="7D84B0CB" w:rsidR="00312169">
        <w:rPr>
          <w:sz w:val="22"/>
          <w:szCs w:val="22"/>
        </w:rPr>
        <w:t xml:space="preserve">learning </w:t>
      </w:r>
      <w:r w:rsidRPr="7D84B0CB" w:rsidR="004878CC">
        <w:rPr>
          <w:sz w:val="22"/>
          <w:szCs w:val="22"/>
        </w:rPr>
        <w:t xml:space="preserve">is captured </w:t>
      </w:r>
      <w:r w:rsidRPr="7D84B0CB" w:rsidR="0004179F">
        <w:rPr>
          <w:sz w:val="22"/>
          <w:szCs w:val="22"/>
        </w:rPr>
        <w:t xml:space="preserve">and be </w:t>
      </w:r>
      <w:r w:rsidRPr="7D84B0CB" w:rsidR="007825F8">
        <w:rPr>
          <w:sz w:val="22"/>
          <w:szCs w:val="22"/>
        </w:rPr>
        <w:t xml:space="preserve">utilised </w:t>
      </w:r>
      <w:r w:rsidRPr="7D84B0CB" w:rsidR="00C84C4C">
        <w:rPr>
          <w:sz w:val="22"/>
          <w:szCs w:val="22"/>
        </w:rPr>
        <w:t>throughout</w:t>
      </w:r>
      <w:r w:rsidRPr="7D84B0CB" w:rsidR="0099502F">
        <w:rPr>
          <w:sz w:val="22"/>
          <w:szCs w:val="22"/>
        </w:rPr>
        <w:t xml:space="preserve"> present and future ODA programming.</w:t>
      </w:r>
    </w:p>
    <w:p w:rsidRPr="003556E1" w:rsidR="006F3AE7" w:rsidP="006F3AE7" w:rsidRDefault="006F3AE7" w14:paraId="2716176E" w14:textId="77777777">
      <w:pPr>
        <w:rPr>
          <w:rFonts w:cs="Arial"/>
          <w:b/>
          <w:szCs w:val="22"/>
        </w:rPr>
      </w:pPr>
    </w:p>
    <w:p w:rsidR="006F3AE7" w:rsidP="006F3AE7" w:rsidRDefault="198756C5" w14:paraId="158DB094" w14:textId="75FC5C37">
      <w:pPr>
        <w:rPr>
          <w:rFonts w:cs="Arial"/>
          <w:sz w:val="22"/>
          <w:szCs w:val="22"/>
        </w:rPr>
      </w:pPr>
      <w:r w:rsidRPr="1FB22237">
        <w:rPr>
          <w:rFonts w:cs="Arial"/>
          <w:b/>
          <w:bCs/>
          <w:sz w:val="22"/>
          <w:szCs w:val="22"/>
          <w:lang w:val="en" w:eastAsia="en-GB"/>
        </w:rPr>
        <w:t xml:space="preserve">B3. </w:t>
      </w:r>
      <w:r w:rsidRPr="1FB22237" w:rsidR="006F3AE7">
        <w:rPr>
          <w:rFonts w:cs="Arial"/>
          <w:b/>
          <w:bCs/>
          <w:sz w:val="22"/>
          <w:szCs w:val="22"/>
          <w:lang w:val="en" w:eastAsia="en-GB"/>
        </w:rPr>
        <w:t xml:space="preserve">Justify whether the programme should continue, based on its own merits and in the context of the wider portfolio </w:t>
      </w:r>
    </w:p>
    <w:p w:rsidRPr="00F70DBE" w:rsidR="006F3AE7" w:rsidP="006F3AE7" w:rsidRDefault="006F3AE7" w14:paraId="77BBDA88" w14:textId="77777777">
      <w:pPr>
        <w:rPr>
          <w:rFonts w:cs="Arial"/>
          <w:sz w:val="22"/>
          <w:szCs w:val="22"/>
        </w:rPr>
      </w:pPr>
    </w:p>
    <w:p w:rsidR="005F4967" w:rsidP="005F4967" w:rsidRDefault="00934E2F" w14:paraId="6224FE59" w14:textId="3B456F37">
      <w:pPr>
        <w:rPr>
          <w:rFonts w:eastAsia="Arial"/>
          <w:sz w:val="22"/>
          <w:szCs w:val="22"/>
        </w:rPr>
      </w:pPr>
      <w:r w:rsidRPr="000A0AFC">
        <w:rPr>
          <w:rFonts w:eastAsia="Arial"/>
          <w:sz w:val="22"/>
          <w:szCs w:val="22"/>
        </w:rPr>
        <w:t xml:space="preserve">Overall, </w:t>
      </w:r>
      <w:r w:rsidR="006400C6">
        <w:rPr>
          <w:rFonts w:eastAsia="Arial"/>
          <w:sz w:val="22"/>
          <w:szCs w:val="22"/>
        </w:rPr>
        <w:t>the</w:t>
      </w:r>
      <w:r w:rsidRPr="000A0AFC">
        <w:rPr>
          <w:rFonts w:eastAsia="Arial"/>
          <w:sz w:val="22"/>
          <w:szCs w:val="22"/>
        </w:rPr>
        <w:t xml:space="preserve"> OCPP is a useful and valued programme with potential to deliver some significant results, with strong potential </w:t>
      </w:r>
      <w:r w:rsidR="009D46EC">
        <w:rPr>
          <w:rFonts w:eastAsia="Arial"/>
          <w:sz w:val="22"/>
          <w:szCs w:val="22"/>
        </w:rPr>
        <w:t>evidenced</w:t>
      </w:r>
      <w:r w:rsidRPr="000A0AFC">
        <w:rPr>
          <w:rFonts w:eastAsia="Arial"/>
          <w:sz w:val="22"/>
          <w:szCs w:val="22"/>
        </w:rPr>
        <w:t xml:space="preserve"> already in the case of GOAP</w:t>
      </w:r>
      <w:r w:rsidR="007414F7">
        <w:rPr>
          <w:rFonts w:eastAsia="Arial"/>
          <w:sz w:val="22"/>
          <w:szCs w:val="22"/>
        </w:rPr>
        <w:t>.</w:t>
      </w:r>
      <w:r w:rsidR="005C718C">
        <w:rPr>
          <w:rFonts w:cs="Arial"/>
          <w:sz w:val="22"/>
          <w:szCs w:val="22"/>
          <w:lang w:val="en-US" w:eastAsia="en-GB"/>
        </w:rPr>
        <w:t xml:space="preserve"> </w:t>
      </w:r>
      <w:r w:rsidR="000961D7">
        <w:rPr>
          <w:rFonts w:cs="Arial"/>
          <w:sz w:val="22"/>
          <w:szCs w:val="22"/>
          <w:lang w:val="en-US" w:eastAsia="en-GB"/>
        </w:rPr>
        <w:t xml:space="preserve">Typically, our strategic partners GOAP and FOA have </w:t>
      </w:r>
      <w:r w:rsidR="00637681">
        <w:rPr>
          <w:rFonts w:cs="Arial"/>
          <w:sz w:val="22"/>
          <w:szCs w:val="22"/>
          <w:lang w:val="en-US" w:eastAsia="en-GB"/>
        </w:rPr>
        <w:t xml:space="preserve">been able to </w:t>
      </w:r>
      <w:r w:rsidR="00544724">
        <w:rPr>
          <w:rFonts w:cs="Arial"/>
          <w:sz w:val="22"/>
          <w:szCs w:val="22"/>
          <w:lang w:val="en-US" w:eastAsia="en-GB"/>
        </w:rPr>
        <w:t>provide evidence of results</w:t>
      </w:r>
      <w:r w:rsidR="00637681">
        <w:rPr>
          <w:rFonts w:cs="Arial"/>
          <w:sz w:val="22"/>
          <w:szCs w:val="22"/>
          <w:lang w:val="en-US" w:eastAsia="en-GB"/>
        </w:rPr>
        <w:t xml:space="preserve"> </w:t>
      </w:r>
      <w:r w:rsidR="00651B47">
        <w:rPr>
          <w:rFonts w:cs="Arial"/>
          <w:sz w:val="22"/>
          <w:szCs w:val="22"/>
          <w:lang w:val="en-US" w:eastAsia="en-GB"/>
        </w:rPr>
        <w:t xml:space="preserve">more </w:t>
      </w:r>
      <w:r w:rsidR="000961D7">
        <w:rPr>
          <w:rFonts w:cs="Arial"/>
          <w:sz w:val="22"/>
          <w:szCs w:val="22"/>
          <w:lang w:val="en-US" w:eastAsia="en-GB"/>
        </w:rPr>
        <w:t xml:space="preserve">strongly throughout </w:t>
      </w:r>
      <w:r w:rsidR="001F0DFA">
        <w:rPr>
          <w:rFonts w:cs="Arial"/>
          <w:sz w:val="22"/>
          <w:szCs w:val="22"/>
          <w:lang w:val="en-US" w:eastAsia="en-GB"/>
        </w:rPr>
        <w:t xml:space="preserve">programme monitoring and evaluation, including </w:t>
      </w:r>
      <w:r w:rsidR="000961D7">
        <w:rPr>
          <w:rFonts w:cs="Arial"/>
          <w:sz w:val="22"/>
          <w:szCs w:val="22"/>
          <w:lang w:val="en-US" w:eastAsia="en-GB"/>
        </w:rPr>
        <w:t xml:space="preserve">the </w:t>
      </w:r>
      <w:r w:rsidR="001E5E55">
        <w:rPr>
          <w:rFonts w:cs="Arial"/>
          <w:sz w:val="22"/>
          <w:szCs w:val="22"/>
          <w:lang w:val="en-US" w:eastAsia="en-GB"/>
        </w:rPr>
        <w:t xml:space="preserve">recent </w:t>
      </w:r>
      <w:r w:rsidR="000961D7">
        <w:rPr>
          <w:rFonts w:cs="Arial"/>
          <w:sz w:val="22"/>
          <w:szCs w:val="22"/>
          <w:lang w:val="en-US" w:eastAsia="en-GB"/>
        </w:rPr>
        <w:t>interim evaluation</w:t>
      </w:r>
      <w:r w:rsidR="0074295F">
        <w:rPr>
          <w:rFonts w:cs="Arial"/>
          <w:sz w:val="22"/>
          <w:szCs w:val="22"/>
          <w:lang w:val="en-US" w:eastAsia="en-GB"/>
        </w:rPr>
        <w:t>. Our</w:t>
      </w:r>
      <w:r w:rsidR="000B166E">
        <w:rPr>
          <w:rFonts w:cs="Arial"/>
          <w:sz w:val="22"/>
          <w:szCs w:val="22"/>
          <w:lang w:val="en-US" w:eastAsia="en-GB"/>
        </w:rPr>
        <w:t xml:space="preserve"> </w:t>
      </w:r>
      <w:r w:rsidR="00523A6B">
        <w:rPr>
          <w:rFonts w:cs="Arial"/>
          <w:sz w:val="22"/>
          <w:szCs w:val="22"/>
          <w:lang w:val="en-US" w:eastAsia="en-GB"/>
        </w:rPr>
        <w:t xml:space="preserve">ALB partners </w:t>
      </w:r>
      <w:r w:rsidR="0074295F">
        <w:rPr>
          <w:rFonts w:cs="Arial"/>
          <w:sz w:val="22"/>
          <w:szCs w:val="22"/>
          <w:lang w:val="en-US" w:eastAsia="en-GB"/>
        </w:rPr>
        <w:t>have been less successful</w:t>
      </w:r>
      <w:r w:rsidR="00523A6B">
        <w:rPr>
          <w:rFonts w:cs="Arial"/>
          <w:sz w:val="22"/>
          <w:szCs w:val="22"/>
          <w:lang w:val="en-US" w:eastAsia="en-GB"/>
        </w:rPr>
        <w:t>.</w:t>
      </w:r>
      <w:r w:rsidR="007507C1">
        <w:rPr>
          <w:rFonts w:cs="Arial"/>
          <w:sz w:val="22"/>
          <w:szCs w:val="22"/>
          <w:lang w:val="en-US" w:eastAsia="en-GB"/>
        </w:rPr>
        <w:t xml:space="preserve"> </w:t>
      </w:r>
      <w:r w:rsidR="0051500E">
        <w:rPr>
          <w:rFonts w:cs="Arial"/>
          <w:sz w:val="22"/>
          <w:szCs w:val="22"/>
          <w:lang w:val="en-US" w:eastAsia="en-GB"/>
        </w:rPr>
        <w:t>T</w:t>
      </w:r>
      <w:r w:rsidRPr="001658D8" w:rsidR="001658D8">
        <w:rPr>
          <w:rFonts w:cs="Arial"/>
          <w:sz w:val="22"/>
          <w:szCs w:val="22"/>
          <w:lang w:val="en-US" w:eastAsia="en-GB"/>
        </w:rPr>
        <w:t xml:space="preserve">he OCPP </w:t>
      </w:r>
      <w:r w:rsidR="0081292B">
        <w:rPr>
          <w:rFonts w:cs="Arial"/>
          <w:sz w:val="22"/>
          <w:szCs w:val="22"/>
          <w:lang w:val="en-US" w:eastAsia="en-GB"/>
        </w:rPr>
        <w:t xml:space="preserve">continues to present a mixed picture </w:t>
      </w:r>
      <w:r w:rsidR="00145C9F">
        <w:rPr>
          <w:rFonts w:cs="Arial"/>
          <w:sz w:val="22"/>
          <w:szCs w:val="22"/>
          <w:lang w:val="en-US" w:eastAsia="en-GB"/>
        </w:rPr>
        <w:t xml:space="preserve">of </w:t>
      </w:r>
      <w:r w:rsidR="00BE6001">
        <w:rPr>
          <w:rFonts w:cs="Arial"/>
          <w:sz w:val="22"/>
          <w:szCs w:val="22"/>
          <w:lang w:val="en-US" w:eastAsia="en-GB"/>
        </w:rPr>
        <w:t>its</w:t>
      </w:r>
      <w:r w:rsidR="00145C9F">
        <w:rPr>
          <w:rFonts w:cs="Arial"/>
          <w:sz w:val="22"/>
          <w:szCs w:val="22"/>
          <w:lang w:val="en-US" w:eastAsia="en-GB"/>
        </w:rPr>
        <w:t xml:space="preserve"> </w:t>
      </w:r>
      <w:r w:rsidR="00ED3A0C">
        <w:rPr>
          <w:rFonts w:cs="Arial"/>
          <w:sz w:val="22"/>
          <w:szCs w:val="22"/>
          <w:lang w:val="en-US" w:eastAsia="en-GB"/>
        </w:rPr>
        <w:t>progress</w:t>
      </w:r>
      <w:r w:rsidR="00145C9F">
        <w:rPr>
          <w:rFonts w:cs="Arial"/>
          <w:sz w:val="22"/>
          <w:szCs w:val="22"/>
          <w:lang w:val="en-US" w:eastAsia="en-GB"/>
        </w:rPr>
        <w:t xml:space="preserve"> to</w:t>
      </w:r>
      <w:r w:rsidR="00ED3A0C">
        <w:rPr>
          <w:rFonts w:cs="Arial"/>
          <w:sz w:val="22"/>
          <w:szCs w:val="22"/>
          <w:lang w:val="en-US" w:eastAsia="en-GB"/>
        </w:rPr>
        <w:t>wards</w:t>
      </w:r>
      <w:r w:rsidR="00145C9F">
        <w:rPr>
          <w:rFonts w:cs="Arial"/>
          <w:sz w:val="22"/>
          <w:szCs w:val="22"/>
          <w:lang w:val="en-US" w:eastAsia="en-GB"/>
        </w:rPr>
        <w:t xml:space="preserve"> </w:t>
      </w:r>
      <w:r w:rsidR="00AD4445">
        <w:rPr>
          <w:rFonts w:cs="Arial"/>
          <w:sz w:val="22"/>
          <w:szCs w:val="22"/>
          <w:lang w:val="en-US" w:eastAsia="en-GB"/>
        </w:rPr>
        <w:t xml:space="preserve">intended impact. </w:t>
      </w:r>
      <w:r w:rsidR="002D01C2">
        <w:rPr>
          <w:rFonts w:cs="Arial"/>
          <w:sz w:val="22"/>
          <w:szCs w:val="22"/>
          <w:lang w:val="en-US" w:eastAsia="en-GB"/>
        </w:rPr>
        <w:t xml:space="preserve">Outputs </w:t>
      </w:r>
      <w:r w:rsidR="00643812">
        <w:rPr>
          <w:rFonts w:cs="Arial"/>
          <w:sz w:val="22"/>
          <w:szCs w:val="22"/>
          <w:lang w:val="en-US" w:eastAsia="en-GB"/>
        </w:rPr>
        <w:t>and</w:t>
      </w:r>
      <w:r w:rsidR="00042D2B">
        <w:rPr>
          <w:rFonts w:cs="Arial"/>
          <w:sz w:val="22"/>
          <w:szCs w:val="22"/>
          <w:lang w:val="en-US" w:eastAsia="en-GB"/>
        </w:rPr>
        <w:t xml:space="preserve"> </w:t>
      </w:r>
      <w:r w:rsidR="00055DCD">
        <w:rPr>
          <w:rFonts w:cs="Arial"/>
          <w:sz w:val="22"/>
          <w:szCs w:val="22"/>
          <w:lang w:val="en-US" w:eastAsia="en-GB"/>
        </w:rPr>
        <w:t>o</w:t>
      </w:r>
      <w:r w:rsidR="002D01C2">
        <w:rPr>
          <w:rFonts w:cs="Arial"/>
          <w:sz w:val="22"/>
          <w:szCs w:val="22"/>
          <w:lang w:val="en-US" w:eastAsia="en-GB"/>
        </w:rPr>
        <w:t>utcome</w:t>
      </w:r>
      <w:r w:rsidR="00CF4A22">
        <w:rPr>
          <w:rFonts w:cs="Arial"/>
          <w:sz w:val="22"/>
          <w:szCs w:val="22"/>
          <w:lang w:val="en-US" w:eastAsia="en-GB"/>
        </w:rPr>
        <w:t xml:space="preserve"> </w:t>
      </w:r>
      <w:r w:rsidR="005B0EB4">
        <w:rPr>
          <w:sz w:val="22"/>
          <w:szCs w:val="22"/>
        </w:rPr>
        <w:t>reporting has</w:t>
      </w:r>
      <w:r w:rsidDel="00643812" w:rsidR="005B0EB4">
        <w:rPr>
          <w:sz w:val="22"/>
          <w:szCs w:val="22"/>
        </w:rPr>
        <w:t xml:space="preserve"> </w:t>
      </w:r>
      <w:r w:rsidR="005B0EB4">
        <w:rPr>
          <w:sz w:val="22"/>
          <w:szCs w:val="22"/>
        </w:rPr>
        <w:t xml:space="preserve">shown a mixed picture, with some success </w:t>
      </w:r>
      <w:r w:rsidR="007627AB">
        <w:rPr>
          <w:sz w:val="22"/>
          <w:szCs w:val="22"/>
        </w:rPr>
        <w:t>in</w:t>
      </w:r>
      <w:r w:rsidR="005B0EB4">
        <w:rPr>
          <w:sz w:val="22"/>
          <w:szCs w:val="22"/>
        </w:rPr>
        <w:t xml:space="preserve"> translating outputs to outcomes, however, in other areas the programme has not yet achieved progress</w:t>
      </w:r>
      <w:r w:rsidR="00B41BAC">
        <w:rPr>
          <w:rFonts w:cs="Arial"/>
          <w:sz w:val="22"/>
          <w:szCs w:val="22"/>
          <w:lang w:val="en-US" w:eastAsia="en-GB"/>
        </w:rPr>
        <w:t xml:space="preserve"> </w:t>
      </w:r>
      <w:r w:rsidRPr="00445617" w:rsidR="0059635D">
        <w:rPr>
          <w:rFonts w:cs="Arial"/>
          <w:sz w:val="22"/>
          <w:szCs w:val="22"/>
          <w:lang w:eastAsia="en-GB"/>
        </w:rPr>
        <w:t>due to a lack of in-country presence</w:t>
      </w:r>
      <w:r w:rsidRPr="0059635D" w:rsidR="0059635D">
        <w:rPr>
          <w:rFonts w:cs="Arial"/>
          <w:sz w:val="22"/>
          <w:szCs w:val="22"/>
          <w:lang w:eastAsia="en-GB"/>
        </w:rPr>
        <w:t xml:space="preserve"> and insufficient focus on poverty alleviation, GESI, policy influence, MEL resources, and sustainability</w:t>
      </w:r>
      <w:r w:rsidR="00B818CE">
        <w:rPr>
          <w:rFonts w:cs="Arial"/>
          <w:sz w:val="22"/>
          <w:szCs w:val="22"/>
          <w:lang w:eastAsia="en-GB"/>
        </w:rPr>
        <w:t xml:space="preserve">, </w:t>
      </w:r>
      <w:r w:rsidR="006E2C4C">
        <w:rPr>
          <w:rFonts w:cs="Arial"/>
          <w:sz w:val="22"/>
          <w:szCs w:val="22"/>
          <w:lang w:eastAsia="en-GB"/>
        </w:rPr>
        <w:t>in part due to the skills profile of delivery partners who lack development expertise.</w:t>
      </w:r>
      <w:r w:rsidR="004F6B14">
        <w:rPr>
          <w:rFonts w:cs="Arial"/>
          <w:sz w:val="22"/>
          <w:szCs w:val="22"/>
          <w:lang w:eastAsia="en-GB"/>
        </w:rPr>
        <w:t xml:space="preserve"> </w:t>
      </w:r>
      <w:r w:rsidR="00B00B91">
        <w:rPr>
          <w:rFonts w:cs="Arial"/>
          <w:sz w:val="22"/>
          <w:szCs w:val="22"/>
          <w:lang w:eastAsia="en-GB"/>
        </w:rPr>
        <w:t xml:space="preserve">Our ALB partners have not </w:t>
      </w:r>
      <w:r w:rsidR="000E4AB6">
        <w:rPr>
          <w:rFonts w:cs="Arial"/>
          <w:sz w:val="22"/>
          <w:szCs w:val="22"/>
          <w:lang w:eastAsia="en-GB"/>
        </w:rPr>
        <w:t xml:space="preserve">consistently </w:t>
      </w:r>
      <w:r w:rsidR="00B00B91">
        <w:rPr>
          <w:rFonts w:cs="Arial"/>
          <w:sz w:val="22"/>
          <w:szCs w:val="22"/>
          <w:lang w:eastAsia="en-GB"/>
        </w:rPr>
        <w:t xml:space="preserve">utilised the programme ToC and country-level ToCs effectively within their strategic planning processes, </w:t>
      </w:r>
      <w:r w:rsidR="000E4AB6">
        <w:rPr>
          <w:rFonts w:cs="Arial"/>
          <w:sz w:val="22"/>
          <w:szCs w:val="22"/>
          <w:lang w:eastAsia="en-GB"/>
        </w:rPr>
        <w:t xml:space="preserve">which has had an impact on the </w:t>
      </w:r>
      <w:r w:rsidR="00B00B91">
        <w:rPr>
          <w:rFonts w:cs="Arial"/>
          <w:sz w:val="22"/>
          <w:szCs w:val="22"/>
          <w:lang w:eastAsia="en-GB"/>
        </w:rPr>
        <w:t>strategic focus</w:t>
      </w:r>
      <w:r w:rsidR="006C47F4">
        <w:rPr>
          <w:rFonts w:cs="Arial"/>
          <w:sz w:val="22"/>
          <w:szCs w:val="22"/>
          <w:lang w:eastAsia="en-GB"/>
        </w:rPr>
        <w:t>, weakening the programme’s</w:t>
      </w:r>
      <w:r w:rsidR="00B00B91">
        <w:rPr>
          <w:rFonts w:cs="Arial"/>
          <w:sz w:val="22"/>
          <w:szCs w:val="22"/>
          <w:lang w:eastAsia="en-GB"/>
        </w:rPr>
        <w:t xml:space="preserve"> ability to deliver long-term change (including poverty reduction) </w:t>
      </w:r>
      <w:r w:rsidR="006E2C4C">
        <w:rPr>
          <w:rFonts w:cs="Arial"/>
          <w:sz w:val="22"/>
          <w:szCs w:val="22"/>
          <w:lang w:eastAsia="en-GB"/>
        </w:rPr>
        <w:t>and dampening</w:t>
      </w:r>
      <w:r w:rsidR="00B00B91">
        <w:rPr>
          <w:rFonts w:cs="Arial"/>
          <w:sz w:val="22"/>
          <w:szCs w:val="22"/>
          <w:lang w:eastAsia="en-GB"/>
        </w:rPr>
        <w:t xml:space="preserve"> </w:t>
      </w:r>
      <w:r w:rsidR="006C47F4">
        <w:rPr>
          <w:rFonts w:cs="Arial"/>
          <w:sz w:val="22"/>
          <w:szCs w:val="22"/>
          <w:lang w:eastAsia="en-GB"/>
        </w:rPr>
        <w:t xml:space="preserve">its </w:t>
      </w:r>
      <w:r w:rsidR="00B00B91">
        <w:rPr>
          <w:rFonts w:cs="Arial"/>
          <w:sz w:val="22"/>
          <w:szCs w:val="22"/>
          <w:lang w:eastAsia="en-GB"/>
        </w:rPr>
        <w:t xml:space="preserve">overall effectiveness. </w:t>
      </w:r>
      <w:r w:rsidR="005F4967">
        <w:rPr>
          <w:rFonts w:cs="Arial"/>
          <w:sz w:val="22"/>
          <w:szCs w:val="22"/>
          <w:lang w:eastAsia="en-GB"/>
        </w:rPr>
        <w:t>The programme has the opportunity to deliver outcome-level change If these issues are addressed promptly.</w:t>
      </w:r>
      <w:r w:rsidR="00EF7E1A">
        <w:rPr>
          <w:rFonts w:eastAsia="Arial"/>
          <w:sz w:val="22"/>
          <w:szCs w:val="22"/>
        </w:rPr>
        <w:t xml:space="preserve"> </w:t>
      </w:r>
    </w:p>
    <w:p w:rsidR="005F4967" w:rsidP="005F4967" w:rsidRDefault="005F4967" w14:paraId="615EDD57" w14:textId="77777777">
      <w:pPr>
        <w:rPr>
          <w:rFonts w:eastAsia="Arial"/>
          <w:sz w:val="22"/>
          <w:szCs w:val="22"/>
        </w:rPr>
      </w:pPr>
    </w:p>
    <w:p w:rsidR="00786F2E" w:rsidP="006F3AE7" w:rsidRDefault="006E2C4C" w14:paraId="4A5D75E8" w14:textId="3267BD81">
      <w:pPr>
        <w:rPr>
          <w:rFonts w:eastAsia="Arial"/>
          <w:sz w:val="22"/>
          <w:szCs w:val="22"/>
        </w:rPr>
      </w:pPr>
      <w:r>
        <w:rPr>
          <w:rFonts w:eastAsia="Arial"/>
          <w:sz w:val="22"/>
          <w:szCs w:val="22"/>
        </w:rPr>
        <w:t>T</w:t>
      </w:r>
      <w:r w:rsidRPr="428E8A79" w:rsidR="00786F2E">
        <w:rPr>
          <w:rFonts w:eastAsia="Arial"/>
          <w:sz w:val="22"/>
          <w:szCs w:val="22"/>
        </w:rPr>
        <w:t xml:space="preserve">he programme will be placed on </w:t>
      </w:r>
      <w:r w:rsidRPr="428E8A79" w:rsidR="00EC4764">
        <w:rPr>
          <w:rFonts w:eastAsia="Arial"/>
          <w:sz w:val="22"/>
          <w:szCs w:val="22"/>
        </w:rPr>
        <w:t>a</w:t>
      </w:r>
      <w:r w:rsidRPr="428E8A79" w:rsidR="00786F2E">
        <w:rPr>
          <w:rFonts w:eastAsia="Arial"/>
          <w:sz w:val="22"/>
          <w:szCs w:val="22"/>
        </w:rPr>
        <w:t xml:space="preserve"> </w:t>
      </w:r>
      <w:r w:rsidRPr="428E8A79" w:rsidR="001A50F7">
        <w:rPr>
          <w:rFonts w:cs="Arial"/>
          <w:sz w:val="22"/>
          <w:szCs w:val="22"/>
        </w:rPr>
        <w:t xml:space="preserve">performance improvement plan to tackle the programme’s persistent </w:t>
      </w:r>
      <w:r w:rsidRPr="428E8A79" w:rsidR="004D60B8">
        <w:rPr>
          <w:rFonts w:cs="Arial"/>
          <w:sz w:val="22"/>
          <w:szCs w:val="22"/>
        </w:rPr>
        <w:t>challenges.</w:t>
      </w:r>
      <w:r w:rsidR="004D60B8">
        <w:rPr>
          <w:rStyle w:val="CommentReference"/>
        </w:rPr>
        <w:t xml:space="preserve"> </w:t>
      </w:r>
      <w:r w:rsidR="004D60B8">
        <w:rPr>
          <w:rFonts w:cs="Arial"/>
          <w:sz w:val="22"/>
          <w:szCs w:val="22"/>
        </w:rPr>
        <w:t>The</w:t>
      </w:r>
      <w:r w:rsidR="00B818CE">
        <w:rPr>
          <w:rFonts w:cs="Arial"/>
          <w:sz w:val="22"/>
          <w:szCs w:val="22"/>
        </w:rPr>
        <w:t xml:space="preserve"> plan will focus on the recommendations set out in this review and progress will be monitored closely</w:t>
      </w:r>
      <w:r w:rsidR="0096691D">
        <w:rPr>
          <w:rFonts w:cs="Arial"/>
          <w:sz w:val="22"/>
          <w:szCs w:val="22"/>
        </w:rPr>
        <w:t xml:space="preserve"> to ensure the programme </w:t>
      </w:r>
      <w:r w:rsidR="00742A29">
        <w:rPr>
          <w:rFonts w:cs="Arial"/>
          <w:sz w:val="22"/>
          <w:szCs w:val="22"/>
        </w:rPr>
        <w:t>is</w:t>
      </w:r>
      <w:r w:rsidR="0096691D">
        <w:rPr>
          <w:rFonts w:cs="Arial"/>
          <w:sz w:val="22"/>
          <w:szCs w:val="22"/>
        </w:rPr>
        <w:t xml:space="preserve"> deliver</w:t>
      </w:r>
      <w:r w:rsidR="00742A29">
        <w:rPr>
          <w:rFonts w:cs="Arial"/>
          <w:sz w:val="22"/>
          <w:szCs w:val="22"/>
        </w:rPr>
        <w:t xml:space="preserve">ing </w:t>
      </w:r>
      <w:r w:rsidR="0096691D">
        <w:rPr>
          <w:rFonts w:cs="Arial"/>
          <w:sz w:val="22"/>
          <w:szCs w:val="22"/>
        </w:rPr>
        <w:t xml:space="preserve">expected impact </w:t>
      </w:r>
      <w:r w:rsidR="00742A29">
        <w:rPr>
          <w:rFonts w:cs="Arial"/>
          <w:sz w:val="22"/>
          <w:szCs w:val="22"/>
        </w:rPr>
        <w:t>in year five.</w:t>
      </w:r>
    </w:p>
    <w:p w:rsidRPr="00215D0E" w:rsidR="009C0270" w:rsidP="006F3AE7" w:rsidRDefault="009C0270" w14:paraId="3E3E72F9" w14:textId="77777777">
      <w:pPr>
        <w:rPr>
          <w:rFonts w:cs="Arial"/>
          <w:sz w:val="22"/>
          <w:szCs w:val="22"/>
          <w:lang w:val="en-US" w:eastAsia="en-GB"/>
        </w:rPr>
      </w:pPr>
    </w:p>
    <w:p w:rsidRPr="008072EB" w:rsidR="008072EB" w:rsidP="008072EB" w:rsidRDefault="008072EB" w14:paraId="59C96429" w14:textId="54DA854C">
      <w:pPr>
        <w:pBdr>
          <w:top w:val="single" w:color="auto" w:sz="4" w:space="1"/>
          <w:left w:val="single" w:color="auto" w:sz="4" w:space="6"/>
          <w:bottom w:val="single" w:color="auto" w:sz="4" w:space="1"/>
          <w:right w:val="single" w:color="auto" w:sz="4" w:space="4"/>
        </w:pBdr>
        <w:shd w:val="clear" w:color="auto" w:fill="D9E2F3" w:themeFill="accent1" w:themeFillTint="33"/>
        <w:outlineLvl w:val="1"/>
        <w:rPr>
          <w:b/>
          <w:i/>
          <w:sz w:val="20"/>
          <w:szCs w:val="20"/>
        </w:rPr>
      </w:pPr>
      <w:r w:rsidRPr="008072EB">
        <w:rPr>
          <w:b/>
          <w:kern w:val="28"/>
          <w:sz w:val="28"/>
          <w:szCs w:val="28"/>
        </w:rPr>
        <w:t>C.</w:t>
      </w:r>
      <w:r w:rsidRPr="00F70DBE">
        <w:rPr>
          <w:i/>
        </w:rPr>
        <w:t xml:space="preserve"> DETAILED OUTPUT SCORING</w:t>
      </w:r>
    </w:p>
    <w:p w:rsidRPr="008072EB" w:rsidR="008072EB" w:rsidP="008072EB" w:rsidRDefault="008072EB" w14:paraId="1E145B47" w14:textId="77777777">
      <w:pPr>
        <w:rPr>
          <w:sz w:val="22"/>
          <w:szCs w:val="22"/>
        </w:rPr>
      </w:pPr>
    </w:p>
    <w:p w:rsidRPr="008072EB" w:rsidR="008072EB" w:rsidP="008072EB" w:rsidRDefault="008072EB" w14:paraId="0DFE793B" w14:textId="31DEFA77">
      <w:pPr>
        <w:rPr>
          <w:sz w:val="22"/>
          <w:szCs w:val="22"/>
        </w:rPr>
      </w:pPr>
      <w:r w:rsidRPr="008072EB">
        <w:rPr>
          <w:sz w:val="22"/>
          <w:szCs w:val="22"/>
        </w:rPr>
        <w:t xml:space="preserve">To note when reviewing </w:t>
      </w:r>
      <w:r w:rsidR="006E74C0">
        <w:rPr>
          <w:sz w:val="22"/>
          <w:szCs w:val="22"/>
        </w:rPr>
        <w:t>S</w:t>
      </w:r>
      <w:r w:rsidRPr="008072EB">
        <w:rPr>
          <w:sz w:val="22"/>
          <w:szCs w:val="22"/>
        </w:rPr>
        <w:t xml:space="preserve">ection C: </w:t>
      </w:r>
    </w:p>
    <w:p w:rsidRPr="008072EB" w:rsidR="008072EB" w:rsidP="001D265D" w:rsidRDefault="008072EB" w14:paraId="767D7604" w14:textId="3B0F4379">
      <w:pPr>
        <w:numPr>
          <w:ilvl w:val="0"/>
          <w:numId w:val="23"/>
        </w:numPr>
        <w:spacing w:after="160" w:line="259" w:lineRule="auto"/>
        <w:rPr>
          <w:sz w:val="22"/>
          <w:szCs w:val="22"/>
          <w:lang w:val="en-US"/>
        </w:rPr>
      </w:pPr>
      <w:r w:rsidRPr="345E9453">
        <w:rPr>
          <w:sz w:val="22"/>
          <w:szCs w:val="22"/>
        </w:rPr>
        <w:t>It was not possible to set 23/24 milestones as the new OCPP logframe was signed off</w:t>
      </w:r>
      <w:r w:rsidRPr="345E9453" w:rsidR="00E1485B">
        <w:rPr>
          <w:sz w:val="22"/>
          <w:szCs w:val="22"/>
        </w:rPr>
        <w:t xml:space="preserve"> at the Senior Management Board</w:t>
      </w:r>
      <w:r w:rsidRPr="345E9453">
        <w:rPr>
          <w:sz w:val="22"/>
          <w:szCs w:val="22"/>
        </w:rPr>
        <w:t xml:space="preserve"> in December 2023</w:t>
      </w:r>
      <w:r w:rsidRPr="345E9453" w:rsidR="00AE0CED">
        <w:rPr>
          <w:sz w:val="22"/>
          <w:szCs w:val="22"/>
        </w:rPr>
        <w:t xml:space="preserve">. </w:t>
      </w:r>
      <w:r w:rsidRPr="345E9453">
        <w:rPr>
          <w:sz w:val="22"/>
          <w:szCs w:val="22"/>
        </w:rPr>
        <w:t xml:space="preserve"> </w:t>
      </w:r>
      <w:r w:rsidRPr="345E9453" w:rsidR="00AE0CED">
        <w:rPr>
          <w:sz w:val="22"/>
          <w:szCs w:val="22"/>
        </w:rPr>
        <w:t>T</w:t>
      </w:r>
      <w:r w:rsidRPr="345E9453" w:rsidR="008C4933">
        <w:rPr>
          <w:sz w:val="22"/>
          <w:szCs w:val="22"/>
        </w:rPr>
        <w:t xml:space="preserve">o ensure robustness in data collection, </w:t>
      </w:r>
      <w:r w:rsidRPr="345E9453">
        <w:rPr>
          <w:sz w:val="22"/>
          <w:szCs w:val="22"/>
        </w:rPr>
        <w:t>time was required to develop indicator reference sheets</w:t>
      </w:r>
      <w:r w:rsidRPr="345E9453" w:rsidR="001A1029">
        <w:rPr>
          <w:sz w:val="22"/>
          <w:szCs w:val="22"/>
        </w:rPr>
        <w:t xml:space="preserve"> and conduct training </w:t>
      </w:r>
      <w:r w:rsidRPr="345E9453" w:rsidR="00ED3B21">
        <w:rPr>
          <w:sz w:val="22"/>
          <w:szCs w:val="22"/>
        </w:rPr>
        <w:t xml:space="preserve">and information sessions with </w:t>
      </w:r>
      <w:r w:rsidRPr="345E9453" w:rsidR="00410D1F">
        <w:rPr>
          <w:sz w:val="22"/>
          <w:szCs w:val="22"/>
        </w:rPr>
        <w:t>d</w:t>
      </w:r>
      <w:r w:rsidRPr="345E9453" w:rsidR="00ED3B21">
        <w:rPr>
          <w:sz w:val="22"/>
          <w:szCs w:val="22"/>
        </w:rPr>
        <w:t xml:space="preserve">elivery </w:t>
      </w:r>
      <w:r w:rsidRPr="345E9453" w:rsidR="00410D1F">
        <w:rPr>
          <w:sz w:val="22"/>
          <w:szCs w:val="22"/>
        </w:rPr>
        <w:t>p</w:t>
      </w:r>
      <w:r w:rsidRPr="345E9453" w:rsidR="00ED3B21">
        <w:rPr>
          <w:sz w:val="22"/>
          <w:szCs w:val="22"/>
        </w:rPr>
        <w:t>artners</w:t>
      </w:r>
      <w:r w:rsidRPr="345E9453">
        <w:rPr>
          <w:sz w:val="22"/>
          <w:szCs w:val="22"/>
        </w:rPr>
        <w:t xml:space="preserve">. This meant that milestones could not be set </w:t>
      </w:r>
      <w:r w:rsidRPr="345E9453" w:rsidR="001A195A">
        <w:rPr>
          <w:sz w:val="22"/>
          <w:szCs w:val="22"/>
        </w:rPr>
        <w:t>six</w:t>
      </w:r>
      <w:r w:rsidRPr="345E9453">
        <w:rPr>
          <w:sz w:val="22"/>
          <w:szCs w:val="22"/>
        </w:rPr>
        <w:t xml:space="preserve"> months before the </w:t>
      </w:r>
      <w:r w:rsidRPr="345E9453" w:rsidR="00C14357">
        <w:rPr>
          <w:sz w:val="22"/>
          <w:szCs w:val="22"/>
        </w:rPr>
        <w:t>annual review</w:t>
      </w:r>
      <w:r w:rsidRPr="345E9453">
        <w:rPr>
          <w:sz w:val="22"/>
          <w:szCs w:val="22"/>
        </w:rPr>
        <w:t xml:space="preserve"> as is required by </w:t>
      </w:r>
      <w:r w:rsidRPr="345E9453" w:rsidR="3863FF94">
        <w:rPr>
          <w:sz w:val="22"/>
          <w:szCs w:val="22"/>
        </w:rPr>
        <w:t xml:space="preserve">the </w:t>
      </w:r>
      <w:r w:rsidRPr="345E9453">
        <w:rPr>
          <w:sz w:val="22"/>
          <w:szCs w:val="22"/>
        </w:rPr>
        <w:t xml:space="preserve">ODA </w:t>
      </w:r>
      <w:r w:rsidRPr="345E9453" w:rsidR="25035E96">
        <w:rPr>
          <w:sz w:val="22"/>
          <w:szCs w:val="22"/>
        </w:rPr>
        <w:t>operating manual</w:t>
      </w:r>
      <w:r w:rsidRPr="345E9453">
        <w:rPr>
          <w:sz w:val="22"/>
          <w:szCs w:val="22"/>
        </w:rPr>
        <w:t xml:space="preserve">. </w:t>
      </w:r>
      <w:r w:rsidRPr="345E9453">
        <w:rPr>
          <w:sz w:val="22"/>
          <w:szCs w:val="22"/>
          <w:lang w:val="en-US"/>
        </w:rPr>
        <w:t>​</w:t>
      </w:r>
    </w:p>
    <w:p w:rsidRPr="008072EB" w:rsidR="008072EB" w:rsidP="001D265D" w:rsidRDefault="008072EB" w14:paraId="46257063" w14:textId="46EF0596">
      <w:pPr>
        <w:numPr>
          <w:ilvl w:val="0"/>
          <w:numId w:val="23"/>
        </w:numPr>
        <w:spacing w:after="160" w:line="259" w:lineRule="auto"/>
        <w:rPr>
          <w:sz w:val="22"/>
          <w:szCs w:val="22"/>
          <w:lang w:val="en-US"/>
        </w:rPr>
      </w:pPr>
      <w:r w:rsidRPr="1FB22237">
        <w:rPr>
          <w:sz w:val="22"/>
          <w:szCs w:val="22"/>
        </w:rPr>
        <w:t xml:space="preserve">23/24 milestones were calculated based on a threshold approach utilising 24/25 milestones, and </w:t>
      </w:r>
      <w:r w:rsidRPr="1FB22237" w:rsidR="00287FAB">
        <w:rPr>
          <w:sz w:val="22"/>
          <w:szCs w:val="22"/>
        </w:rPr>
        <w:t xml:space="preserve">this </w:t>
      </w:r>
      <w:r w:rsidRPr="1FB22237">
        <w:rPr>
          <w:sz w:val="22"/>
          <w:szCs w:val="22"/>
        </w:rPr>
        <w:t>was agreed by Defra OCPP team, BPF MEL team, NIRAS MEL services and the ODA Hub</w:t>
      </w:r>
      <w:r w:rsidRPr="1FB22237" w:rsidR="003872CD">
        <w:rPr>
          <w:sz w:val="22"/>
          <w:szCs w:val="22"/>
        </w:rPr>
        <w:t xml:space="preserve">. This </w:t>
      </w:r>
      <w:r w:rsidRPr="1FB22237" w:rsidR="000C1F71">
        <w:rPr>
          <w:sz w:val="22"/>
          <w:szCs w:val="22"/>
        </w:rPr>
        <w:t xml:space="preserve">approach was </w:t>
      </w:r>
      <w:r w:rsidRPr="1FB22237" w:rsidR="000308E1">
        <w:rPr>
          <w:sz w:val="22"/>
          <w:szCs w:val="22"/>
        </w:rPr>
        <w:t xml:space="preserve">agreed </w:t>
      </w:r>
      <w:r w:rsidRPr="1FB22237" w:rsidR="00D75528">
        <w:rPr>
          <w:sz w:val="22"/>
          <w:szCs w:val="22"/>
        </w:rPr>
        <w:t xml:space="preserve">on best judgement, </w:t>
      </w:r>
      <w:r w:rsidRPr="1FB22237" w:rsidR="002179DC">
        <w:rPr>
          <w:sz w:val="22"/>
          <w:szCs w:val="22"/>
        </w:rPr>
        <w:t xml:space="preserve">but </w:t>
      </w:r>
      <w:r w:rsidRPr="1FB22237" w:rsidR="000C1F71">
        <w:rPr>
          <w:sz w:val="22"/>
          <w:szCs w:val="22"/>
        </w:rPr>
        <w:t xml:space="preserve">some subjectivity to the approach is acknowledged. </w:t>
      </w:r>
      <w:r w:rsidRPr="1FB22237">
        <w:rPr>
          <w:sz w:val="22"/>
          <w:szCs w:val="22"/>
        </w:rPr>
        <w:t>(see milestone setting process</w:t>
      </w:r>
      <w:r w:rsidRPr="1FB22237" w:rsidR="007024A7">
        <w:rPr>
          <w:sz w:val="22"/>
          <w:szCs w:val="22"/>
        </w:rPr>
        <w:t xml:space="preserve"> and indicator mapping</w:t>
      </w:r>
      <w:r w:rsidRPr="1FB22237">
        <w:rPr>
          <w:sz w:val="22"/>
          <w:szCs w:val="22"/>
        </w:rPr>
        <w:t xml:space="preserve"> doc</w:t>
      </w:r>
      <w:r w:rsidRPr="1FB22237" w:rsidR="007024A7">
        <w:rPr>
          <w:sz w:val="22"/>
          <w:szCs w:val="22"/>
        </w:rPr>
        <w:t>ument</w:t>
      </w:r>
      <w:r w:rsidRPr="1FB22237">
        <w:rPr>
          <w:sz w:val="22"/>
          <w:szCs w:val="22"/>
        </w:rPr>
        <w:t xml:space="preserve">, Annex </w:t>
      </w:r>
      <w:r w:rsidRPr="1FB22237" w:rsidR="00351C8C">
        <w:rPr>
          <w:sz w:val="22"/>
          <w:szCs w:val="22"/>
        </w:rPr>
        <w:t>A</w:t>
      </w:r>
      <w:r w:rsidRPr="1FB22237">
        <w:rPr>
          <w:sz w:val="22"/>
          <w:szCs w:val="22"/>
        </w:rPr>
        <w:t>)</w:t>
      </w:r>
    </w:p>
    <w:p w:rsidRPr="008072EB" w:rsidR="008072EB" w:rsidP="001D265D" w:rsidRDefault="008072EB" w14:paraId="25556666" w14:textId="4F92AE1B">
      <w:pPr>
        <w:numPr>
          <w:ilvl w:val="1"/>
          <w:numId w:val="23"/>
        </w:numPr>
        <w:spacing w:after="160" w:line="259" w:lineRule="auto"/>
        <w:rPr>
          <w:sz w:val="22"/>
          <w:szCs w:val="22"/>
          <w:lang w:val="en-US"/>
        </w:rPr>
      </w:pPr>
      <w:r w:rsidRPr="580F5D60">
        <w:rPr>
          <w:sz w:val="22"/>
          <w:szCs w:val="22"/>
        </w:rPr>
        <w:t>The following thresholds have been applied</w:t>
      </w:r>
    </w:p>
    <w:p w:rsidRPr="008072EB" w:rsidR="008072EB" w:rsidP="001D265D" w:rsidRDefault="008072EB" w14:paraId="58462820" w14:textId="77777777">
      <w:pPr>
        <w:numPr>
          <w:ilvl w:val="2"/>
          <w:numId w:val="23"/>
        </w:numPr>
        <w:spacing w:after="160" w:line="259" w:lineRule="auto"/>
        <w:rPr>
          <w:sz w:val="22"/>
          <w:szCs w:val="22"/>
          <w:lang w:val="en-US"/>
        </w:rPr>
      </w:pPr>
      <w:r w:rsidRPr="008072EB">
        <w:rPr>
          <w:sz w:val="22"/>
          <w:szCs w:val="22"/>
        </w:rPr>
        <w:t>Flat milestones: remain the same each year</w:t>
      </w:r>
    </w:p>
    <w:p w:rsidRPr="008072EB" w:rsidR="008072EB" w:rsidP="001D265D" w:rsidRDefault="008072EB" w14:paraId="167E41FF" w14:textId="77777777">
      <w:pPr>
        <w:numPr>
          <w:ilvl w:val="2"/>
          <w:numId w:val="23"/>
        </w:numPr>
        <w:spacing w:after="160" w:line="259" w:lineRule="auto"/>
        <w:rPr>
          <w:sz w:val="22"/>
          <w:szCs w:val="22"/>
          <w:lang w:val="en-US"/>
        </w:rPr>
      </w:pPr>
      <w:r w:rsidRPr="008072EB">
        <w:rPr>
          <w:sz w:val="22"/>
          <w:szCs w:val="22"/>
        </w:rPr>
        <w:t>Cumulative milestones with discrete reporting: 70% of milestone = A; 60% of milestone = B</w:t>
      </w:r>
    </w:p>
    <w:p w:rsidRPr="008072EB" w:rsidR="008072EB" w:rsidP="001D265D" w:rsidRDefault="008072EB" w14:paraId="04B69C79" w14:textId="77777777">
      <w:pPr>
        <w:numPr>
          <w:ilvl w:val="2"/>
          <w:numId w:val="23"/>
        </w:numPr>
        <w:spacing w:after="160" w:line="259" w:lineRule="auto"/>
        <w:rPr>
          <w:sz w:val="22"/>
          <w:szCs w:val="22"/>
          <w:lang w:val="en-US"/>
        </w:rPr>
      </w:pPr>
      <w:r w:rsidRPr="008072EB">
        <w:rPr>
          <w:sz w:val="22"/>
          <w:szCs w:val="22"/>
        </w:rPr>
        <w:t>Cumulative milestones with year-on-year overlap: 60% of milestone = A; 50% of milestone = B</w:t>
      </w:r>
    </w:p>
    <w:p w:rsidRPr="008072EB" w:rsidR="008072EB" w:rsidP="001D265D" w:rsidRDefault="008072EB" w14:paraId="6C9D7059" w14:textId="77777777">
      <w:pPr>
        <w:numPr>
          <w:ilvl w:val="0"/>
          <w:numId w:val="23"/>
        </w:numPr>
        <w:spacing w:after="160" w:line="259" w:lineRule="auto"/>
        <w:rPr>
          <w:sz w:val="22"/>
          <w:szCs w:val="22"/>
          <w:lang w:val="en-US"/>
        </w:rPr>
      </w:pPr>
      <w:r w:rsidRPr="008072EB">
        <w:rPr>
          <w:sz w:val="22"/>
          <w:szCs w:val="22"/>
        </w:rPr>
        <w:t xml:space="preserve">24/25 output milestones were not set for FOA as funding decisions for the year were still pending during the annual planning phase. Where possible, we have drawn on FOA planning docs to establish intended milestones. </w:t>
      </w:r>
    </w:p>
    <w:p w:rsidRPr="008072EB" w:rsidR="008072EB" w:rsidP="001D265D" w:rsidRDefault="008072EB" w14:paraId="6EEBEE7B" w14:textId="6112BC16">
      <w:pPr>
        <w:numPr>
          <w:ilvl w:val="0"/>
          <w:numId w:val="23"/>
        </w:numPr>
        <w:spacing w:after="160" w:line="259" w:lineRule="auto"/>
        <w:rPr>
          <w:sz w:val="22"/>
          <w:szCs w:val="22"/>
          <w:lang w:val="en-US"/>
        </w:rPr>
      </w:pPr>
      <w:r w:rsidRPr="0467B9EC">
        <w:rPr>
          <w:sz w:val="22"/>
          <w:szCs w:val="22"/>
        </w:rPr>
        <w:t xml:space="preserve">The revised logframe is going through a bedding-in period overlapping with this </w:t>
      </w:r>
      <w:r w:rsidR="00C14357">
        <w:rPr>
          <w:sz w:val="22"/>
          <w:szCs w:val="22"/>
        </w:rPr>
        <w:t>annual review</w:t>
      </w:r>
      <w:r w:rsidRPr="0467B9EC" w:rsidR="00F52997">
        <w:rPr>
          <w:sz w:val="22"/>
          <w:szCs w:val="22"/>
        </w:rPr>
        <w:t>. T</w:t>
      </w:r>
      <w:r w:rsidRPr="0467B9EC">
        <w:rPr>
          <w:sz w:val="22"/>
          <w:szCs w:val="22"/>
        </w:rPr>
        <w:t>his has resulted in some new indicators having limited or no data reported</w:t>
      </w:r>
      <w:r w:rsidRPr="0467B9EC" w:rsidR="41F34835">
        <w:rPr>
          <w:sz w:val="22"/>
          <w:szCs w:val="22"/>
        </w:rPr>
        <w:t>.</w:t>
      </w:r>
    </w:p>
    <w:p w:rsidRPr="008072EB" w:rsidR="008072EB" w:rsidP="008072EB" w:rsidRDefault="008072EB" w14:paraId="6C28D11A" w14:textId="77777777">
      <w:pPr>
        <w:rPr>
          <w:sz w:val="22"/>
          <w:szCs w:val="22"/>
        </w:rPr>
      </w:pPr>
    </w:p>
    <w:p w:rsidRPr="008072EB" w:rsidR="008072EB" w:rsidP="008072EB" w:rsidRDefault="008072EB" w14:paraId="74EACC5A" w14:textId="77777777">
      <w:pPr>
        <w:rPr>
          <w:b/>
          <w:bCs/>
          <w:sz w:val="22"/>
          <w:szCs w:val="22"/>
          <w:lang w:val="en-US"/>
        </w:rPr>
      </w:pPr>
      <w:r w:rsidRPr="008072EB">
        <w:rPr>
          <w:b/>
          <w:bCs/>
          <w:sz w:val="22"/>
          <w:szCs w:val="22"/>
        </w:rPr>
        <w:t>Output 1</w:t>
      </w:r>
    </w:p>
    <w:p w:rsidRPr="008072EB" w:rsidR="008072EB" w:rsidP="008072EB" w:rsidRDefault="008072EB" w14:paraId="6EAE86EA" w14:textId="77777777">
      <w:pPr>
        <w:rPr>
          <w:i/>
          <w:iCs/>
          <w:sz w:val="22"/>
          <w:szCs w:val="22"/>
          <w:lang w:val="en-US"/>
        </w:rPr>
      </w:pPr>
    </w:p>
    <w:tbl>
      <w:tblPr>
        <w:tblStyle w:val="TableGrid"/>
        <w:tblW w:w="9356" w:type="dxa"/>
        <w:tblInd w:w="-147" w:type="dxa"/>
        <w:tblLook w:val="04A0" w:firstRow="1" w:lastRow="0" w:firstColumn="1" w:lastColumn="0" w:noHBand="0" w:noVBand="1"/>
      </w:tblPr>
      <w:tblGrid>
        <w:gridCol w:w="1708"/>
        <w:gridCol w:w="616"/>
        <w:gridCol w:w="937"/>
        <w:gridCol w:w="3283"/>
        <w:gridCol w:w="2812"/>
      </w:tblGrid>
      <w:tr w:rsidRPr="008072EB" w:rsidR="00EC7BB8" w:rsidTr="1FB22237" w14:paraId="16EC7E02" w14:textId="77777777">
        <w:trPr>
          <w:trHeight w:val="489"/>
        </w:trPr>
        <w:tc>
          <w:tcPr>
            <w:tcW w:w="1708"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387AA057" w14:textId="77777777">
            <w:pPr>
              <w:rPr>
                <w:b/>
                <w:bCs/>
                <w:sz w:val="20"/>
                <w:szCs w:val="20"/>
              </w:rPr>
            </w:pPr>
            <w:r w:rsidRPr="008072EB">
              <w:rPr>
                <w:b/>
                <w:bCs/>
                <w:sz w:val="20"/>
                <w:szCs w:val="20"/>
              </w:rPr>
              <w:t xml:space="preserve">Output Title </w:t>
            </w:r>
          </w:p>
        </w:tc>
        <w:tc>
          <w:tcPr>
            <w:tcW w:w="7648" w:type="dxa"/>
            <w:gridSpan w:val="4"/>
            <w:tcBorders>
              <w:top w:val="single" w:color="auto" w:sz="4" w:space="0"/>
              <w:left w:val="single" w:color="auto" w:sz="4" w:space="0"/>
              <w:bottom w:val="single" w:color="auto" w:sz="4" w:space="0"/>
              <w:right w:val="single" w:color="auto" w:sz="4" w:space="0"/>
            </w:tcBorders>
            <w:shd w:val="clear" w:color="auto" w:fill="FFFFFF" w:themeFill="background1"/>
          </w:tcPr>
          <w:p w:rsidRPr="008072EB" w:rsidR="008072EB" w:rsidP="008072EB" w:rsidRDefault="008072EB" w14:paraId="536601A5" w14:textId="77777777">
            <w:pPr>
              <w:rPr>
                <w:sz w:val="20"/>
                <w:szCs w:val="20"/>
              </w:rPr>
            </w:pPr>
            <w:r w:rsidRPr="008072EB">
              <w:rPr>
                <w:sz w:val="20"/>
                <w:szCs w:val="20"/>
              </w:rPr>
              <w:t xml:space="preserve">Partner country stakeholders have strengthened capacity and capability in marine science, management and governance </w:t>
            </w:r>
          </w:p>
          <w:p w:rsidRPr="008072EB" w:rsidR="008072EB" w:rsidP="008072EB" w:rsidRDefault="008072EB" w14:paraId="0B5A0131" w14:textId="77777777">
            <w:pPr>
              <w:rPr>
                <w:bCs/>
                <w:i/>
                <w:color w:val="FF0000"/>
                <w:sz w:val="20"/>
                <w:szCs w:val="20"/>
              </w:rPr>
            </w:pPr>
          </w:p>
        </w:tc>
      </w:tr>
      <w:tr w:rsidRPr="008072EB" w:rsidR="002C7B3C" w:rsidTr="1FB22237" w14:paraId="1DEC2D6C" w14:textId="77777777">
        <w:trPr>
          <w:trHeight w:val="347"/>
        </w:trPr>
        <w:tc>
          <w:tcPr>
            <w:tcW w:w="2324"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09AAD7F7" w14:textId="77777777">
            <w:pPr>
              <w:rPr>
                <w:bCs/>
                <w:sz w:val="20"/>
                <w:szCs w:val="20"/>
              </w:rPr>
            </w:pPr>
            <w:r w:rsidRPr="008072EB">
              <w:rPr>
                <w:bCs/>
                <w:sz w:val="20"/>
                <w:szCs w:val="20"/>
              </w:rPr>
              <w:t xml:space="preserve">Output number: </w:t>
            </w:r>
          </w:p>
        </w:tc>
        <w:tc>
          <w:tcPr>
            <w:tcW w:w="937"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7A2BCBE9" w14:textId="77777777">
            <w:pPr>
              <w:rPr>
                <w:sz w:val="20"/>
                <w:szCs w:val="20"/>
              </w:rPr>
            </w:pPr>
            <w:r w:rsidRPr="008072EB">
              <w:rPr>
                <w:sz w:val="20"/>
                <w:szCs w:val="20"/>
              </w:rPr>
              <w:t>1</w:t>
            </w:r>
          </w:p>
        </w:tc>
        <w:tc>
          <w:tcPr>
            <w:tcW w:w="3283"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7D3A97C9" w14:textId="77777777">
            <w:pPr>
              <w:rPr>
                <w:sz w:val="20"/>
                <w:szCs w:val="20"/>
              </w:rPr>
            </w:pPr>
            <w:r w:rsidRPr="008072EB">
              <w:rPr>
                <w:bCs/>
                <w:sz w:val="20"/>
                <w:szCs w:val="20"/>
              </w:rPr>
              <w:t xml:space="preserve">Output Score: </w:t>
            </w:r>
          </w:p>
        </w:tc>
        <w:tc>
          <w:tcPr>
            <w:tcW w:w="2812" w:type="dxa"/>
            <w:tcBorders>
              <w:top w:val="single" w:color="auto" w:sz="4" w:space="0"/>
              <w:left w:val="single" w:color="auto" w:sz="4" w:space="0"/>
              <w:bottom w:val="single" w:color="auto" w:sz="4" w:space="0"/>
              <w:right w:val="single" w:color="auto" w:sz="4" w:space="0"/>
            </w:tcBorders>
          </w:tcPr>
          <w:p w:rsidRPr="008072EB" w:rsidR="008072EB" w:rsidP="1FB22237" w:rsidRDefault="009C0270" w14:paraId="4BDDFAD2" w14:textId="6E5A8D35">
            <w:pPr>
              <w:rPr>
                <w:b/>
                <w:bCs/>
                <w:color w:val="FF0000"/>
                <w:sz w:val="20"/>
                <w:szCs w:val="20"/>
              </w:rPr>
            </w:pPr>
            <w:r w:rsidRPr="1FB22237">
              <w:rPr>
                <w:b/>
                <w:bCs/>
                <w:color w:val="FF0000"/>
                <w:sz w:val="20"/>
                <w:szCs w:val="20"/>
              </w:rPr>
              <w:t>A</w:t>
            </w:r>
          </w:p>
        </w:tc>
      </w:tr>
      <w:tr w:rsidRPr="008072EB" w:rsidR="002C7B3C" w:rsidTr="1FB22237" w14:paraId="7C780BF3" w14:textId="77777777">
        <w:trPr>
          <w:trHeight w:val="345"/>
        </w:trPr>
        <w:tc>
          <w:tcPr>
            <w:tcW w:w="2324"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089747A1" w14:textId="77777777">
            <w:pPr>
              <w:rPr>
                <w:sz w:val="20"/>
                <w:szCs w:val="20"/>
              </w:rPr>
            </w:pPr>
            <w:r w:rsidRPr="008072EB">
              <w:rPr>
                <w:bCs/>
                <w:sz w:val="20"/>
                <w:szCs w:val="20"/>
              </w:rPr>
              <w:t xml:space="preserve">Impact weighting (%):  </w:t>
            </w:r>
          </w:p>
        </w:tc>
        <w:tc>
          <w:tcPr>
            <w:tcW w:w="937" w:type="dxa"/>
            <w:tcBorders>
              <w:top w:val="single" w:color="auto" w:sz="4" w:space="0"/>
              <w:left w:val="single" w:color="auto" w:sz="4" w:space="0"/>
              <w:bottom w:val="single" w:color="auto" w:sz="4" w:space="0"/>
              <w:right w:val="single" w:color="auto" w:sz="4" w:space="0"/>
            </w:tcBorders>
            <w:hideMark/>
          </w:tcPr>
          <w:p w:rsidRPr="008072EB" w:rsidR="008072EB" w:rsidP="008072EB" w:rsidRDefault="008072EB" w14:paraId="2EA3923A" w14:textId="77777777">
            <w:pPr>
              <w:rPr>
                <w:sz w:val="20"/>
                <w:szCs w:val="20"/>
              </w:rPr>
            </w:pPr>
            <w:r w:rsidRPr="008072EB">
              <w:rPr>
                <w:sz w:val="20"/>
                <w:szCs w:val="20"/>
              </w:rPr>
              <w:t>16.66</w:t>
            </w:r>
          </w:p>
        </w:tc>
        <w:tc>
          <w:tcPr>
            <w:tcW w:w="3283"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542D9163" w14:textId="294B648C">
            <w:pPr>
              <w:rPr>
                <w:bCs/>
                <w:sz w:val="20"/>
                <w:szCs w:val="20"/>
              </w:rPr>
            </w:pPr>
            <w:r w:rsidRPr="008072EB">
              <w:rPr>
                <w:bCs/>
                <w:sz w:val="20"/>
                <w:szCs w:val="20"/>
              </w:rPr>
              <w:t xml:space="preserve">Weighting revised since last </w:t>
            </w:r>
            <w:r w:rsidR="00C14357">
              <w:rPr>
                <w:bCs/>
                <w:sz w:val="20"/>
                <w:szCs w:val="20"/>
              </w:rPr>
              <w:t>annual review</w:t>
            </w:r>
            <w:r w:rsidRPr="008072EB">
              <w:rPr>
                <w:bCs/>
                <w:sz w:val="20"/>
                <w:szCs w:val="20"/>
              </w:rPr>
              <w:t xml:space="preserve">? </w:t>
            </w:r>
          </w:p>
        </w:tc>
        <w:tc>
          <w:tcPr>
            <w:tcW w:w="2812"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732F6664" w14:textId="77777777">
            <w:pPr>
              <w:rPr>
                <w:sz w:val="20"/>
                <w:szCs w:val="20"/>
              </w:rPr>
            </w:pPr>
            <w:r w:rsidRPr="008072EB">
              <w:rPr>
                <w:sz w:val="20"/>
                <w:szCs w:val="20"/>
              </w:rPr>
              <w:t>N/A</w:t>
            </w:r>
          </w:p>
        </w:tc>
      </w:tr>
    </w:tbl>
    <w:p w:rsidRPr="008072EB" w:rsidR="008072EB" w:rsidP="008072EB" w:rsidRDefault="008072EB" w14:paraId="246F72C6" w14:textId="77777777">
      <w:pPr>
        <w:rPr>
          <w:sz w:val="20"/>
          <w:szCs w:val="20"/>
        </w:rPr>
      </w:pPr>
    </w:p>
    <w:tbl>
      <w:tblPr>
        <w:tblStyle w:val="TableGrid"/>
        <w:tblpPr w:leftFromText="180" w:rightFromText="180" w:vertAnchor="text" w:horzAnchor="page" w:tblpX="1325" w:tblpY="-10"/>
        <w:tblOverlap w:val="never"/>
        <w:tblW w:w="9309" w:type="dxa"/>
        <w:tblLook w:val="04A0" w:firstRow="1" w:lastRow="0" w:firstColumn="1" w:lastColumn="0" w:noHBand="0" w:noVBand="1"/>
      </w:tblPr>
      <w:tblGrid>
        <w:gridCol w:w="1307"/>
        <w:gridCol w:w="1998"/>
        <w:gridCol w:w="1996"/>
        <w:gridCol w:w="4008"/>
      </w:tblGrid>
      <w:tr w:rsidRPr="008072EB" w:rsidR="008072EB" w:rsidTr="4AB473C6" w14:paraId="6EBA2FA4" w14:textId="77777777">
        <w:trPr>
          <w:trHeight w:val="278"/>
        </w:trPr>
        <w:tc>
          <w:tcPr>
            <w:tcW w:w="1307"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6292D564" w14:textId="77777777">
            <w:pPr>
              <w:rPr>
                <w:b/>
                <w:sz w:val="20"/>
                <w:szCs w:val="20"/>
              </w:rPr>
            </w:pPr>
            <w:r w:rsidRPr="008072EB">
              <w:rPr>
                <w:b/>
                <w:sz w:val="20"/>
                <w:szCs w:val="20"/>
              </w:rPr>
              <w:t>Indicator(s)</w:t>
            </w:r>
          </w:p>
        </w:tc>
        <w:tc>
          <w:tcPr>
            <w:tcW w:w="1998"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8072EB" w:rsidR="008072EB" w:rsidP="008072EB" w:rsidRDefault="008072EB" w14:paraId="361157C3" w14:textId="77777777">
            <w:pPr>
              <w:rPr>
                <w:b/>
                <w:bCs/>
                <w:sz w:val="20"/>
                <w:szCs w:val="20"/>
              </w:rPr>
            </w:pPr>
            <w:r w:rsidRPr="008072EB">
              <w:rPr>
                <w:b/>
                <w:bCs/>
                <w:sz w:val="20"/>
                <w:szCs w:val="20"/>
              </w:rPr>
              <w:t>Description</w:t>
            </w:r>
          </w:p>
        </w:tc>
        <w:tc>
          <w:tcPr>
            <w:tcW w:w="1996"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5260A609" w14:textId="77777777">
            <w:pPr>
              <w:rPr>
                <w:b/>
                <w:sz w:val="20"/>
                <w:szCs w:val="20"/>
              </w:rPr>
            </w:pPr>
            <w:r w:rsidRPr="008072EB">
              <w:rPr>
                <w:b/>
                <w:sz w:val="20"/>
                <w:szCs w:val="20"/>
              </w:rPr>
              <w:t>Milestone(s) for this review</w:t>
            </w:r>
          </w:p>
        </w:tc>
        <w:tc>
          <w:tcPr>
            <w:tcW w:w="4008"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60CE8B13" w14:textId="77777777">
            <w:pPr>
              <w:rPr>
                <w:b/>
                <w:sz w:val="20"/>
                <w:szCs w:val="20"/>
              </w:rPr>
            </w:pPr>
            <w:r w:rsidRPr="008072EB">
              <w:rPr>
                <w:b/>
                <w:sz w:val="20"/>
                <w:szCs w:val="20"/>
              </w:rPr>
              <w:t xml:space="preserve">Progress </w:t>
            </w:r>
          </w:p>
        </w:tc>
      </w:tr>
      <w:tr w:rsidRPr="008072EB" w:rsidR="008072EB" w:rsidTr="4AB473C6" w14:paraId="05CCA5EC" w14:textId="77777777">
        <w:trPr>
          <w:trHeight w:val="934"/>
        </w:trPr>
        <w:tc>
          <w:tcPr>
            <w:tcW w:w="1307"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77C29B50" w14:textId="77777777">
            <w:pPr>
              <w:rPr>
                <w:sz w:val="20"/>
                <w:szCs w:val="20"/>
              </w:rPr>
            </w:pPr>
            <w:r w:rsidRPr="008072EB">
              <w:rPr>
                <w:sz w:val="20"/>
                <w:szCs w:val="20"/>
              </w:rPr>
              <w:t xml:space="preserve">1.1 </w:t>
            </w:r>
          </w:p>
        </w:tc>
        <w:tc>
          <w:tcPr>
            <w:tcW w:w="1998"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7FCD4C43" w14:textId="77777777">
            <w:pPr>
              <w:rPr>
                <w:bCs/>
                <w:sz w:val="20"/>
                <w:szCs w:val="20"/>
              </w:rPr>
            </w:pPr>
            <w:r w:rsidRPr="008072EB">
              <w:rPr>
                <w:bCs/>
                <w:sz w:val="20"/>
                <w:szCs w:val="20"/>
              </w:rPr>
              <w:t>Participants report increased knowledge and capacity following training and /or mentoring</w:t>
            </w:r>
          </w:p>
          <w:p w:rsidRPr="008072EB" w:rsidR="008072EB" w:rsidP="008072EB" w:rsidRDefault="008072EB" w14:paraId="01F39E74" w14:textId="77777777">
            <w:pPr>
              <w:rPr>
                <w:bCs/>
                <w:sz w:val="20"/>
                <w:szCs w:val="20"/>
              </w:rPr>
            </w:pPr>
          </w:p>
          <w:p w:rsidRPr="008072EB" w:rsidR="008072EB" w:rsidP="008072EB" w:rsidRDefault="008072EB" w14:paraId="7A128235" w14:textId="2BFDB790">
            <w:pPr>
              <w:rPr>
                <w:bCs/>
                <w:sz w:val="20"/>
                <w:szCs w:val="20"/>
              </w:rPr>
            </w:pPr>
            <w:r w:rsidRPr="008072EB">
              <w:rPr>
                <w:bCs/>
                <w:i/>
                <w:iCs/>
                <w:sz w:val="20"/>
                <w:szCs w:val="20"/>
              </w:rPr>
              <w:t>Caveat: 1.1 methods were used for the first time this year and only introduced in January. As such, proposed scores should be considered indicative rather than conclusive</w:t>
            </w:r>
            <w:r w:rsidRPr="008072EB">
              <w:rPr>
                <w:bCs/>
                <w:sz w:val="20"/>
                <w:szCs w:val="20"/>
              </w:rPr>
              <w:t>.</w:t>
            </w:r>
            <w:r w:rsidR="008D33D2">
              <w:rPr>
                <w:bCs/>
                <w:sz w:val="20"/>
                <w:szCs w:val="20"/>
              </w:rPr>
              <w:t xml:space="preserve"> </w:t>
            </w:r>
            <w:r w:rsidRPr="008D33D2" w:rsidR="008D33D2">
              <w:rPr>
                <w:i/>
                <w:iCs/>
                <w:sz w:val="20"/>
                <w:szCs w:val="20"/>
              </w:rPr>
              <w:t xml:space="preserve">Gender disaggregation not available during this </w:t>
            </w:r>
            <w:r w:rsidR="00C14357">
              <w:rPr>
                <w:i/>
                <w:iCs/>
                <w:sz w:val="20"/>
                <w:szCs w:val="20"/>
              </w:rPr>
              <w:t>annual review</w:t>
            </w:r>
            <w:r w:rsidRPr="008D33D2" w:rsidR="008D33D2">
              <w:rPr>
                <w:i/>
                <w:iCs/>
                <w:sz w:val="20"/>
                <w:szCs w:val="20"/>
              </w:rPr>
              <w:t xml:space="preserve"> cycle due to the introduction of this indictor part way through the reporting year.</w:t>
            </w:r>
          </w:p>
        </w:tc>
        <w:tc>
          <w:tcPr>
            <w:tcW w:w="1996"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331A22B1" w14:textId="77777777">
            <w:pPr>
              <w:rPr>
                <w:sz w:val="20"/>
                <w:szCs w:val="20"/>
              </w:rPr>
            </w:pPr>
            <w:r w:rsidRPr="008072EB">
              <w:rPr>
                <w:bCs/>
                <w:sz w:val="20"/>
                <w:szCs w:val="20"/>
              </w:rPr>
              <w:t>Flat milestone: 80%</w:t>
            </w:r>
          </w:p>
        </w:tc>
        <w:tc>
          <w:tcPr>
            <w:tcW w:w="4008"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0CB1BF63" w14:textId="77777777">
            <w:pPr>
              <w:rPr>
                <w:sz w:val="20"/>
                <w:szCs w:val="20"/>
              </w:rPr>
            </w:pPr>
            <w:r w:rsidRPr="008072EB">
              <w:rPr>
                <w:sz w:val="20"/>
                <w:szCs w:val="20"/>
              </w:rPr>
              <w:t xml:space="preserve">Overall: 95.9%, A </w:t>
            </w:r>
          </w:p>
          <w:p w:rsidRPr="008072EB" w:rsidR="008072EB" w:rsidP="008072EB" w:rsidRDefault="008072EB" w14:paraId="1A07FFB3" w14:textId="77777777">
            <w:pPr>
              <w:rPr>
                <w:sz w:val="20"/>
                <w:szCs w:val="20"/>
              </w:rPr>
            </w:pPr>
          </w:p>
          <w:p w:rsidRPr="008072EB" w:rsidR="008072EB" w:rsidP="008072EB" w:rsidRDefault="008072EB" w14:paraId="3FE93B7C" w14:textId="77777777">
            <w:pPr>
              <w:rPr>
                <w:sz w:val="20"/>
                <w:szCs w:val="20"/>
              </w:rPr>
            </w:pPr>
            <w:r w:rsidRPr="008072EB">
              <w:rPr>
                <w:sz w:val="20"/>
                <w:szCs w:val="20"/>
              </w:rPr>
              <w:t>ALB progress: 95.5%</w:t>
            </w:r>
          </w:p>
          <w:p w:rsidR="008072EB" w:rsidP="008072EB" w:rsidRDefault="008072EB" w14:paraId="6CB20BB6" w14:textId="77777777">
            <w:pPr>
              <w:rPr>
                <w:sz w:val="20"/>
                <w:szCs w:val="20"/>
              </w:rPr>
            </w:pPr>
            <w:r w:rsidRPr="008072EB">
              <w:rPr>
                <w:sz w:val="20"/>
                <w:szCs w:val="20"/>
              </w:rPr>
              <w:t>GOAP progress: 100%</w:t>
            </w:r>
          </w:p>
          <w:p w:rsidR="00932689" w:rsidP="008072EB" w:rsidRDefault="00932689" w14:paraId="6F6A6ABE" w14:textId="77777777">
            <w:pPr>
              <w:rPr>
                <w:sz w:val="20"/>
                <w:szCs w:val="20"/>
              </w:rPr>
            </w:pPr>
          </w:p>
          <w:p w:rsidRPr="008072EB" w:rsidR="008072EB" w:rsidP="008072EB" w:rsidRDefault="008072EB" w14:paraId="719BEC7F" w14:textId="3B130B98">
            <w:pPr>
              <w:rPr>
                <w:sz w:val="20"/>
                <w:szCs w:val="20"/>
              </w:rPr>
            </w:pPr>
          </w:p>
        </w:tc>
      </w:tr>
      <w:tr w:rsidRPr="008072EB" w:rsidR="008072EB" w:rsidTr="4AB473C6" w14:paraId="765F1085" w14:textId="77777777">
        <w:trPr>
          <w:trHeight w:val="229"/>
        </w:trPr>
        <w:tc>
          <w:tcPr>
            <w:tcW w:w="1307"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170603DD" w14:textId="77777777">
            <w:pPr>
              <w:rPr>
                <w:sz w:val="20"/>
                <w:szCs w:val="20"/>
              </w:rPr>
            </w:pPr>
            <w:r w:rsidRPr="008072EB">
              <w:rPr>
                <w:bCs/>
                <w:sz w:val="20"/>
                <w:szCs w:val="20"/>
              </w:rPr>
              <w:t>1.2</w:t>
            </w:r>
          </w:p>
        </w:tc>
        <w:tc>
          <w:tcPr>
            <w:tcW w:w="1998"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5CCEE071" w14:textId="77777777">
            <w:pPr>
              <w:rPr>
                <w:bCs/>
                <w:sz w:val="20"/>
                <w:szCs w:val="20"/>
              </w:rPr>
            </w:pPr>
            <w:r w:rsidRPr="008072EB">
              <w:rPr>
                <w:bCs/>
                <w:sz w:val="20"/>
                <w:szCs w:val="20"/>
              </w:rPr>
              <w:t>Target organisations / institutions in partner countries have increased access to functioning marine scientific equipment and staff trained in its use</w:t>
            </w:r>
          </w:p>
          <w:p w:rsidRPr="008072EB" w:rsidR="008072EB" w:rsidP="008072EB" w:rsidRDefault="008072EB" w14:paraId="078540DF" w14:textId="77777777">
            <w:pPr>
              <w:rPr>
                <w:bCs/>
                <w:i/>
                <w:iCs/>
                <w:sz w:val="20"/>
                <w:szCs w:val="20"/>
              </w:rPr>
            </w:pPr>
          </w:p>
          <w:p w:rsidRPr="008072EB" w:rsidR="008072EB" w:rsidP="008072EB" w:rsidRDefault="008072EB" w14:paraId="1E165B1E" w14:textId="77777777">
            <w:pPr>
              <w:rPr>
                <w:bCs/>
                <w:sz w:val="20"/>
                <w:szCs w:val="20"/>
              </w:rPr>
            </w:pPr>
            <w:r w:rsidRPr="008072EB">
              <w:rPr>
                <w:bCs/>
                <w:i/>
                <w:iCs/>
                <w:sz w:val="20"/>
                <w:szCs w:val="20"/>
              </w:rPr>
              <w:t>Caveat: 1.2 methods were used for the first time this year and only introduced in January. As such, proposed scores should be considered indicative rather than conclusive.</w:t>
            </w:r>
          </w:p>
        </w:tc>
        <w:tc>
          <w:tcPr>
            <w:tcW w:w="1996"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5AB258E6" w14:textId="77777777">
            <w:pPr>
              <w:rPr>
                <w:bCs/>
                <w:sz w:val="20"/>
                <w:szCs w:val="20"/>
              </w:rPr>
            </w:pPr>
            <w:r w:rsidRPr="008072EB">
              <w:rPr>
                <w:bCs/>
                <w:sz w:val="20"/>
                <w:szCs w:val="20"/>
              </w:rPr>
              <w:t xml:space="preserve">24/25 Milestone: </w:t>
            </w:r>
          </w:p>
          <w:p w:rsidRPr="008072EB" w:rsidR="008072EB" w:rsidP="008072EB" w:rsidRDefault="008072EB" w14:paraId="070968F1" w14:textId="77777777">
            <w:pPr>
              <w:rPr>
                <w:bCs/>
                <w:sz w:val="20"/>
                <w:szCs w:val="20"/>
              </w:rPr>
            </w:pPr>
            <w:r w:rsidRPr="008072EB">
              <w:rPr>
                <w:bCs/>
                <w:sz w:val="20"/>
                <w:szCs w:val="20"/>
              </w:rPr>
              <w:t>Total:15</w:t>
            </w:r>
          </w:p>
          <w:p w:rsidRPr="008072EB" w:rsidR="008072EB" w:rsidP="008072EB" w:rsidRDefault="008072EB" w14:paraId="0F0BA2EC" w14:textId="77777777">
            <w:pPr>
              <w:rPr>
                <w:bCs/>
                <w:sz w:val="20"/>
                <w:szCs w:val="20"/>
              </w:rPr>
            </w:pPr>
            <w:r w:rsidRPr="008072EB">
              <w:rPr>
                <w:bCs/>
                <w:sz w:val="20"/>
                <w:szCs w:val="20"/>
              </w:rPr>
              <w:t>ALBs:15</w:t>
            </w:r>
          </w:p>
          <w:p w:rsidRPr="008072EB" w:rsidR="008072EB" w:rsidP="3BC9C8F5" w:rsidRDefault="008072EB" w14:paraId="4C75E225" w14:textId="492E18E0">
            <w:pPr>
              <w:rPr>
                <w:sz w:val="20"/>
                <w:szCs w:val="20"/>
              </w:rPr>
            </w:pPr>
            <w:r w:rsidRPr="08ED640A">
              <w:rPr>
                <w:sz w:val="20"/>
                <w:szCs w:val="20"/>
              </w:rPr>
              <w:t>GOAP: N/A</w:t>
            </w:r>
          </w:p>
          <w:p w:rsidRPr="008072EB" w:rsidR="008072EB" w:rsidP="008072EB" w:rsidRDefault="008072EB" w14:paraId="617177F0" w14:textId="77777777">
            <w:pPr>
              <w:rPr>
                <w:bCs/>
                <w:sz w:val="20"/>
                <w:szCs w:val="20"/>
              </w:rPr>
            </w:pPr>
          </w:p>
          <w:p w:rsidRPr="008072EB" w:rsidR="008072EB" w:rsidP="008072EB" w:rsidRDefault="008072EB" w14:paraId="59130B80" w14:textId="77777777">
            <w:pPr>
              <w:rPr>
                <w:bCs/>
                <w:sz w:val="20"/>
                <w:szCs w:val="20"/>
              </w:rPr>
            </w:pPr>
            <w:r w:rsidRPr="008072EB">
              <w:rPr>
                <w:bCs/>
                <w:sz w:val="20"/>
                <w:szCs w:val="20"/>
              </w:rPr>
              <w:t xml:space="preserve">23/24 thresholds </w:t>
            </w:r>
            <w:r w:rsidRPr="008072EB">
              <w:rPr>
                <w:i/>
                <w:iCs/>
                <w:sz w:val="20"/>
                <w:szCs w:val="20"/>
              </w:rPr>
              <w:t>(Cumulative milestones with discrete reporting)</w:t>
            </w:r>
          </w:p>
          <w:p w:rsidRPr="008072EB" w:rsidR="008072EB" w:rsidP="008072EB" w:rsidRDefault="008072EB" w14:paraId="4AAD1B1F" w14:textId="77777777">
            <w:pPr>
              <w:rPr>
                <w:bCs/>
                <w:sz w:val="20"/>
                <w:szCs w:val="20"/>
              </w:rPr>
            </w:pPr>
            <w:r w:rsidRPr="008072EB">
              <w:rPr>
                <w:bCs/>
                <w:sz w:val="20"/>
                <w:szCs w:val="20"/>
              </w:rPr>
              <w:t>70% (A): 10.5</w:t>
            </w:r>
          </w:p>
          <w:p w:rsidRPr="008072EB" w:rsidR="008072EB" w:rsidP="008072EB" w:rsidRDefault="008072EB" w14:paraId="6DF64422" w14:textId="77777777">
            <w:pPr>
              <w:rPr>
                <w:bCs/>
                <w:sz w:val="20"/>
                <w:szCs w:val="20"/>
              </w:rPr>
            </w:pPr>
            <w:r w:rsidRPr="008072EB">
              <w:rPr>
                <w:bCs/>
                <w:sz w:val="20"/>
                <w:szCs w:val="20"/>
              </w:rPr>
              <w:t>60% (B): 9</w:t>
            </w:r>
          </w:p>
          <w:p w:rsidRPr="008072EB" w:rsidR="008072EB" w:rsidP="008072EB" w:rsidRDefault="008072EB" w14:paraId="1BA0BE52" w14:textId="77777777">
            <w:pPr>
              <w:rPr>
                <w:bCs/>
                <w:sz w:val="20"/>
                <w:szCs w:val="20"/>
              </w:rPr>
            </w:pPr>
            <w:r w:rsidRPr="008072EB">
              <w:rPr>
                <w:bCs/>
                <w:sz w:val="20"/>
                <w:szCs w:val="20"/>
              </w:rPr>
              <w:t>&lt;60% (C)</w:t>
            </w:r>
          </w:p>
          <w:p w:rsidRPr="008072EB" w:rsidR="008072EB" w:rsidP="008072EB" w:rsidRDefault="008072EB" w14:paraId="00B20DE9" w14:textId="77777777">
            <w:pPr>
              <w:rPr>
                <w:sz w:val="20"/>
                <w:szCs w:val="20"/>
              </w:rPr>
            </w:pPr>
          </w:p>
        </w:tc>
        <w:tc>
          <w:tcPr>
            <w:tcW w:w="4008"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49CC4703" w14:textId="77777777">
            <w:pPr>
              <w:rPr>
                <w:sz w:val="20"/>
                <w:szCs w:val="20"/>
              </w:rPr>
            </w:pPr>
            <w:r w:rsidRPr="008072EB">
              <w:rPr>
                <w:sz w:val="20"/>
                <w:szCs w:val="20"/>
              </w:rPr>
              <w:t xml:space="preserve">Overall: 2, C </w:t>
            </w:r>
          </w:p>
          <w:p w:rsidRPr="008072EB" w:rsidR="008072EB" w:rsidP="008072EB" w:rsidRDefault="008072EB" w14:paraId="3CCD0DBE" w14:textId="77777777">
            <w:pPr>
              <w:rPr>
                <w:sz w:val="20"/>
                <w:szCs w:val="20"/>
              </w:rPr>
            </w:pPr>
          </w:p>
          <w:p w:rsidRPr="008072EB" w:rsidR="008072EB" w:rsidP="008072EB" w:rsidRDefault="008072EB" w14:paraId="2194F430" w14:textId="77777777">
            <w:pPr>
              <w:rPr>
                <w:sz w:val="20"/>
                <w:szCs w:val="20"/>
              </w:rPr>
            </w:pPr>
            <w:r w:rsidRPr="008072EB">
              <w:rPr>
                <w:sz w:val="20"/>
                <w:szCs w:val="20"/>
              </w:rPr>
              <w:t>ALB progress: 2</w:t>
            </w:r>
          </w:p>
          <w:p w:rsidRPr="008072EB" w:rsidR="008072EB" w:rsidP="008072EB" w:rsidRDefault="008072EB" w14:paraId="6A6897D2" w14:textId="77777777">
            <w:pPr>
              <w:rPr>
                <w:sz w:val="20"/>
                <w:szCs w:val="20"/>
              </w:rPr>
            </w:pPr>
            <w:r w:rsidRPr="008072EB">
              <w:rPr>
                <w:sz w:val="20"/>
                <w:szCs w:val="20"/>
              </w:rPr>
              <w:t>GOAP progress: N/A</w:t>
            </w:r>
          </w:p>
          <w:p w:rsidRPr="008072EB" w:rsidR="008072EB" w:rsidP="008072EB" w:rsidRDefault="008072EB" w14:paraId="499550F2" w14:textId="77777777">
            <w:pPr>
              <w:rPr>
                <w:sz w:val="20"/>
                <w:szCs w:val="20"/>
              </w:rPr>
            </w:pPr>
          </w:p>
          <w:p w:rsidRPr="008072EB" w:rsidR="008072EB" w:rsidP="008072EB" w:rsidRDefault="008072EB" w14:paraId="004F1ED9" w14:textId="77777777">
            <w:pPr>
              <w:rPr>
                <w:sz w:val="20"/>
                <w:szCs w:val="20"/>
              </w:rPr>
            </w:pPr>
          </w:p>
        </w:tc>
      </w:tr>
      <w:tr w:rsidRPr="008072EB" w:rsidR="008072EB" w:rsidTr="4AB473C6" w14:paraId="5A6FA74A" w14:textId="77777777">
        <w:trPr>
          <w:trHeight w:val="229"/>
        </w:trPr>
        <w:tc>
          <w:tcPr>
            <w:tcW w:w="1307"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3809A62B" w14:textId="77777777">
            <w:pPr>
              <w:rPr>
                <w:bCs/>
                <w:sz w:val="20"/>
                <w:szCs w:val="20"/>
              </w:rPr>
            </w:pPr>
            <w:r w:rsidRPr="008072EB">
              <w:rPr>
                <w:bCs/>
                <w:sz w:val="20"/>
                <w:szCs w:val="20"/>
              </w:rPr>
              <w:t>1.3</w:t>
            </w:r>
          </w:p>
        </w:tc>
        <w:tc>
          <w:tcPr>
            <w:tcW w:w="1998"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65389E67" w14:textId="77777777">
            <w:pPr>
              <w:rPr>
                <w:bCs/>
                <w:sz w:val="20"/>
                <w:szCs w:val="20"/>
              </w:rPr>
            </w:pPr>
            <w:r w:rsidRPr="008072EB">
              <w:rPr>
                <w:bCs/>
                <w:sz w:val="20"/>
                <w:szCs w:val="20"/>
              </w:rPr>
              <w:t>Number of individuals receiving TA support (ICF TA KPI 2)</w:t>
            </w:r>
          </w:p>
        </w:tc>
        <w:tc>
          <w:tcPr>
            <w:tcW w:w="1996"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4821CD01" w14:textId="77777777">
            <w:pPr>
              <w:rPr>
                <w:bCs/>
                <w:sz w:val="20"/>
                <w:szCs w:val="20"/>
              </w:rPr>
            </w:pPr>
            <w:r w:rsidRPr="008072EB">
              <w:rPr>
                <w:bCs/>
                <w:sz w:val="20"/>
                <w:szCs w:val="20"/>
              </w:rPr>
              <w:t xml:space="preserve">24/25 Milestone: </w:t>
            </w:r>
          </w:p>
          <w:p w:rsidRPr="008072EB" w:rsidR="008072EB" w:rsidP="008072EB" w:rsidRDefault="008072EB" w14:paraId="53C2754E" w14:textId="77777777">
            <w:pPr>
              <w:rPr>
                <w:bCs/>
                <w:sz w:val="20"/>
                <w:szCs w:val="20"/>
              </w:rPr>
            </w:pPr>
            <w:r w:rsidRPr="008072EB">
              <w:rPr>
                <w:bCs/>
                <w:sz w:val="20"/>
                <w:szCs w:val="20"/>
              </w:rPr>
              <w:t>Total:1820</w:t>
            </w:r>
          </w:p>
          <w:p w:rsidRPr="008072EB" w:rsidR="008072EB" w:rsidP="008072EB" w:rsidRDefault="008072EB" w14:paraId="661B1849" w14:textId="77777777">
            <w:pPr>
              <w:rPr>
                <w:bCs/>
                <w:sz w:val="20"/>
                <w:szCs w:val="20"/>
              </w:rPr>
            </w:pPr>
            <w:r w:rsidRPr="008072EB">
              <w:rPr>
                <w:bCs/>
                <w:sz w:val="20"/>
                <w:szCs w:val="20"/>
              </w:rPr>
              <w:t>ALBs:1600</w:t>
            </w:r>
          </w:p>
          <w:p w:rsidRPr="008072EB" w:rsidR="008072EB" w:rsidP="008072EB" w:rsidRDefault="008072EB" w14:paraId="387F9863" w14:textId="77777777">
            <w:pPr>
              <w:rPr>
                <w:bCs/>
                <w:sz w:val="20"/>
                <w:szCs w:val="20"/>
              </w:rPr>
            </w:pPr>
            <w:r w:rsidRPr="008072EB">
              <w:rPr>
                <w:bCs/>
                <w:sz w:val="20"/>
                <w:szCs w:val="20"/>
              </w:rPr>
              <w:t>GOAP:220</w:t>
            </w:r>
          </w:p>
          <w:p w:rsidRPr="008072EB" w:rsidR="008072EB" w:rsidP="008072EB" w:rsidRDefault="008072EB" w14:paraId="1205EF13" w14:textId="77777777">
            <w:pPr>
              <w:rPr>
                <w:bCs/>
                <w:sz w:val="20"/>
                <w:szCs w:val="20"/>
              </w:rPr>
            </w:pPr>
          </w:p>
          <w:p w:rsidRPr="008072EB" w:rsidR="008072EB" w:rsidP="008072EB" w:rsidRDefault="008072EB" w14:paraId="08B16EF8" w14:textId="77777777">
            <w:pPr>
              <w:rPr>
                <w:bCs/>
                <w:sz w:val="20"/>
                <w:szCs w:val="20"/>
              </w:rPr>
            </w:pPr>
            <w:r w:rsidRPr="008072EB">
              <w:rPr>
                <w:bCs/>
                <w:sz w:val="20"/>
                <w:szCs w:val="20"/>
              </w:rPr>
              <w:t xml:space="preserve">23/24 thresholds </w:t>
            </w:r>
            <w:r w:rsidRPr="008072EB">
              <w:rPr>
                <w:i/>
                <w:iCs/>
                <w:sz w:val="20"/>
                <w:szCs w:val="20"/>
              </w:rPr>
              <w:t>(Cumulative milestones with year-on-year overlap)</w:t>
            </w:r>
          </w:p>
          <w:p w:rsidRPr="008072EB" w:rsidR="008072EB" w:rsidP="008072EB" w:rsidRDefault="008072EB" w14:paraId="19FAC303" w14:textId="77777777">
            <w:pPr>
              <w:rPr>
                <w:bCs/>
                <w:sz w:val="20"/>
                <w:szCs w:val="20"/>
              </w:rPr>
            </w:pPr>
            <w:r w:rsidRPr="008072EB">
              <w:rPr>
                <w:bCs/>
                <w:sz w:val="20"/>
                <w:szCs w:val="20"/>
              </w:rPr>
              <w:t>60% (A): 1092</w:t>
            </w:r>
          </w:p>
          <w:p w:rsidRPr="008072EB" w:rsidR="008072EB" w:rsidP="008072EB" w:rsidRDefault="008072EB" w14:paraId="4418164B" w14:textId="77777777">
            <w:pPr>
              <w:rPr>
                <w:bCs/>
                <w:sz w:val="20"/>
                <w:szCs w:val="20"/>
              </w:rPr>
            </w:pPr>
            <w:r w:rsidRPr="008072EB">
              <w:rPr>
                <w:bCs/>
                <w:sz w:val="20"/>
                <w:szCs w:val="20"/>
              </w:rPr>
              <w:t>50% (B): 910</w:t>
            </w:r>
          </w:p>
          <w:p w:rsidRPr="008072EB" w:rsidR="008072EB" w:rsidP="008072EB" w:rsidRDefault="008072EB" w14:paraId="6B1C0AAB" w14:textId="77777777">
            <w:pPr>
              <w:rPr>
                <w:bCs/>
                <w:sz w:val="20"/>
                <w:szCs w:val="20"/>
              </w:rPr>
            </w:pPr>
            <w:r w:rsidRPr="008072EB">
              <w:rPr>
                <w:bCs/>
                <w:sz w:val="20"/>
                <w:szCs w:val="20"/>
              </w:rPr>
              <w:t>&lt;50% (C)</w:t>
            </w:r>
          </w:p>
          <w:p w:rsidRPr="008072EB" w:rsidR="008072EB" w:rsidP="008072EB" w:rsidRDefault="008072EB" w14:paraId="2DD230A4" w14:textId="77777777">
            <w:pPr>
              <w:rPr>
                <w:bCs/>
                <w:sz w:val="20"/>
                <w:szCs w:val="20"/>
              </w:rPr>
            </w:pPr>
          </w:p>
        </w:tc>
        <w:tc>
          <w:tcPr>
            <w:tcW w:w="4008"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73A0DA6B" w14:textId="20387117">
            <w:pPr>
              <w:rPr>
                <w:sz w:val="20"/>
                <w:szCs w:val="20"/>
              </w:rPr>
            </w:pPr>
            <w:r w:rsidRPr="2C6B85DE">
              <w:rPr>
                <w:sz w:val="20"/>
                <w:szCs w:val="20"/>
              </w:rPr>
              <w:t xml:space="preserve">Overall: </w:t>
            </w:r>
            <w:r w:rsidRPr="2C6B85DE" w:rsidR="008C2584">
              <w:rPr>
                <w:sz w:val="20"/>
                <w:szCs w:val="20"/>
              </w:rPr>
              <w:t>1276</w:t>
            </w:r>
            <w:r w:rsidRPr="2C6B85DE">
              <w:rPr>
                <w:sz w:val="20"/>
                <w:szCs w:val="20"/>
              </w:rPr>
              <w:t xml:space="preserve">*, A </w:t>
            </w:r>
          </w:p>
          <w:p w:rsidRPr="008072EB" w:rsidR="008072EB" w:rsidP="008072EB" w:rsidRDefault="008072EB" w14:paraId="7CE828B6" w14:textId="77777777">
            <w:pPr>
              <w:rPr>
                <w:sz w:val="20"/>
                <w:szCs w:val="20"/>
              </w:rPr>
            </w:pPr>
          </w:p>
          <w:p w:rsidRPr="008072EB" w:rsidR="008072EB" w:rsidP="008072EB" w:rsidRDefault="008072EB" w14:paraId="716ED968" w14:textId="3057480A">
            <w:pPr>
              <w:rPr>
                <w:sz w:val="20"/>
                <w:szCs w:val="20"/>
              </w:rPr>
            </w:pPr>
            <w:r w:rsidRPr="008072EB">
              <w:rPr>
                <w:sz w:val="20"/>
                <w:szCs w:val="20"/>
              </w:rPr>
              <w:t xml:space="preserve">ALB progress: </w:t>
            </w:r>
            <w:r w:rsidR="00C60CF1">
              <w:rPr>
                <w:sz w:val="20"/>
                <w:szCs w:val="20"/>
              </w:rPr>
              <w:t>1022</w:t>
            </w:r>
          </w:p>
          <w:p w:rsidRPr="008072EB" w:rsidR="008072EB" w:rsidP="008072EB" w:rsidRDefault="008072EB" w14:paraId="44975E65" w14:textId="77777777">
            <w:pPr>
              <w:rPr>
                <w:sz w:val="20"/>
                <w:szCs w:val="20"/>
              </w:rPr>
            </w:pPr>
            <w:r w:rsidRPr="008072EB">
              <w:rPr>
                <w:sz w:val="20"/>
                <w:szCs w:val="20"/>
              </w:rPr>
              <w:t>GOAP progress: 244</w:t>
            </w:r>
          </w:p>
          <w:p w:rsidRPr="008072EB" w:rsidR="008072EB" w:rsidP="008072EB" w:rsidRDefault="008072EB" w14:paraId="7E0D2D04" w14:textId="1F736274">
            <w:pPr>
              <w:rPr>
                <w:sz w:val="20"/>
                <w:szCs w:val="20"/>
              </w:rPr>
            </w:pPr>
            <w:r w:rsidRPr="008072EB">
              <w:rPr>
                <w:sz w:val="20"/>
                <w:szCs w:val="20"/>
              </w:rPr>
              <w:t xml:space="preserve">FOA progress: </w:t>
            </w:r>
            <w:r w:rsidRPr="008072EB" w:rsidR="00C60CF1">
              <w:rPr>
                <w:sz w:val="20"/>
                <w:szCs w:val="20"/>
              </w:rPr>
              <w:t>1</w:t>
            </w:r>
            <w:r w:rsidR="00C60CF1">
              <w:rPr>
                <w:sz w:val="20"/>
                <w:szCs w:val="20"/>
              </w:rPr>
              <w:t>8</w:t>
            </w:r>
          </w:p>
          <w:p w:rsidRPr="008072EB" w:rsidR="008072EB" w:rsidP="008072EB" w:rsidRDefault="008072EB" w14:paraId="5A84FAF9" w14:textId="77777777">
            <w:pPr>
              <w:rPr>
                <w:sz w:val="20"/>
                <w:szCs w:val="20"/>
              </w:rPr>
            </w:pPr>
          </w:p>
          <w:p w:rsidRPr="008072EB" w:rsidR="008072EB" w:rsidP="008072EB" w:rsidRDefault="008072EB" w14:paraId="3A9CFA80" w14:textId="24BA9645">
            <w:pPr>
              <w:rPr>
                <w:sz w:val="20"/>
                <w:szCs w:val="20"/>
              </w:rPr>
            </w:pPr>
            <w:r w:rsidRPr="008072EB">
              <w:rPr>
                <w:sz w:val="20"/>
                <w:szCs w:val="20"/>
              </w:rPr>
              <w:t>Gender disaggregation:</w:t>
            </w:r>
          </w:p>
          <w:p w:rsidRPr="008072EB" w:rsidR="008072EB" w:rsidP="008072EB" w:rsidRDefault="008072EB" w14:paraId="3342C463" w14:textId="77777777">
            <w:pPr>
              <w:rPr>
                <w:sz w:val="20"/>
                <w:szCs w:val="20"/>
              </w:rPr>
            </w:pPr>
          </w:p>
          <w:tbl>
            <w:tblPr>
              <w:tblW w:w="3772" w:type="dxa"/>
              <w:tblCellMar>
                <w:left w:w="0" w:type="dxa"/>
                <w:right w:w="0" w:type="dxa"/>
              </w:tblCellMar>
              <w:tblLook w:val="0420" w:firstRow="1" w:lastRow="0" w:firstColumn="0" w:lastColumn="0" w:noHBand="0" w:noVBand="1"/>
            </w:tblPr>
            <w:tblGrid>
              <w:gridCol w:w="1257"/>
              <w:gridCol w:w="1513"/>
              <w:gridCol w:w="1002"/>
            </w:tblGrid>
            <w:tr w:rsidRPr="008072EB" w:rsidR="008072EB" w:rsidTr="00667A39" w14:paraId="680B119B" w14:textId="77777777">
              <w:trPr>
                <w:trHeight w:val="296"/>
              </w:trPr>
              <w:tc>
                <w:tcPr>
                  <w:tcW w:w="1257"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B7D6E1"/>
                  <w:tcMar>
                    <w:top w:w="72" w:type="dxa"/>
                    <w:left w:w="144" w:type="dxa"/>
                    <w:bottom w:w="72" w:type="dxa"/>
                    <w:right w:w="144" w:type="dxa"/>
                  </w:tcMar>
                  <w:hideMark/>
                </w:tcPr>
                <w:p w:rsidRPr="008072EB" w:rsidR="008072EB" w:rsidP="00753597" w:rsidRDefault="008072EB" w14:paraId="2374D32C" w14:textId="562DD279">
                  <w:pPr>
                    <w:framePr w:hSpace="180" w:wrap="around" w:hAnchor="page" w:vAnchor="text" w:x="1325" w:y="-10"/>
                    <w:suppressOverlap/>
                    <w:rPr>
                      <w:sz w:val="20"/>
                      <w:szCs w:val="20"/>
                      <w:lang w:eastAsia="en-GB"/>
                    </w:rPr>
                  </w:pPr>
                  <w:r w:rsidRPr="008072EB">
                    <w:rPr>
                      <w:b/>
                      <w:bCs/>
                      <w:sz w:val="20"/>
                      <w:szCs w:val="20"/>
                      <w:lang w:eastAsia="en-GB"/>
                    </w:rPr>
                    <w:t>Gender</w:t>
                  </w:r>
                </w:p>
              </w:tc>
              <w:tc>
                <w:tcPr>
                  <w:tcW w:w="1513"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B7D6E1"/>
                  <w:tcMar>
                    <w:top w:w="72" w:type="dxa"/>
                    <w:left w:w="144" w:type="dxa"/>
                    <w:bottom w:w="72" w:type="dxa"/>
                    <w:right w:w="144" w:type="dxa"/>
                  </w:tcMar>
                  <w:hideMark/>
                </w:tcPr>
                <w:p w:rsidRPr="008072EB" w:rsidR="008072EB" w:rsidP="00753597" w:rsidRDefault="008072EB" w14:paraId="53D60438" w14:textId="77777777">
                  <w:pPr>
                    <w:framePr w:hSpace="180" w:wrap="around" w:hAnchor="page" w:vAnchor="text" w:x="1325" w:y="-10"/>
                    <w:suppressOverlap/>
                    <w:rPr>
                      <w:sz w:val="20"/>
                      <w:szCs w:val="20"/>
                      <w:lang w:eastAsia="en-GB"/>
                    </w:rPr>
                  </w:pPr>
                  <w:r w:rsidRPr="008072EB">
                    <w:rPr>
                      <w:b/>
                      <w:bCs/>
                      <w:sz w:val="20"/>
                      <w:szCs w:val="20"/>
                      <w:lang w:eastAsia="en-GB"/>
                    </w:rPr>
                    <w:t>No. individuals</w:t>
                  </w:r>
                </w:p>
              </w:tc>
              <w:tc>
                <w:tcPr>
                  <w:tcW w:w="1002"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B7D6E1"/>
                  <w:tcMar>
                    <w:top w:w="72" w:type="dxa"/>
                    <w:left w:w="144" w:type="dxa"/>
                    <w:bottom w:w="72" w:type="dxa"/>
                    <w:right w:w="144" w:type="dxa"/>
                  </w:tcMar>
                  <w:hideMark/>
                </w:tcPr>
                <w:p w:rsidRPr="008072EB" w:rsidR="008072EB" w:rsidP="00753597" w:rsidRDefault="008072EB" w14:paraId="546CABE3" w14:textId="087D25C4">
                  <w:pPr>
                    <w:framePr w:hSpace="180" w:wrap="around" w:hAnchor="page" w:vAnchor="text" w:x="1325" w:y="-10"/>
                    <w:suppressOverlap/>
                    <w:rPr>
                      <w:sz w:val="20"/>
                      <w:szCs w:val="20"/>
                      <w:lang w:eastAsia="en-GB"/>
                    </w:rPr>
                  </w:pPr>
                  <w:r w:rsidRPr="4AB473C6">
                    <w:rPr>
                      <w:b/>
                      <w:bCs/>
                      <w:sz w:val="20"/>
                      <w:szCs w:val="20"/>
                      <w:lang w:eastAsia="en-GB"/>
                    </w:rPr>
                    <w:t>% of total</w:t>
                  </w:r>
                </w:p>
              </w:tc>
            </w:tr>
            <w:tr w:rsidRPr="008072EB" w:rsidR="008072EB" w:rsidTr="00667A39" w14:paraId="223B7A61" w14:textId="77777777">
              <w:trPr>
                <w:trHeight w:val="296"/>
              </w:trPr>
              <w:tc>
                <w:tcPr>
                  <w:tcW w:w="1257"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E6F0F4"/>
                  <w:tcMar>
                    <w:top w:w="72" w:type="dxa"/>
                    <w:left w:w="144" w:type="dxa"/>
                    <w:bottom w:w="72" w:type="dxa"/>
                    <w:right w:w="144" w:type="dxa"/>
                  </w:tcMar>
                  <w:hideMark/>
                </w:tcPr>
                <w:p w:rsidRPr="008072EB" w:rsidR="008072EB" w:rsidP="00753597" w:rsidRDefault="008072EB" w14:paraId="0BAF67F7" w14:textId="77777777">
                  <w:pPr>
                    <w:framePr w:hSpace="180" w:wrap="around" w:hAnchor="page" w:vAnchor="text" w:x="1325" w:y="-10"/>
                    <w:suppressOverlap/>
                    <w:rPr>
                      <w:sz w:val="20"/>
                      <w:szCs w:val="20"/>
                      <w:lang w:eastAsia="en-GB"/>
                    </w:rPr>
                  </w:pPr>
                  <w:r w:rsidRPr="008072EB">
                    <w:rPr>
                      <w:sz w:val="20"/>
                      <w:szCs w:val="20"/>
                      <w:lang w:eastAsia="en-GB"/>
                    </w:rPr>
                    <w:t>Female</w:t>
                  </w:r>
                </w:p>
              </w:tc>
              <w:tc>
                <w:tcPr>
                  <w:tcW w:w="1513"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E6F0F4"/>
                  <w:tcMar>
                    <w:top w:w="72" w:type="dxa"/>
                    <w:left w:w="144" w:type="dxa"/>
                    <w:bottom w:w="72" w:type="dxa"/>
                    <w:right w:w="144" w:type="dxa"/>
                  </w:tcMar>
                  <w:hideMark/>
                </w:tcPr>
                <w:p w:rsidRPr="008072EB" w:rsidR="008072EB" w:rsidP="00753597" w:rsidRDefault="005A6EB1" w14:paraId="63341D7C" w14:textId="7CF3851D">
                  <w:pPr>
                    <w:framePr w:hSpace="180" w:wrap="around" w:hAnchor="page" w:vAnchor="text" w:x="1325" w:y="-10"/>
                    <w:suppressOverlap/>
                    <w:rPr>
                      <w:sz w:val="20"/>
                      <w:szCs w:val="20"/>
                      <w:lang w:eastAsia="en-GB"/>
                    </w:rPr>
                  </w:pPr>
                  <w:r w:rsidRPr="008072EB">
                    <w:rPr>
                      <w:sz w:val="20"/>
                      <w:szCs w:val="20"/>
                      <w:lang w:eastAsia="en-GB"/>
                    </w:rPr>
                    <w:t>4</w:t>
                  </w:r>
                  <w:r>
                    <w:rPr>
                      <w:sz w:val="20"/>
                      <w:szCs w:val="20"/>
                      <w:lang w:eastAsia="en-GB"/>
                    </w:rPr>
                    <w:t>63</w:t>
                  </w:r>
                </w:p>
              </w:tc>
              <w:tc>
                <w:tcPr>
                  <w:tcW w:w="1002"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E6F0F4"/>
                  <w:tcMar>
                    <w:top w:w="72" w:type="dxa"/>
                    <w:left w:w="144" w:type="dxa"/>
                    <w:bottom w:w="72" w:type="dxa"/>
                    <w:right w:w="144" w:type="dxa"/>
                  </w:tcMar>
                  <w:hideMark/>
                </w:tcPr>
                <w:p w:rsidRPr="008072EB" w:rsidR="008072EB" w:rsidP="00753597" w:rsidRDefault="008072EB" w14:paraId="615C0512" w14:textId="77777777">
                  <w:pPr>
                    <w:framePr w:hSpace="180" w:wrap="around" w:hAnchor="page" w:vAnchor="text" w:x="1325" w:y="-10"/>
                    <w:suppressOverlap/>
                    <w:rPr>
                      <w:sz w:val="20"/>
                      <w:szCs w:val="20"/>
                      <w:lang w:eastAsia="en-GB"/>
                    </w:rPr>
                  </w:pPr>
                  <w:r w:rsidRPr="008072EB">
                    <w:rPr>
                      <w:sz w:val="20"/>
                      <w:szCs w:val="20"/>
                      <w:lang w:eastAsia="en-GB"/>
                    </w:rPr>
                    <w:t>36</w:t>
                  </w:r>
                </w:p>
              </w:tc>
            </w:tr>
            <w:tr w:rsidRPr="008072EB" w:rsidR="008072EB" w:rsidTr="00667A39" w14:paraId="6F2325B0" w14:textId="77777777">
              <w:trPr>
                <w:trHeight w:val="296"/>
              </w:trPr>
              <w:tc>
                <w:tcPr>
                  <w:tcW w:w="125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3F8F9"/>
                  <w:tcMar>
                    <w:top w:w="72" w:type="dxa"/>
                    <w:left w:w="144" w:type="dxa"/>
                    <w:bottom w:w="72" w:type="dxa"/>
                    <w:right w:w="144" w:type="dxa"/>
                  </w:tcMar>
                  <w:hideMark/>
                </w:tcPr>
                <w:p w:rsidRPr="008072EB" w:rsidR="008072EB" w:rsidP="00753597" w:rsidRDefault="008072EB" w14:paraId="5ED291DC" w14:textId="77777777">
                  <w:pPr>
                    <w:framePr w:hSpace="180" w:wrap="around" w:hAnchor="page" w:vAnchor="text" w:x="1325" w:y="-10"/>
                    <w:suppressOverlap/>
                    <w:rPr>
                      <w:sz w:val="20"/>
                      <w:szCs w:val="20"/>
                      <w:lang w:eastAsia="en-GB"/>
                    </w:rPr>
                  </w:pPr>
                  <w:r w:rsidRPr="008072EB">
                    <w:rPr>
                      <w:sz w:val="20"/>
                      <w:szCs w:val="20"/>
                      <w:lang w:eastAsia="en-GB"/>
                    </w:rPr>
                    <w:t>Male</w:t>
                  </w:r>
                </w:p>
              </w:tc>
              <w:tc>
                <w:tcPr>
                  <w:tcW w:w="151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3F8F9"/>
                  <w:tcMar>
                    <w:top w:w="72" w:type="dxa"/>
                    <w:left w:w="144" w:type="dxa"/>
                    <w:bottom w:w="72" w:type="dxa"/>
                    <w:right w:w="144" w:type="dxa"/>
                  </w:tcMar>
                  <w:hideMark/>
                </w:tcPr>
                <w:p w:rsidRPr="008072EB" w:rsidR="008072EB" w:rsidP="00753597" w:rsidRDefault="004558CB" w14:paraId="4F328EB8" w14:textId="68E8F810">
                  <w:pPr>
                    <w:framePr w:hSpace="180" w:wrap="around" w:hAnchor="page" w:vAnchor="text" w:x="1325" w:y="-10"/>
                    <w:suppressOverlap/>
                    <w:rPr>
                      <w:sz w:val="20"/>
                      <w:szCs w:val="20"/>
                      <w:lang w:eastAsia="en-GB"/>
                    </w:rPr>
                  </w:pPr>
                  <w:r w:rsidRPr="008072EB">
                    <w:rPr>
                      <w:sz w:val="20"/>
                      <w:szCs w:val="20"/>
                      <w:lang w:eastAsia="en-GB"/>
                    </w:rPr>
                    <w:t>5</w:t>
                  </w:r>
                  <w:r>
                    <w:rPr>
                      <w:sz w:val="20"/>
                      <w:szCs w:val="20"/>
                      <w:lang w:eastAsia="en-GB"/>
                    </w:rPr>
                    <w:t>82</w:t>
                  </w:r>
                </w:p>
              </w:tc>
              <w:tc>
                <w:tcPr>
                  <w:tcW w:w="100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3F8F9"/>
                  <w:tcMar>
                    <w:top w:w="72" w:type="dxa"/>
                    <w:left w:w="144" w:type="dxa"/>
                    <w:bottom w:w="72" w:type="dxa"/>
                    <w:right w:w="144" w:type="dxa"/>
                  </w:tcMar>
                  <w:hideMark/>
                </w:tcPr>
                <w:p w:rsidRPr="008072EB" w:rsidR="008072EB" w:rsidP="00753597" w:rsidRDefault="008072EB" w14:paraId="619A14F7" w14:textId="641687C5">
                  <w:pPr>
                    <w:framePr w:hSpace="180" w:wrap="around" w:hAnchor="page" w:vAnchor="text" w:x="1325" w:y="-10"/>
                    <w:suppressOverlap/>
                    <w:rPr>
                      <w:sz w:val="20"/>
                      <w:szCs w:val="20"/>
                      <w:lang w:eastAsia="en-GB"/>
                    </w:rPr>
                  </w:pPr>
                  <w:r w:rsidRPr="008072EB">
                    <w:rPr>
                      <w:sz w:val="20"/>
                      <w:szCs w:val="20"/>
                      <w:lang w:eastAsia="en-GB"/>
                    </w:rPr>
                    <w:t>4</w:t>
                  </w:r>
                  <w:r w:rsidR="004558CB">
                    <w:rPr>
                      <w:sz w:val="20"/>
                      <w:szCs w:val="20"/>
                      <w:lang w:eastAsia="en-GB"/>
                    </w:rPr>
                    <w:t>6</w:t>
                  </w:r>
                </w:p>
              </w:tc>
            </w:tr>
            <w:tr w:rsidRPr="008072EB" w:rsidR="008072EB" w:rsidTr="00667A39" w14:paraId="04992415" w14:textId="77777777">
              <w:trPr>
                <w:trHeight w:val="296"/>
              </w:trPr>
              <w:tc>
                <w:tcPr>
                  <w:tcW w:w="125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6F0F4"/>
                  <w:tcMar>
                    <w:top w:w="72" w:type="dxa"/>
                    <w:left w:w="144" w:type="dxa"/>
                    <w:bottom w:w="72" w:type="dxa"/>
                    <w:right w:w="144" w:type="dxa"/>
                  </w:tcMar>
                  <w:hideMark/>
                </w:tcPr>
                <w:p w:rsidRPr="008072EB" w:rsidR="008072EB" w:rsidP="00753597" w:rsidRDefault="008072EB" w14:paraId="3269C899" w14:textId="77777777">
                  <w:pPr>
                    <w:framePr w:hSpace="180" w:wrap="around" w:hAnchor="page" w:vAnchor="text" w:x="1325" w:y="-10"/>
                    <w:suppressOverlap/>
                    <w:rPr>
                      <w:sz w:val="20"/>
                      <w:szCs w:val="20"/>
                      <w:lang w:eastAsia="en-GB"/>
                    </w:rPr>
                  </w:pPr>
                  <w:r w:rsidRPr="008072EB">
                    <w:rPr>
                      <w:sz w:val="20"/>
                      <w:szCs w:val="20"/>
                      <w:lang w:eastAsia="en-GB"/>
                    </w:rPr>
                    <w:t>Not reported</w:t>
                  </w:r>
                </w:p>
              </w:tc>
              <w:tc>
                <w:tcPr>
                  <w:tcW w:w="151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6F0F4"/>
                  <w:tcMar>
                    <w:top w:w="72" w:type="dxa"/>
                    <w:left w:w="144" w:type="dxa"/>
                    <w:bottom w:w="72" w:type="dxa"/>
                    <w:right w:w="144" w:type="dxa"/>
                  </w:tcMar>
                  <w:hideMark/>
                </w:tcPr>
                <w:p w:rsidRPr="008072EB" w:rsidR="008072EB" w:rsidP="00753597" w:rsidRDefault="004558CB" w14:paraId="1F417292" w14:textId="4E97CB90">
                  <w:pPr>
                    <w:framePr w:hSpace="180" w:wrap="around" w:hAnchor="page" w:vAnchor="text" w:x="1325" w:y="-10"/>
                    <w:suppressOverlap/>
                    <w:rPr>
                      <w:sz w:val="20"/>
                      <w:szCs w:val="20"/>
                      <w:lang w:eastAsia="en-GB"/>
                    </w:rPr>
                  </w:pPr>
                  <w:r w:rsidRPr="008072EB">
                    <w:rPr>
                      <w:sz w:val="20"/>
                      <w:szCs w:val="20"/>
                      <w:lang w:eastAsia="en-GB"/>
                    </w:rPr>
                    <w:t>23</w:t>
                  </w:r>
                  <w:r>
                    <w:rPr>
                      <w:sz w:val="20"/>
                      <w:szCs w:val="20"/>
                      <w:lang w:eastAsia="en-GB"/>
                    </w:rPr>
                    <w:t>1</w:t>
                  </w:r>
                </w:p>
              </w:tc>
              <w:tc>
                <w:tcPr>
                  <w:tcW w:w="100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6F0F4"/>
                  <w:tcMar>
                    <w:top w:w="72" w:type="dxa"/>
                    <w:left w:w="144" w:type="dxa"/>
                    <w:bottom w:w="72" w:type="dxa"/>
                    <w:right w:w="144" w:type="dxa"/>
                  </w:tcMar>
                  <w:hideMark/>
                </w:tcPr>
                <w:p w:rsidRPr="008072EB" w:rsidR="008072EB" w:rsidP="00753597" w:rsidRDefault="008072EB" w14:paraId="2CD50E7A" w14:textId="6C6DB44C">
                  <w:pPr>
                    <w:framePr w:hSpace="180" w:wrap="around" w:hAnchor="page" w:vAnchor="text" w:x="1325" w:y="-10"/>
                    <w:suppressOverlap/>
                    <w:rPr>
                      <w:sz w:val="20"/>
                      <w:szCs w:val="20"/>
                      <w:lang w:eastAsia="en-GB"/>
                    </w:rPr>
                  </w:pPr>
                  <w:r w:rsidRPr="008072EB">
                    <w:rPr>
                      <w:sz w:val="20"/>
                      <w:szCs w:val="20"/>
                      <w:lang w:eastAsia="en-GB"/>
                    </w:rPr>
                    <w:t>1</w:t>
                  </w:r>
                  <w:r w:rsidR="004558CB">
                    <w:rPr>
                      <w:sz w:val="20"/>
                      <w:szCs w:val="20"/>
                      <w:lang w:eastAsia="en-GB"/>
                    </w:rPr>
                    <w:t>8</w:t>
                  </w:r>
                </w:p>
              </w:tc>
            </w:tr>
            <w:tr w:rsidRPr="008072EB" w:rsidR="008072EB" w:rsidTr="00667A39" w14:paraId="08424749" w14:textId="77777777">
              <w:trPr>
                <w:trHeight w:val="296"/>
              </w:trPr>
              <w:tc>
                <w:tcPr>
                  <w:tcW w:w="125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3F8F9"/>
                  <w:tcMar>
                    <w:top w:w="72" w:type="dxa"/>
                    <w:left w:w="144" w:type="dxa"/>
                    <w:bottom w:w="72" w:type="dxa"/>
                    <w:right w:w="144" w:type="dxa"/>
                  </w:tcMar>
                  <w:hideMark/>
                </w:tcPr>
                <w:p w:rsidRPr="008072EB" w:rsidR="008072EB" w:rsidP="00753597" w:rsidRDefault="008072EB" w14:paraId="0209F13B" w14:textId="77777777">
                  <w:pPr>
                    <w:framePr w:hSpace="180" w:wrap="around" w:hAnchor="page" w:vAnchor="text" w:x="1325" w:y="-10"/>
                    <w:suppressOverlap/>
                    <w:rPr>
                      <w:sz w:val="20"/>
                      <w:szCs w:val="20"/>
                      <w:lang w:eastAsia="en-GB"/>
                    </w:rPr>
                  </w:pPr>
                  <w:r w:rsidRPr="008072EB">
                    <w:rPr>
                      <w:b/>
                      <w:bCs/>
                      <w:sz w:val="20"/>
                      <w:szCs w:val="20"/>
                      <w:lang w:eastAsia="en-GB"/>
                    </w:rPr>
                    <w:t>TOTAL</w:t>
                  </w:r>
                </w:p>
              </w:tc>
              <w:tc>
                <w:tcPr>
                  <w:tcW w:w="151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3F8F9"/>
                  <w:tcMar>
                    <w:top w:w="72" w:type="dxa"/>
                    <w:left w:w="144" w:type="dxa"/>
                    <w:bottom w:w="72" w:type="dxa"/>
                    <w:right w:w="144" w:type="dxa"/>
                  </w:tcMar>
                  <w:hideMark/>
                </w:tcPr>
                <w:p w:rsidRPr="008072EB" w:rsidR="008072EB" w:rsidP="00753597" w:rsidRDefault="004558CB" w14:paraId="52780F5E" w14:textId="6E7759B8">
                  <w:pPr>
                    <w:framePr w:hSpace="180" w:wrap="around" w:hAnchor="page" w:vAnchor="text" w:x="1325" w:y="-10"/>
                    <w:suppressOverlap/>
                    <w:rPr>
                      <w:sz w:val="20"/>
                      <w:szCs w:val="20"/>
                      <w:lang w:eastAsia="en-GB"/>
                    </w:rPr>
                  </w:pPr>
                  <w:r w:rsidRPr="008072EB">
                    <w:rPr>
                      <w:sz w:val="20"/>
                      <w:szCs w:val="20"/>
                      <w:lang w:eastAsia="en-GB"/>
                    </w:rPr>
                    <w:t>1</w:t>
                  </w:r>
                  <w:r>
                    <w:rPr>
                      <w:sz w:val="20"/>
                      <w:szCs w:val="20"/>
                      <w:lang w:eastAsia="en-GB"/>
                    </w:rPr>
                    <w:t>276</w:t>
                  </w:r>
                </w:p>
              </w:tc>
              <w:tc>
                <w:tcPr>
                  <w:tcW w:w="100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F3F8F9"/>
                  <w:tcMar>
                    <w:top w:w="72" w:type="dxa"/>
                    <w:left w:w="144" w:type="dxa"/>
                    <w:bottom w:w="72" w:type="dxa"/>
                    <w:right w:w="144" w:type="dxa"/>
                  </w:tcMar>
                  <w:hideMark/>
                </w:tcPr>
                <w:p w:rsidRPr="008072EB" w:rsidR="008072EB" w:rsidP="00753597" w:rsidRDefault="008072EB" w14:paraId="62F2660F" w14:textId="77777777">
                  <w:pPr>
                    <w:framePr w:hSpace="180" w:wrap="around" w:hAnchor="page" w:vAnchor="text" w:x="1325" w:y="-10"/>
                    <w:suppressOverlap/>
                    <w:rPr>
                      <w:sz w:val="20"/>
                      <w:szCs w:val="20"/>
                      <w:lang w:eastAsia="en-GB"/>
                    </w:rPr>
                  </w:pPr>
                  <w:r w:rsidRPr="008072EB">
                    <w:rPr>
                      <w:sz w:val="20"/>
                      <w:szCs w:val="20"/>
                      <w:lang w:eastAsia="en-GB"/>
                    </w:rPr>
                    <w:t>100%</w:t>
                  </w:r>
                </w:p>
              </w:tc>
            </w:tr>
          </w:tbl>
          <w:p w:rsidRPr="008072EB" w:rsidR="008072EB" w:rsidP="008072EB" w:rsidRDefault="008072EB" w14:paraId="71B57C54" w14:textId="77777777">
            <w:pPr>
              <w:rPr>
                <w:sz w:val="20"/>
                <w:szCs w:val="20"/>
              </w:rPr>
            </w:pPr>
          </w:p>
        </w:tc>
      </w:tr>
      <w:tr w:rsidRPr="008072EB" w:rsidR="008072EB" w:rsidTr="4AB473C6" w14:paraId="7DC4707A" w14:textId="77777777">
        <w:trPr>
          <w:trHeight w:val="229"/>
        </w:trPr>
        <w:tc>
          <w:tcPr>
            <w:tcW w:w="1307"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087196A1" w14:textId="77777777">
            <w:pPr>
              <w:rPr>
                <w:bCs/>
                <w:sz w:val="20"/>
                <w:szCs w:val="20"/>
              </w:rPr>
            </w:pPr>
            <w:r w:rsidRPr="008072EB">
              <w:rPr>
                <w:bCs/>
                <w:sz w:val="20"/>
                <w:szCs w:val="20"/>
              </w:rPr>
              <w:t>1.4</w:t>
            </w:r>
          </w:p>
        </w:tc>
        <w:tc>
          <w:tcPr>
            <w:tcW w:w="1998"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08AC62AD" w14:textId="77777777">
            <w:pPr>
              <w:rPr>
                <w:bCs/>
                <w:sz w:val="20"/>
                <w:szCs w:val="20"/>
              </w:rPr>
            </w:pPr>
            <w:r w:rsidRPr="008072EB">
              <w:rPr>
                <w:bCs/>
                <w:sz w:val="20"/>
                <w:szCs w:val="20"/>
              </w:rPr>
              <w:t>Number of organisations receiving TA support (ICF TA KPI 2)</w:t>
            </w:r>
          </w:p>
        </w:tc>
        <w:tc>
          <w:tcPr>
            <w:tcW w:w="1996"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58524590" w14:textId="77777777">
            <w:pPr>
              <w:rPr>
                <w:bCs/>
                <w:sz w:val="20"/>
                <w:szCs w:val="20"/>
              </w:rPr>
            </w:pPr>
            <w:r w:rsidRPr="008072EB">
              <w:rPr>
                <w:bCs/>
                <w:sz w:val="20"/>
                <w:szCs w:val="20"/>
              </w:rPr>
              <w:t xml:space="preserve">24/25 Milestone: </w:t>
            </w:r>
          </w:p>
          <w:p w:rsidRPr="008072EB" w:rsidR="008072EB" w:rsidP="008072EB" w:rsidRDefault="008072EB" w14:paraId="6743806C" w14:textId="77777777">
            <w:pPr>
              <w:rPr>
                <w:bCs/>
                <w:sz w:val="20"/>
                <w:szCs w:val="20"/>
              </w:rPr>
            </w:pPr>
            <w:r w:rsidRPr="008072EB">
              <w:rPr>
                <w:bCs/>
                <w:sz w:val="20"/>
                <w:szCs w:val="20"/>
              </w:rPr>
              <w:t>Total:155</w:t>
            </w:r>
          </w:p>
          <w:p w:rsidRPr="008072EB" w:rsidR="008072EB" w:rsidP="008072EB" w:rsidRDefault="008072EB" w14:paraId="23A2AAA5" w14:textId="77777777">
            <w:pPr>
              <w:rPr>
                <w:bCs/>
                <w:sz w:val="20"/>
                <w:szCs w:val="20"/>
              </w:rPr>
            </w:pPr>
            <w:r w:rsidRPr="008072EB">
              <w:rPr>
                <w:bCs/>
                <w:sz w:val="20"/>
                <w:szCs w:val="20"/>
              </w:rPr>
              <w:t>ALBs:120</w:t>
            </w:r>
          </w:p>
          <w:p w:rsidRPr="008072EB" w:rsidR="008072EB" w:rsidP="008072EB" w:rsidRDefault="008072EB" w14:paraId="327935A3" w14:textId="77777777">
            <w:pPr>
              <w:rPr>
                <w:bCs/>
                <w:sz w:val="20"/>
                <w:szCs w:val="20"/>
              </w:rPr>
            </w:pPr>
            <w:r w:rsidRPr="008072EB">
              <w:rPr>
                <w:bCs/>
                <w:sz w:val="20"/>
                <w:szCs w:val="20"/>
              </w:rPr>
              <w:t>GOAP:35</w:t>
            </w:r>
          </w:p>
          <w:p w:rsidRPr="008072EB" w:rsidR="008072EB" w:rsidP="008072EB" w:rsidRDefault="008072EB" w14:paraId="6F0B82CE" w14:textId="77777777">
            <w:pPr>
              <w:rPr>
                <w:bCs/>
                <w:sz w:val="20"/>
                <w:szCs w:val="20"/>
              </w:rPr>
            </w:pPr>
          </w:p>
          <w:p w:rsidRPr="008072EB" w:rsidR="008072EB" w:rsidP="008072EB" w:rsidRDefault="008072EB" w14:paraId="27A61BD0" w14:textId="77777777">
            <w:pPr>
              <w:rPr>
                <w:bCs/>
                <w:sz w:val="20"/>
                <w:szCs w:val="20"/>
              </w:rPr>
            </w:pPr>
            <w:r w:rsidRPr="008072EB">
              <w:rPr>
                <w:bCs/>
                <w:sz w:val="20"/>
                <w:szCs w:val="20"/>
              </w:rPr>
              <w:t xml:space="preserve">23/24 thresholds </w:t>
            </w:r>
            <w:r w:rsidRPr="008072EB">
              <w:rPr>
                <w:i/>
                <w:iCs/>
                <w:sz w:val="20"/>
                <w:szCs w:val="20"/>
              </w:rPr>
              <w:t>(Cumulative milestones with year-on-year overlap)</w:t>
            </w:r>
          </w:p>
          <w:p w:rsidRPr="008072EB" w:rsidR="008072EB" w:rsidP="008072EB" w:rsidRDefault="008072EB" w14:paraId="2A85C185" w14:textId="77777777">
            <w:pPr>
              <w:rPr>
                <w:bCs/>
                <w:sz w:val="20"/>
                <w:szCs w:val="20"/>
              </w:rPr>
            </w:pPr>
            <w:r w:rsidRPr="008072EB">
              <w:rPr>
                <w:bCs/>
                <w:sz w:val="20"/>
                <w:szCs w:val="20"/>
              </w:rPr>
              <w:t>60% (A): 93</w:t>
            </w:r>
          </w:p>
          <w:p w:rsidRPr="008072EB" w:rsidR="008072EB" w:rsidP="008072EB" w:rsidRDefault="008072EB" w14:paraId="685DE5AE" w14:textId="77777777">
            <w:pPr>
              <w:rPr>
                <w:bCs/>
                <w:sz w:val="20"/>
                <w:szCs w:val="20"/>
              </w:rPr>
            </w:pPr>
            <w:r w:rsidRPr="008072EB">
              <w:rPr>
                <w:bCs/>
                <w:sz w:val="20"/>
                <w:szCs w:val="20"/>
              </w:rPr>
              <w:t>50% (B): 77.5</w:t>
            </w:r>
          </w:p>
          <w:p w:rsidRPr="008072EB" w:rsidR="008072EB" w:rsidP="008072EB" w:rsidRDefault="008072EB" w14:paraId="7541204B" w14:textId="77777777">
            <w:pPr>
              <w:rPr>
                <w:bCs/>
                <w:sz w:val="20"/>
                <w:szCs w:val="20"/>
              </w:rPr>
            </w:pPr>
            <w:r w:rsidRPr="008072EB">
              <w:rPr>
                <w:bCs/>
                <w:sz w:val="20"/>
                <w:szCs w:val="20"/>
              </w:rPr>
              <w:t>&lt;50% (C)</w:t>
            </w:r>
          </w:p>
          <w:p w:rsidRPr="008072EB" w:rsidR="008072EB" w:rsidP="008072EB" w:rsidRDefault="008072EB" w14:paraId="5E80E683" w14:textId="77777777">
            <w:pPr>
              <w:rPr>
                <w:bCs/>
                <w:sz w:val="20"/>
                <w:szCs w:val="20"/>
              </w:rPr>
            </w:pPr>
          </w:p>
        </w:tc>
        <w:tc>
          <w:tcPr>
            <w:tcW w:w="4008"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121826CE" w14:textId="1D3EBD56">
            <w:pPr>
              <w:rPr>
                <w:sz w:val="20"/>
                <w:szCs w:val="20"/>
              </w:rPr>
            </w:pPr>
            <w:r w:rsidRPr="008072EB">
              <w:rPr>
                <w:sz w:val="20"/>
                <w:szCs w:val="20"/>
              </w:rPr>
              <w:t xml:space="preserve">Overall: </w:t>
            </w:r>
            <w:r w:rsidRPr="008072EB" w:rsidR="00F60283">
              <w:rPr>
                <w:sz w:val="20"/>
                <w:szCs w:val="20"/>
              </w:rPr>
              <w:t>3</w:t>
            </w:r>
            <w:r w:rsidR="00F60283">
              <w:rPr>
                <w:sz w:val="20"/>
                <w:szCs w:val="20"/>
              </w:rPr>
              <w:t>7</w:t>
            </w:r>
            <w:r w:rsidR="00383B55">
              <w:rPr>
                <w:sz w:val="20"/>
                <w:szCs w:val="20"/>
              </w:rPr>
              <w:t>0</w:t>
            </w:r>
            <w:r w:rsidRPr="008072EB">
              <w:rPr>
                <w:sz w:val="20"/>
                <w:szCs w:val="20"/>
              </w:rPr>
              <w:t xml:space="preserve">*, A </w:t>
            </w:r>
          </w:p>
          <w:p w:rsidRPr="008072EB" w:rsidR="008072EB" w:rsidP="008072EB" w:rsidRDefault="008072EB" w14:paraId="43955FF0" w14:textId="77777777">
            <w:pPr>
              <w:rPr>
                <w:sz w:val="20"/>
                <w:szCs w:val="20"/>
              </w:rPr>
            </w:pPr>
          </w:p>
          <w:p w:rsidRPr="008072EB" w:rsidR="008072EB" w:rsidP="008072EB" w:rsidRDefault="008072EB" w14:paraId="548E4F61" w14:textId="064F11AA">
            <w:pPr>
              <w:rPr>
                <w:sz w:val="20"/>
                <w:szCs w:val="20"/>
              </w:rPr>
            </w:pPr>
            <w:r w:rsidRPr="008072EB">
              <w:rPr>
                <w:sz w:val="20"/>
                <w:szCs w:val="20"/>
              </w:rPr>
              <w:t xml:space="preserve">ALB progress: </w:t>
            </w:r>
            <w:r w:rsidR="00F60283">
              <w:rPr>
                <w:sz w:val="20"/>
                <w:szCs w:val="20"/>
              </w:rPr>
              <w:t>296</w:t>
            </w:r>
          </w:p>
          <w:p w:rsidRPr="008072EB" w:rsidR="008072EB" w:rsidP="008072EB" w:rsidRDefault="008072EB" w14:paraId="72882A3B" w14:textId="22656A45">
            <w:pPr>
              <w:rPr>
                <w:sz w:val="20"/>
                <w:szCs w:val="20"/>
              </w:rPr>
            </w:pPr>
            <w:r w:rsidRPr="008072EB">
              <w:rPr>
                <w:sz w:val="20"/>
                <w:szCs w:val="20"/>
              </w:rPr>
              <w:t xml:space="preserve">GOAP progress: </w:t>
            </w:r>
            <w:r w:rsidR="00F60283">
              <w:rPr>
                <w:sz w:val="20"/>
                <w:szCs w:val="20"/>
              </w:rPr>
              <w:t>46</w:t>
            </w:r>
          </w:p>
          <w:p w:rsidRPr="008072EB" w:rsidR="008072EB" w:rsidP="008072EB" w:rsidRDefault="008072EB" w14:paraId="6CC90C25" w14:textId="77777777">
            <w:pPr>
              <w:rPr>
                <w:sz w:val="20"/>
                <w:szCs w:val="20"/>
              </w:rPr>
            </w:pPr>
            <w:r w:rsidRPr="008072EB">
              <w:rPr>
                <w:sz w:val="20"/>
                <w:szCs w:val="20"/>
              </w:rPr>
              <w:t>FOA progress: 52</w:t>
            </w:r>
          </w:p>
          <w:p w:rsidRPr="008072EB" w:rsidR="008072EB" w:rsidP="008072EB" w:rsidRDefault="008072EB" w14:paraId="77E3EB3D" w14:textId="77777777">
            <w:pPr>
              <w:rPr>
                <w:sz w:val="20"/>
                <w:szCs w:val="20"/>
              </w:rPr>
            </w:pPr>
          </w:p>
        </w:tc>
      </w:tr>
      <w:tr w:rsidRPr="008072EB" w:rsidR="008072EB" w:rsidTr="4AB473C6" w14:paraId="7030FD64" w14:textId="77777777">
        <w:trPr>
          <w:trHeight w:val="229"/>
        </w:trPr>
        <w:tc>
          <w:tcPr>
            <w:tcW w:w="9309" w:type="dxa"/>
            <w:gridSpan w:val="4"/>
            <w:tcBorders>
              <w:top w:val="single" w:color="auto" w:sz="4" w:space="0"/>
              <w:left w:val="single" w:color="auto" w:sz="4" w:space="0"/>
              <w:bottom w:val="single" w:color="auto" w:sz="4" w:space="0"/>
              <w:right w:val="single" w:color="auto" w:sz="4" w:space="0"/>
            </w:tcBorders>
          </w:tcPr>
          <w:p w:rsidRPr="008072EB" w:rsidR="008072EB" w:rsidP="008072EB" w:rsidRDefault="008072EB" w14:paraId="741BF91F" w14:textId="77777777">
            <w:pPr>
              <w:rPr>
                <w:bCs/>
                <w:sz w:val="20"/>
                <w:szCs w:val="20"/>
              </w:rPr>
            </w:pPr>
            <w:r w:rsidRPr="008072EB">
              <w:rPr>
                <w:bCs/>
                <w:sz w:val="20"/>
                <w:szCs w:val="20"/>
              </w:rPr>
              <w:t>* Adjusted for double counting so does not up add up to sum of delivery partner totals</w:t>
            </w:r>
          </w:p>
        </w:tc>
      </w:tr>
    </w:tbl>
    <w:p w:rsidRPr="008072EB" w:rsidR="008072EB" w:rsidP="008072EB" w:rsidRDefault="008072EB" w14:paraId="2275CB28" w14:textId="77777777">
      <w:pPr>
        <w:jc w:val="both"/>
        <w:rPr>
          <w:rFonts w:cs="Arial"/>
          <w:b/>
          <w:bCs/>
          <w:sz w:val="22"/>
          <w:szCs w:val="22"/>
        </w:rPr>
      </w:pPr>
    </w:p>
    <w:p w:rsidRPr="008072EB" w:rsidR="008072EB" w:rsidP="008072EB" w:rsidRDefault="008072EB" w14:paraId="1BFF91AE" w14:textId="77777777">
      <w:pPr>
        <w:jc w:val="both"/>
        <w:rPr>
          <w:rFonts w:cs="Arial"/>
          <w:i/>
          <w:iCs/>
          <w:sz w:val="22"/>
          <w:szCs w:val="22"/>
        </w:rPr>
      </w:pPr>
      <w:r w:rsidRPr="008072EB">
        <w:rPr>
          <w:rFonts w:cs="Arial"/>
          <w:i/>
          <w:iCs/>
          <w:sz w:val="22"/>
          <w:szCs w:val="22"/>
        </w:rPr>
        <w:t>Note: 23/24 reporting for FOA is taken from phase 3 plans and reporting. Milestones for FOA were not set for 24/25 because of pending funding decisions.</w:t>
      </w:r>
    </w:p>
    <w:p w:rsidRPr="008072EB" w:rsidR="008072EB" w:rsidP="008072EB" w:rsidRDefault="008072EB" w14:paraId="36847303" w14:textId="77777777">
      <w:pPr>
        <w:jc w:val="both"/>
        <w:rPr>
          <w:rFonts w:cs="Arial"/>
          <w:b/>
          <w:bCs/>
          <w:sz w:val="22"/>
          <w:szCs w:val="22"/>
        </w:rPr>
      </w:pPr>
    </w:p>
    <w:p w:rsidRPr="008072EB" w:rsidR="008072EB" w:rsidP="008072EB" w:rsidRDefault="008072EB" w14:paraId="123D19C7" w14:textId="50A7968C">
      <w:pPr>
        <w:jc w:val="both"/>
        <w:rPr>
          <w:rFonts w:cs="Arial"/>
          <w:b/>
          <w:bCs/>
          <w:sz w:val="22"/>
          <w:szCs w:val="22"/>
        </w:rPr>
      </w:pPr>
      <w:r w:rsidRPr="008072EB">
        <w:rPr>
          <w:rFonts w:cs="Arial"/>
          <w:b/>
          <w:bCs/>
          <w:sz w:val="22"/>
          <w:szCs w:val="22"/>
        </w:rPr>
        <w:t xml:space="preserve">C1. Briefly describe the output’s </w:t>
      </w:r>
      <w:r w:rsidRPr="008072EB" w:rsidR="008D1964">
        <w:rPr>
          <w:rFonts w:cs="Arial"/>
          <w:b/>
          <w:bCs/>
          <w:sz w:val="22"/>
          <w:szCs w:val="22"/>
        </w:rPr>
        <w:t>activities and</w:t>
      </w:r>
      <w:r w:rsidRPr="008072EB">
        <w:rPr>
          <w:rFonts w:cs="Arial"/>
          <w:b/>
          <w:bCs/>
          <w:sz w:val="22"/>
          <w:szCs w:val="22"/>
        </w:rPr>
        <w:t xml:space="preserve"> provide supporting narrative for the score.</w:t>
      </w:r>
      <w:r w:rsidRPr="008072EB">
        <w:rPr>
          <w:rFonts w:cs="Arial"/>
          <w:sz w:val="22"/>
          <w:szCs w:val="22"/>
        </w:rPr>
        <w:t xml:space="preserve"> </w:t>
      </w:r>
    </w:p>
    <w:p w:rsidRPr="008072EB" w:rsidR="008072EB" w:rsidP="008072EB" w:rsidRDefault="008072EB" w14:paraId="4D12990B" w14:textId="77777777">
      <w:pPr>
        <w:jc w:val="both"/>
        <w:rPr>
          <w:rFonts w:cs="Arial"/>
          <w:bCs/>
          <w:sz w:val="22"/>
          <w:szCs w:val="22"/>
        </w:rPr>
      </w:pPr>
    </w:p>
    <w:p w:rsidRPr="008072EB" w:rsidR="008072EB" w:rsidP="000A291A" w:rsidRDefault="008072EB" w14:paraId="60F7F4C8" w14:textId="77777777">
      <w:pPr>
        <w:rPr>
          <w:sz w:val="22"/>
          <w:szCs w:val="22"/>
        </w:rPr>
      </w:pPr>
      <w:r w:rsidRPr="008072EB">
        <w:rPr>
          <w:rFonts w:cs="Arial"/>
          <w:sz w:val="22"/>
          <w:szCs w:val="22"/>
        </w:rPr>
        <w:t>Output 1 and associated indicators seek to monitor the programmes progress towards partner</w:t>
      </w:r>
      <w:r w:rsidRPr="008072EB">
        <w:rPr>
          <w:sz w:val="22"/>
          <w:szCs w:val="22"/>
        </w:rPr>
        <w:t xml:space="preserve"> country stakeholders having strengthened capacity and capability in marine science, management and governance. The programme has scored A in indicators 1.1, 1.3 and 1.4 and has scored C in indicator 1.2. Overall, output 1 has scored a B.</w:t>
      </w:r>
    </w:p>
    <w:p w:rsidRPr="008072EB" w:rsidR="008072EB" w:rsidP="000A291A" w:rsidRDefault="008072EB" w14:paraId="2376931F" w14:textId="77777777">
      <w:pPr>
        <w:rPr>
          <w:rFonts w:cs="Arial"/>
          <w:sz w:val="22"/>
          <w:szCs w:val="22"/>
        </w:rPr>
      </w:pPr>
    </w:p>
    <w:p w:rsidRPr="008072EB" w:rsidR="008072EB" w:rsidP="001D265D" w:rsidRDefault="008072EB" w14:paraId="16F6C669" w14:textId="7A88FD5B">
      <w:pPr>
        <w:numPr>
          <w:ilvl w:val="1"/>
          <w:numId w:val="24"/>
        </w:numPr>
        <w:spacing w:after="240" w:line="259" w:lineRule="auto"/>
        <w:contextualSpacing/>
        <w:rPr>
          <w:rFonts w:cs="Arial"/>
          <w:sz w:val="22"/>
          <w:szCs w:val="22"/>
          <w:lang w:eastAsia="en-GB"/>
        </w:rPr>
      </w:pPr>
      <w:r w:rsidRPr="008072EB">
        <w:rPr>
          <w:rFonts w:cs="Arial"/>
          <w:b/>
          <w:bCs/>
          <w:sz w:val="22"/>
          <w:szCs w:val="22"/>
          <w:lang w:eastAsia="en-GB"/>
        </w:rPr>
        <w:t xml:space="preserve">– A. </w:t>
      </w:r>
      <w:r w:rsidRPr="008072EB">
        <w:rPr>
          <w:rFonts w:cs="Arial"/>
          <w:sz w:val="22"/>
          <w:szCs w:val="22"/>
          <w:lang w:eastAsia="en-GB"/>
        </w:rPr>
        <w:t xml:space="preserve">Delivery partners have delivered training and mentoring across our ALB-led bilateral partnerships and GOAP pilot countries. In the sample of trainings assessed this year, 95.9% of participants in ALB led training/mentoring reported increased knowledge and capacity. 100% of participants in GOAP led training/mentoring reported increased knowledge and capacity. </w:t>
      </w:r>
    </w:p>
    <w:p w:rsidRPr="008072EB" w:rsidR="008072EB" w:rsidP="000A291A" w:rsidRDefault="008072EB" w14:paraId="14265BD3" w14:textId="77777777">
      <w:pPr>
        <w:spacing w:after="240"/>
        <w:ind w:left="370"/>
        <w:contextualSpacing/>
        <w:rPr>
          <w:rFonts w:cs="Arial"/>
          <w:b/>
          <w:bCs/>
          <w:sz w:val="22"/>
          <w:szCs w:val="22"/>
          <w:lang w:eastAsia="en-GB"/>
        </w:rPr>
      </w:pPr>
    </w:p>
    <w:p w:rsidR="00292959" w:rsidP="008D1440" w:rsidRDefault="008072EB" w14:paraId="7A03B0A8" w14:textId="20102422">
      <w:pPr>
        <w:spacing w:after="240"/>
        <w:ind w:left="370"/>
        <w:contextualSpacing/>
        <w:rPr>
          <w:rFonts w:cs="Arial"/>
          <w:sz w:val="22"/>
          <w:szCs w:val="22"/>
          <w:lang w:eastAsia="en-GB"/>
        </w:rPr>
      </w:pPr>
      <w:r w:rsidRPr="008072EB">
        <w:rPr>
          <w:rFonts w:cs="Arial"/>
          <w:sz w:val="22"/>
          <w:szCs w:val="22"/>
          <w:lang w:eastAsia="en-GB"/>
        </w:rPr>
        <w:t xml:space="preserve">In total, 124 training events were carried out by </w:t>
      </w:r>
      <w:r w:rsidR="006400C6">
        <w:rPr>
          <w:rFonts w:cs="Arial"/>
          <w:sz w:val="22"/>
          <w:szCs w:val="22"/>
          <w:lang w:eastAsia="en-GB"/>
        </w:rPr>
        <w:t xml:space="preserve">the </w:t>
      </w:r>
      <w:r w:rsidRPr="008072EB">
        <w:rPr>
          <w:rFonts w:cs="Arial"/>
          <w:sz w:val="22"/>
          <w:szCs w:val="22"/>
          <w:lang w:eastAsia="en-GB"/>
        </w:rPr>
        <w:t xml:space="preserve">OCPP delivery partners. Increase in knowledge was only assessed for 22 trainings total, of which represent </w:t>
      </w:r>
      <w:r w:rsidRPr="008072EB" w:rsidDel="003269EC">
        <w:rPr>
          <w:rFonts w:cs="Arial"/>
          <w:sz w:val="22"/>
          <w:szCs w:val="22"/>
          <w:lang w:eastAsia="en-GB"/>
        </w:rPr>
        <w:t>17%</w:t>
      </w:r>
      <w:r w:rsidRPr="008072EB">
        <w:rPr>
          <w:rFonts w:cs="Arial"/>
          <w:sz w:val="22"/>
          <w:szCs w:val="22"/>
          <w:lang w:eastAsia="en-GB"/>
        </w:rPr>
        <w:t xml:space="preserve"> of all training events – this is not unexpected as this was a new indicator this year. 21 of these training events were held by ALBs and </w:t>
      </w:r>
      <w:r w:rsidR="002D75DC">
        <w:rPr>
          <w:rFonts w:cs="Arial"/>
          <w:sz w:val="22"/>
          <w:szCs w:val="22"/>
          <w:lang w:eastAsia="en-GB"/>
        </w:rPr>
        <w:t>one</w:t>
      </w:r>
      <w:r w:rsidRPr="008072EB">
        <w:rPr>
          <w:rFonts w:cs="Arial"/>
          <w:sz w:val="22"/>
          <w:szCs w:val="22"/>
          <w:lang w:eastAsia="en-GB"/>
        </w:rPr>
        <w:t xml:space="preserve"> by GOAP. In only </w:t>
      </w:r>
      <w:r w:rsidR="002D75DC">
        <w:rPr>
          <w:rFonts w:cs="Arial"/>
          <w:sz w:val="22"/>
          <w:szCs w:val="22"/>
          <w:lang w:eastAsia="en-GB"/>
        </w:rPr>
        <w:t>one</w:t>
      </w:r>
      <w:r w:rsidRPr="008072EB">
        <w:rPr>
          <w:rFonts w:cs="Arial"/>
          <w:sz w:val="22"/>
          <w:szCs w:val="22"/>
          <w:lang w:eastAsia="en-GB"/>
        </w:rPr>
        <w:t xml:space="preserve"> case did delivery partners report less than 100% of participants report increased knowledge. Caution should be applied in the interpretation of this result due to the limited reporting this year. Further work will be needed to ensure the robustness of this reporting in future years.</w:t>
      </w:r>
    </w:p>
    <w:p w:rsidRPr="008D1440" w:rsidR="008072EB" w:rsidP="008D1440" w:rsidRDefault="008D1440" w14:paraId="086E7628" w14:textId="605D7713">
      <w:pPr>
        <w:pStyle w:val="ListParagraph"/>
        <w:numPr>
          <w:ilvl w:val="1"/>
          <w:numId w:val="24"/>
        </w:numPr>
        <w:rPr>
          <w:rFonts w:cs="Arial"/>
          <w:sz w:val="22"/>
          <w:szCs w:val="22"/>
        </w:rPr>
      </w:pPr>
      <w:r w:rsidRPr="2C6B85DE">
        <w:rPr>
          <w:rFonts w:cs="Arial"/>
          <w:b/>
          <w:bCs/>
          <w:sz w:val="22"/>
          <w:szCs w:val="22"/>
        </w:rPr>
        <w:t xml:space="preserve">- </w:t>
      </w:r>
      <w:r w:rsidRPr="2C6B85DE" w:rsidR="008072EB">
        <w:rPr>
          <w:rFonts w:cs="Arial"/>
          <w:b/>
          <w:bCs/>
          <w:sz w:val="22"/>
          <w:szCs w:val="22"/>
        </w:rPr>
        <w:t xml:space="preserve">C. </w:t>
      </w:r>
      <w:r w:rsidRPr="2C6B85DE" w:rsidR="008072EB">
        <w:rPr>
          <w:rFonts w:cs="Arial"/>
          <w:sz w:val="22"/>
          <w:szCs w:val="22"/>
        </w:rPr>
        <w:t xml:space="preserve">Progress against this indicator has been limited this year, partially </w:t>
      </w:r>
      <w:r w:rsidRPr="2C6B85DE" w:rsidR="000E1473">
        <w:rPr>
          <w:rFonts w:cs="Arial"/>
          <w:sz w:val="22"/>
          <w:szCs w:val="22"/>
        </w:rPr>
        <w:t>because</w:t>
      </w:r>
      <w:r w:rsidRPr="2C6B85DE" w:rsidR="008072EB">
        <w:rPr>
          <w:rFonts w:cs="Arial"/>
          <w:sz w:val="22"/>
          <w:szCs w:val="22"/>
        </w:rPr>
        <w:t xml:space="preserve"> this was a new indicator, introduced part way through the year. However, ALB partners have </w:t>
      </w:r>
      <w:r w:rsidRPr="2C6B85DE" w:rsidR="00B24EC9">
        <w:rPr>
          <w:rFonts w:cs="Arial"/>
          <w:sz w:val="22"/>
          <w:szCs w:val="22"/>
        </w:rPr>
        <w:t xml:space="preserve">significantly </w:t>
      </w:r>
      <w:r w:rsidRPr="2C6B85DE" w:rsidR="008072EB">
        <w:rPr>
          <w:rFonts w:cs="Arial"/>
          <w:sz w:val="22"/>
          <w:szCs w:val="22"/>
        </w:rPr>
        <w:t xml:space="preserve">under </w:t>
      </w:r>
      <w:r w:rsidRPr="2C6B85DE" w:rsidR="00B24EC9">
        <w:rPr>
          <w:rFonts w:cs="Arial"/>
          <w:sz w:val="22"/>
          <w:szCs w:val="22"/>
        </w:rPr>
        <w:t xml:space="preserve">achieved </w:t>
      </w:r>
      <w:r w:rsidRPr="2C6B85DE" w:rsidR="0021372F">
        <w:rPr>
          <w:rFonts w:cs="Arial"/>
          <w:sz w:val="22"/>
          <w:szCs w:val="22"/>
        </w:rPr>
        <w:t xml:space="preserve">against this target </w:t>
      </w:r>
      <w:r w:rsidRPr="2C6B85DE" w:rsidR="008072EB">
        <w:rPr>
          <w:rFonts w:cs="Arial"/>
          <w:sz w:val="22"/>
          <w:szCs w:val="22"/>
        </w:rPr>
        <w:t xml:space="preserve">ALB partners reported </w:t>
      </w:r>
      <w:r w:rsidRPr="2C6B85DE" w:rsidR="002D75DC">
        <w:rPr>
          <w:rFonts w:cs="Arial"/>
          <w:sz w:val="22"/>
          <w:szCs w:val="22"/>
        </w:rPr>
        <w:t xml:space="preserve">two </w:t>
      </w:r>
      <w:r w:rsidRPr="2C6B85DE" w:rsidR="008072EB">
        <w:rPr>
          <w:rFonts w:cs="Arial"/>
          <w:sz w:val="22"/>
          <w:szCs w:val="22"/>
        </w:rPr>
        <w:t xml:space="preserve">organisations, which sits below the threshold of </w:t>
      </w:r>
      <w:r w:rsidRPr="2C6B85DE" w:rsidR="001A195A">
        <w:rPr>
          <w:rFonts w:cs="Arial"/>
          <w:sz w:val="22"/>
          <w:szCs w:val="22"/>
        </w:rPr>
        <w:t>nine</w:t>
      </w:r>
      <w:r w:rsidRPr="2C6B85DE" w:rsidR="008072EB">
        <w:rPr>
          <w:rFonts w:cs="Arial"/>
          <w:sz w:val="22"/>
          <w:szCs w:val="22"/>
        </w:rPr>
        <w:t xml:space="preserve"> required to meet expectations.</w:t>
      </w:r>
      <w:r w:rsidRPr="2C6B85DE" w:rsidR="000A3D60">
        <w:rPr>
          <w:rFonts w:cs="Arial"/>
          <w:sz w:val="22"/>
          <w:szCs w:val="22"/>
        </w:rPr>
        <w:t xml:space="preserve"> Whilst indicator 1.2 counts the number of organisation</w:t>
      </w:r>
      <w:r w:rsidRPr="2C6B85DE" w:rsidR="000F073C">
        <w:rPr>
          <w:rFonts w:cs="Arial"/>
          <w:sz w:val="22"/>
          <w:szCs w:val="22"/>
        </w:rPr>
        <w:t>s</w:t>
      </w:r>
      <w:r w:rsidRPr="2C6B85DE" w:rsidR="000A3D60">
        <w:rPr>
          <w:rFonts w:cs="Arial"/>
          <w:sz w:val="22"/>
          <w:szCs w:val="22"/>
        </w:rPr>
        <w:t xml:space="preserve"> provided with functioning equipment, </w:t>
      </w:r>
      <w:r w:rsidRPr="2C6B85DE" w:rsidR="00585A5A">
        <w:rPr>
          <w:rFonts w:cs="Arial"/>
          <w:sz w:val="22"/>
          <w:szCs w:val="22"/>
        </w:rPr>
        <w:t xml:space="preserve">it may take time </w:t>
      </w:r>
      <w:r w:rsidRPr="2C6B85DE" w:rsidR="000A3D60">
        <w:rPr>
          <w:rFonts w:cs="Arial"/>
          <w:sz w:val="22"/>
          <w:szCs w:val="22"/>
        </w:rPr>
        <w:t xml:space="preserve">once equipment is delivered to achieve the ‘fully functioning’ </w:t>
      </w:r>
      <w:r w:rsidRPr="2C6B85DE" w:rsidR="00873D69">
        <w:rPr>
          <w:rFonts w:cs="Arial"/>
          <w:sz w:val="22"/>
          <w:szCs w:val="22"/>
        </w:rPr>
        <w:t>status. This</w:t>
      </w:r>
      <w:r w:rsidRPr="2C6B85DE" w:rsidR="00C13221">
        <w:rPr>
          <w:rFonts w:cs="Arial"/>
          <w:sz w:val="22"/>
          <w:szCs w:val="22"/>
        </w:rPr>
        <w:t xml:space="preserve"> indicator also assesses if partner staff have capacity/time to utilise the new equipment.</w:t>
      </w:r>
      <w:r w:rsidRPr="2C6B85DE" w:rsidR="00330CE6">
        <w:rPr>
          <w:rFonts w:cs="Arial"/>
          <w:sz w:val="22"/>
          <w:szCs w:val="22"/>
        </w:rPr>
        <w:t xml:space="preserve"> </w:t>
      </w:r>
      <w:r w:rsidRPr="2C6B85DE" w:rsidR="00826FBA">
        <w:rPr>
          <w:rFonts w:cs="Arial"/>
          <w:sz w:val="22"/>
          <w:szCs w:val="22"/>
        </w:rPr>
        <w:t xml:space="preserve"> </w:t>
      </w:r>
      <w:r w:rsidRPr="2C6B85DE" w:rsidR="00873D69">
        <w:rPr>
          <w:rFonts w:cs="Arial"/>
          <w:sz w:val="22"/>
          <w:szCs w:val="22"/>
        </w:rPr>
        <w:t>For example, in Belize, the programme delivered microscope bundle-lenses and laptop to the Ministry of Agriculture, Food Security, and Enterprise but the ALBs reported that while staff are trained within the organisation, they do not have the time nor mandate to use the equipment.</w:t>
      </w:r>
    </w:p>
    <w:p w:rsidRPr="008072EB" w:rsidR="00FF0D9E" w:rsidP="00FF0D9E" w:rsidRDefault="008072EB" w14:paraId="31A3EFAD" w14:textId="34DE5624">
      <w:pPr>
        <w:numPr>
          <w:ilvl w:val="1"/>
          <w:numId w:val="24"/>
        </w:numPr>
        <w:spacing w:after="240" w:line="259" w:lineRule="auto"/>
        <w:contextualSpacing/>
        <w:rPr>
          <w:rFonts w:cs="Arial"/>
          <w:b/>
          <w:bCs/>
          <w:sz w:val="22"/>
          <w:szCs w:val="22"/>
          <w:lang w:eastAsia="en-GB"/>
        </w:rPr>
      </w:pPr>
      <w:r w:rsidRPr="1FB22237">
        <w:rPr>
          <w:rFonts w:cs="Arial"/>
          <w:b/>
          <w:bCs/>
          <w:sz w:val="22"/>
          <w:szCs w:val="22"/>
          <w:lang w:eastAsia="en-GB"/>
        </w:rPr>
        <w:t xml:space="preserve">- A. </w:t>
      </w:r>
      <w:r w:rsidRPr="1FB22237">
        <w:rPr>
          <w:rFonts w:cs="Arial"/>
          <w:sz w:val="22"/>
          <w:szCs w:val="22"/>
          <w:lang w:eastAsia="en-GB"/>
        </w:rPr>
        <w:t xml:space="preserve">Delivery partners have delivered technical assistance to individuals across our ALB-led bilateral partnerships and GOAP and FOA pilot countries. ALB partners reported </w:t>
      </w:r>
      <w:r w:rsidRPr="1FB22237" w:rsidR="00705AD1">
        <w:rPr>
          <w:rFonts w:cs="Arial"/>
          <w:sz w:val="22"/>
          <w:szCs w:val="22"/>
          <w:lang w:eastAsia="en-GB"/>
        </w:rPr>
        <w:t>1022</w:t>
      </w:r>
      <w:r w:rsidRPr="1FB22237">
        <w:rPr>
          <w:rFonts w:cs="Arial"/>
          <w:sz w:val="22"/>
          <w:szCs w:val="22"/>
          <w:lang w:eastAsia="en-GB"/>
        </w:rPr>
        <w:t>, GOAP 244 and FOA 1</w:t>
      </w:r>
      <w:r w:rsidRPr="1FB22237" w:rsidR="00705AD1">
        <w:rPr>
          <w:rFonts w:cs="Arial"/>
          <w:sz w:val="22"/>
          <w:szCs w:val="22"/>
          <w:lang w:eastAsia="en-GB"/>
        </w:rPr>
        <w:t>8</w:t>
      </w:r>
      <w:r w:rsidRPr="1FB22237">
        <w:rPr>
          <w:rFonts w:cs="Arial"/>
          <w:sz w:val="22"/>
          <w:szCs w:val="22"/>
          <w:lang w:eastAsia="en-GB"/>
        </w:rPr>
        <w:t>. The total reported is 12</w:t>
      </w:r>
      <w:r w:rsidRPr="1FB22237" w:rsidR="00705AD1">
        <w:rPr>
          <w:rFonts w:cs="Arial"/>
          <w:sz w:val="22"/>
          <w:szCs w:val="22"/>
          <w:lang w:eastAsia="en-GB"/>
        </w:rPr>
        <w:t>76</w:t>
      </w:r>
      <w:r w:rsidRPr="1FB22237" w:rsidR="00FE56AC">
        <w:rPr>
          <w:rFonts w:cs="Arial"/>
          <w:sz w:val="22"/>
          <w:szCs w:val="22"/>
          <w:lang w:eastAsia="en-GB"/>
        </w:rPr>
        <w:t xml:space="preserve"> individuals</w:t>
      </w:r>
      <w:r w:rsidRPr="1FB22237">
        <w:rPr>
          <w:rFonts w:cs="Arial"/>
          <w:sz w:val="22"/>
          <w:szCs w:val="22"/>
          <w:lang w:eastAsia="en-GB"/>
        </w:rPr>
        <w:t>. This indicator was disaggregated by Gender of the total 36% reported female, 4</w:t>
      </w:r>
      <w:r w:rsidRPr="1FB22237" w:rsidR="00E80C6C">
        <w:rPr>
          <w:rFonts w:cs="Arial"/>
          <w:sz w:val="22"/>
          <w:szCs w:val="22"/>
          <w:lang w:eastAsia="en-GB"/>
        </w:rPr>
        <w:t>6</w:t>
      </w:r>
      <w:r w:rsidRPr="1FB22237">
        <w:rPr>
          <w:rFonts w:cs="Arial"/>
          <w:sz w:val="22"/>
          <w:szCs w:val="22"/>
          <w:lang w:eastAsia="en-GB"/>
        </w:rPr>
        <w:t>% male and 1</w:t>
      </w:r>
      <w:r w:rsidRPr="1FB22237" w:rsidR="00E80C6C">
        <w:rPr>
          <w:rFonts w:cs="Arial"/>
          <w:sz w:val="22"/>
          <w:szCs w:val="22"/>
          <w:lang w:eastAsia="en-GB"/>
        </w:rPr>
        <w:t>8</w:t>
      </w:r>
      <w:r w:rsidRPr="1FB22237">
        <w:rPr>
          <w:rFonts w:cs="Arial"/>
          <w:sz w:val="22"/>
          <w:szCs w:val="22"/>
          <w:lang w:eastAsia="en-GB"/>
        </w:rPr>
        <w:t>% did not report.</w:t>
      </w:r>
      <w:r w:rsidRPr="1FB22237" w:rsidR="00FD6368">
        <w:rPr>
          <w:rFonts w:cs="Arial"/>
          <w:sz w:val="22"/>
          <w:szCs w:val="22"/>
          <w:lang w:eastAsia="en-GB"/>
        </w:rPr>
        <w:t xml:space="preserve"> </w:t>
      </w:r>
      <w:r w:rsidRPr="1FB22237" w:rsidR="00FF0D9E">
        <w:rPr>
          <w:rFonts w:cs="Arial"/>
          <w:sz w:val="22"/>
          <w:szCs w:val="22"/>
          <w:lang w:eastAsia="en-GB"/>
        </w:rPr>
        <w:t>For example, ALB</w:t>
      </w:r>
      <w:r w:rsidRPr="1FB22237" w:rsidR="00A62A8E">
        <w:rPr>
          <w:rFonts w:cs="Arial"/>
          <w:sz w:val="22"/>
          <w:szCs w:val="22"/>
          <w:lang w:eastAsia="en-GB"/>
        </w:rPr>
        <w:t xml:space="preserve"> partners </w:t>
      </w:r>
      <w:r w:rsidRPr="1FB22237" w:rsidR="00FF0D9E">
        <w:rPr>
          <w:rFonts w:cs="Arial"/>
          <w:sz w:val="22"/>
          <w:szCs w:val="22"/>
          <w:lang w:eastAsia="en-GB"/>
        </w:rPr>
        <w:t xml:space="preserve">held an </w:t>
      </w:r>
      <w:r w:rsidRPr="1FB22237" w:rsidR="008D1964">
        <w:rPr>
          <w:rFonts w:cs="Arial"/>
          <w:sz w:val="22"/>
          <w:szCs w:val="22"/>
          <w:lang w:eastAsia="en-GB"/>
        </w:rPr>
        <w:t>offshore</w:t>
      </w:r>
      <w:r w:rsidRPr="1FB22237" w:rsidR="00FF0D9E">
        <w:rPr>
          <w:rFonts w:cs="Arial"/>
          <w:sz w:val="22"/>
          <w:szCs w:val="22"/>
          <w:lang w:eastAsia="en-GB"/>
        </w:rPr>
        <w:t xml:space="preserve"> MPA Framework and Roadmap workshop with government officials</w:t>
      </w:r>
      <w:r w:rsidRPr="1FB22237" w:rsidR="00A62A8E">
        <w:rPr>
          <w:rFonts w:cs="Arial"/>
          <w:sz w:val="22"/>
          <w:szCs w:val="22"/>
          <w:lang w:eastAsia="en-GB"/>
        </w:rPr>
        <w:t xml:space="preserve"> in Senegal</w:t>
      </w:r>
      <w:r w:rsidRPr="1FB22237" w:rsidR="00AB534C">
        <w:rPr>
          <w:rFonts w:cs="Arial"/>
          <w:sz w:val="22"/>
          <w:szCs w:val="22"/>
          <w:lang w:eastAsia="en-GB"/>
        </w:rPr>
        <w:t xml:space="preserve"> and </w:t>
      </w:r>
      <w:r w:rsidRPr="1FB22237" w:rsidR="00FF0D9E">
        <w:rPr>
          <w:rFonts w:cs="Arial"/>
          <w:sz w:val="22"/>
          <w:szCs w:val="22"/>
          <w:lang w:eastAsia="en-GB"/>
        </w:rPr>
        <w:t xml:space="preserve">FOA </w:t>
      </w:r>
      <w:r w:rsidRPr="1FB22237" w:rsidR="00AB534C">
        <w:rPr>
          <w:rFonts w:cs="Arial"/>
          <w:sz w:val="22"/>
          <w:szCs w:val="22"/>
          <w:lang w:eastAsia="en-GB"/>
        </w:rPr>
        <w:t xml:space="preserve">provided training </w:t>
      </w:r>
      <w:r w:rsidRPr="1FB22237" w:rsidR="00FF0D9E">
        <w:rPr>
          <w:rFonts w:cs="Arial"/>
          <w:sz w:val="22"/>
          <w:szCs w:val="22"/>
          <w:lang w:eastAsia="en-GB"/>
        </w:rPr>
        <w:t xml:space="preserve">in Ghana </w:t>
      </w:r>
      <w:r w:rsidRPr="1FB22237" w:rsidR="00982583">
        <w:rPr>
          <w:rFonts w:cs="Arial"/>
          <w:sz w:val="22"/>
          <w:szCs w:val="22"/>
          <w:lang w:eastAsia="en-GB"/>
        </w:rPr>
        <w:t xml:space="preserve">to </w:t>
      </w:r>
      <w:r w:rsidRPr="1FB22237" w:rsidR="00FF0D9E">
        <w:rPr>
          <w:rFonts w:cs="Arial"/>
          <w:sz w:val="22"/>
          <w:szCs w:val="22"/>
          <w:lang w:eastAsia="en-GB"/>
        </w:rPr>
        <w:t>launch the Blue Food Programme initiative</w:t>
      </w:r>
      <w:r w:rsidRPr="1FB22237" w:rsidR="00982583">
        <w:rPr>
          <w:rFonts w:cs="Arial"/>
          <w:sz w:val="22"/>
          <w:szCs w:val="22"/>
          <w:lang w:eastAsia="en-GB"/>
        </w:rPr>
        <w:t xml:space="preserve">, </w:t>
      </w:r>
      <w:r w:rsidRPr="1FB22237" w:rsidR="00FF0D9E">
        <w:rPr>
          <w:rFonts w:cs="Arial"/>
          <w:sz w:val="22"/>
          <w:szCs w:val="22"/>
          <w:lang w:eastAsia="en-GB"/>
        </w:rPr>
        <w:t>br</w:t>
      </w:r>
      <w:r w:rsidRPr="1FB22237" w:rsidR="00982583">
        <w:rPr>
          <w:rFonts w:cs="Arial"/>
          <w:sz w:val="22"/>
          <w:szCs w:val="22"/>
          <w:lang w:eastAsia="en-GB"/>
        </w:rPr>
        <w:t>inging</w:t>
      </w:r>
      <w:r w:rsidRPr="1FB22237" w:rsidR="00FF0D9E">
        <w:rPr>
          <w:rFonts w:cs="Arial"/>
          <w:sz w:val="22"/>
          <w:szCs w:val="22"/>
          <w:lang w:eastAsia="en-GB"/>
        </w:rPr>
        <w:t xml:space="preserve"> together various stakeholders to receive best practice information on sustainable seafood value chains.</w:t>
      </w:r>
    </w:p>
    <w:p w:rsidRPr="008072EB" w:rsidR="008072EB" w:rsidP="005D2AF4" w:rsidRDefault="008072EB" w14:paraId="10B78C30" w14:textId="7192D37C">
      <w:pPr>
        <w:spacing w:after="240" w:line="259" w:lineRule="auto"/>
        <w:ind w:left="370"/>
        <w:contextualSpacing/>
        <w:rPr>
          <w:rFonts w:cs="Arial"/>
          <w:b/>
          <w:bCs/>
          <w:sz w:val="22"/>
          <w:szCs w:val="22"/>
          <w:lang w:eastAsia="en-GB"/>
        </w:rPr>
      </w:pPr>
    </w:p>
    <w:p w:rsidRPr="008072EB" w:rsidR="008072EB" w:rsidP="000A291A" w:rsidRDefault="008072EB" w14:paraId="6C89D4FE" w14:textId="77777777">
      <w:pPr>
        <w:spacing w:after="240"/>
        <w:ind w:left="370"/>
        <w:contextualSpacing/>
        <w:rPr>
          <w:rFonts w:cs="Arial"/>
          <w:b/>
          <w:bCs/>
          <w:sz w:val="22"/>
          <w:szCs w:val="22"/>
          <w:lang w:eastAsia="en-GB"/>
        </w:rPr>
      </w:pPr>
    </w:p>
    <w:p w:rsidRPr="008072EB" w:rsidR="008072EB" w:rsidP="001D265D" w:rsidRDefault="008072EB" w14:paraId="7EBD0004" w14:textId="397A1C0E">
      <w:pPr>
        <w:numPr>
          <w:ilvl w:val="1"/>
          <w:numId w:val="24"/>
        </w:numPr>
        <w:spacing w:after="240" w:line="259" w:lineRule="auto"/>
        <w:contextualSpacing/>
        <w:rPr>
          <w:rFonts w:cs="Arial"/>
          <w:sz w:val="22"/>
          <w:szCs w:val="22"/>
          <w:lang w:eastAsia="en-GB"/>
        </w:rPr>
      </w:pPr>
      <w:r w:rsidRPr="1FB22237">
        <w:rPr>
          <w:rFonts w:cs="Arial"/>
          <w:b/>
          <w:bCs/>
          <w:sz w:val="22"/>
          <w:szCs w:val="22"/>
          <w:lang w:eastAsia="en-GB"/>
        </w:rPr>
        <w:t xml:space="preserve">- A. </w:t>
      </w:r>
      <w:r w:rsidRPr="1FB22237">
        <w:rPr>
          <w:rFonts w:cs="Arial"/>
          <w:sz w:val="22"/>
          <w:szCs w:val="22"/>
          <w:lang w:eastAsia="en-GB"/>
        </w:rPr>
        <w:t>Delivery partners have delivered technical assistance to organisations across our ALB-led bilateral partnerships and GOAP pilot countries. ALB partners reported 2</w:t>
      </w:r>
      <w:r w:rsidRPr="1FB22237" w:rsidR="00063981">
        <w:rPr>
          <w:rFonts w:cs="Arial"/>
          <w:sz w:val="22"/>
          <w:szCs w:val="22"/>
          <w:lang w:eastAsia="en-GB"/>
        </w:rPr>
        <w:t>9</w:t>
      </w:r>
      <w:r w:rsidRPr="1FB22237">
        <w:rPr>
          <w:rFonts w:cs="Arial"/>
          <w:sz w:val="22"/>
          <w:szCs w:val="22"/>
          <w:lang w:eastAsia="en-GB"/>
        </w:rPr>
        <w:t xml:space="preserve">6, GOAP </w:t>
      </w:r>
      <w:r w:rsidRPr="1FB22237" w:rsidR="00063981">
        <w:rPr>
          <w:rFonts w:cs="Arial"/>
          <w:sz w:val="22"/>
          <w:szCs w:val="22"/>
          <w:lang w:eastAsia="en-GB"/>
        </w:rPr>
        <w:t xml:space="preserve">46 </w:t>
      </w:r>
      <w:r w:rsidRPr="1FB22237">
        <w:rPr>
          <w:rFonts w:cs="Arial"/>
          <w:sz w:val="22"/>
          <w:szCs w:val="22"/>
          <w:lang w:eastAsia="en-GB"/>
        </w:rPr>
        <w:t xml:space="preserve">and FOA 52. The total reported is </w:t>
      </w:r>
      <w:r w:rsidRPr="1FB22237" w:rsidR="00842766">
        <w:rPr>
          <w:rFonts w:cs="Arial"/>
          <w:sz w:val="22"/>
          <w:szCs w:val="22"/>
          <w:lang w:eastAsia="en-GB"/>
        </w:rPr>
        <w:t>37</w:t>
      </w:r>
      <w:r w:rsidRPr="1FB22237">
        <w:rPr>
          <w:rFonts w:cs="Arial"/>
          <w:sz w:val="22"/>
          <w:szCs w:val="22"/>
          <w:lang w:eastAsia="en-GB"/>
        </w:rPr>
        <w:t>0.</w:t>
      </w:r>
      <w:r w:rsidR="005D2AF4">
        <w:t xml:space="preserve"> O</w:t>
      </w:r>
      <w:r w:rsidRPr="1FB22237" w:rsidR="005D2AF4">
        <w:rPr>
          <w:rFonts w:cs="Arial"/>
          <w:sz w:val="22"/>
          <w:szCs w:val="22"/>
          <w:lang w:eastAsia="en-GB"/>
        </w:rPr>
        <w:t>rganisation types include government departments and/or ministries and civil service; non-profit companies; private companies; and academia. For example, FOA in Samoa delivered a training workshop on opportunities to leverage the ocean economy for sustainable development to a variety of government ministries, a private foundation, and a private corporation.</w:t>
      </w:r>
    </w:p>
    <w:p w:rsidR="00861938" w:rsidP="000A291A" w:rsidRDefault="00861938" w14:paraId="4F00FE33" w14:textId="77777777">
      <w:pPr>
        <w:spacing w:after="160" w:line="259" w:lineRule="auto"/>
        <w:rPr>
          <w:rFonts w:cs="Arial"/>
          <w:sz w:val="22"/>
          <w:szCs w:val="22"/>
          <w:u w:val="single"/>
        </w:rPr>
      </w:pPr>
    </w:p>
    <w:p w:rsidRPr="008072EB" w:rsidR="008072EB" w:rsidP="000A291A" w:rsidRDefault="002D506E" w14:paraId="33B6A173" w14:textId="3CFF265D">
      <w:pPr>
        <w:spacing w:after="160" w:line="259" w:lineRule="auto"/>
        <w:rPr>
          <w:rFonts w:cs="Arial"/>
          <w:sz w:val="22"/>
          <w:szCs w:val="22"/>
          <w:u w:val="single"/>
        </w:rPr>
      </w:pPr>
      <w:r>
        <w:rPr>
          <w:rFonts w:cs="Arial"/>
          <w:sz w:val="22"/>
          <w:szCs w:val="22"/>
          <w:u w:val="single"/>
        </w:rPr>
        <w:t xml:space="preserve">Detailed </w:t>
      </w:r>
      <w:r w:rsidR="00D37A56">
        <w:rPr>
          <w:rFonts w:cs="Arial"/>
          <w:sz w:val="22"/>
          <w:szCs w:val="22"/>
          <w:u w:val="single"/>
        </w:rPr>
        <w:t xml:space="preserve">output example for indicators 1.1, 1.3 and 1.4 </w:t>
      </w:r>
    </w:p>
    <w:p w:rsidRPr="008072EB" w:rsidR="008072EB" w:rsidP="000A291A" w:rsidRDefault="008072EB" w14:paraId="005C8655" w14:textId="3E7D1BD2">
      <w:pPr>
        <w:spacing w:after="160" w:line="259" w:lineRule="auto"/>
        <w:rPr>
          <w:rFonts w:cs="Arial"/>
          <w:sz w:val="22"/>
          <w:szCs w:val="22"/>
        </w:rPr>
      </w:pPr>
      <w:r w:rsidRPr="008072EB">
        <w:rPr>
          <w:rFonts w:cs="Arial"/>
          <w:b/>
          <w:bCs/>
          <w:sz w:val="22"/>
          <w:szCs w:val="22"/>
        </w:rPr>
        <w:t>ALBs, Ghana:</w:t>
      </w:r>
      <w:r w:rsidRPr="008072EB">
        <w:rPr>
          <w:rFonts w:cs="Arial"/>
          <w:sz w:val="22"/>
          <w:szCs w:val="22"/>
        </w:rPr>
        <w:t xml:space="preserve"> In December 2023, the OCPP, represented by the Joint Nature Conservation Committee (JNCC) and Marine Management Organisation (MMO), hosted a Marine Spatial Planning (MSP) capacity building workshop in Ghana. The workshop was delivered in partnership with Ghana’s Land Use and Spatial Planning Authority (LUSPA), Office of the President of Ghana, and Environmental Protection Agency (EPA). Ten different institutions/organisations from Ghana attended the workshops</w:t>
      </w:r>
      <w:r w:rsidR="0036394C">
        <w:rPr>
          <w:rFonts w:cs="Arial"/>
          <w:sz w:val="22"/>
          <w:szCs w:val="22"/>
        </w:rPr>
        <w:t xml:space="preserve"> </w:t>
      </w:r>
      <w:r w:rsidR="00FB11CB">
        <w:rPr>
          <w:rFonts w:cs="Arial"/>
          <w:sz w:val="22"/>
          <w:szCs w:val="22"/>
        </w:rPr>
        <w:t>(</w:t>
      </w:r>
      <w:r w:rsidR="0036394C">
        <w:rPr>
          <w:rFonts w:cs="Arial"/>
          <w:sz w:val="22"/>
          <w:szCs w:val="22"/>
        </w:rPr>
        <w:t>36 attendees in total</w:t>
      </w:r>
      <w:r w:rsidR="00FB11CB">
        <w:rPr>
          <w:rFonts w:cs="Arial"/>
          <w:sz w:val="22"/>
          <w:szCs w:val="22"/>
        </w:rPr>
        <w:t>)</w:t>
      </w:r>
      <w:r w:rsidRPr="008072EB">
        <w:rPr>
          <w:rFonts w:cs="Arial"/>
          <w:sz w:val="22"/>
          <w:szCs w:val="22"/>
        </w:rPr>
        <w:t>, whose objectives were to build capacity of stakeholders to contribute to MSP in Ghana and facilitate the sharing of evidence/data to support MSP in the country.​</w:t>
      </w:r>
    </w:p>
    <w:p w:rsidRPr="008072EB" w:rsidR="008072EB" w:rsidP="000A291A" w:rsidRDefault="008072EB" w14:paraId="789A1E47" w14:textId="77777777">
      <w:pPr>
        <w:spacing w:after="160" w:line="259" w:lineRule="auto"/>
        <w:rPr>
          <w:rFonts w:cs="Arial"/>
          <w:sz w:val="22"/>
          <w:szCs w:val="22"/>
        </w:rPr>
      </w:pPr>
      <w:r w:rsidRPr="008072EB">
        <w:rPr>
          <w:rFonts w:cs="Arial"/>
          <w:sz w:val="22"/>
          <w:szCs w:val="22"/>
        </w:rPr>
        <w:t>Following their attendance of the capacity-building workshop, all participants who responded to the post-workshop survey (100% of 13 respondents) considered themselves as being either ‘very knowledgeable’ (76% of 13 respondents) or ‘knowledgeable’ (24% of 13 respondents) on MSP.​ When asked to describe how the capacity-building workshop had helped to further individual knowledge and understanding of MSP, the following common themes were identified from respondent answers:​</w:t>
      </w:r>
    </w:p>
    <w:p w:rsidRPr="008072EB" w:rsidR="008072EB" w:rsidP="001D265D" w:rsidRDefault="008072EB" w14:paraId="4B887ADC" w14:textId="77777777">
      <w:pPr>
        <w:numPr>
          <w:ilvl w:val="0"/>
          <w:numId w:val="26"/>
        </w:numPr>
        <w:spacing w:after="160" w:line="259" w:lineRule="auto"/>
        <w:contextualSpacing/>
        <w:rPr>
          <w:rFonts w:cs="Arial"/>
          <w:sz w:val="22"/>
          <w:szCs w:val="22"/>
          <w:lang w:eastAsia="en-GB"/>
        </w:rPr>
      </w:pPr>
      <w:r w:rsidRPr="008072EB">
        <w:rPr>
          <w:rFonts w:cs="Arial"/>
          <w:sz w:val="22"/>
          <w:szCs w:val="22"/>
          <w:lang w:eastAsia="en-GB"/>
        </w:rPr>
        <w:t>Importance of stakeholder engagement​</w:t>
      </w:r>
    </w:p>
    <w:p w:rsidRPr="008072EB" w:rsidR="008072EB" w:rsidP="001D265D" w:rsidRDefault="008072EB" w14:paraId="4DDE35E5" w14:textId="77777777">
      <w:pPr>
        <w:numPr>
          <w:ilvl w:val="0"/>
          <w:numId w:val="26"/>
        </w:numPr>
        <w:spacing w:after="160" w:line="259" w:lineRule="auto"/>
        <w:contextualSpacing/>
        <w:rPr>
          <w:rFonts w:cs="Arial"/>
          <w:sz w:val="22"/>
          <w:szCs w:val="22"/>
          <w:lang w:eastAsia="en-GB"/>
        </w:rPr>
      </w:pPr>
      <w:r w:rsidRPr="008072EB">
        <w:rPr>
          <w:rFonts w:cs="Arial"/>
          <w:sz w:val="22"/>
          <w:szCs w:val="22"/>
          <w:lang w:eastAsia="en-GB"/>
        </w:rPr>
        <w:t>Increased knowledge of MSP processes ​</w:t>
      </w:r>
    </w:p>
    <w:p w:rsidRPr="008072EB" w:rsidR="008072EB" w:rsidP="001D265D" w:rsidRDefault="008072EB" w14:paraId="60C66237" w14:textId="77777777">
      <w:pPr>
        <w:numPr>
          <w:ilvl w:val="0"/>
          <w:numId w:val="26"/>
        </w:numPr>
        <w:spacing w:after="160" w:line="259" w:lineRule="auto"/>
        <w:contextualSpacing/>
        <w:rPr>
          <w:rFonts w:cs="Arial"/>
          <w:sz w:val="22"/>
          <w:szCs w:val="22"/>
          <w:lang w:eastAsia="en-GB"/>
        </w:rPr>
      </w:pPr>
      <w:r w:rsidRPr="008072EB">
        <w:rPr>
          <w:rFonts w:cs="Arial"/>
          <w:sz w:val="22"/>
          <w:szCs w:val="22"/>
          <w:lang w:eastAsia="en-GB"/>
        </w:rPr>
        <w:t>Increased knowledge of why MSP is important​</w:t>
      </w:r>
    </w:p>
    <w:p w:rsidRPr="008072EB" w:rsidR="008072EB" w:rsidP="001D265D" w:rsidRDefault="008072EB" w14:paraId="35B2B185" w14:textId="4ECD2D24">
      <w:pPr>
        <w:numPr>
          <w:ilvl w:val="0"/>
          <w:numId w:val="26"/>
        </w:numPr>
        <w:spacing w:after="160" w:line="259" w:lineRule="auto"/>
        <w:contextualSpacing/>
        <w:rPr>
          <w:rFonts w:cs="Arial"/>
          <w:sz w:val="22"/>
          <w:szCs w:val="22"/>
          <w:u w:val="single"/>
          <w:lang w:eastAsia="en-GB"/>
        </w:rPr>
      </w:pPr>
      <w:r w:rsidRPr="4EF4BCFA">
        <w:rPr>
          <w:rFonts w:cs="Arial"/>
          <w:sz w:val="22"/>
          <w:szCs w:val="22"/>
          <w:lang w:eastAsia="en-GB"/>
        </w:rPr>
        <w:t>Lessons that can be learned learnt from other countries and experts​</w:t>
      </w:r>
      <w:r w:rsidRPr="4EF4BCFA" w:rsidR="7A166DB0">
        <w:rPr>
          <w:rFonts w:cs="Arial"/>
          <w:sz w:val="22"/>
          <w:szCs w:val="22"/>
          <w:lang w:eastAsia="en-GB"/>
        </w:rPr>
        <w:t>.</w:t>
      </w:r>
    </w:p>
    <w:p w:rsidRPr="008072EB" w:rsidR="008072EB" w:rsidP="008072EB" w:rsidRDefault="008072EB" w14:paraId="2351177B" w14:textId="77777777">
      <w:pPr>
        <w:spacing w:after="160" w:line="259" w:lineRule="auto"/>
        <w:ind w:left="720"/>
        <w:contextualSpacing/>
        <w:rPr>
          <w:rFonts w:cs="Arial"/>
          <w:sz w:val="22"/>
          <w:szCs w:val="22"/>
          <w:u w:val="single"/>
          <w:lang w:eastAsia="en-GB"/>
        </w:rPr>
      </w:pPr>
      <w:r w:rsidRPr="008072EB">
        <w:rPr>
          <w:rFonts w:cs="Arial"/>
          <w:sz w:val="22"/>
          <w:szCs w:val="22"/>
          <w:u w:val="single"/>
          <w:lang w:eastAsia="en-GB"/>
        </w:rPr>
        <w:br w:type="page"/>
      </w:r>
    </w:p>
    <w:p w:rsidRPr="008072EB" w:rsidR="008072EB" w:rsidP="008072EB" w:rsidRDefault="008072EB" w14:paraId="78FE8D31" w14:textId="77777777">
      <w:pPr>
        <w:jc w:val="both"/>
        <w:rPr>
          <w:rFonts w:cs="Arial"/>
          <w:b/>
          <w:bCs/>
          <w:sz w:val="22"/>
          <w:szCs w:val="22"/>
        </w:rPr>
      </w:pPr>
      <w:r w:rsidRPr="008072EB">
        <w:rPr>
          <w:rFonts w:cs="Arial"/>
          <w:b/>
          <w:bCs/>
          <w:sz w:val="22"/>
          <w:szCs w:val="22"/>
        </w:rPr>
        <w:t xml:space="preserve">Output 2 </w:t>
      </w:r>
    </w:p>
    <w:p w:rsidRPr="008072EB" w:rsidR="008072EB" w:rsidP="008072EB" w:rsidRDefault="008072EB" w14:paraId="587B83E4" w14:textId="77777777">
      <w:pPr>
        <w:jc w:val="both"/>
        <w:rPr>
          <w:rFonts w:cs="Arial"/>
          <w:sz w:val="22"/>
          <w:szCs w:val="22"/>
        </w:rPr>
      </w:pPr>
    </w:p>
    <w:tbl>
      <w:tblPr>
        <w:tblStyle w:val="TableGrid"/>
        <w:tblW w:w="9356" w:type="dxa"/>
        <w:tblInd w:w="-147" w:type="dxa"/>
        <w:tblLook w:val="04A0" w:firstRow="1" w:lastRow="0" w:firstColumn="1" w:lastColumn="0" w:noHBand="0" w:noVBand="1"/>
      </w:tblPr>
      <w:tblGrid>
        <w:gridCol w:w="1708"/>
        <w:gridCol w:w="616"/>
        <w:gridCol w:w="937"/>
        <w:gridCol w:w="3283"/>
        <w:gridCol w:w="2812"/>
      </w:tblGrid>
      <w:tr w:rsidRPr="008072EB" w:rsidR="00EC7BB8" w14:paraId="4539DDF1" w14:textId="77777777">
        <w:trPr>
          <w:trHeight w:val="489"/>
        </w:trPr>
        <w:tc>
          <w:tcPr>
            <w:tcW w:w="1708"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157F9BAC" w14:textId="77777777">
            <w:pPr>
              <w:rPr>
                <w:b/>
                <w:bCs/>
                <w:sz w:val="20"/>
                <w:szCs w:val="20"/>
              </w:rPr>
            </w:pPr>
            <w:r w:rsidRPr="008072EB">
              <w:rPr>
                <w:b/>
                <w:bCs/>
                <w:sz w:val="20"/>
                <w:szCs w:val="20"/>
              </w:rPr>
              <w:t xml:space="preserve">Output Title </w:t>
            </w:r>
          </w:p>
        </w:tc>
        <w:tc>
          <w:tcPr>
            <w:tcW w:w="7648" w:type="dxa"/>
            <w:gridSpan w:val="4"/>
            <w:tcBorders>
              <w:top w:val="single" w:color="auto" w:sz="4" w:space="0"/>
              <w:left w:val="single" w:color="auto" w:sz="4" w:space="0"/>
              <w:bottom w:val="single" w:color="auto" w:sz="4" w:space="0"/>
              <w:right w:val="single" w:color="auto" w:sz="4" w:space="0"/>
            </w:tcBorders>
            <w:shd w:val="clear" w:color="auto" w:fill="FFFFFF" w:themeFill="background1"/>
          </w:tcPr>
          <w:p w:rsidRPr="008072EB" w:rsidR="008072EB" w:rsidP="008072EB" w:rsidRDefault="008072EB" w14:paraId="5B83C0CB" w14:textId="0CE77D05">
            <w:pPr>
              <w:rPr>
                <w:sz w:val="20"/>
                <w:szCs w:val="20"/>
              </w:rPr>
            </w:pPr>
            <w:r w:rsidRPr="008072EB">
              <w:rPr>
                <w:sz w:val="20"/>
                <w:szCs w:val="20"/>
              </w:rPr>
              <w:t xml:space="preserve">Policy and regulatory recommendations </w:t>
            </w:r>
            <w:r w:rsidRPr="008072EB" w:rsidR="008D1964">
              <w:rPr>
                <w:sz w:val="20"/>
                <w:szCs w:val="20"/>
              </w:rPr>
              <w:t>proposed,</w:t>
            </w:r>
            <w:r w:rsidRPr="008072EB">
              <w:rPr>
                <w:sz w:val="20"/>
                <w:szCs w:val="20"/>
              </w:rPr>
              <w:t xml:space="preserve"> and guidelines developed </w:t>
            </w:r>
          </w:p>
          <w:p w:rsidRPr="008072EB" w:rsidR="008072EB" w:rsidP="008072EB" w:rsidRDefault="008072EB" w14:paraId="68880522" w14:textId="77777777">
            <w:pPr>
              <w:rPr>
                <w:bCs/>
                <w:i/>
                <w:color w:val="FF0000"/>
                <w:sz w:val="20"/>
                <w:szCs w:val="20"/>
              </w:rPr>
            </w:pPr>
          </w:p>
        </w:tc>
      </w:tr>
      <w:tr w:rsidRPr="008072EB" w:rsidR="002C7B3C" w14:paraId="7216F2F7" w14:textId="77777777">
        <w:trPr>
          <w:trHeight w:val="347"/>
        </w:trPr>
        <w:tc>
          <w:tcPr>
            <w:tcW w:w="2324"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5804324D" w14:textId="77777777">
            <w:pPr>
              <w:rPr>
                <w:bCs/>
                <w:sz w:val="20"/>
                <w:szCs w:val="20"/>
              </w:rPr>
            </w:pPr>
            <w:r w:rsidRPr="008072EB">
              <w:rPr>
                <w:bCs/>
                <w:sz w:val="20"/>
                <w:szCs w:val="20"/>
              </w:rPr>
              <w:t xml:space="preserve">Output number: </w:t>
            </w:r>
          </w:p>
        </w:tc>
        <w:tc>
          <w:tcPr>
            <w:tcW w:w="937"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340AA650" w14:textId="77777777">
            <w:pPr>
              <w:rPr>
                <w:sz w:val="20"/>
                <w:szCs w:val="20"/>
              </w:rPr>
            </w:pPr>
            <w:r w:rsidRPr="008072EB">
              <w:rPr>
                <w:sz w:val="20"/>
                <w:szCs w:val="20"/>
              </w:rPr>
              <w:t>2</w:t>
            </w:r>
          </w:p>
        </w:tc>
        <w:tc>
          <w:tcPr>
            <w:tcW w:w="3283"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179B2BF3" w14:textId="77777777">
            <w:pPr>
              <w:rPr>
                <w:sz w:val="20"/>
                <w:szCs w:val="20"/>
              </w:rPr>
            </w:pPr>
            <w:r w:rsidRPr="008072EB">
              <w:rPr>
                <w:bCs/>
                <w:sz w:val="20"/>
                <w:szCs w:val="20"/>
              </w:rPr>
              <w:t xml:space="preserve">Output Score: </w:t>
            </w:r>
          </w:p>
        </w:tc>
        <w:tc>
          <w:tcPr>
            <w:tcW w:w="2812"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36F1B76F" w14:textId="77777777">
            <w:pPr>
              <w:rPr>
                <w:b/>
                <w:bCs/>
                <w:color w:val="FF0000"/>
                <w:sz w:val="20"/>
                <w:szCs w:val="20"/>
              </w:rPr>
            </w:pPr>
            <w:r w:rsidRPr="008072EB">
              <w:rPr>
                <w:b/>
                <w:bCs/>
                <w:color w:val="FF0000"/>
                <w:sz w:val="20"/>
                <w:szCs w:val="20"/>
              </w:rPr>
              <w:t>B</w:t>
            </w:r>
          </w:p>
        </w:tc>
      </w:tr>
      <w:tr w:rsidRPr="008072EB" w:rsidR="002C7B3C" w14:paraId="2130E65F" w14:textId="77777777">
        <w:trPr>
          <w:trHeight w:val="345"/>
        </w:trPr>
        <w:tc>
          <w:tcPr>
            <w:tcW w:w="2324"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7573DF2B" w14:textId="77777777">
            <w:pPr>
              <w:rPr>
                <w:sz w:val="20"/>
                <w:szCs w:val="20"/>
              </w:rPr>
            </w:pPr>
            <w:r w:rsidRPr="008072EB">
              <w:rPr>
                <w:bCs/>
                <w:sz w:val="20"/>
                <w:szCs w:val="20"/>
              </w:rPr>
              <w:t xml:space="preserve">Impact weighting (%):  </w:t>
            </w:r>
          </w:p>
        </w:tc>
        <w:tc>
          <w:tcPr>
            <w:tcW w:w="937" w:type="dxa"/>
            <w:tcBorders>
              <w:top w:val="single" w:color="auto" w:sz="4" w:space="0"/>
              <w:left w:val="single" w:color="auto" w:sz="4" w:space="0"/>
              <w:bottom w:val="single" w:color="auto" w:sz="4" w:space="0"/>
              <w:right w:val="single" w:color="auto" w:sz="4" w:space="0"/>
            </w:tcBorders>
            <w:hideMark/>
          </w:tcPr>
          <w:p w:rsidRPr="008072EB" w:rsidR="008072EB" w:rsidP="008072EB" w:rsidRDefault="008072EB" w14:paraId="7945751F" w14:textId="77777777">
            <w:pPr>
              <w:rPr>
                <w:sz w:val="20"/>
                <w:szCs w:val="20"/>
              </w:rPr>
            </w:pPr>
            <w:r w:rsidRPr="008072EB">
              <w:rPr>
                <w:sz w:val="20"/>
                <w:szCs w:val="20"/>
              </w:rPr>
              <w:t>16.66</w:t>
            </w:r>
          </w:p>
        </w:tc>
        <w:tc>
          <w:tcPr>
            <w:tcW w:w="3283"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78AB13E1" w14:textId="76498E10">
            <w:pPr>
              <w:rPr>
                <w:bCs/>
                <w:sz w:val="20"/>
                <w:szCs w:val="20"/>
              </w:rPr>
            </w:pPr>
            <w:r w:rsidRPr="008072EB">
              <w:rPr>
                <w:bCs/>
                <w:sz w:val="20"/>
                <w:szCs w:val="20"/>
              </w:rPr>
              <w:t xml:space="preserve">Weighting revised since last </w:t>
            </w:r>
            <w:r w:rsidR="00C14357">
              <w:rPr>
                <w:bCs/>
                <w:sz w:val="20"/>
                <w:szCs w:val="20"/>
              </w:rPr>
              <w:t>annual review</w:t>
            </w:r>
            <w:r w:rsidRPr="008072EB">
              <w:rPr>
                <w:bCs/>
                <w:sz w:val="20"/>
                <w:szCs w:val="20"/>
              </w:rPr>
              <w:t xml:space="preserve">? </w:t>
            </w:r>
          </w:p>
        </w:tc>
        <w:tc>
          <w:tcPr>
            <w:tcW w:w="2812"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5626950D" w14:textId="77777777">
            <w:pPr>
              <w:rPr>
                <w:sz w:val="20"/>
                <w:szCs w:val="20"/>
              </w:rPr>
            </w:pPr>
            <w:r w:rsidRPr="008072EB">
              <w:rPr>
                <w:sz w:val="20"/>
                <w:szCs w:val="20"/>
              </w:rPr>
              <w:t>N/A</w:t>
            </w:r>
          </w:p>
        </w:tc>
      </w:tr>
    </w:tbl>
    <w:p w:rsidRPr="008072EB" w:rsidR="008072EB" w:rsidP="008072EB" w:rsidRDefault="008072EB" w14:paraId="6C028B66" w14:textId="77777777">
      <w:pPr>
        <w:rPr>
          <w:bCs/>
          <w:sz w:val="20"/>
          <w:szCs w:val="20"/>
        </w:rPr>
      </w:pPr>
    </w:p>
    <w:tbl>
      <w:tblPr>
        <w:tblStyle w:val="TableGrid"/>
        <w:tblpPr w:leftFromText="180" w:rightFromText="180" w:vertAnchor="text" w:horzAnchor="page" w:tblpX="1325" w:tblpY="-10"/>
        <w:tblOverlap w:val="never"/>
        <w:tblW w:w="9309" w:type="dxa"/>
        <w:tblLook w:val="04A0" w:firstRow="1" w:lastRow="0" w:firstColumn="1" w:lastColumn="0" w:noHBand="0" w:noVBand="1"/>
      </w:tblPr>
      <w:tblGrid>
        <w:gridCol w:w="1362"/>
        <w:gridCol w:w="2207"/>
        <w:gridCol w:w="2210"/>
        <w:gridCol w:w="3530"/>
      </w:tblGrid>
      <w:tr w:rsidRPr="008072EB" w:rsidR="008072EB" w:rsidTr="1FB22237" w14:paraId="31F37CAF" w14:textId="77777777">
        <w:trPr>
          <w:trHeight w:val="278"/>
        </w:trPr>
        <w:tc>
          <w:tcPr>
            <w:tcW w:w="1362"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38AAAD6F" w14:textId="77777777">
            <w:pPr>
              <w:rPr>
                <w:b/>
                <w:bCs/>
                <w:sz w:val="20"/>
                <w:szCs w:val="20"/>
              </w:rPr>
            </w:pPr>
            <w:r w:rsidRPr="008072EB">
              <w:rPr>
                <w:b/>
                <w:bCs/>
                <w:sz w:val="20"/>
                <w:szCs w:val="20"/>
              </w:rPr>
              <w:t>Indicator(s)</w:t>
            </w:r>
          </w:p>
        </w:tc>
        <w:tc>
          <w:tcPr>
            <w:tcW w:w="2207"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8072EB" w:rsidR="008072EB" w:rsidP="008072EB" w:rsidRDefault="008072EB" w14:paraId="06CC4C07" w14:textId="77777777">
            <w:pPr>
              <w:rPr>
                <w:b/>
                <w:bCs/>
                <w:sz w:val="20"/>
                <w:szCs w:val="20"/>
              </w:rPr>
            </w:pPr>
            <w:r w:rsidRPr="008072EB">
              <w:rPr>
                <w:b/>
                <w:bCs/>
                <w:sz w:val="20"/>
                <w:szCs w:val="20"/>
              </w:rPr>
              <w:t>Description</w:t>
            </w:r>
          </w:p>
        </w:tc>
        <w:tc>
          <w:tcPr>
            <w:tcW w:w="2210"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668D4DB5" w14:textId="77777777">
            <w:pPr>
              <w:rPr>
                <w:b/>
                <w:bCs/>
                <w:sz w:val="20"/>
                <w:szCs w:val="20"/>
              </w:rPr>
            </w:pPr>
            <w:r w:rsidRPr="008072EB">
              <w:rPr>
                <w:b/>
                <w:bCs/>
                <w:sz w:val="20"/>
                <w:szCs w:val="20"/>
              </w:rPr>
              <w:t>Milestone(s) for this review</w:t>
            </w:r>
          </w:p>
        </w:tc>
        <w:tc>
          <w:tcPr>
            <w:tcW w:w="3530"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55EAF630" w14:textId="77777777">
            <w:pPr>
              <w:rPr>
                <w:b/>
                <w:bCs/>
                <w:sz w:val="20"/>
                <w:szCs w:val="20"/>
              </w:rPr>
            </w:pPr>
            <w:r w:rsidRPr="008072EB">
              <w:rPr>
                <w:b/>
                <w:bCs/>
                <w:sz w:val="20"/>
                <w:szCs w:val="20"/>
              </w:rPr>
              <w:t xml:space="preserve">Progress </w:t>
            </w:r>
          </w:p>
        </w:tc>
      </w:tr>
      <w:tr w:rsidRPr="008072EB" w:rsidR="008072EB" w:rsidTr="1FB22237" w14:paraId="347BEAA6" w14:textId="77777777">
        <w:trPr>
          <w:trHeight w:val="934"/>
        </w:trPr>
        <w:tc>
          <w:tcPr>
            <w:tcW w:w="1362"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650318F8" w14:textId="77777777">
            <w:pPr>
              <w:rPr>
                <w:sz w:val="20"/>
                <w:szCs w:val="20"/>
              </w:rPr>
            </w:pPr>
            <w:r w:rsidRPr="008072EB">
              <w:rPr>
                <w:sz w:val="20"/>
                <w:szCs w:val="20"/>
              </w:rPr>
              <w:t xml:space="preserve">2.1 </w:t>
            </w:r>
          </w:p>
        </w:tc>
        <w:tc>
          <w:tcPr>
            <w:tcW w:w="2207"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42E1C24D" w14:textId="77777777">
            <w:pPr>
              <w:rPr>
                <w:bCs/>
                <w:sz w:val="20"/>
                <w:szCs w:val="20"/>
              </w:rPr>
            </w:pPr>
            <w:r w:rsidRPr="008072EB">
              <w:rPr>
                <w:bCs/>
                <w:sz w:val="20"/>
                <w:szCs w:val="20"/>
              </w:rPr>
              <w:t>Number of outputs (policy briefs, roadmaps, recommendations or guidelines) developed that contribute to sustainable management </w:t>
            </w:r>
          </w:p>
        </w:tc>
        <w:tc>
          <w:tcPr>
            <w:tcW w:w="2210"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69E7E680" w14:textId="77777777">
            <w:pPr>
              <w:rPr>
                <w:bCs/>
                <w:sz w:val="20"/>
                <w:szCs w:val="20"/>
              </w:rPr>
            </w:pPr>
            <w:r w:rsidRPr="008072EB">
              <w:rPr>
                <w:bCs/>
                <w:sz w:val="20"/>
                <w:szCs w:val="20"/>
              </w:rPr>
              <w:t xml:space="preserve">24/25 Milestone: </w:t>
            </w:r>
          </w:p>
          <w:p w:rsidRPr="008072EB" w:rsidR="008072EB" w:rsidP="008072EB" w:rsidRDefault="008072EB" w14:paraId="0082B73D" w14:textId="77777777">
            <w:pPr>
              <w:rPr>
                <w:bCs/>
                <w:sz w:val="20"/>
                <w:szCs w:val="20"/>
              </w:rPr>
            </w:pPr>
            <w:r w:rsidRPr="008072EB">
              <w:rPr>
                <w:bCs/>
                <w:sz w:val="20"/>
                <w:szCs w:val="20"/>
              </w:rPr>
              <w:t>Total:70</w:t>
            </w:r>
          </w:p>
          <w:p w:rsidRPr="008072EB" w:rsidR="008072EB" w:rsidP="008072EB" w:rsidRDefault="008072EB" w14:paraId="31BC4081" w14:textId="77777777">
            <w:pPr>
              <w:rPr>
                <w:bCs/>
                <w:sz w:val="20"/>
                <w:szCs w:val="20"/>
              </w:rPr>
            </w:pPr>
            <w:r w:rsidRPr="008072EB">
              <w:rPr>
                <w:bCs/>
                <w:sz w:val="20"/>
                <w:szCs w:val="20"/>
              </w:rPr>
              <w:t>ALBs:50</w:t>
            </w:r>
          </w:p>
          <w:p w:rsidRPr="008072EB" w:rsidR="008072EB" w:rsidP="008072EB" w:rsidRDefault="008072EB" w14:paraId="1E036830" w14:textId="77777777">
            <w:pPr>
              <w:rPr>
                <w:bCs/>
                <w:sz w:val="20"/>
                <w:szCs w:val="20"/>
              </w:rPr>
            </w:pPr>
            <w:r w:rsidRPr="008072EB">
              <w:rPr>
                <w:bCs/>
                <w:sz w:val="20"/>
                <w:szCs w:val="20"/>
              </w:rPr>
              <w:t>GOAP:20</w:t>
            </w:r>
          </w:p>
          <w:p w:rsidRPr="008072EB" w:rsidR="008072EB" w:rsidP="008072EB" w:rsidRDefault="008072EB" w14:paraId="03C0B7D2" w14:textId="77777777">
            <w:pPr>
              <w:rPr>
                <w:bCs/>
                <w:sz w:val="20"/>
                <w:szCs w:val="20"/>
              </w:rPr>
            </w:pPr>
          </w:p>
          <w:p w:rsidRPr="008072EB" w:rsidR="008072EB" w:rsidP="008072EB" w:rsidRDefault="008072EB" w14:paraId="13589BDE" w14:textId="77777777">
            <w:pPr>
              <w:rPr>
                <w:bCs/>
                <w:sz w:val="20"/>
                <w:szCs w:val="20"/>
              </w:rPr>
            </w:pPr>
            <w:r w:rsidRPr="008072EB">
              <w:rPr>
                <w:bCs/>
                <w:sz w:val="20"/>
                <w:szCs w:val="20"/>
              </w:rPr>
              <w:t xml:space="preserve">23/24 thresholds </w:t>
            </w:r>
            <w:r w:rsidRPr="008072EB">
              <w:rPr>
                <w:i/>
                <w:iCs/>
                <w:sz w:val="20"/>
                <w:szCs w:val="20"/>
              </w:rPr>
              <w:t>(Cumulative milestones with discrete reporting)</w:t>
            </w:r>
          </w:p>
          <w:p w:rsidRPr="008072EB" w:rsidR="008072EB" w:rsidP="008072EB" w:rsidRDefault="008072EB" w14:paraId="496041B1" w14:textId="77777777">
            <w:pPr>
              <w:rPr>
                <w:bCs/>
                <w:sz w:val="20"/>
                <w:szCs w:val="20"/>
              </w:rPr>
            </w:pPr>
            <w:r w:rsidRPr="008072EB">
              <w:rPr>
                <w:bCs/>
                <w:sz w:val="20"/>
                <w:szCs w:val="20"/>
              </w:rPr>
              <w:t>70% (A): 49</w:t>
            </w:r>
          </w:p>
          <w:p w:rsidRPr="008072EB" w:rsidR="008072EB" w:rsidP="008072EB" w:rsidRDefault="008072EB" w14:paraId="0CC501AD" w14:textId="77777777">
            <w:pPr>
              <w:rPr>
                <w:bCs/>
                <w:sz w:val="20"/>
                <w:szCs w:val="20"/>
              </w:rPr>
            </w:pPr>
            <w:r w:rsidRPr="008072EB">
              <w:rPr>
                <w:bCs/>
                <w:sz w:val="20"/>
                <w:szCs w:val="20"/>
              </w:rPr>
              <w:t>60% (B): 42</w:t>
            </w:r>
          </w:p>
          <w:p w:rsidRPr="008072EB" w:rsidR="008072EB" w:rsidP="008072EB" w:rsidRDefault="008072EB" w14:paraId="7CDE07E3" w14:textId="77777777">
            <w:pPr>
              <w:rPr>
                <w:bCs/>
                <w:sz w:val="20"/>
                <w:szCs w:val="20"/>
              </w:rPr>
            </w:pPr>
            <w:r w:rsidRPr="008072EB">
              <w:rPr>
                <w:bCs/>
                <w:sz w:val="20"/>
                <w:szCs w:val="20"/>
              </w:rPr>
              <w:t>&lt;60% (C)</w:t>
            </w:r>
          </w:p>
          <w:p w:rsidRPr="008072EB" w:rsidR="008072EB" w:rsidP="008072EB" w:rsidRDefault="008072EB" w14:paraId="6CE17896" w14:textId="77777777">
            <w:pPr>
              <w:rPr>
                <w:bCs/>
                <w:sz w:val="20"/>
                <w:szCs w:val="20"/>
              </w:rPr>
            </w:pPr>
          </w:p>
        </w:tc>
        <w:tc>
          <w:tcPr>
            <w:tcW w:w="3530"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20DC0CB4" w14:textId="387717FE">
            <w:pPr>
              <w:rPr>
                <w:sz w:val="20"/>
                <w:szCs w:val="20"/>
              </w:rPr>
            </w:pPr>
            <w:r w:rsidRPr="1FB22237">
              <w:rPr>
                <w:sz w:val="20"/>
                <w:szCs w:val="20"/>
              </w:rPr>
              <w:t>Overall: 4</w:t>
            </w:r>
            <w:r w:rsidRPr="1FB22237" w:rsidR="00A52FFB">
              <w:rPr>
                <w:sz w:val="20"/>
                <w:szCs w:val="20"/>
              </w:rPr>
              <w:t>5</w:t>
            </w:r>
            <w:r w:rsidRPr="1FB22237">
              <w:rPr>
                <w:sz w:val="20"/>
                <w:szCs w:val="20"/>
              </w:rPr>
              <w:t xml:space="preserve">, B </w:t>
            </w:r>
          </w:p>
          <w:p w:rsidRPr="008072EB" w:rsidR="008072EB" w:rsidP="008072EB" w:rsidRDefault="008072EB" w14:paraId="34E012C2" w14:textId="77777777">
            <w:pPr>
              <w:rPr>
                <w:sz w:val="20"/>
                <w:szCs w:val="20"/>
              </w:rPr>
            </w:pPr>
          </w:p>
          <w:p w:rsidRPr="008072EB" w:rsidR="008072EB" w:rsidP="008072EB" w:rsidRDefault="008072EB" w14:paraId="133C6D41" w14:textId="632E18BD">
            <w:pPr>
              <w:rPr>
                <w:sz w:val="20"/>
                <w:szCs w:val="20"/>
              </w:rPr>
            </w:pPr>
            <w:r w:rsidRPr="008072EB">
              <w:rPr>
                <w:sz w:val="20"/>
                <w:szCs w:val="20"/>
              </w:rPr>
              <w:t xml:space="preserve">ALB progress: </w:t>
            </w:r>
            <w:r w:rsidRPr="008072EB" w:rsidR="00A52FFB">
              <w:rPr>
                <w:sz w:val="20"/>
                <w:szCs w:val="20"/>
              </w:rPr>
              <w:t>2</w:t>
            </w:r>
            <w:r w:rsidR="00A52FFB">
              <w:rPr>
                <w:sz w:val="20"/>
                <w:szCs w:val="20"/>
              </w:rPr>
              <w:t>4</w:t>
            </w:r>
          </w:p>
          <w:p w:rsidRPr="008072EB" w:rsidR="008072EB" w:rsidP="008072EB" w:rsidRDefault="008072EB" w14:paraId="103802C0" w14:textId="77777777">
            <w:pPr>
              <w:rPr>
                <w:sz w:val="20"/>
                <w:szCs w:val="20"/>
              </w:rPr>
            </w:pPr>
            <w:r w:rsidRPr="008072EB">
              <w:rPr>
                <w:sz w:val="20"/>
                <w:szCs w:val="20"/>
              </w:rPr>
              <w:t>GOAP progress: 18</w:t>
            </w:r>
          </w:p>
          <w:p w:rsidRPr="008072EB" w:rsidR="008072EB" w:rsidP="008072EB" w:rsidRDefault="008072EB" w14:paraId="4FCE32B3" w14:textId="77777777">
            <w:pPr>
              <w:rPr>
                <w:sz w:val="20"/>
                <w:szCs w:val="20"/>
              </w:rPr>
            </w:pPr>
            <w:r w:rsidRPr="008072EB">
              <w:rPr>
                <w:sz w:val="20"/>
                <w:szCs w:val="20"/>
              </w:rPr>
              <w:t>FOA progress: 3</w:t>
            </w:r>
          </w:p>
        </w:tc>
      </w:tr>
      <w:tr w:rsidRPr="008072EB" w:rsidR="008072EB" w:rsidTr="1FB22237" w14:paraId="53457C9A" w14:textId="77777777">
        <w:trPr>
          <w:trHeight w:val="229"/>
        </w:trPr>
        <w:tc>
          <w:tcPr>
            <w:tcW w:w="1362"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10E5B22E" w14:textId="77777777">
            <w:pPr>
              <w:rPr>
                <w:bCs/>
                <w:sz w:val="20"/>
                <w:szCs w:val="20"/>
              </w:rPr>
            </w:pPr>
            <w:r w:rsidRPr="008072EB">
              <w:rPr>
                <w:bCs/>
                <w:sz w:val="20"/>
                <w:szCs w:val="20"/>
              </w:rPr>
              <w:t>2.2</w:t>
            </w:r>
          </w:p>
        </w:tc>
        <w:tc>
          <w:tcPr>
            <w:tcW w:w="2207"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56F15A50" w14:textId="77777777">
            <w:pPr>
              <w:rPr>
                <w:bCs/>
                <w:sz w:val="20"/>
                <w:szCs w:val="20"/>
              </w:rPr>
            </w:pPr>
            <w:r w:rsidRPr="008072EB">
              <w:rPr>
                <w:bCs/>
                <w:sz w:val="20"/>
                <w:szCs w:val="20"/>
              </w:rPr>
              <w:t>% of outputs developed that included inclusive consultation processes</w:t>
            </w:r>
          </w:p>
          <w:p w:rsidRPr="008072EB" w:rsidR="008072EB" w:rsidP="008072EB" w:rsidRDefault="008072EB" w14:paraId="04229378" w14:textId="77777777">
            <w:pPr>
              <w:rPr>
                <w:bCs/>
                <w:sz w:val="20"/>
                <w:szCs w:val="20"/>
              </w:rPr>
            </w:pPr>
          </w:p>
          <w:p w:rsidRPr="008072EB" w:rsidR="008072EB" w:rsidP="008072EB" w:rsidRDefault="008072EB" w14:paraId="3D80255B" w14:textId="77777777">
            <w:pPr>
              <w:rPr>
                <w:bCs/>
                <w:sz w:val="20"/>
                <w:szCs w:val="20"/>
              </w:rPr>
            </w:pPr>
            <w:r w:rsidRPr="008072EB">
              <w:rPr>
                <w:bCs/>
                <w:i/>
                <w:iCs/>
                <w:sz w:val="16"/>
                <w:szCs w:val="18"/>
              </w:rPr>
              <w:t>Caveat: 2.2 methods were used for the first time this year and only introduced in January. As such, proposed scores should be considered indicative rather than conclusive.</w:t>
            </w:r>
          </w:p>
        </w:tc>
        <w:tc>
          <w:tcPr>
            <w:tcW w:w="2210"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7825E7D3" w14:textId="77777777">
            <w:pPr>
              <w:rPr>
                <w:bCs/>
                <w:sz w:val="20"/>
                <w:szCs w:val="20"/>
              </w:rPr>
            </w:pPr>
            <w:r w:rsidRPr="008072EB">
              <w:rPr>
                <w:bCs/>
                <w:sz w:val="20"/>
                <w:szCs w:val="20"/>
              </w:rPr>
              <w:t>Flat milestone: 60%</w:t>
            </w:r>
          </w:p>
        </w:tc>
        <w:tc>
          <w:tcPr>
            <w:tcW w:w="3530"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613B8CB3" w14:textId="77777777">
            <w:pPr>
              <w:rPr>
                <w:sz w:val="20"/>
                <w:szCs w:val="20"/>
              </w:rPr>
            </w:pPr>
            <w:r w:rsidRPr="008072EB">
              <w:rPr>
                <w:sz w:val="20"/>
                <w:szCs w:val="20"/>
              </w:rPr>
              <w:t xml:space="preserve">Overall: 88%, A </w:t>
            </w:r>
          </w:p>
          <w:p w:rsidRPr="008072EB" w:rsidR="008072EB" w:rsidP="008072EB" w:rsidRDefault="008072EB" w14:paraId="4491A364" w14:textId="77777777">
            <w:pPr>
              <w:rPr>
                <w:sz w:val="20"/>
                <w:szCs w:val="20"/>
              </w:rPr>
            </w:pPr>
          </w:p>
          <w:p w:rsidRPr="008072EB" w:rsidR="008072EB" w:rsidP="008072EB" w:rsidRDefault="008072EB" w14:paraId="2236108B" w14:textId="77777777">
            <w:pPr>
              <w:rPr>
                <w:sz w:val="20"/>
                <w:szCs w:val="20"/>
              </w:rPr>
            </w:pPr>
            <w:r w:rsidRPr="008072EB">
              <w:rPr>
                <w:sz w:val="20"/>
                <w:szCs w:val="20"/>
              </w:rPr>
              <w:t>ALB progress: 83%</w:t>
            </w:r>
          </w:p>
          <w:p w:rsidRPr="008072EB" w:rsidR="008072EB" w:rsidP="008072EB" w:rsidRDefault="008072EB" w14:paraId="0F25567A" w14:textId="77777777">
            <w:pPr>
              <w:rPr>
                <w:sz w:val="20"/>
                <w:szCs w:val="20"/>
              </w:rPr>
            </w:pPr>
            <w:r w:rsidRPr="008072EB">
              <w:rPr>
                <w:sz w:val="20"/>
                <w:szCs w:val="20"/>
              </w:rPr>
              <w:t>GOAP progress: 100%</w:t>
            </w:r>
          </w:p>
          <w:p w:rsidRPr="008072EB" w:rsidR="008072EB" w:rsidP="008072EB" w:rsidRDefault="008072EB" w14:paraId="26733FB8" w14:textId="77777777">
            <w:pPr>
              <w:rPr>
                <w:sz w:val="20"/>
                <w:szCs w:val="20"/>
              </w:rPr>
            </w:pPr>
            <w:r w:rsidRPr="008072EB">
              <w:rPr>
                <w:sz w:val="20"/>
                <w:szCs w:val="20"/>
              </w:rPr>
              <w:t>FOA progress: 100%</w:t>
            </w:r>
          </w:p>
          <w:p w:rsidRPr="008072EB" w:rsidR="008072EB" w:rsidP="008072EB" w:rsidRDefault="008072EB" w14:paraId="2E602E91" w14:textId="77777777">
            <w:pPr>
              <w:rPr>
                <w:sz w:val="20"/>
                <w:szCs w:val="20"/>
              </w:rPr>
            </w:pPr>
          </w:p>
          <w:p w:rsidRPr="008072EB" w:rsidR="008072EB" w:rsidP="008072EB" w:rsidRDefault="008072EB" w14:paraId="3AE73769" w14:textId="77777777">
            <w:pPr>
              <w:rPr>
                <w:sz w:val="20"/>
                <w:szCs w:val="20"/>
              </w:rPr>
            </w:pPr>
          </w:p>
        </w:tc>
      </w:tr>
    </w:tbl>
    <w:p w:rsidRPr="008072EB" w:rsidR="008072EB" w:rsidP="008072EB" w:rsidRDefault="008072EB" w14:paraId="2BCA0866" w14:textId="77777777">
      <w:pPr>
        <w:jc w:val="both"/>
        <w:rPr>
          <w:rFonts w:cs="Arial"/>
          <w:i/>
          <w:iCs/>
          <w:sz w:val="22"/>
          <w:szCs w:val="22"/>
        </w:rPr>
      </w:pPr>
      <w:r w:rsidRPr="008072EB">
        <w:rPr>
          <w:rFonts w:cs="Arial"/>
          <w:i/>
          <w:iCs/>
          <w:sz w:val="22"/>
          <w:szCs w:val="22"/>
        </w:rPr>
        <w:t>Note: 23/24 reporting for FOA is taken from phase 3 plans and reporting. Milestones for FOA were not set for 24/25 because of pending funding decisions.</w:t>
      </w:r>
    </w:p>
    <w:p w:rsidRPr="008072EB" w:rsidR="008072EB" w:rsidP="008072EB" w:rsidRDefault="008072EB" w14:paraId="00B0EC7A" w14:textId="77777777">
      <w:pPr>
        <w:jc w:val="both"/>
        <w:rPr>
          <w:rFonts w:cs="Arial"/>
          <w:b/>
          <w:bCs/>
          <w:sz w:val="22"/>
          <w:szCs w:val="22"/>
        </w:rPr>
      </w:pPr>
    </w:p>
    <w:p w:rsidRPr="008072EB" w:rsidR="008072EB" w:rsidP="008072EB" w:rsidRDefault="008072EB" w14:paraId="1E6CB95F" w14:textId="23D55C11">
      <w:pPr>
        <w:jc w:val="both"/>
        <w:rPr>
          <w:rFonts w:cs="Arial"/>
          <w:b/>
          <w:bCs/>
          <w:sz w:val="22"/>
          <w:szCs w:val="22"/>
        </w:rPr>
      </w:pPr>
      <w:r w:rsidRPr="0FE16421">
        <w:rPr>
          <w:rFonts w:cs="Arial"/>
          <w:b/>
          <w:bCs/>
          <w:sz w:val="22"/>
          <w:szCs w:val="22"/>
        </w:rPr>
        <w:t xml:space="preserve">C1. Briefly describe the output’s </w:t>
      </w:r>
      <w:r w:rsidRPr="0FE16421" w:rsidR="009E70EF">
        <w:rPr>
          <w:rFonts w:cs="Arial"/>
          <w:b/>
          <w:bCs/>
          <w:sz w:val="22"/>
          <w:szCs w:val="22"/>
        </w:rPr>
        <w:t>activities and</w:t>
      </w:r>
      <w:r w:rsidRPr="0FE16421">
        <w:rPr>
          <w:rFonts w:cs="Arial"/>
          <w:b/>
          <w:bCs/>
          <w:sz w:val="22"/>
          <w:szCs w:val="22"/>
        </w:rPr>
        <w:t xml:space="preserve"> provide supporting narrative for the score.</w:t>
      </w:r>
      <w:r w:rsidRPr="0FE16421">
        <w:rPr>
          <w:rFonts w:cs="Arial"/>
          <w:sz w:val="22"/>
          <w:szCs w:val="22"/>
        </w:rPr>
        <w:t xml:space="preserve"> </w:t>
      </w:r>
    </w:p>
    <w:p w:rsidRPr="008072EB" w:rsidR="008072EB" w:rsidP="002B5FC9" w:rsidRDefault="008072EB" w14:paraId="4C103C11" w14:textId="77777777">
      <w:pPr>
        <w:rPr>
          <w:rFonts w:cs="Arial"/>
          <w:bCs/>
          <w:sz w:val="22"/>
          <w:szCs w:val="22"/>
        </w:rPr>
      </w:pPr>
    </w:p>
    <w:p w:rsidRPr="008072EB" w:rsidR="008072EB" w:rsidP="002B5FC9" w:rsidRDefault="008072EB" w14:paraId="5EF22946" w14:textId="77777777">
      <w:pPr>
        <w:rPr>
          <w:sz w:val="22"/>
          <w:szCs w:val="22"/>
        </w:rPr>
      </w:pPr>
      <w:r w:rsidRPr="008072EB">
        <w:rPr>
          <w:rFonts w:cs="Arial"/>
          <w:sz w:val="22"/>
          <w:szCs w:val="22"/>
        </w:rPr>
        <w:t>Output 2 and associated indicators seek to monitor the programmes progress towards providing policy and regulatory recommendations and guidelines to stakeholders</w:t>
      </w:r>
      <w:r w:rsidRPr="008072EB">
        <w:rPr>
          <w:sz w:val="22"/>
          <w:szCs w:val="22"/>
        </w:rPr>
        <w:t>. The programme has scored B in indicators 2.1 and A in indicator 2.2. Overall, output 2 has scored a B.</w:t>
      </w:r>
    </w:p>
    <w:p w:rsidRPr="008072EB" w:rsidR="008072EB" w:rsidP="002B5FC9" w:rsidRDefault="008072EB" w14:paraId="0B264C15" w14:textId="77777777">
      <w:pPr>
        <w:rPr>
          <w:sz w:val="22"/>
          <w:szCs w:val="22"/>
        </w:rPr>
      </w:pPr>
    </w:p>
    <w:p w:rsidRPr="008072EB" w:rsidR="008072EB" w:rsidP="002B5FC9" w:rsidRDefault="47D4D631" w14:paraId="57417973" w14:textId="6BF89B95">
      <w:pPr>
        <w:rPr>
          <w:rFonts w:cs="Arial"/>
          <w:sz w:val="22"/>
          <w:szCs w:val="22"/>
        </w:rPr>
      </w:pPr>
      <w:r w:rsidRPr="02B15706">
        <w:rPr>
          <w:b/>
          <w:bCs/>
          <w:sz w:val="22"/>
          <w:szCs w:val="22"/>
        </w:rPr>
        <w:t xml:space="preserve">2.1 – B. </w:t>
      </w:r>
      <w:r w:rsidRPr="02B15706">
        <w:rPr>
          <w:rFonts w:cs="Arial"/>
          <w:sz w:val="22"/>
          <w:szCs w:val="22"/>
        </w:rPr>
        <w:t xml:space="preserve">Delivery partners have delivered policy briefs, roadmaps, recommendations or guidelines that contribute to sustainable management across our ALB-led bilateral partnerships and GOAP and FOA pilot countries. </w:t>
      </w:r>
      <w:r w:rsidRPr="02B15706" w:rsidR="4FE56E6B">
        <w:rPr>
          <w:rFonts w:cs="Arial"/>
          <w:sz w:val="22"/>
          <w:szCs w:val="22"/>
        </w:rPr>
        <w:t xml:space="preserve">ALB partners reported 24, of which 15 were produced in Belize, </w:t>
      </w:r>
      <w:r w:rsidRPr="02B15706" w:rsidR="164C984C">
        <w:rPr>
          <w:rFonts w:cs="Arial"/>
          <w:sz w:val="22"/>
          <w:szCs w:val="22"/>
        </w:rPr>
        <w:t>one</w:t>
      </w:r>
      <w:r w:rsidRPr="02B15706" w:rsidR="4FE56E6B">
        <w:rPr>
          <w:rFonts w:cs="Arial"/>
          <w:sz w:val="22"/>
          <w:szCs w:val="22"/>
        </w:rPr>
        <w:t xml:space="preserve"> in Madagascar, </w:t>
      </w:r>
      <w:r w:rsidRPr="02B15706" w:rsidR="164C984C">
        <w:rPr>
          <w:rFonts w:cs="Arial"/>
          <w:sz w:val="22"/>
          <w:szCs w:val="22"/>
        </w:rPr>
        <w:t>five</w:t>
      </w:r>
      <w:r w:rsidRPr="02B15706" w:rsidR="4FE56E6B">
        <w:rPr>
          <w:rFonts w:cs="Arial"/>
          <w:sz w:val="22"/>
          <w:szCs w:val="22"/>
        </w:rPr>
        <w:t xml:space="preserve"> in the Maldives, </w:t>
      </w:r>
      <w:r w:rsidRPr="02B15706" w:rsidR="164C984C">
        <w:rPr>
          <w:rFonts w:cs="Arial"/>
          <w:sz w:val="22"/>
          <w:szCs w:val="22"/>
        </w:rPr>
        <w:t>two</w:t>
      </w:r>
      <w:r w:rsidRPr="02B15706" w:rsidR="4FE56E6B">
        <w:rPr>
          <w:rFonts w:cs="Arial"/>
          <w:sz w:val="22"/>
          <w:szCs w:val="22"/>
        </w:rPr>
        <w:t xml:space="preserve"> in Mozambique</w:t>
      </w:r>
      <w:r w:rsidRPr="02B15706" w:rsidR="3CDC5CD6">
        <w:rPr>
          <w:rFonts w:cs="Arial"/>
          <w:sz w:val="22"/>
          <w:szCs w:val="22"/>
        </w:rPr>
        <w:t xml:space="preserve"> </w:t>
      </w:r>
      <w:r w:rsidRPr="02B15706" w:rsidR="4FE56E6B">
        <w:rPr>
          <w:rFonts w:cs="Arial"/>
          <w:sz w:val="22"/>
          <w:szCs w:val="22"/>
        </w:rPr>
        <w:t xml:space="preserve">and </w:t>
      </w:r>
      <w:r w:rsidRPr="02B15706" w:rsidR="164C984C">
        <w:rPr>
          <w:rFonts w:cs="Arial"/>
          <w:sz w:val="22"/>
          <w:szCs w:val="22"/>
        </w:rPr>
        <w:t>one</w:t>
      </w:r>
      <w:r w:rsidRPr="02B15706" w:rsidR="4FE56E6B">
        <w:rPr>
          <w:rFonts w:cs="Arial"/>
          <w:sz w:val="22"/>
          <w:szCs w:val="22"/>
        </w:rPr>
        <w:t xml:space="preserve"> in Sri Lanka. GOAP 18 and FOA </w:t>
      </w:r>
      <w:r w:rsidRPr="02B15706" w:rsidR="164C984C">
        <w:rPr>
          <w:rFonts w:cs="Arial"/>
          <w:sz w:val="22"/>
          <w:szCs w:val="22"/>
        </w:rPr>
        <w:t>three</w:t>
      </w:r>
      <w:r w:rsidRPr="02B15706" w:rsidR="4FE56E6B">
        <w:rPr>
          <w:rFonts w:cs="Arial"/>
          <w:sz w:val="22"/>
          <w:szCs w:val="22"/>
        </w:rPr>
        <w:t>. The total reported is 45.</w:t>
      </w:r>
      <w:r w:rsidRPr="02B15706" w:rsidR="1779D7FB">
        <w:rPr>
          <w:rFonts w:cs="Arial"/>
          <w:sz w:val="22"/>
          <w:szCs w:val="22"/>
        </w:rPr>
        <w:t xml:space="preserve"> </w:t>
      </w:r>
      <w:r w:rsidRPr="02B15706" w:rsidR="4FE56E6B">
        <w:rPr>
          <w:rFonts w:cs="Arial"/>
          <w:sz w:val="22"/>
          <w:szCs w:val="22"/>
        </w:rPr>
        <w:t>GOAP delivered 11 global outputs, such as the “Policy Brief: Sharing experiences and lessons learnt on Ocean Accounting in the Indian Ocean.” FOA delivered a global recommendations or guidelines output related to sustainable seafood: “A Call for Action to Combat IUU Fishing in the Pacific”</w:t>
      </w:r>
      <w:r w:rsidRPr="02B15706" w:rsidR="3DB1D047">
        <w:rPr>
          <w:rFonts w:cs="Arial"/>
          <w:sz w:val="22"/>
          <w:szCs w:val="22"/>
        </w:rPr>
        <w:t>.</w:t>
      </w:r>
    </w:p>
    <w:p w:rsidRPr="008072EB" w:rsidR="008072EB" w:rsidP="002B5FC9" w:rsidRDefault="008072EB" w14:paraId="05DD16FC" w14:textId="77777777">
      <w:pPr>
        <w:rPr>
          <w:rFonts w:cs="Arial"/>
          <w:b/>
          <w:bCs/>
          <w:sz w:val="22"/>
          <w:szCs w:val="22"/>
        </w:rPr>
      </w:pPr>
    </w:p>
    <w:p w:rsidR="00486B1D" w:rsidP="002B5FC9" w:rsidRDefault="008072EB" w14:paraId="11FCF298" w14:textId="30FDB6B8">
      <w:pPr>
        <w:rPr>
          <w:rFonts w:cs="Arial"/>
          <w:sz w:val="22"/>
          <w:szCs w:val="22"/>
        </w:rPr>
      </w:pPr>
      <w:r w:rsidRPr="008072EB">
        <w:rPr>
          <w:b/>
          <w:bCs/>
          <w:sz w:val="22"/>
          <w:szCs w:val="22"/>
        </w:rPr>
        <w:t xml:space="preserve">2.2 – A. </w:t>
      </w:r>
      <w:r w:rsidRPr="008072EB">
        <w:rPr>
          <w:sz w:val="22"/>
          <w:szCs w:val="22"/>
        </w:rPr>
        <w:t xml:space="preserve">This indicator measures </w:t>
      </w:r>
      <w:r w:rsidRPr="008072EB">
        <w:rPr>
          <w:rFonts w:cs="Arial"/>
          <w:sz w:val="22"/>
          <w:szCs w:val="22"/>
        </w:rPr>
        <w:t>% of outputs reported in 2.1 that included inclusive consultation processes</w:t>
      </w:r>
      <w:r w:rsidR="00332A9C">
        <w:rPr>
          <w:rFonts w:cs="Arial"/>
          <w:sz w:val="22"/>
          <w:szCs w:val="22"/>
        </w:rPr>
        <w:t xml:space="preserve">, a percentage </w:t>
      </w:r>
      <w:r w:rsidR="009F388F">
        <w:rPr>
          <w:rFonts w:cs="Arial"/>
          <w:sz w:val="22"/>
          <w:szCs w:val="22"/>
        </w:rPr>
        <w:t xml:space="preserve">target has been used </w:t>
      </w:r>
      <w:r w:rsidR="004574E3">
        <w:rPr>
          <w:rFonts w:cs="Arial"/>
          <w:sz w:val="22"/>
          <w:szCs w:val="22"/>
        </w:rPr>
        <w:t>as the programme produces a large range of outputs</w:t>
      </w:r>
      <w:r w:rsidR="001A336E">
        <w:rPr>
          <w:rFonts w:cs="Arial"/>
          <w:sz w:val="22"/>
          <w:szCs w:val="22"/>
        </w:rPr>
        <w:t>,</w:t>
      </w:r>
      <w:r w:rsidR="004574E3">
        <w:rPr>
          <w:rFonts w:cs="Arial"/>
          <w:sz w:val="22"/>
          <w:szCs w:val="22"/>
        </w:rPr>
        <w:t xml:space="preserve"> some of which may not </w:t>
      </w:r>
      <w:r w:rsidR="000C7F32">
        <w:rPr>
          <w:rFonts w:cs="Arial"/>
          <w:sz w:val="22"/>
          <w:szCs w:val="22"/>
        </w:rPr>
        <w:t>require</w:t>
      </w:r>
      <w:r w:rsidR="001A336E">
        <w:rPr>
          <w:rFonts w:cs="Arial"/>
          <w:sz w:val="22"/>
          <w:szCs w:val="22"/>
        </w:rPr>
        <w:t>, or are unsuitable for,</w:t>
      </w:r>
      <w:r w:rsidR="000C7F32">
        <w:rPr>
          <w:rFonts w:cs="Arial"/>
          <w:sz w:val="22"/>
          <w:szCs w:val="22"/>
        </w:rPr>
        <w:t xml:space="preserve"> consultation</w:t>
      </w:r>
      <w:r w:rsidRPr="008072EB">
        <w:rPr>
          <w:rFonts w:cs="Arial"/>
          <w:sz w:val="22"/>
          <w:szCs w:val="22"/>
        </w:rPr>
        <w:t>.</w:t>
      </w:r>
      <w:r w:rsidR="006E408A">
        <w:rPr>
          <w:color w:val="215F9A"/>
        </w:rPr>
        <w:t xml:space="preserve"> </w:t>
      </w:r>
      <w:r w:rsidRPr="006E408A" w:rsidR="006E408A">
        <w:rPr>
          <w:rFonts w:cs="Arial"/>
          <w:sz w:val="22"/>
          <w:szCs w:val="22"/>
        </w:rPr>
        <w:t xml:space="preserve">‘inclusive’ is defined as: An inclusive consultation process requires that key stakeholders (those that have interest or influence in the topic or area of focus for example, would be </w:t>
      </w:r>
      <w:r w:rsidRPr="006E408A" w:rsidR="00A33346">
        <w:rPr>
          <w:rFonts w:cs="Arial"/>
          <w:sz w:val="22"/>
          <w:szCs w:val="22"/>
        </w:rPr>
        <w:t>affected</w:t>
      </w:r>
      <w:r w:rsidRPr="006E408A" w:rsidR="006E408A">
        <w:rPr>
          <w:rFonts w:cs="Arial"/>
          <w:sz w:val="22"/>
          <w:szCs w:val="22"/>
        </w:rPr>
        <w:t xml:space="preserve"> by policy proposals outlined in a policy brief) are identified and participate in the development of the output. Stakeholders are those groups or individuals who have a concern or interest in something. A wide range of stakeholders could include government, businesses, community members, NGOs for example. To note, this process does not relate to formal government consultations but rather the processes that OCPP teams undertake themselves in developing outputs.</w:t>
      </w:r>
      <w:r w:rsidRPr="008072EB">
        <w:rPr>
          <w:rFonts w:cs="Arial"/>
          <w:sz w:val="22"/>
          <w:szCs w:val="22"/>
        </w:rPr>
        <w:t xml:space="preserve"> </w:t>
      </w:r>
    </w:p>
    <w:p w:rsidR="00486B1D" w:rsidP="002B5FC9" w:rsidRDefault="00486B1D" w14:paraId="277EF16F" w14:textId="77777777">
      <w:pPr>
        <w:rPr>
          <w:rFonts w:cs="Arial"/>
          <w:sz w:val="22"/>
          <w:szCs w:val="22"/>
        </w:rPr>
      </w:pPr>
    </w:p>
    <w:p w:rsidRPr="008072EB" w:rsidR="008072EB" w:rsidP="002B5FC9" w:rsidRDefault="008072EB" w14:paraId="0DC76BBC" w14:textId="43C13AEA">
      <w:pPr>
        <w:rPr>
          <w:rFonts w:cs="Arial"/>
          <w:sz w:val="22"/>
          <w:szCs w:val="22"/>
        </w:rPr>
      </w:pPr>
      <w:r w:rsidRPr="1FB22237">
        <w:rPr>
          <w:rFonts w:cs="Arial"/>
          <w:sz w:val="22"/>
          <w:szCs w:val="22"/>
        </w:rPr>
        <w:t xml:space="preserve">In total, 17 out of 45 outputs (total number of outputs developed) were </w:t>
      </w:r>
      <w:r w:rsidRPr="1FB22237" w:rsidR="00952EC7">
        <w:rPr>
          <w:rFonts w:cs="Arial"/>
          <w:sz w:val="22"/>
          <w:szCs w:val="22"/>
        </w:rPr>
        <w:t>self-</w:t>
      </w:r>
      <w:r w:rsidRPr="1FB22237">
        <w:rPr>
          <w:rFonts w:cs="Arial"/>
          <w:sz w:val="22"/>
          <w:szCs w:val="22"/>
        </w:rPr>
        <w:t>assessed</w:t>
      </w:r>
      <w:r w:rsidRPr="1FB22237" w:rsidR="00952EC7">
        <w:rPr>
          <w:rFonts w:cs="Arial"/>
          <w:sz w:val="22"/>
          <w:szCs w:val="22"/>
        </w:rPr>
        <w:t xml:space="preserve"> by</w:t>
      </w:r>
      <w:r w:rsidRPr="1FB22237" w:rsidR="002E15BB">
        <w:rPr>
          <w:rFonts w:cs="Arial"/>
          <w:sz w:val="22"/>
          <w:szCs w:val="22"/>
        </w:rPr>
        <w:t xml:space="preserve"> </w:t>
      </w:r>
      <w:r w:rsidRPr="1FB22237" w:rsidR="00824E6E">
        <w:rPr>
          <w:rFonts w:cs="Arial"/>
          <w:sz w:val="22"/>
          <w:szCs w:val="22"/>
        </w:rPr>
        <w:t>d</w:t>
      </w:r>
      <w:r w:rsidRPr="1FB22237" w:rsidR="002E15BB">
        <w:rPr>
          <w:rFonts w:cs="Arial"/>
          <w:sz w:val="22"/>
          <w:szCs w:val="22"/>
        </w:rPr>
        <w:t>elivery</w:t>
      </w:r>
      <w:r w:rsidRPr="1FB22237" w:rsidR="00D804C5">
        <w:rPr>
          <w:rFonts w:cs="Arial"/>
          <w:sz w:val="22"/>
          <w:szCs w:val="22"/>
        </w:rPr>
        <w:t xml:space="preserve"> partners</w:t>
      </w:r>
      <w:r w:rsidRPr="1FB22237" w:rsidR="002E15BB">
        <w:rPr>
          <w:rFonts w:cs="Arial"/>
          <w:sz w:val="22"/>
          <w:szCs w:val="22"/>
        </w:rPr>
        <w:t xml:space="preserve"> using Arnstein’s ladder of citizen participation</w:t>
      </w:r>
      <w:r w:rsidRPr="1FB22237">
        <w:rPr>
          <w:rFonts w:cs="Arial"/>
          <w:sz w:val="22"/>
          <w:szCs w:val="22"/>
        </w:rPr>
        <w:t xml:space="preserve">. 83% of 12 outputs assessed by ALBs, 100% of the </w:t>
      </w:r>
      <w:r w:rsidR="000851BA">
        <w:rPr>
          <w:rFonts w:cs="Arial"/>
          <w:sz w:val="22"/>
          <w:szCs w:val="22"/>
        </w:rPr>
        <w:t>three</w:t>
      </w:r>
      <w:r w:rsidRPr="1FB22237">
        <w:rPr>
          <w:rFonts w:cs="Arial"/>
          <w:sz w:val="22"/>
          <w:szCs w:val="22"/>
        </w:rPr>
        <w:t xml:space="preserve"> outputs assessed by GOAP and 100% of the 2 outputs assessed by FOA self-reported as having included inclusive consultation processes respectively. Across the programme, 88% of the outputs accessed were considered to have been developed through an inclusive process. It is important to note that this new indicator was introduced this year, hence a limited sample of outputs were assessed.</w:t>
      </w:r>
    </w:p>
    <w:p w:rsidRPr="008072EB" w:rsidR="008072EB" w:rsidP="002B5FC9" w:rsidRDefault="008072EB" w14:paraId="367CC8E4" w14:textId="77777777">
      <w:pPr>
        <w:rPr>
          <w:b/>
          <w:bCs/>
          <w:sz w:val="22"/>
          <w:szCs w:val="22"/>
        </w:rPr>
      </w:pPr>
    </w:p>
    <w:p w:rsidRPr="008072EB" w:rsidR="008072EB" w:rsidP="002B5FC9" w:rsidRDefault="001A7377" w14:paraId="6C339224" w14:textId="4FFB9DBE">
      <w:pPr>
        <w:rPr>
          <w:sz w:val="22"/>
          <w:szCs w:val="22"/>
          <w:u w:val="single"/>
        </w:rPr>
      </w:pPr>
      <w:r>
        <w:rPr>
          <w:sz w:val="22"/>
          <w:szCs w:val="22"/>
          <w:u w:val="single"/>
        </w:rPr>
        <w:t>Detailed e</w:t>
      </w:r>
      <w:r w:rsidRPr="008072EB" w:rsidR="008072EB">
        <w:rPr>
          <w:sz w:val="22"/>
          <w:szCs w:val="22"/>
          <w:u w:val="single"/>
        </w:rPr>
        <w:t>xample outputs</w:t>
      </w:r>
      <w:r w:rsidR="00AA7C55">
        <w:rPr>
          <w:sz w:val="22"/>
          <w:szCs w:val="22"/>
          <w:u w:val="single"/>
        </w:rPr>
        <w:t xml:space="preserve"> for indicators 2.1 and 2.2</w:t>
      </w:r>
    </w:p>
    <w:p w:rsidRPr="008072EB" w:rsidR="008072EB" w:rsidP="002B5FC9" w:rsidRDefault="008072EB" w14:paraId="117A5B94" w14:textId="77777777">
      <w:pPr>
        <w:rPr>
          <w:sz w:val="22"/>
          <w:szCs w:val="22"/>
          <w:u w:val="single"/>
        </w:rPr>
      </w:pPr>
    </w:p>
    <w:p w:rsidRPr="008072EB" w:rsidR="008072EB" w:rsidP="002B5FC9" w:rsidRDefault="008072EB" w14:paraId="1E17F0D8" w14:textId="7665087F">
      <w:pPr>
        <w:rPr>
          <w:sz w:val="22"/>
          <w:szCs w:val="22"/>
        </w:rPr>
      </w:pPr>
      <w:r w:rsidRPr="2C6B85DE">
        <w:rPr>
          <w:b/>
          <w:bCs/>
          <w:sz w:val="22"/>
          <w:szCs w:val="22"/>
        </w:rPr>
        <w:t>FOA, Blue Food Partnership:</w:t>
      </w:r>
      <w:r w:rsidRPr="2C6B85DE">
        <w:rPr>
          <w:sz w:val="22"/>
          <w:szCs w:val="22"/>
        </w:rPr>
        <w:t xml:space="preserve"> The Ghana </w:t>
      </w:r>
      <w:r w:rsidRPr="2C6B85DE" w:rsidR="006E6D51">
        <w:rPr>
          <w:sz w:val="22"/>
          <w:szCs w:val="22"/>
        </w:rPr>
        <w:t xml:space="preserve">aquaculture </w:t>
      </w:r>
      <w:r w:rsidRPr="2C6B85DE">
        <w:rPr>
          <w:sz w:val="22"/>
          <w:szCs w:val="22"/>
        </w:rPr>
        <w:t>action plan sets out four key pathways for actions: responsible​ production; better livelihoods; healthy consumption; and a stronger enabling environment.  The roadmap was developed with stakeholders of the 49 members of the BFP Ghana initiative, who were involved jointly in designing the action plan which the stakeholders are now delivering on.</w:t>
      </w:r>
    </w:p>
    <w:p w:rsidRPr="008072EB" w:rsidR="008072EB" w:rsidP="002B5FC9" w:rsidRDefault="008072EB" w14:paraId="177F4B2A" w14:textId="77777777">
      <w:pPr>
        <w:rPr>
          <w:sz w:val="22"/>
          <w:szCs w:val="22"/>
        </w:rPr>
      </w:pPr>
      <w:r w:rsidRPr="008072EB">
        <w:rPr>
          <w:sz w:val="22"/>
          <w:szCs w:val="22"/>
        </w:rPr>
        <w:t>​</w:t>
      </w:r>
    </w:p>
    <w:p w:rsidR="007F075F" w:rsidP="007F075F" w:rsidRDefault="007F075F" w14:paraId="3486AA57" w14:textId="20FE64F8">
      <w:pPr>
        <w:rPr>
          <w:rFonts w:cs="Arial"/>
          <w:sz w:val="22"/>
          <w:szCs w:val="22"/>
        </w:rPr>
      </w:pPr>
      <w:r>
        <w:rPr>
          <w:rFonts w:cs="Arial"/>
          <w:b/>
          <w:bCs/>
          <w:sz w:val="22"/>
          <w:szCs w:val="22"/>
        </w:rPr>
        <w:t xml:space="preserve">ALBs, Maldives: </w:t>
      </w:r>
      <w:r w:rsidR="00A963C3">
        <w:rPr>
          <w:rFonts w:cs="Arial"/>
          <w:sz w:val="22"/>
          <w:szCs w:val="22"/>
        </w:rPr>
        <w:t>T</w:t>
      </w:r>
      <w:r>
        <w:rPr>
          <w:rFonts w:cs="Arial"/>
          <w:sz w:val="22"/>
          <w:szCs w:val="22"/>
        </w:rPr>
        <w:t xml:space="preserve">he programme </w:t>
      </w:r>
      <w:r w:rsidR="00F60157">
        <w:rPr>
          <w:rFonts w:cs="Arial"/>
          <w:sz w:val="22"/>
          <w:szCs w:val="22"/>
        </w:rPr>
        <w:t xml:space="preserve">undertook a </w:t>
      </w:r>
      <w:r>
        <w:rPr>
          <w:rFonts w:cs="Arial"/>
          <w:sz w:val="22"/>
          <w:szCs w:val="22"/>
        </w:rPr>
        <w:t xml:space="preserve">review of shark diving practices </w:t>
      </w:r>
      <w:r w:rsidRPr="00867720">
        <w:rPr>
          <w:rFonts w:cs="Arial"/>
          <w:sz w:val="22"/>
          <w:szCs w:val="22"/>
        </w:rPr>
        <w:t>to support Fuvahmulah City Council and Maldives Ministry of Climate Change, Environment and</w:t>
      </w:r>
      <w:r>
        <w:rPr>
          <w:rFonts w:cs="Arial"/>
          <w:sz w:val="22"/>
          <w:szCs w:val="22"/>
        </w:rPr>
        <w:t xml:space="preserve"> Energy</w:t>
      </w:r>
      <w:r w:rsidR="009E266A">
        <w:rPr>
          <w:rFonts w:cs="Arial"/>
          <w:sz w:val="22"/>
          <w:szCs w:val="22"/>
        </w:rPr>
        <w:t xml:space="preserve"> identify sustainable management </w:t>
      </w:r>
      <w:r w:rsidR="00564658">
        <w:rPr>
          <w:rFonts w:cs="Arial"/>
          <w:sz w:val="22"/>
          <w:szCs w:val="22"/>
        </w:rPr>
        <w:t>options</w:t>
      </w:r>
      <w:r w:rsidRPr="00867720">
        <w:rPr>
          <w:rFonts w:cs="Arial"/>
          <w:sz w:val="22"/>
          <w:szCs w:val="22"/>
        </w:rPr>
        <w:t>. Stakeholders from the community e.g., the dive industry on Fuvahmulah were interviewed in person to collect information and data to input into the review. The review provided these stakeholders with a platform to raise concerns and ideas for future management options. They were also given the opportunity to review the final output and raise any concerns with the content</w:t>
      </w:r>
      <w:r>
        <w:rPr>
          <w:rFonts w:cs="Arial"/>
          <w:sz w:val="22"/>
          <w:szCs w:val="22"/>
        </w:rPr>
        <w:t>.</w:t>
      </w:r>
    </w:p>
    <w:p w:rsidRPr="008072EB" w:rsidR="008072EB" w:rsidP="002B5FC9" w:rsidRDefault="008072EB" w14:paraId="25D1DE6F" w14:textId="77777777">
      <w:pPr>
        <w:rPr>
          <w:sz w:val="22"/>
          <w:szCs w:val="22"/>
        </w:rPr>
      </w:pPr>
    </w:p>
    <w:p w:rsidRPr="008072EB" w:rsidR="008072EB" w:rsidP="008072EB" w:rsidRDefault="008072EB" w14:paraId="7F4F1E43" w14:textId="77777777">
      <w:pPr>
        <w:rPr>
          <w:sz w:val="22"/>
          <w:szCs w:val="22"/>
        </w:rPr>
      </w:pPr>
    </w:p>
    <w:p w:rsidRPr="008072EB" w:rsidR="008072EB" w:rsidP="008072EB" w:rsidRDefault="008072EB" w14:paraId="1948FDA8" w14:textId="77777777">
      <w:pPr>
        <w:jc w:val="both"/>
        <w:rPr>
          <w:rFonts w:cs="Arial"/>
          <w:b/>
          <w:bCs/>
          <w:sz w:val="22"/>
          <w:szCs w:val="22"/>
        </w:rPr>
      </w:pPr>
      <w:r w:rsidRPr="008072EB">
        <w:rPr>
          <w:rFonts w:cs="Arial"/>
          <w:b/>
          <w:bCs/>
          <w:sz w:val="22"/>
          <w:szCs w:val="22"/>
        </w:rPr>
        <w:t xml:space="preserve">Output 3 </w:t>
      </w:r>
    </w:p>
    <w:p w:rsidRPr="008072EB" w:rsidR="008072EB" w:rsidP="008072EB" w:rsidRDefault="008072EB" w14:paraId="2037DFB0" w14:textId="77777777">
      <w:pPr>
        <w:jc w:val="both"/>
        <w:rPr>
          <w:rFonts w:cs="Arial"/>
          <w:b/>
          <w:bCs/>
          <w:sz w:val="22"/>
          <w:szCs w:val="22"/>
        </w:rPr>
      </w:pPr>
    </w:p>
    <w:tbl>
      <w:tblPr>
        <w:tblStyle w:val="TableGrid"/>
        <w:tblW w:w="9356" w:type="dxa"/>
        <w:tblInd w:w="-147" w:type="dxa"/>
        <w:tblLook w:val="04A0" w:firstRow="1" w:lastRow="0" w:firstColumn="1" w:lastColumn="0" w:noHBand="0" w:noVBand="1"/>
      </w:tblPr>
      <w:tblGrid>
        <w:gridCol w:w="1708"/>
        <w:gridCol w:w="616"/>
        <w:gridCol w:w="937"/>
        <w:gridCol w:w="3283"/>
        <w:gridCol w:w="2812"/>
      </w:tblGrid>
      <w:tr w:rsidRPr="008072EB" w:rsidR="00EC7BB8" w14:paraId="0B147729" w14:textId="77777777">
        <w:trPr>
          <w:trHeight w:val="489"/>
        </w:trPr>
        <w:tc>
          <w:tcPr>
            <w:tcW w:w="1708"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1A8D2B9F" w14:textId="77777777">
            <w:pPr>
              <w:rPr>
                <w:b/>
                <w:bCs/>
                <w:sz w:val="20"/>
                <w:szCs w:val="20"/>
              </w:rPr>
            </w:pPr>
            <w:r w:rsidRPr="008072EB">
              <w:rPr>
                <w:b/>
                <w:bCs/>
                <w:sz w:val="20"/>
                <w:szCs w:val="20"/>
              </w:rPr>
              <w:t xml:space="preserve">Output Title </w:t>
            </w:r>
          </w:p>
        </w:tc>
        <w:tc>
          <w:tcPr>
            <w:tcW w:w="7648" w:type="dxa"/>
            <w:gridSpan w:val="4"/>
            <w:tcBorders>
              <w:top w:val="single" w:color="auto" w:sz="4" w:space="0"/>
              <w:left w:val="single" w:color="auto" w:sz="4" w:space="0"/>
              <w:bottom w:val="single" w:color="auto" w:sz="4" w:space="0"/>
              <w:right w:val="single" w:color="auto" w:sz="4" w:space="0"/>
            </w:tcBorders>
            <w:shd w:val="clear" w:color="auto" w:fill="FFFFFF" w:themeFill="background1"/>
          </w:tcPr>
          <w:p w:rsidRPr="008072EB" w:rsidR="008072EB" w:rsidP="008072EB" w:rsidRDefault="008072EB" w14:paraId="34CF2D95" w14:textId="77777777">
            <w:pPr>
              <w:rPr>
                <w:bCs/>
                <w:i/>
                <w:color w:val="FF0000"/>
                <w:sz w:val="20"/>
                <w:szCs w:val="20"/>
              </w:rPr>
            </w:pPr>
            <w:r w:rsidRPr="008072EB">
              <w:rPr>
                <w:sz w:val="20"/>
                <w:szCs w:val="20"/>
              </w:rPr>
              <w:t>Enhanced education, awareness and exchange of scientific, technical knowledge and data in relevant topics</w:t>
            </w:r>
          </w:p>
        </w:tc>
      </w:tr>
      <w:tr w:rsidRPr="008072EB" w:rsidR="002C7B3C" w14:paraId="3AC1E357" w14:textId="77777777">
        <w:trPr>
          <w:trHeight w:val="347"/>
        </w:trPr>
        <w:tc>
          <w:tcPr>
            <w:tcW w:w="2324"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2B2C250E" w14:textId="77777777">
            <w:pPr>
              <w:rPr>
                <w:bCs/>
                <w:sz w:val="20"/>
                <w:szCs w:val="20"/>
              </w:rPr>
            </w:pPr>
            <w:r w:rsidRPr="008072EB">
              <w:rPr>
                <w:bCs/>
                <w:sz w:val="20"/>
                <w:szCs w:val="20"/>
              </w:rPr>
              <w:t xml:space="preserve">Output number: </w:t>
            </w:r>
          </w:p>
        </w:tc>
        <w:tc>
          <w:tcPr>
            <w:tcW w:w="937"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579656A9" w14:textId="77777777">
            <w:pPr>
              <w:rPr>
                <w:sz w:val="20"/>
                <w:szCs w:val="20"/>
              </w:rPr>
            </w:pPr>
            <w:r w:rsidRPr="008072EB">
              <w:rPr>
                <w:sz w:val="20"/>
                <w:szCs w:val="20"/>
              </w:rPr>
              <w:t>3</w:t>
            </w:r>
          </w:p>
        </w:tc>
        <w:tc>
          <w:tcPr>
            <w:tcW w:w="3283"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3D8783A9" w14:textId="77777777">
            <w:pPr>
              <w:rPr>
                <w:sz w:val="20"/>
                <w:szCs w:val="20"/>
              </w:rPr>
            </w:pPr>
            <w:r w:rsidRPr="008072EB">
              <w:rPr>
                <w:bCs/>
                <w:sz w:val="20"/>
                <w:szCs w:val="20"/>
              </w:rPr>
              <w:t xml:space="preserve">Output Score: </w:t>
            </w:r>
          </w:p>
        </w:tc>
        <w:tc>
          <w:tcPr>
            <w:tcW w:w="2812"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12D2C450" w14:textId="77777777">
            <w:pPr>
              <w:rPr>
                <w:b/>
                <w:bCs/>
                <w:color w:val="FF0000"/>
                <w:sz w:val="20"/>
                <w:szCs w:val="20"/>
              </w:rPr>
            </w:pPr>
            <w:r w:rsidRPr="008072EB">
              <w:rPr>
                <w:b/>
                <w:bCs/>
                <w:color w:val="FF0000"/>
                <w:sz w:val="20"/>
                <w:szCs w:val="20"/>
              </w:rPr>
              <w:t>B</w:t>
            </w:r>
          </w:p>
        </w:tc>
      </w:tr>
      <w:tr w:rsidRPr="008072EB" w:rsidR="002C7B3C" w14:paraId="0019B243" w14:textId="77777777">
        <w:trPr>
          <w:trHeight w:val="345"/>
        </w:trPr>
        <w:tc>
          <w:tcPr>
            <w:tcW w:w="2324"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3B3B55E0" w14:textId="77777777">
            <w:pPr>
              <w:rPr>
                <w:sz w:val="20"/>
                <w:szCs w:val="20"/>
              </w:rPr>
            </w:pPr>
            <w:r w:rsidRPr="008072EB">
              <w:rPr>
                <w:bCs/>
                <w:sz w:val="20"/>
                <w:szCs w:val="20"/>
              </w:rPr>
              <w:t xml:space="preserve">Impact weighting (%):  </w:t>
            </w:r>
          </w:p>
        </w:tc>
        <w:tc>
          <w:tcPr>
            <w:tcW w:w="937" w:type="dxa"/>
            <w:tcBorders>
              <w:top w:val="single" w:color="auto" w:sz="4" w:space="0"/>
              <w:left w:val="single" w:color="auto" w:sz="4" w:space="0"/>
              <w:bottom w:val="single" w:color="auto" w:sz="4" w:space="0"/>
              <w:right w:val="single" w:color="auto" w:sz="4" w:space="0"/>
            </w:tcBorders>
            <w:hideMark/>
          </w:tcPr>
          <w:p w:rsidRPr="008072EB" w:rsidR="008072EB" w:rsidP="008072EB" w:rsidRDefault="008072EB" w14:paraId="6E5A40F9" w14:textId="77777777">
            <w:pPr>
              <w:rPr>
                <w:sz w:val="20"/>
                <w:szCs w:val="20"/>
              </w:rPr>
            </w:pPr>
            <w:r w:rsidRPr="008072EB">
              <w:rPr>
                <w:sz w:val="20"/>
                <w:szCs w:val="20"/>
              </w:rPr>
              <w:t>16.66</w:t>
            </w:r>
          </w:p>
        </w:tc>
        <w:tc>
          <w:tcPr>
            <w:tcW w:w="3283"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177B7F0E" w14:textId="549A22A7">
            <w:pPr>
              <w:rPr>
                <w:bCs/>
                <w:sz w:val="20"/>
                <w:szCs w:val="20"/>
              </w:rPr>
            </w:pPr>
            <w:r w:rsidRPr="008072EB">
              <w:rPr>
                <w:bCs/>
                <w:sz w:val="20"/>
                <w:szCs w:val="20"/>
              </w:rPr>
              <w:t xml:space="preserve">Weighting revised since last </w:t>
            </w:r>
            <w:r w:rsidR="00C14357">
              <w:rPr>
                <w:bCs/>
                <w:sz w:val="20"/>
                <w:szCs w:val="20"/>
              </w:rPr>
              <w:t>annual review</w:t>
            </w:r>
            <w:r w:rsidRPr="008072EB">
              <w:rPr>
                <w:bCs/>
                <w:sz w:val="20"/>
                <w:szCs w:val="20"/>
              </w:rPr>
              <w:t xml:space="preserve">? </w:t>
            </w:r>
          </w:p>
        </w:tc>
        <w:tc>
          <w:tcPr>
            <w:tcW w:w="2812"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77C5F374" w14:textId="77777777">
            <w:pPr>
              <w:rPr>
                <w:sz w:val="20"/>
                <w:szCs w:val="20"/>
              </w:rPr>
            </w:pPr>
            <w:r w:rsidRPr="008072EB">
              <w:rPr>
                <w:sz w:val="20"/>
                <w:szCs w:val="20"/>
              </w:rPr>
              <w:t>N/A</w:t>
            </w:r>
          </w:p>
        </w:tc>
      </w:tr>
    </w:tbl>
    <w:p w:rsidRPr="008072EB" w:rsidR="008072EB" w:rsidP="008072EB" w:rsidRDefault="008072EB" w14:paraId="74D87766" w14:textId="77777777">
      <w:pPr>
        <w:rPr>
          <w:bCs/>
          <w:sz w:val="20"/>
          <w:szCs w:val="20"/>
        </w:rPr>
      </w:pPr>
    </w:p>
    <w:tbl>
      <w:tblPr>
        <w:tblStyle w:val="TableGrid"/>
        <w:tblpPr w:leftFromText="180" w:rightFromText="180" w:vertAnchor="text" w:horzAnchor="page" w:tblpX="1325" w:tblpY="-10"/>
        <w:tblOverlap w:val="never"/>
        <w:tblW w:w="9309" w:type="dxa"/>
        <w:tblLook w:val="04A0" w:firstRow="1" w:lastRow="0" w:firstColumn="1" w:lastColumn="0" w:noHBand="0" w:noVBand="1"/>
      </w:tblPr>
      <w:tblGrid>
        <w:gridCol w:w="1362"/>
        <w:gridCol w:w="2207"/>
        <w:gridCol w:w="2210"/>
        <w:gridCol w:w="3530"/>
      </w:tblGrid>
      <w:tr w:rsidRPr="008072EB" w:rsidR="008072EB" w:rsidTr="51BCCD3B" w14:paraId="48EF8F57" w14:textId="77777777">
        <w:trPr>
          <w:trHeight w:val="278"/>
        </w:trPr>
        <w:tc>
          <w:tcPr>
            <w:tcW w:w="1362"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2F6973B3" w14:textId="77777777">
            <w:pPr>
              <w:rPr>
                <w:b/>
                <w:bCs/>
                <w:sz w:val="20"/>
                <w:szCs w:val="20"/>
              </w:rPr>
            </w:pPr>
            <w:r w:rsidRPr="008072EB">
              <w:rPr>
                <w:b/>
                <w:bCs/>
                <w:sz w:val="20"/>
                <w:szCs w:val="20"/>
              </w:rPr>
              <w:t>Indicator(s)</w:t>
            </w:r>
          </w:p>
        </w:tc>
        <w:tc>
          <w:tcPr>
            <w:tcW w:w="2207"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8072EB" w:rsidR="008072EB" w:rsidP="008072EB" w:rsidRDefault="008072EB" w14:paraId="7B887403" w14:textId="77777777">
            <w:pPr>
              <w:rPr>
                <w:b/>
                <w:bCs/>
                <w:sz w:val="20"/>
                <w:szCs w:val="20"/>
              </w:rPr>
            </w:pPr>
            <w:r w:rsidRPr="008072EB">
              <w:rPr>
                <w:b/>
                <w:bCs/>
                <w:sz w:val="20"/>
                <w:szCs w:val="20"/>
              </w:rPr>
              <w:t>Description</w:t>
            </w:r>
          </w:p>
        </w:tc>
        <w:tc>
          <w:tcPr>
            <w:tcW w:w="2210"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3CD79D10" w14:textId="77777777">
            <w:pPr>
              <w:rPr>
                <w:b/>
                <w:bCs/>
                <w:sz w:val="20"/>
                <w:szCs w:val="20"/>
              </w:rPr>
            </w:pPr>
            <w:r w:rsidRPr="008072EB">
              <w:rPr>
                <w:b/>
                <w:bCs/>
                <w:sz w:val="20"/>
                <w:szCs w:val="20"/>
              </w:rPr>
              <w:t>Milestone(s) for this review</w:t>
            </w:r>
          </w:p>
        </w:tc>
        <w:tc>
          <w:tcPr>
            <w:tcW w:w="3530"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36B13FF6" w14:textId="77777777">
            <w:pPr>
              <w:rPr>
                <w:b/>
                <w:bCs/>
                <w:sz w:val="20"/>
                <w:szCs w:val="20"/>
              </w:rPr>
            </w:pPr>
            <w:r w:rsidRPr="008072EB">
              <w:rPr>
                <w:b/>
                <w:bCs/>
                <w:sz w:val="20"/>
                <w:szCs w:val="20"/>
              </w:rPr>
              <w:t xml:space="preserve">Progress </w:t>
            </w:r>
          </w:p>
        </w:tc>
      </w:tr>
      <w:tr w:rsidRPr="008072EB" w:rsidR="008072EB" w:rsidTr="51BCCD3B" w14:paraId="450F7618" w14:textId="77777777">
        <w:trPr>
          <w:trHeight w:val="934"/>
        </w:trPr>
        <w:tc>
          <w:tcPr>
            <w:tcW w:w="1362"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295AE7AE" w14:textId="77777777">
            <w:pPr>
              <w:rPr>
                <w:sz w:val="20"/>
                <w:szCs w:val="20"/>
              </w:rPr>
            </w:pPr>
            <w:r w:rsidRPr="008072EB">
              <w:rPr>
                <w:sz w:val="20"/>
                <w:szCs w:val="20"/>
              </w:rPr>
              <w:t xml:space="preserve">3.1 </w:t>
            </w:r>
          </w:p>
        </w:tc>
        <w:tc>
          <w:tcPr>
            <w:tcW w:w="2207"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1F76C758" w14:textId="77777777">
            <w:pPr>
              <w:rPr>
                <w:bCs/>
                <w:sz w:val="20"/>
                <w:szCs w:val="20"/>
              </w:rPr>
            </w:pPr>
            <w:r w:rsidRPr="008072EB">
              <w:rPr>
                <w:bCs/>
                <w:sz w:val="20"/>
                <w:szCs w:val="20"/>
              </w:rPr>
              <w:t>Number of datasets or monitoring systems developed or improved; ocean accounts compiled; educational resources produced</w:t>
            </w:r>
          </w:p>
        </w:tc>
        <w:tc>
          <w:tcPr>
            <w:tcW w:w="2210"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2ACA393C" w14:textId="77777777">
            <w:pPr>
              <w:rPr>
                <w:bCs/>
                <w:sz w:val="20"/>
                <w:szCs w:val="20"/>
              </w:rPr>
            </w:pPr>
            <w:r w:rsidRPr="008072EB">
              <w:rPr>
                <w:bCs/>
                <w:sz w:val="20"/>
                <w:szCs w:val="20"/>
              </w:rPr>
              <w:t xml:space="preserve">24/25 Milestone: </w:t>
            </w:r>
          </w:p>
          <w:p w:rsidRPr="008072EB" w:rsidR="008072EB" w:rsidP="008072EB" w:rsidRDefault="008072EB" w14:paraId="2B028A77" w14:textId="77777777">
            <w:pPr>
              <w:rPr>
                <w:bCs/>
                <w:sz w:val="20"/>
                <w:szCs w:val="20"/>
              </w:rPr>
            </w:pPr>
            <w:r w:rsidRPr="008072EB">
              <w:rPr>
                <w:bCs/>
                <w:sz w:val="20"/>
                <w:szCs w:val="20"/>
              </w:rPr>
              <w:t>Total:115</w:t>
            </w:r>
          </w:p>
          <w:p w:rsidRPr="008072EB" w:rsidR="008072EB" w:rsidP="008072EB" w:rsidRDefault="008072EB" w14:paraId="1B86BEA4" w14:textId="77777777">
            <w:pPr>
              <w:rPr>
                <w:bCs/>
                <w:sz w:val="20"/>
                <w:szCs w:val="20"/>
              </w:rPr>
            </w:pPr>
            <w:r w:rsidRPr="008072EB">
              <w:rPr>
                <w:bCs/>
                <w:sz w:val="20"/>
                <w:szCs w:val="20"/>
              </w:rPr>
              <w:t>ALBs:105</w:t>
            </w:r>
          </w:p>
          <w:p w:rsidRPr="008072EB" w:rsidR="008072EB" w:rsidP="008072EB" w:rsidRDefault="008072EB" w14:paraId="1B4C5107" w14:textId="77777777">
            <w:pPr>
              <w:rPr>
                <w:bCs/>
                <w:sz w:val="20"/>
                <w:szCs w:val="20"/>
              </w:rPr>
            </w:pPr>
            <w:r w:rsidRPr="008072EB">
              <w:rPr>
                <w:bCs/>
                <w:sz w:val="20"/>
                <w:szCs w:val="20"/>
              </w:rPr>
              <w:t>GOAP:10</w:t>
            </w:r>
          </w:p>
          <w:p w:rsidRPr="008072EB" w:rsidR="008072EB" w:rsidP="008072EB" w:rsidRDefault="008072EB" w14:paraId="59CD3CE7" w14:textId="77777777">
            <w:pPr>
              <w:rPr>
                <w:bCs/>
                <w:sz w:val="20"/>
                <w:szCs w:val="20"/>
              </w:rPr>
            </w:pPr>
          </w:p>
          <w:p w:rsidRPr="008072EB" w:rsidR="008072EB" w:rsidP="008072EB" w:rsidRDefault="008072EB" w14:paraId="31A64F13" w14:textId="77777777">
            <w:pPr>
              <w:rPr>
                <w:bCs/>
                <w:sz w:val="20"/>
                <w:szCs w:val="20"/>
              </w:rPr>
            </w:pPr>
            <w:r w:rsidRPr="008072EB">
              <w:rPr>
                <w:bCs/>
                <w:sz w:val="20"/>
                <w:szCs w:val="20"/>
              </w:rPr>
              <w:t xml:space="preserve">23/24 thresholds </w:t>
            </w:r>
            <w:r w:rsidRPr="008072EB">
              <w:rPr>
                <w:i/>
                <w:iCs/>
                <w:sz w:val="20"/>
                <w:szCs w:val="20"/>
              </w:rPr>
              <w:t>(Cumulative milestones with discrete reporting)</w:t>
            </w:r>
          </w:p>
          <w:p w:rsidRPr="008072EB" w:rsidR="008072EB" w:rsidP="008072EB" w:rsidRDefault="008072EB" w14:paraId="5434479F" w14:textId="77777777">
            <w:pPr>
              <w:rPr>
                <w:bCs/>
                <w:sz w:val="20"/>
                <w:szCs w:val="20"/>
              </w:rPr>
            </w:pPr>
            <w:r w:rsidRPr="008072EB">
              <w:rPr>
                <w:bCs/>
                <w:sz w:val="20"/>
                <w:szCs w:val="20"/>
              </w:rPr>
              <w:t>70% (A): 80.5</w:t>
            </w:r>
          </w:p>
          <w:p w:rsidRPr="008072EB" w:rsidR="008072EB" w:rsidP="008072EB" w:rsidRDefault="008072EB" w14:paraId="74AC6FAE" w14:textId="77777777">
            <w:pPr>
              <w:rPr>
                <w:bCs/>
                <w:sz w:val="20"/>
                <w:szCs w:val="20"/>
              </w:rPr>
            </w:pPr>
            <w:r w:rsidRPr="008072EB">
              <w:rPr>
                <w:bCs/>
                <w:sz w:val="20"/>
                <w:szCs w:val="20"/>
              </w:rPr>
              <w:t>60% (B): 69</w:t>
            </w:r>
          </w:p>
          <w:p w:rsidRPr="008072EB" w:rsidR="008072EB" w:rsidP="008072EB" w:rsidRDefault="008072EB" w14:paraId="16456D03" w14:textId="77777777">
            <w:pPr>
              <w:rPr>
                <w:bCs/>
                <w:sz w:val="20"/>
                <w:szCs w:val="20"/>
              </w:rPr>
            </w:pPr>
            <w:r w:rsidRPr="008072EB">
              <w:rPr>
                <w:bCs/>
                <w:sz w:val="20"/>
                <w:szCs w:val="20"/>
              </w:rPr>
              <w:t>&lt;60% (C)</w:t>
            </w:r>
          </w:p>
          <w:p w:rsidRPr="008072EB" w:rsidR="008072EB" w:rsidP="008072EB" w:rsidRDefault="008072EB" w14:paraId="0073B6E1" w14:textId="77777777">
            <w:pPr>
              <w:rPr>
                <w:bCs/>
                <w:sz w:val="20"/>
                <w:szCs w:val="20"/>
              </w:rPr>
            </w:pPr>
          </w:p>
        </w:tc>
        <w:tc>
          <w:tcPr>
            <w:tcW w:w="3530"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723B7E59" w14:textId="69399009">
            <w:pPr>
              <w:rPr>
                <w:sz w:val="20"/>
                <w:szCs w:val="20"/>
              </w:rPr>
            </w:pPr>
            <w:r w:rsidRPr="008072EB">
              <w:rPr>
                <w:sz w:val="20"/>
                <w:szCs w:val="20"/>
              </w:rPr>
              <w:t xml:space="preserve">Overall: </w:t>
            </w:r>
            <w:r w:rsidR="00B11DC3">
              <w:rPr>
                <w:sz w:val="20"/>
                <w:szCs w:val="20"/>
              </w:rPr>
              <w:t>60</w:t>
            </w:r>
            <w:r w:rsidRPr="008072EB">
              <w:rPr>
                <w:sz w:val="20"/>
                <w:szCs w:val="20"/>
              </w:rPr>
              <w:t>, C</w:t>
            </w:r>
          </w:p>
          <w:p w:rsidRPr="008072EB" w:rsidR="008072EB" w:rsidP="008072EB" w:rsidRDefault="008072EB" w14:paraId="6F6B0767" w14:textId="77777777">
            <w:pPr>
              <w:rPr>
                <w:sz w:val="20"/>
                <w:szCs w:val="20"/>
              </w:rPr>
            </w:pPr>
          </w:p>
          <w:p w:rsidRPr="008072EB" w:rsidR="008072EB" w:rsidP="008072EB" w:rsidRDefault="008072EB" w14:paraId="7807F586" w14:textId="6057A0DA">
            <w:pPr>
              <w:rPr>
                <w:sz w:val="20"/>
                <w:szCs w:val="20"/>
              </w:rPr>
            </w:pPr>
            <w:r w:rsidRPr="008072EB">
              <w:rPr>
                <w:sz w:val="20"/>
                <w:szCs w:val="20"/>
              </w:rPr>
              <w:t>ALB progress: 3</w:t>
            </w:r>
            <w:r w:rsidR="00B11DC3">
              <w:rPr>
                <w:sz w:val="20"/>
                <w:szCs w:val="20"/>
              </w:rPr>
              <w:t>7</w:t>
            </w:r>
          </w:p>
          <w:p w:rsidRPr="008072EB" w:rsidR="008072EB" w:rsidP="008072EB" w:rsidRDefault="008072EB" w14:paraId="6463004D" w14:textId="77777777">
            <w:pPr>
              <w:rPr>
                <w:sz w:val="20"/>
                <w:szCs w:val="20"/>
              </w:rPr>
            </w:pPr>
            <w:r w:rsidRPr="008072EB">
              <w:rPr>
                <w:sz w:val="20"/>
                <w:szCs w:val="20"/>
              </w:rPr>
              <w:t>GOAP progress: 23</w:t>
            </w:r>
          </w:p>
        </w:tc>
      </w:tr>
      <w:tr w:rsidRPr="008072EB" w:rsidR="008072EB" w:rsidTr="51BCCD3B" w14:paraId="5623A46C" w14:textId="77777777">
        <w:trPr>
          <w:trHeight w:val="229"/>
        </w:trPr>
        <w:tc>
          <w:tcPr>
            <w:tcW w:w="1362"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7D3254AD" w14:textId="77777777">
            <w:pPr>
              <w:rPr>
                <w:bCs/>
                <w:sz w:val="20"/>
                <w:szCs w:val="20"/>
              </w:rPr>
            </w:pPr>
            <w:r w:rsidRPr="008072EB">
              <w:rPr>
                <w:bCs/>
                <w:sz w:val="20"/>
                <w:szCs w:val="20"/>
              </w:rPr>
              <w:t>3.2</w:t>
            </w:r>
          </w:p>
        </w:tc>
        <w:tc>
          <w:tcPr>
            <w:tcW w:w="2207"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0EE76883" w14:textId="7083DB6F">
            <w:pPr>
              <w:rPr>
                <w:bCs/>
                <w:sz w:val="20"/>
                <w:szCs w:val="20"/>
              </w:rPr>
            </w:pPr>
            <w:r w:rsidRPr="008072EB">
              <w:rPr>
                <w:bCs/>
                <w:sz w:val="20"/>
                <w:szCs w:val="20"/>
              </w:rPr>
              <w:t>Number of scholars who enrolled and % who achieved a qualification (Masters, PhD) in relevant topics</w:t>
            </w:r>
          </w:p>
        </w:tc>
        <w:tc>
          <w:tcPr>
            <w:tcW w:w="2210"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5EA12036" w14:textId="77777777">
            <w:pPr>
              <w:rPr>
                <w:bCs/>
                <w:sz w:val="20"/>
                <w:szCs w:val="20"/>
              </w:rPr>
            </w:pPr>
            <w:r w:rsidRPr="008072EB">
              <w:rPr>
                <w:bCs/>
                <w:sz w:val="20"/>
                <w:szCs w:val="20"/>
              </w:rPr>
              <w:t xml:space="preserve">24/25 Milestone: </w:t>
            </w:r>
          </w:p>
          <w:p w:rsidRPr="008072EB" w:rsidR="008072EB" w:rsidP="008072EB" w:rsidRDefault="008072EB" w14:paraId="665DA16A" w14:textId="77777777">
            <w:pPr>
              <w:rPr>
                <w:bCs/>
                <w:sz w:val="20"/>
                <w:szCs w:val="20"/>
              </w:rPr>
            </w:pPr>
            <w:r w:rsidRPr="008072EB">
              <w:rPr>
                <w:bCs/>
                <w:sz w:val="20"/>
                <w:szCs w:val="20"/>
              </w:rPr>
              <w:t>Total:155</w:t>
            </w:r>
          </w:p>
          <w:p w:rsidRPr="008072EB" w:rsidR="008072EB" w:rsidP="008072EB" w:rsidRDefault="008072EB" w14:paraId="31064BA1" w14:textId="77777777">
            <w:pPr>
              <w:rPr>
                <w:bCs/>
                <w:sz w:val="20"/>
                <w:szCs w:val="20"/>
              </w:rPr>
            </w:pPr>
            <w:r w:rsidRPr="008072EB">
              <w:rPr>
                <w:bCs/>
                <w:sz w:val="20"/>
                <w:szCs w:val="20"/>
              </w:rPr>
              <w:t>ALBs:120</w:t>
            </w:r>
          </w:p>
          <w:p w:rsidRPr="008072EB" w:rsidR="008072EB" w:rsidP="51BCCD3B" w:rsidRDefault="008072EB" w14:paraId="59903D72" w14:textId="441E8241">
            <w:pPr>
              <w:rPr>
                <w:sz w:val="20"/>
                <w:szCs w:val="20"/>
              </w:rPr>
            </w:pPr>
            <w:r w:rsidRPr="51BCCD3B">
              <w:rPr>
                <w:sz w:val="20"/>
                <w:szCs w:val="20"/>
              </w:rPr>
              <w:t>GOAP:35</w:t>
            </w:r>
          </w:p>
          <w:p w:rsidRPr="008072EB" w:rsidR="008072EB" w:rsidP="008072EB" w:rsidRDefault="008072EB" w14:paraId="0D923614" w14:textId="77777777">
            <w:pPr>
              <w:rPr>
                <w:bCs/>
                <w:sz w:val="20"/>
                <w:szCs w:val="20"/>
              </w:rPr>
            </w:pPr>
          </w:p>
          <w:p w:rsidRPr="008072EB" w:rsidR="008072EB" w:rsidP="008072EB" w:rsidRDefault="008072EB" w14:paraId="3D3153D0" w14:textId="77777777">
            <w:pPr>
              <w:rPr>
                <w:bCs/>
                <w:sz w:val="20"/>
                <w:szCs w:val="20"/>
              </w:rPr>
            </w:pPr>
            <w:r w:rsidRPr="008072EB">
              <w:rPr>
                <w:bCs/>
                <w:sz w:val="20"/>
                <w:szCs w:val="20"/>
              </w:rPr>
              <w:t xml:space="preserve">23/24 thresholds </w:t>
            </w:r>
            <w:r w:rsidRPr="008072EB">
              <w:rPr>
                <w:i/>
                <w:iCs/>
                <w:sz w:val="20"/>
                <w:szCs w:val="20"/>
              </w:rPr>
              <w:t>(Cumulative milestones with year-on-year overlap)</w:t>
            </w:r>
          </w:p>
          <w:p w:rsidRPr="008072EB" w:rsidR="008072EB" w:rsidP="008072EB" w:rsidRDefault="008072EB" w14:paraId="28693565" w14:textId="77777777">
            <w:pPr>
              <w:rPr>
                <w:bCs/>
                <w:sz w:val="20"/>
                <w:szCs w:val="20"/>
              </w:rPr>
            </w:pPr>
            <w:r w:rsidRPr="008072EB">
              <w:rPr>
                <w:bCs/>
                <w:sz w:val="20"/>
                <w:szCs w:val="20"/>
              </w:rPr>
              <w:t>60% (A): 93</w:t>
            </w:r>
          </w:p>
          <w:p w:rsidRPr="008072EB" w:rsidR="008072EB" w:rsidP="008072EB" w:rsidRDefault="008072EB" w14:paraId="67322D92" w14:textId="77777777">
            <w:pPr>
              <w:rPr>
                <w:bCs/>
                <w:sz w:val="20"/>
                <w:szCs w:val="20"/>
              </w:rPr>
            </w:pPr>
            <w:r w:rsidRPr="008072EB">
              <w:rPr>
                <w:bCs/>
                <w:sz w:val="20"/>
                <w:szCs w:val="20"/>
              </w:rPr>
              <w:t>50% (B): 77.5</w:t>
            </w:r>
          </w:p>
          <w:p w:rsidRPr="008072EB" w:rsidR="008072EB" w:rsidP="008072EB" w:rsidRDefault="008072EB" w14:paraId="0B0B17A1" w14:textId="77777777">
            <w:pPr>
              <w:rPr>
                <w:bCs/>
                <w:sz w:val="20"/>
                <w:szCs w:val="20"/>
              </w:rPr>
            </w:pPr>
            <w:r w:rsidRPr="008072EB">
              <w:rPr>
                <w:bCs/>
                <w:sz w:val="20"/>
                <w:szCs w:val="20"/>
              </w:rPr>
              <w:t>&lt;50% (C)</w:t>
            </w:r>
          </w:p>
          <w:p w:rsidRPr="008072EB" w:rsidR="008072EB" w:rsidP="008072EB" w:rsidRDefault="008072EB" w14:paraId="439629F2" w14:textId="77777777">
            <w:pPr>
              <w:rPr>
                <w:bCs/>
                <w:sz w:val="20"/>
                <w:szCs w:val="20"/>
              </w:rPr>
            </w:pPr>
          </w:p>
        </w:tc>
        <w:tc>
          <w:tcPr>
            <w:tcW w:w="3530"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72D3F410" w14:textId="77777777">
            <w:pPr>
              <w:rPr>
                <w:sz w:val="20"/>
                <w:szCs w:val="20"/>
              </w:rPr>
            </w:pPr>
            <w:r w:rsidRPr="008072EB">
              <w:rPr>
                <w:sz w:val="20"/>
                <w:szCs w:val="20"/>
              </w:rPr>
              <w:t>Overall: 94, A</w:t>
            </w:r>
          </w:p>
          <w:p w:rsidRPr="008072EB" w:rsidR="008072EB" w:rsidP="008072EB" w:rsidRDefault="008072EB" w14:paraId="48471122" w14:textId="77777777">
            <w:pPr>
              <w:rPr>
                <w:sz w:val="20"/>
                <w:szCs w:val="20"/>
              </w:rPr>
            </w:pPr>
          </w:p>
          <w:p w:rsidRPr="008072EB" w:rsidR="008072EB" w:rsidP="008072EB" w:rsidRDefault="008072EB" w14:paraId="696920FD" w14:textId="77777777">
            <w:pPr>
              <w:rPr>
                <w:sz w:val="20"/>
                <w:szCs w:val="20"/>
              </w:rPr>
            </w:pPr>
            <w:r w:rsidRPr="008072EB">
              <w:rPr>
                <w:sz w:val="20"/>
                <w:szCs w:val="20"/>
              </w:rPr>
              <w:t>ALB progress: 94</w:t>
            </w:r>
          </w:p>
          <w:p w:rsidRPr="008072EB" w:rsidR="008072EB" w:rsidP="008072EB" w:rsidRDefault="008072EB" w14:paraId="0123695F" w14:textId="77777777">
            <w:pPr>
              <w:rPr>
                <w:sz w:val="20"/>
                <w:szCs w:val="20"/>
              </w:rPr>
            </w:pPr>
            <w:r w:rsidRPr="008072EB">
              <w:rPr>
                <w:sz w:val="20"/>
                <w:szCs w:val="20"/>
              </w:rPr>
              <w:t>GOAP progress: Data not yet collected due to the late addition of GOAP into reporting requirements for this indicator</w:t>
            </w:r>
          </w:p>
          <w:p w:rsidR="008072EB" w:rsidP="008072EB" w:rsidRDefault="008072EB" w14:paraId="11C20E36" w14:textId="77777777">
            <w:pPr>
              <w:rPr>
                <w:sz w:val="20"/>
                <w:szCs w:val="20"/>
              </w:rPr>
            </w:pPr>
          </w:p>
          <w:p w:rsidR="00D03171" w:rsidP="008072EB" w:rsidRDefault="00D03171" w14:paraId="00DDD2F3" w14:textId="2C964B0E">
            <w:pPr>
              <w:rPr>
                <w:sz w:val="20"/>
                <w:szCs w:val="20"/>
              </w:rPr>
            </w:pPr>
            <w:r>
              <w:rPr>
                <w:sz w:val="20"/>
                <w:szCs w:val="20"/>
              </w:rPr>
              <w:t>Gender disaggregation:</w:t>
            </w:r>
          </w:p>
          <w:p w:rsidRPr="00D03171" w:rsidR="00D03171" w:rsidP="00D03171" w:rsidRDefault="00D03171" w14:paraId="6EB3D0DB" w14:textId="77777777">
            <w:pPr>
              <w:rPr>
                <w:sz w:val="20"/>
                <w:szCs w:val="20"/>
              </w:rPr>
            </w:pPr>
            <w:r w:rsidRPr="00D03171">
              <w:rPr>
                <w:sz w:val="20"/>
                <w:szCs w:val="20"/>
              </w:rPr>
              <w:t>52% (49) of scholars enrolled this year were female</w:t>
            </w:r>
          </w:p>
          <w:p w:rsidRPr="00D03171" w:rsidR="00D03171" w:rsidP="00D03171" w:rsidRDefault="00D03171" w14:paraId="036052B4" w14:textId="77777777">
            <w:pPr>
              <w:rPr>
                <w:sz w:val="20"/>
                <w:szCs w:val="20"/>
              </w:rPr>
            </w:pPr>
            <w:r w:rsidRPr="00D03171">
              <w:rPr>
                <w:sz w:val="20"/>
                <w:szCs w:val="20"/>
              </w:rPr>
              <w:t>48% (45) of scholars enrolled this year were male</w:t>
            </w:r>
          </w:p>
          <w:p w:rsidRPr="008072EB" w:rsidR="008072EB" w:rsidP="008072EB" w:rsidRDefault="008072EB" w14:paraId="468E24B9" w14:textId="571518A9">
            <w:pPr>
              <w:rPr>
                <w:sz w:val="20"/>
                <w:szCs w:val="20"/>
              </w:rPr>
            </w:pPr>
          </w:p>
        </w:tc>
      </w:tr>
      <w:tr w:rsidRPr="008072EB" w:rsidR="008072EB" w:rsidTr="51BCCD3B" w14:paraId="5DC62E10" w14:textId="77777777">
        <w:trPr>
          <w:trHeight w:val="229"/>
        </w:trPr>
        <w:tc>
          <w:tcPr>
            <w:tcW w:w="1362"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3067B906" w14:textId="77777777">
            <w:pPr>
              <w:rPr>
                <w:bCs/>
                <w:sz w:val="20"/>
                <w:szCs w:val="20"/>
              </w:rPr>
            </w:pPr>
            <w:r w:rsidRPr="008072EB">
              <w:rPr>
                <w:bCs/>
                <w:sz w:val="20"/>
                <w:szCs w:val="20"/>
              </w:rPr>
              <w:t>3.3</w:t>
            </w:r>
          </w:p>
        </w:tc>
        <w:tc>
          <w:tcPr>
            <w:tcW w:w="2207"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1631E357" w14:textId="77777777">
            <w:pPr>
              <w:rPr>
                <w:bCs/>
                <w:sz w:val="20"/>
                <w:szCs w:val="20"/>
              </w:rPr>
            </w:pPr>
            <w:r w:rsidRPr="008072EB">
              <w:rPr>
                <w:bCs/>
                <w:sz w:val="20"/>
                <w:szCs w:val="20"/>
              </w:rPr>
              <w:t>Scientific papers, reports, strategies, tools and/or databases developed or published which are freely available</w:t>
            </w:r>
          </w:p>
        </w:tc>
        <w:tc>
          <w:tcPr>
            <w:tcW w:w="2210"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12EB3103" w14:textId="77777777">
            <w:pPr>
              <w:rPr>
                <w:bCs/>
                <w:sz w:val="20"/>
                <w:szCs w:val="20"/>
              </w:rPr>
            </w:pPr>
            <w:r w:rsidRPr="008072EB">
              <w:rPr>
                <w:bCs/>
                <w:sz w:val="20"/>
                <w:szCs w:val="20"/>
              </w:rPr>
              <w:t xml:space="preserve">24/25 Milestone: </w:t>
            </w:r>
          </w:p>
          <w:p w:rsidRPr="008072EB" w:rsidR="008072EB" w:rsidP="008072EB" w:rsidRDefault="008072EB" w14:paraId="63C4009A" w14:textId="77777777">
            <w:pPr>
              <w:rPr>
                <w:bCs/>
                <w:sz w:val="20"/>
                <w:szCs w:val="20"/>
              </w:rPr>
            </w:pPr>
            <w:r w:rsidRPr="008072EB">
              <w:rPr>
                <w:bCs/>
                <w:sz w:val="20"/>
                <w:szCs w:val="20"/>
              </w:rPr>
              <w:t>Total:30</w:t>
            </w:r>
          </w:p>
          <w:p w:rsidRPr="008072EB" w:rsidR="008072EB" w:rsidP="008072EB" w:rsidRDefault="008072EB" w14:paraId="7157FCD8" w14:textId="77777777">
            <w:pPr>
              <w:rPr>
                <w:bCs/>
                <w:sz w:val="20"/>
                <w:szCs w:val="20"/>
              </w:rPr>
            </w:pPr>
            <w:r w:rsidRPr="008072EB">
              <w:rPr>
                <w:bCs/>
                <w:sz w:val="20"/>
                <w:szCs w:val="20"/>
              </w:rPr>
              <w:t>ALBs:20</w:t>
            </w:r>
          </w:p>
          <w:p w:rsidRPr="008072EB" w:rsidR="008072EB" w:rsidP="008072EB" w:rsidRDefault="008072EB" w14:paraId="578BCFB2" w14:textId="77777777">
            <w:pPr>
              <w:rPr>
                <w:bCs/>
                <w:sz w:val="20"/>
                <w:szCs w:val="20"/>
              </w:rPr>
            </w:pPr>
            <w:r w:rsidRPr="008072EB">
              <w:rPr>
                <w:bCs/>
                <w:sz w:val="20"/>
                <w:szCs w:val="20"/>
              </w:rPr>
              <w:t>GOAP:10</w:t>
            </w:r>
          </w:p>
          <w:p w:rsidRPr="008072EB" w:rsidR="008072EB" w:rsidP="008072EB" w:rsidRDefault="008072EB" w14:paraId="29ABC8CA" w14:textId="77777777">
            <w:pPr>
              <w:rPr>
                <w:bCs/>
                <w:sz w:val="20"/>
                <w:szCs w:val="20"/>
              </w:rPr>
            </w:pPr>
          </w:p>
          <w:p w:rsidRPr="008072EB" w:rsidR="008072EB" w:rsidP="008072EB" w:rsidRDefault="008072EB" w14:paraId="3E42C127" w14:textId="77777777">
            <w:pPr>
              <w:rPr>
                <w:bCs/>
                <w:sz w:val="20"/>
                <w:szCs w:val="20"/>
              </w:rPr>
            </w:pPr>
            <w:r w:rsidRPr="008072EB">
              <w:rPr>
                <w:bCs/>
                <w:sz w:val="20"/>
                <w:szCs w:val="20"/>
              </w:rPr>
              <w:t xml:space="preserve">23/24 thresholds </w:t>
            </w:r>
            <w:r w:rsidRPr="008072EB">
              <w:rPr>
                <w:i/>
                <w:iCs/>
                <w:sz w:val="20"/>
                <w:szCs w:val="20"/>
              </w:rPr>
              <w:t>(Cumulative milestones with discrete reporting)</w:t>
            </w:r>
          </w:p>
          <w:p w:rsidRPr="008072EB" w:rsidR="008072EB" w:rsidP="008072EB" w:rsidRDefault="008072EB" w14:paraId="21F8D1DB" w14:textId="77777777">
            <w:pPr>
              <w:rPr>
                <w:bCs/>
                <w:sz w:val="20"/>
                <w:szCs w:val="20"/>
              </w:rPr>
            </w:pPr>
            <w:r w:rsidRPr="008072EB">
              <w:rPr>
                <w:bCs/>
                <w:sz w:val="20"/>
                <w:szCs w:val="20"/>
              </w:rPr>
              <w:t>70% (A): 21</w:t>
            </w:r>
          </w:p>
          <w:p w:rsidRPr="008072EB" w:rsidR="008072EB" w:rsidP="008072EB" w:rsidRDefault="008072EB" w14:paraId="61978C7B" w14:textId="77777777">
            <w:pPr>
              <w:rPr>
                <w:bCs/>
                <w:sz w:val="20"/>
                <w:szCs w:val="20"/>
              </w:rPr>
            </w:pPr>
            <w:r w:rsidRPr="008072EB">
              <w:rPr>
                <w:bCs/>
                <w:sz w:val="20"/>
                <w:szCs w:val="20"/>
              </w:rPr>
              <w:t>60% (B): 18</w:t>
            </w:r>
          </w:p>
          <w:p w:rsidRPr="008072EB" w:rsidR="008072EB" w:rsidP="008072EB" w:rsidRDefault="008072EB" w14:paraId="0DF5474B" w14:textId="77777777">
            <w:pPr>
              <w:rPr>
                <w:bCs/>
                <w:sz w:val="20"/>
                <w:szCs w:val="20"/>
              </w:rPr>
            </w:pPr>
            <w:r w:rsidRPr="008072EB">
              <w:rPr>
                <w:bCs/>
                <w:sz w:val="20"/>
                <w:szCs w:val="20"/>
              </w:rPr>
              <w:t>&lt;60% (C)</w:t>
            </w:r>
          </w:p>
          <w:p w:rsidRPr="008072EB" w:rsidR="008072EB" w:rsidP="008072EB" w:rsidRDefault="008072EB" w14:paraId="15BCBE59" w14:textId="77777777">
            <w:pPr>
              <w:rPr>
                <w:bCs/>
                <w:sz w:val="20"/>
                <w:szCs w:val="20"/>
              </w:rPr>
            </w:pPr>
          </w:p>
          <w:p w:rsidRPr="008072EB" w:rsidR="008072EB" w:rsidP="008072EB" w:rsidRDefault="008072EB" w14:paraId="04DF155B" w14:textId="77777777">
            <w:pPr>
              <w:rPr>
                <w:bCs/>
                <w:sz w:val="20"/>
                <w:szCs w:val="20"/>
              </w:rPr>
            </w:pPr>
          </w:p>
        </w:tc>
        <w:tc>
          <w:tcPr>
            <w:tcW w:w="3530"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7D43004C" w14:textId="77777777">
            <w:pPr>
              <w:rPr>
                <w:sz w:val="20"/>
                <w:szCs w:val="20"/>
              </w:rPr>
            </w:pPr>
            <w:r w:rsidRPr="008072EB">
              <w:rPr>
                <w:sz w:val="20"/>
                <w:szCs w:val="20"/>
              </w:rPr>
              <w:t>Overall: 43, A</w:t>
            </w:r>
          </w:p>
          <w:p w:rsidRPr="008072EB" w:rsidR="008072EB" w:rsidP="008072EB" w:rsidRDefault="008072EB" w14:paraId="0E6F6550" w14:textId="77777777">
            <w:pPr>
              <w:rPr>
                <w:sz w:val="20"/>
                <w:szCs w:val="20"/>
              </w:rPr>
            </w:pPr>
          </w:p>
          <w:p w:rsidRPr="008072EB" w:rsidR="008072EB" w:rsidP="008072EB" w:rsidRDefault="008072EB" w14:paraId="628E71B9" w14:textId="77777777">
            <w:pPr>
              <w:rPr>
                <w:sz w:val="20"/>
                <w:szCs w:val="20"/>
              </w:rPr>
            </w:pPr>
            <w:r w:rsidRPr="008072EB">
              <w:rPr>
                <w:sz w:val="20"/>
                <w:szCs w:val="20"/>
              </w:rPr>
              <w:t>ALB progress: 8</w:t>
            </w:r>
          </w:p>
          <w:p w:rsidRPr="008072EB" w:rsidR="008072EB" w:rsidP="008072EB" w:rsidRDefault="008072EB" w14:paraId="0DADA0E0" w14:textId="77777777">
            <w:pPr>
              <w:rPr>
                <w:sz w:val="20"/>
                <w:szCs w:val="20"/>
              </w:rPr>
            </w:pPr>
            <w:r w:rsidRPr="008072EB">
              <w:rPr>
                <w:sz w:val="20"/>
                <w:szCs w:val="20"/>
              </w:rPr>
              <w:t>GOAP progress: 24</w:t>
            </w:r>
          </w:p>
          <w:p w:rsidRPr="008072EB" w:rsidR="008072EB" w:rsidP="008072EB" w:rsidRDefault="008072EB" w14:paraId="59015C9C" w14:textId="77777777">
            <w:pPr>
              <w:rPr>
                <w:sz w:val="20"/>
                <w:szCs w:val="20"/>
              </w:rPr>
            </w:pPr>
            <w:r w:rsidRPr="008072EB">
              <w:rPr>
                <w:sz w:val="20"/>
                <w:szCs w:val="20"/>
              </w:rPr>
              <w:t>FOA progress: 11</w:t>
            </w:r>
          </w:p>
          <w:p w:rsidRPr="008072EB" w:rsidR="008072EB" w:rsidP="008072EB" w:rsidRDefault="008072EB" w14:paraId="244A9F18" w14:textId="77777777">
            <w:pPr>
              <w:rPr>
                <w:sz w:val="20"/>
                <w:szCs w:val="20"/>
              </w:rPr>
            </w:pPr>
          </w:p>
        </w:tc>
      </w:tr>
    </w:tbl>
    <w:p w:rsidRPr="008072EB" w:rsidR="008072EB" w:rsidP="008072EB" w:rsidRDefault="008072EB" w14:paraId="16E20D8E" w14:textId="77777777">
      <w:pPr>
        <w:jc w:val="both"/>
        <w:rPr>
          <w:rFonts w:cs="Arial"/>
          <w:b/>
          <w:bCs/>
          <w:sz w:val="22"/>
          <w:szCs w:val="22"/>
        </w:rPr>
      </w:pPr>
    </w:p>
    <w:p w:rsidRPr="008072EB" w:rsidR="008072EB" w:rsidP="008072EB" w:rsidRDefault="008072EB" w14:paraId="792ED015" w14:textId="77777777">
      <w:pPr>
        <w:jc w:val="both"/>
        <w:rPr>
          <w:rFonts w:cs="Arial"/>
          <w:i/>
          <w:iCs/>
          <w:sz w:val="22"/>
          <w:szCs w:val="22"/>
        </w:rPr>
      </w:pPr>
      <w:r w:rsidRPr="008072EB">
        <w:rPr>
          <w:rFonts w:cs="Arial"/>
          <w:i/>
          <w:iCs/>
          <w:sz w:val="22"/>
          <w:szCs w:val="22"/>
        </w:rPr>
        <w:t>Note: 23/24 reporting for FOA is taken from phase 3 plans and reporting. Milestones for FOA were not set for 24/25 because of pending funding decisions.</w:t>
      </w:r>
    </w:p>
    <w:p w:rsidRPr="008072EB" w:rsidR="008072EB" w:rsidP="008072EB" w:rsidRDefault="008072EB" w14:paraId="13F1AB1F" w14:textId="77777777">
      <w:pPr>
        <w:jc w:val="both"/>
        <w:rPr>
          <w:rFonts w:cs="Arial"/>
          <w:b/>
          <w:bCs/>
          <w:sz w:val="22"/>
          <w:szCs w:val="22"/>
        </w:rPr>
      </w:pPr>
    </w:p>
    <w:p w:rsidRPr="008072EB" w:rsidR="008072EB" w:rsidP="008072EB" w:rsidRDefault="008072EB" w14:paraId="393E708C" w14:textId="54052D14">
      <w:pPr>
        <w:jc w:val="both"/>
        <w:rPr>
          <w:rFonts w:cs="Arial"/>
          <w:b/>
          <w:bCs/>
          <w:sz w:val="22"/>
          <w:szCs w:val="22"/>
        </w:rPr>
      </w:pPr>
      <w:r w:rsidRPr="008072EB">
        <w:rPr>
          <w:rFonts w:cs="Arial"/>
          <w:b/>
          <w:bCs/>
          <w:sz w:val="22"/>
          <w:szCs w:val="22"/>
        </w:rPr>
        <w:t xml:space="preserve">C1. Briefly describe the output’s </w:t>
      </w:r>
      <w:r w:rsidRPr="008072EB" w:rsidR="009E70EF">
        <w:rPr>
          <w:rFonts w:cs="Arial"/>
          <w:b/>
          <w:bCs/>
          <w:sz w:val="22"/>
          <w:szCs w:val="22"/>
        </w:rPr>
        <w:t>activities and</w:t>
      </w:r>
      <w:r w:rsidRPr="008072EB">
        <w:rPr>
          <w:rFonts w:cs="Arial"/>
          <w:b/>
          <w:bCs/>
          <w:sz w:val="22"/>
          <w:szCs w:val="22"/>
        </w:rPr>
        <w:t xml:space="preserve"> provide supporting narrative for the score.</w:t>
      </w:r>
      <w:r w:rsidRPr="008072EB">
        <w:rPr>
          <w:rFonts w:cs="Arial"/>
          <w:sz w:val="22"/>
          <w:szCs w:val="22"/>
        </w:rPr>
        <w:t xml:space="preserve"> </w:t>
      </w:r>
    </w:p>
    <w:p w:rsidRPr="008072EB" w:rsidR="008072EB" w:rsidP="008072EB" w:rsidRDefault="008072EB" w14:paraId="121A26D4" w14:textId="77777777">
      <w:pPr>
        <w:jc w:val="both"/>
        <w:rPr>
          <w:rFonts w:cs="Arial"/>
          <w:bCs/>
          <w:sz w:val="20"/>
          <w:szCs w:val="22"/>
        </w:rPr>
      </w:pPr>
    </w:p>
    <w:p w:rsidRPr="008072EB" w:rsidR="008072EB" w:rsidP="008072EB" w:rsidRDefault="008072EB" w14:paraId="10505794" w14:textId="6C6BB4AC">
      <w:pPr>
        <w:rPr>
          <w:sz w:val="22"/>
          <w:szCs w:val="22"/>
        </w:rPr>
      </w:pPr>
      <w:r w:rsidRPr="008072EB">
        <w:rPr>
          <w:rFonts w:cs="Arial"/>
          <w:sz w:val="22"/>
          <w:szCs w:val="22"/>
        </w:rPr>
        <w:t>Output 3 and associated indicators seek to monitor the programmes progress towards providing enhanced education, awareness and exchange of scientific, technical knowledge and data in relevant topics</w:t>
      </w:r>
      <w:r w:rsidRPr="008072EB">
        <w:rPr>
          <w:sz w:val="22"/>
          <w:szCs w:val="22"/>
        </w:rPr>
        <w:t>. The programme has scored C in indicators 3.1 and A in indicators 3.2 and 3.3. Overall, output 3 has scored a B.</w:t>
      </w:r>
      <w:r w:rsidRPr="007A05A6" w:rsidR="007A05A6">
        <w:rPr>
          <w:sz w:val="22"/>
          <w:szCs w:val="22"/>
        </w:rPr>
        <w:t xml:space="preserve"> </w:t>
      </w:r>
      <w:r w:rsidR="007A05A6">
        <w:rPr>
          <w:sz w:val="22"/>
          <w:szCs w:val="22"/>
        </w:rPr>
        <w:t xml:space="preserve">While output indicator 3.1 and 3.3 both relate to resources produced by the programme, indicator 3.3 is distinct from 3.1 </w:t>
      </w:r>
      <w:r w:rsidR="00B63C87">
        <w:rPr>
          <w:sz w:val="22"/>
          <w:szCs w:val="22"/>
        </w:rPr>
        <w:t>as outputs</w:t>
      </w:r>
      <w:r w:rsidR="007A05A6">
        <w:rPr>
          <w:sz w:val="22"/>
          <w:szCs w:val="22"/>
        </w:rPr>
        <w:t xml:space="preserve"> under 3.3 must be freely available. </w:t>
      </w:r>
      <w:r w:rsidR="00A33346">
        <w:rPr>
          <w:sz w:val="22"/>
          <w:szCs w:val="22"/>
        </w:rPr>
        <w:t>For example, a</w:t>
      </w:r>
      <w:r w:rsidR="007A05A6">
        <w:rPr>
          <w:sz w:val="22"/>
          <w:szCs w:val="22"/>
        </w:rPr>
        <w:t>n output delivered under indicator 3.1 might only remain within a government ministry</w:t>
      </w:r>
      <w:r w:rsidR="00A33346">
        <w:rPr>
          <w:sz w:val="22"/>
          <w:szCs w:val="22"/>
        </w:rPr>
        <w:t>.</w:t>
      </w:r>
    </w:p>
    <w:p w:rsidRPr="008072EB" w:rsidR="008072EB" w:rsidP="008072EB" w:rsidRDefault="008072EB" w14:paraId="753C83F5" w14:textId="77777777">
      <w:pPr>
        <w:rPr>
          <w:sz w:val="22"/>
          <w:szCs w:val="22"/>
        </w:rPr>
      </w:pPr>
    </w:p>
    <w:p w:rsidRPr="008072EB" w:rsidR="008072EB" w:rsidP="008072EB" w:rsidRDefault="008072EB" w14:paraId="2D9F3AE0" w14:textId="366C871A">
      <w:pPr>
        <w:rPr>
          <w:rFonts w:cs="Arial"/>
          <w:sz w:val="22"/>
          <w:szCs w:val="22"/>
        </w:rPr>
      </w:pPr>
      <w:r w:rsidRPr="008072EB">
        <w:rPr>
          <w:b/>
          <w:bCs/>
          <w:sz w:val="22"/>
          <w:szCs w:val="22"/>
        </w:rPr>
        <w:t xml:space="preserve">3.1 – C. </w:t>
      </w:r>
      <w:r w:rsidRPr="008072EB">
        <w:rPr>
          <w:sz w:val="22"/>
          <w:szCs w:val="22"/>
        </w:rPr>
        <w:t>This indicator seeks to measure the number of datasets or monitoring systems developed or improved; ocean accounts compiled, and educational resources produced by delivery partners</w:t>
      </w:r>
      <w:r w:rsidRPr="008072EB">
        <w:rPr>
          <w:rFonts w:cs="Arial"/>
          <w:sz w:val="22"/>
          <w:szCs w:val="22"/>
        </w:rPr>
        <w:t xml:space="preserve">. ALB partners reported </w:t>
      </w:r>
      <w:r w:rsidRPr="008072EB" w:rsidR="00786E50">
        <w:rPr>
          <w:rFonts w:cs="Arial"/>
          <w:sz w:val="22"/>
          <w:szCs w:val="22"/>
        </w:rPr>
        <w:t>3</w:t>
      </w:r>
      <w:r w:rsidR="00786E50">
        <w:rPr>
          <w:rFonts w:cs="Arial"/>
          <w:sz w:val="22"/>
          <w:szCs w:val="22"/>
        </w:rPr>
        <w:t>7</w:t>
      </w:r>
      <w:r w:rsidRPr="008072EB" w:rsidR="00786E50">
        <w:rPr>
          <w:rFonts w:cs="Arial"/>
          <w:sz w:val="22"/>
          <w:szCs w:val="22"/>
        </w:rPr>
        <w:t xml:space="preserve"> </w:t>
      </w:r>
      <w:r w:rsidRPr="008072EB">
        <w:rPr>
          <w:rFonts w:cs="Arial"/>
          <w:sz w:val="22"/>
          <w:szCs w:val="22"/>
        </w:rPr>
        <w:t xml:space="preserve">and GOAP </w:t>
      </w:r>
      <w:r w:rsidRPr="008072EB" w:rsidR="00786E50">
        <w:rPr>
          <w:rFonts w:cs="Arial"/>
          <w:sz w:val="22"/>
          <w:szCs w:val="22"/>
        </w:rPr>
        <w:t>2</w:t>
      </w:r>
      <w:r w:rsidR="00786E50">
        <w:rPr>
          <w:rFonts w:cs="Arial"/>
          <w:sz w:val="22"/>
          <w:szCs w:val="22"/>
        </w:rPr>
        <w:t>3</w:t>
      </w:r>
      <w:r w:rsidRPr="008072EB">
        <w:rPr>
          <w:rFonts w:cs="Arial"/>
          <w:sz w:val="22"/>
          <w:szCs w:val="22"/>
        </w:rPr>
        <w:t>. The total reported is 60. The tables below present a breakdown of the data by resource type and by Delivery Partner.</w:t>
      </w:r>
      <w:r w:rsidRPr="00321CC2" w:rsidR="00321CC2">
        <w:t xml:space="preserve"> </w:t>
      </w:r>
      <w:r w:rsidRPr="00321CC2" w:rsidR="00321CC2">
        <w:rPr>
          <w:rFonts w:cs="Arial"/>
          <w:sz w:val="22"/>
          <w:szCs w:val="22"/>
        </w:rPr>
        <w:t>For example, in Sri Lanka the ALBs delivered a new technical assessment: “Sri Lanka Historic Imagery Analysis June 2023 – May 2024”</w:t>
      </w:r>
      <w:r w:rsidR="00B458FE">
        <w:rPr>
          <w:rFonts w:cs="Arial"/>
          <w:sz w:val="22"/>
          <w:szCs w:val="22"/>
        </w:rPr>
        <w:t>,</w:t>
      </w:r>
      <w:r w:rsidRPr="00321CC2" w:rsidR="00321CC2">
        <w:rPr>
          <w:rFonts w:cs="Arial"/>
          <w:sz w:val="22"/>
          <w:szCs w:val="22"/>
        </w:rPr>
        <w:t xml:space="preserve"> a monitoring system: “Oiled Wildlife Response Plan” and a climate change educational resource for primary and secondary schools within this reporting period. </w:t>
      </w:r>
      <w:r w:rsidR="00FE5229">
        <w:rPr>
          <w:rFonts w:cs="Arial"/>
          <w:sz w:val="22"/>
          <w:szCs w:val="22"/>
        </w:rPr>
        <w:t>In</w:t>
      </w:r>
      <w:r w:rsidRPr="00321CC2" w:rsidR="00321CC2">
        <w:rPr>
          <w:rFonts w:cs="Arial"/>
          <w:sz w:val="22"/>
          <w:szCs w:val="22"/>
        </w:rPr>
        <w:t xml:space="preserve"> the Solomon Islands</w:t>
      </w:r>
      <w:r w:rsidR="00FE5229">
        <w:rPr>
          <w:rFonts w:cs="Arial"/>
          <w:sz w:val="22"/>
          <w:szCs w:val="22"/>
        </w:rPr>
        <w:t xml:space="preserve"> the ALBs</w:t>
      </w:r>
      <w:r w:rsidRPr="00321CC2" w:rsidR="00321CC2">
        <w:rPr>
          <w:rFonts w:cs="Arial"/>
          <w:sz w:val="22"/>
          <w:szCs w:val="22"/>
        </w:rPr>
        <w:t xml:space="preserve"> consulted government officials to provide areas of interest in remote sensing to produce a technical assessment on the Island's </w:t>
      </w:r>
      <w:r w:rsidR="00FE5229">
        <w:rPr>
          <w:rFonts w:cs="Arial"/>
          <w:sz w:val="22"/>
          <w:szCs w:val="22"/>
        </w:rPr>
        <w:t>Exclusive Economic Zone (</w:t>
      </w:r>
      <w:r w:rsidRPr="00321CC2" w:rsidR="00321CC2">
        <w:rPr>
          <w:rFonts w:cs="Arial"/>
          <w:sz w:val="22"/>
          <w:szCs w:val="22"/>
        </w:rPr>
        <w:t>EEZ</w:t>
      </w:r>
      <w:r w:rsidR="00FE5229">
        <w:rPr>
          <w:rFonts w:cs="Arial"/>
          <w:sz w:val="22"/>
          <w:szCs w:val="22"/>
        </w:rPr>
        <w:t>)</w:t>
      </w:r>
      <w:r w:rsidRPr="00321CC2" w:rsidR="00321CC2">
        <w:rPr>
          <w:rFonts w:cs="Arial"/>
          <w:sz w:val="22"/>
          <w:szCs w:val="22"/>
        </w:rPr>
        <w:t xml:space="preserve"> and Honiara Port.</w:t>
      </w:r>
    </w:p>
    <w:p w:rsidRPr="008072EB" w:rsidR="008072EB" w:rsidP="008072EB" w:rsidRDefault="008072EB" w14:paraId="50A27A5E" w14:textId="77777777">
      <w:pPr>
        <w:rPr>
          <w:rFonts w:cs="Arial"/>
          <w:sz w:val="22"/>
          <w:szCs w:val="22"/>
          <w:u w:val="single"/>
        </w:rPr>
      </w:pPr>
    </w:p>
    <w:p w:rsidRPr="008072EB" w:rsidR="008072EB" w:rsidP="008072EB" w:rsidRDefault="008072EB" w14:paraId="043D3D92" w14:textId="77777777">
      <w:pPr>
        <w:rPr>
          <w:rFonts w:cs="Arial"/>
          <w:sz w:val="22"/>
          <w:szCs w:val="22"/>
          <w:u w:val="single"/>
        </w:rPr>
      </w:pPr>
      <w:r w:rsidRPr="008072EB">
        <w:rPr>
          <w:rFonts w:cs="Arial"/>
          <w:sz w:val="22"/>
          <w:szCs w:val="22"/>
          <w:u w:val="single"/>
        </w:rPr>
        <w:t>Data breakdown by resource type</w:t>
      </w:r>
    </w:p>
    <w:p w:rsidRPr="008072EB" w:rsidR="008072EB" w:rsidP="008072EB" w:rsidRDefault="008072EB" w14:paraId="3C6FC036" w14:textId="77777777">
      <w:pPr>
        <w:rPr>
          <w:rFonts w:cs="Arial"/>
          <w:sz w:val="22"/>
          <w:szCs w:val="22"/>
          <w:u w:val="single"/>
        </w:rPr>
      </w:pPr>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3733"/>
        <w:gridCol w:w="1448"/>
        <w:gridCol w:w="1888"/>
        <w:gridCol w:w="1947"/>
      </w:tblGrid>
      <w:tr w:rsidRPr="008072EB" w:rsidR="008072EB" w:rsidTr="1FB22237" w14:paraId="2DEC6CC0" w14:textId="77777777">
        <w:trPr>
          <w:trHeight w:val="570"/>
        </w:trPr>
        <w:tc>
          <w:tcPr>
            <w:tcW w:w="3765" w:type="dxa"/>
            <w:vMerge w:val="restart"/>
            <w:shd w:val="clear" w:color="auto" w:fill="B7D6E1"/>
            <w:vAlign w:val="center"/>
            <w:hideMark/>
          </w:tcPr>
          <w:p w:rsidRPr="008072EB" w:rsidR="008072EB" w:rsidP="008072EB" w:rsidRDefault="008072EB" w14:paraId="262DBDF9" w14:textId="77777777">
            <w:pPr>
              <w:rPr>
                <w:rFonts w:cs="Arial"/>
                <w:b/>
                <w:bCs/>
                <w:sz w:val="22"/>
                <w:szCs w:val="22"/>
                <w:lang w:val="en-US"/>
              </w:rPr>
            </w:pPr>
            <w:r w:rsidRPr="008072EB">
              <w:rPr>
                <w:rFonts w:cs="Arial"/>
                <w:sz w:val="22"/>
                <w:szCs w:val="22"/>
              </w:rPr>
              <w:t>Resource type</w:t>
            </w:r>
            <w:r w:rsidRPr="008072EB">
              <w:rPr>
                <w:rFonts w:cs="Arial"/>
                <w:b/>
                <w:bCs/>
                <w:sz w:val="22"/>
                <w:szCs w:val="22"/>
                <w:lang w:val="en-US"/>
              </w:rPr>
              <w:t>​</w:t>
            </w:r>
          </w:p>
        </w:tc>
        <w:tc>
          <w:tcPr>
            <w:tcW w:w="3360" w:type="dxa"/>
            <w:gridSpan w:val="2"/>
            <w:shd w:val="clear" w:color="auto" w:fill="B7D6E1"/>
            <w:hideMark/>
          </w:tcPr>
          <w:p w:rsidRPr="008072EB" w:rsidR="008072EB" w:rsidP="008072EB" w:rsidRDefault="008072EB" w14:paraId="43DDB194" w14:textId="77777777">
            <w:pPr>
              <w:rPr>
                <w:rFonts w:cs="Arial"/>
                <w:b/>
                <w:bCs/>
                <w:sz w:val="22"/>
                <w:szCs w:val="22"/>
                <w:lang w:val="en-US"/>
              </w:rPr>
            </w:pPr>
            <w:r w:rsidRPr="008072EB">
              <w:rPr>
                <w:rFonts w:cs="Arial"/>
                <w:sz w:val="22"/>
                <w:szCs w:val="22"/>
              </w:rPr>
              <w:t>Level of support</w:t>
            </w:r>
            <w:r w:rsidRPr="008072EB">
              <w:rPr>
                <w:rFonts w:cs="Arial"/>
                <w:b/>
                <w:bCs/>
                <w:sz w:val="22"/>
                <w:szCs w:val="22"/>
                <w:lang w:val="en-US"/>
              </w:rPr>
              <w:t>​</w:t>
            </w:r>
          </w:p>
        </w:tc>
        <w:tc>
          <w:tcPr>
            <w:tcW w:w="1965" w:type="dxa"/>
            <w:vMerge w:val="restart"/>
            <w:shd w:val="clear" w:color="auto" w:fill="B7D6E1"/>
            <w:vAlign w:val="center"/>
            <w:hideMark/>
          </w:tcPr>
          <w:p w:rsidRPr="008072EB" w:rsidR="008072EB" w:rsidP="008072EB" w:rsidRDefault="008072EB" w14:paraId="2AF2567B" w14:textId="77777777">
            <w:pPr>
              <w:rPr>
                <w:rFonts w:cs="Arial"/>
                <w:b/>
                <w:bCs/>
                <w:sz w:val="22"/>
                <w:szCs w:val="22"/>
                <w:lang w:val="en-US"/>
              </w:rPr>
            </w:pPr>
            <w:r w:rsidRPr="008072EB">
              <w:rPr>
                <w:rFonts w:cs="Arial"/>
                <w:sz w:val="22"/>
                <w:szCs w:val="22"/>
              </w:rPr>
              <w:t>Total</w:t>
            </w:r>
            <w:r w:rsidRPr="008072EB">
              <w:rPr>
                <w:rFonts w:cs="Arial"/>
                <w:b/>
                <w:bCs/>
                <w:sz w:val="22"/>
                <w:szCs w:val="22"/>
                <w:lang w:val="en-US"/>
              </w:rPr>
              <w:t>​</w:t>
            </w:r>
          </w:p>
        </w:tc>
      </w:tr>
      <w:tr w:rsidRPr="008072EB" w:rsidR="008072EB" w:rsidTr="1FB22237" w14:paraId="3FC8FF3E" w14:textId="77777777">
        <w:tc>
          <w:tcPr>
            <w:tcW w:w="0" w:type="auto"/>
            <w:vMerge/>
            <w:vAlign w:val="center"/>
            <w:hideMark/>
          </w:tcPr>
          <w:p w:rsidRPr="008072EB" w:rsidR="008072EB" w:rsidP="008072EB" w:rsidRDefault="008072EB" w14:paraId="6214C0D6" w14:textId="77777777">
            <w:pPr>
              <w:rPr>
                <w:rFonts w:cs="Arial"/>
                <w:b/>
                <w:bCs/>
                <w:sz w:val="22"/>
                <w:szCs w:val="22"/>
                <w:lang w:val="en-US"/>
              </w:rPr>
            </w:pPr>
          </w:p>
        </w:tc>
        <w:tc>
          <w:tcPr>
            <w:tcW w:w="1455" w:type="dxa"/>
            <w:shd w:val="clear" w:color="auto" w:fill="E6F0F4"/>
            <w:hideMark/>
          </w:tcPr>
          <w:p w:rsidRPr="008072EB" w:rsidR="008072EB" w:rsidP="008072EB" w:rsidRDefault="008072EB" w14:paraId="5136CFB2" w14:textId="77777777">
            <w:pPr>
              <w:rPr>
                <w:rFonts w:cs="Arial"/>
                <w:sz w:val="22"/>
                <w:szCs w:val="22"/>
                <w:lang w:val="en-US"/>
              </w:rPr>
            </w:pPr>
            <w:r w:rsidRPr="1FB22237">
              <w:rPr>
                <w:rFonts w:cs="Arial"/>
                <w:sz w:val="22"/>
                <w:szCs w:val="22"/>
              </w:rPr>
              <w:t>Improved</w:t>
            </w:r>
          </w:p>
        </w:tc>
        <w:tc>
          <w:tcPr>
            <w:tcW w:w="1905" w:type="dxa"/>
            <w:shd w:val="clear" w:color="auto" w:fill="E6F0F4"/>
            <w:hideMark/>
          </w:tcPr>
          <w:p w:rsidRPr="008072EB" w:rsidR="008072EB" w:rsidP="008072EB" w:rsidRDefault="008072EB" w14:paraId="3ECAC677" w14:textId="77777777">
            <w:pPr>
              <w:rPr>
                <w:rFonts w:cs="Arial"/>
                <w:sz w:val="22"/>
                <w:szCs w:val="22"/>
                <w:lang w:val="en-US"/>
              </w:rPr>
            </w:pPr>
            <w:r w:rsidRPr="008072EB">
              <w:rPr>
                <w:rFonts w:cs="Arial"/>
                <w:sz w:val="22"/>
                <w:szCs w:val="22"/>
              </w:rPr>
              <w:t>New</w:t>
            </w:r>
          </w:p>
        </w:tc>
        <w:tc>
          <w:tcPr>
            <w:tcW w:w="0" w:type="auto"/>
            <w:vMerge/>
            <w:vAlign w:val="center"/>
            <w:hideMark/>
          </w:tcPr>
          <w:p w:rsidRPr="008072EB" w:rsidR="008072EB" w:rsidP="008072EB" w:rsidRDefault="008072EB" w14:paraId="042CA52A" w14:textId="77777777">
            <w:pPr>
              <w:rPr>
                <w:rFonts w:cs="Arial"/>
                <w:b/>
                <w:bCs/>
                <w:sz w:val="22"/>
                <w:szCs w:val="22"/>
                <w:lang w:val="en-US"/>
              </w:rPr>
            </w:pPr>
          </w:p>
        </w:tc>
      </w:tr>
      <w:tr w:rsidRPr="008072EB" w:rsidR="008072EB" w:rsidTr="1FB22237" w14:paraId="32EAEF8E" w14:textId="77777777">
        <w:trPr>
          <w:trHeight w:val="570"/>
        </w:trPr>
        <w:tc>
          <w:tcPr>
            <w:tcW w:w="3765" w:type="dxa"/>
            <w:shd w:val="clear" w:color="auto" w:fill="F3F8F9"/>
            <w:hideMark/>
          </w:tcPr>
          <w:p w:rsidRPr="008072EB" w:rsidR="008072EB" w:rsidP="008072EB" w:rsidRDefault="008072EB" w14:paraId="1CF4D633" w14:textId="77777777">
            <w:pPr>
              <w:rPr>
                <w:rFonts w:cs="Arial"/>
                <w:sz w:val="22"/>
                <w:szCs w:val="22"/>
                <w:lang w:val="en-US"/>
              </w:rPr>
            </w:pPr>
            <w:r w:rsidRPr="008072EB">
              <w:rPr>
                <w:rFonts w:cs="Arial"/>
                <w:sz w:val="22"/>
                <w:szCs w:val="22"/>
              </w:rPr>
              <w:t>Dataset</w:t>
            </w:r>
            <w:r w:rsidRPr="008072EB">
              <w:rPr>
                <w:rFonts w:cs="Arial"/>
                <w:sz w:val="22"/>
                <w:szCs w:val="22"/>
                <w:lang w:val="en-US"/>
              </w:rPr>
              <w:t>​</w:t>
            </w:r>
          </w:p>
        </w:tc>
        <w:tc>
          <w:tcPr>
            <w:tcW w:w="1455" w:type="dxa"/>
            <w:shd w:val="clear" w:color="auto" w:fill="F3F8F9"/>
            <w:hideMark/>
          </w:tcPr>
          <w:p w:rsidRPr="008072EB" w:rsidR="008072EB" w:rsidP="008072EB" w:rsidRDefault="008072EB" w14:paraId="77CA32D9" w14:textId="77777777">
            <w:pPr>
              <w:rPr>
                <w:rFonts w:cs="Arial"/>
                <w:sz w:val="22"/>
                <w:szCs w:val="22"/>
                <w:lang w:val="en-US"/>
              </w:rPr>
            </w:pPr>
            <w:r w:rsidRPr="008072EB">
              <w:rPr>
                <w:rFonts w:cs="Arial"/>
                <w:sz w:val="22"/>
                <w:szCs w:val="22"/>
              </w:rPr>
              <w:t>20% (1)</w:t>
            </w:r>
            <w:r w:rsidRPr="008072EB">
              <w:rPr>
                <w:rFonts w:cs="Arial"/>
                <w:sz w:val="22"/>
                <w:szCs w:val="22"/>
                <w:lang w:val="en-US"/>
              </w:rPr>
              <w:t>​</w:t>
            </w:r>
          </w:p>
        </w:tc>
        <w:tc>
          <w:tcPr>
            <w:tcW w:w="1905" w:type="dxa"/>
            <w:shd w:val="clear" w:color="auto" w:fill="F3F8F9"/>
            <w:hideMark/>
          </w:tcPr>
          <w:p w:rsidRPr="008072EB" w:rsidR="008072EB" w:rsidP="008072EB" w:rsidRDefault="008072EB" w14:paraId="230DA43F" w14:textId="77777777">
            <w:pPr>
              <w:rPr>
                <w:rFonts w:cs="Arial"/>
                <w:sz w:val="22"/>
                <w:szCs w:val="22"/>
                <w:lang w:val="en-US"/>
              </w:rPr>
            </w:pPr>
            <w:r w:rsidRPr="008072EB">
              <w:rPr>
                <w:rFonts w:cs="Arial"/>
                <w:sz w:val="22"/>
                <w:szCs w:val="22"/>
              </w:rPr>
              <w:t>80% (4)</w:t>
            </w:r>
            <w:r w:rsidRPr="008072EB">
              <w:rPr>
                <w:rFonts w:cs="Arial"/>
                <w:sz w:val="22"/>
                <w:szCs w:val="22"/>
                <w:lang w:val="en-US"/>
              </w:rPr>
              <w:t>​</w:t>
            </w:r>
          </w:p>
        </w:tc>
        <w:tc>
          <w:tcPr>
            <w:tcW w:w="1965" w:type="dxa"/>
            <w:shd w:val="clear" w:color="auto" w:fill="F3F8F9"/>
            <w:hideMark/>
          </w:tcPr>
          <w:p w:rsidRPr="008072EB" w:rsidR="008072EB" w:rsidP="008072EB" w:rsidRDefault="008072EB" w14:paraId="5D62D0A3" w14:textId="48DBFD01">
            <w:pPr>
              <w:rPr>
                <w:rFonts w:cs="Arial"/>
                <w:sz w:val="22"/>
                <w:szCs w:val="22"/>
                <w:lang w:val="en-US"/>
              </w:rPr>
            </w:pPr>
            <w:r w:rsidRPr="1FB22237">
              <w:rPr>
                <w:rFonts w:cs="Arial"/>
                <w:sz w:val="22"/>
                <w:szCs w:val="22"/>
              </w:rPr>
              <w:t>100% (5)</w:t>
            </w:r>
            <w:r w:rsidRPr="1FB22237">
              <w:rPr>
                <w:rFonts w:cs="Arial"/>
                <w:sz w:val="22"/>
                <w:szCs w:val="22"/>
                <w:lang w:val="en-US"/>
              </w:rPr>
              <w:t>​</w:t>
            </w:r>
          </w:p>
        </w:tc>
      </w:tr>
      <w:tr w:rsidRPr="008072EB" w:rsidR="008072EB" w:rsidTr="1FB22237" w14:paraId="2AD6CB86" w14:textId="77777777">
        <w:trPr>
          <w:trHeight w:val="570"/>
        </w:trPr>
        <w:tc>
          <w:tcPr>
            <w:tcW w:w="3765" w:type="dxa"/>
            <w:shd w:val="clear" w:color="auto" w:fill="E6F0F4"/>
            <w:hideMark/>
          </w:tcPr>
          <w:p w:rsidRPr="008072EB" w:rsidR="008072EB" w:rsidP="008072EB" w:rsidRDefault="008072EB" w14:paraId="79F4FB77" w14:textId="77777777">
            <w:pPr>
              <w:rPr>
                <w:rFonts w:cs="Arial"/>
                <w:sz w:val="22"/>
                <w:szCs w:val="22"/>
                <w:lang w:val="en-US"/>
              </w:rPr>
            </w:pPr>
            <w:r w:rsidRPr="008072EB">
              <w:rPr>
                <w:rFonts w:cs="Arial"/>
                <w:sz w:val="22"/>
                <w:szCs w:val="22"/>
              </w:rPr>
              <w:t>Educational Resources</w:t>
            </w:r>
            <w:r w:rsidRPr="008072EB">
              <w:rPr>
                <w:rFonts w:cs="Arial"/>
                <w:sz w:val="22"/>
                <w:szCs w:val="22"/>
                <w:lang w:val="en-US"/>
              </w:rPr>
              <w:t>​</w:t>
            </w:r>
          </w:p>
        </w:tc>
        <w:tc>
          <w:tcPr>
            <w:tcW w:w="1455" w:type="dxa"/>
            <w:shd w:val="clear" w:color="auto" w:fill="E6F0F4"/>
            <w:hideMark/>
          </w:tcPr>
          <w:p w:rsidRPr="008072EB" w:rsidR="008072EB" w:rsidP="008072EB" w:rsidRDefault="008072EB" w14:paraId="465FFF1D" w14:textId="77777777">
            <w:pPr>
              <w:rPr>
                <w:rFonts w:cs="Arial"/>
                <w:sz w:val="22"/>
                <w:szCs w:val="22"/>
                <w:lang w:val="en-US"/>
              </w:rPr>
            </w:pPr>
            <w:r w:rsidRPr="008072EB">
              <w:rPr>
                <w:rFonts w:cs="Arial"/>
                <w:sz w:val="22"/>
                <w:szCs w:val="22"/>
              </w:rPr>
              <w:t>11% (2)</w:t>
            </w:r>
            <w:r w:rsidRPr="008072EB">
              <w:rPr>
                <w:rFonts w:cs="Arial"/>
                <w:sz w:val="22"/>
                <w:szCs w:val="22"/>
                <w:lang w:val="en-US"/>
              </w:rPr>
              <w:t>​</w:t>
            </w:r>
          </w:p>
        </w:tc>
        <w:tc>
          <w:tcPr>
            <w:tcW w:w="1905" w:type="dxa"/>
            <w:shd w:val="clear" w:color="auto" w:fill="E6F0F4"/>
            <w:hideMark/>
          </w:tcPr>
          <w:p w:rsidRPr="008072EB" w:rsidR="008072EB" w:rsidP="008072EB" w:rsidRDefault="008072EB" w14:paraId="6BCAD12D" w14:textId="77777777">
            <w:pPr>
              <w:rPr>
                <w:rFonts w:cs="Arial"/>
                <w:sz w:val="22"/>
                <w:szCs w:val="22"/>
                <w:lang w:val="en-US"/>
              </w:rPr>
            </w:pPr>
            <w:r w:rsidRPr="008072EB">
              <w:rPr>
                <w:rFonts w:cs="Arial"/>
                <w:sz w:val="22"/>
                <w:szCs w:val="22"/>
              </w:rPr>
              <w:t>89% (16)</w:t>
            </w:r>
            <w:r w:rsidRPr="008072EB">
              <w:rPr>
                <w:rFonts w:cs="Arial"/>
                <w:sz w:val="22"/>
                <w:szCs w:val="22"/>
                <w:lang w:val="en-US"/>
              </w:rPr>
              <w:t>​</w:t>
            </w:r>
          </w:p>
        </w:tc>
        <w:tc>
          <w:tcPr>
            <w:tcW w:w="1965" w:type="dxa"/>
            <w:shd w:val="clear" w:color="auto" w:fill="E6F0F4"/>
            <w:hideMark/>
          </w:tcPr>
          <w:p w:rsidRPr="008072EB" w:rsidR="008072EB" w:rsidP="008072EB" w:rsidRDefault="008072EB" w14:paraId="5EC79CCA" w14:textId="77777777">
            <w:pPr>
              <w:rPr>
                <w:rFonts w:cs="Arial"/>
                <w:sz w:val="22"/>
                <w:szCs w:val="22"/>
                <w:lang w:val="en-US"/>
              </w:rPr>
            </w:pPr>
            <w:r w:rsidRPr="008072EB">
              <w:rPr>
                <w:rFonts w:cs="Arial"/>
                <w:sz w:val="22"/>
                <w:szCs w:val="22"/>
              </w:rPr>
              <w:t>100% (18)</w:t>
            </w:r>
            <w:r w:rsidRPr="008072EB">
              <w:rPr>
                <w:rFonts w:cs="Arial"/>
                <w:sz w:val="22"/>
                <w:szCs w:val="22"/>
                <w:lang w:val="en-US"/>
              </w:rPr>
              <w:t>​</w:t>
            </w:r>
          </w:p>
        </w:tc>
      </w:tr>
      <w:tr w:rsidRPr="008072EB" w:rsidR="008072EB" w:rsidTr="1FB22237" w14:paraId="7ECB1766" w14:textId="77777777">
        <w:trPr>
          <w:trHeight w:val="570"/>
        </w:trPr>
        <w:tc>
          <w:tcPr>
            <w:tcW w:w="3765" w:type="dxa"/>
            <w:shd w:val="clear" w:color="auto" w:fill="F3F8F9"/>
            <w:hideMark/>
          </w:tcPr>
          <w:p w:rsidRPr="008072EB" w:rsidR="008072EB" w:rsidP="008072EB" w:rsidRDefault="008072EB" w14:paraId="0D4A9ADD" w14:textId="77777777">
            <w:pPr>
              <w:rPr>
                <w:rFonts w:cs="Arial"/>
                <w:sz w:val="22"/>
                <w:szCs w:val="22"/>
                <w:lang w:val="en-US"/>
              </w:rPr>
            </w:pPr>
            <w:r w:rsidRPr="008072EB">
              <w:rPr>
                <w:rFonts w:cs="Arial"/>
                <w:sz w:val="22"/>
                <w:szCs w:val="22"/>
              </w:rPr>
              <w:t>Monitoring system</w:t>
            </w:r>
            <w:r w:rsidRPr="008072EB">
              <w:rPr>
                <w:rFonts w:cs="Arial"/>
                <w:sz w:val="22"/>
                <w:szCs w:val="22"/>
                <w:lang w:val="en-US"/>
              </w:rPr>
              <w:t>​</w:t>
            </w:r>
          </w:p>
        </w:tc>
        <w:tc>
          <w:tcPr>
            <w:tcW w:w="1455" w:type="dxa"/>
            <w:shd w:val="clear" w:color="auto" w:fill="F3F8F9"/>
            <w:hideMark/>
          </w:tcPr>
          <w:p w:rsidRPr="008072EB" w:rsidR="008072EB" w:rsidP="008072EB" w:rsidRDefault="008072EB" w14:paraId="0223D932" w14:textId="77777777">
            <w:pPr>
              <w:rPr>
                <w:rFonts w:cs="Arial"/>
                <w:sz w:val="22"/>
                <w:szCs w:val="22"/>
              </w:rPr>
            </w:pPr>
            <w:r w:rsidRPr="008072EB">
              <w:rPr>
                <w:rFonts w:cs="Arial"/>
                <w:sz w:val="22"/>
                <w:szCs w:val="22"/>
              </w:rPr>
              <w:t>​</w:t>
            </w:r>
          </w:p>
        </w:tc>
        <w:tc>
          <w:tcPr>
            <w:tcW w:w="1905" w:type="dxa"/>
            <w:shd w:val="clear" w:color="auto" w:fill="F3F8F9"/>
            <w:hideMark/>
          </w:tcPr>
          <w:p w:rsidRPr="008072EB" w:rsidR="008072EB" w:rsidP="008072EB" w:rsidRDefault="008072EB" w14:paraId="344FFC87" w14:textId="77777777">
            <w:pPr>
              <w:rPr>
                <w:rFonts w:cs="Arial"/>
                <w:sz w:val="22"/>
                <w:szCs w:val="22"/>
                <w:lang w:val="en-US"/>
              </w:rPr>
            </w:pPr>
            <w:r w:rsidRPr="008072EB">
              <w:rPr>
                <w:rFonts w:cs="Arial"/>
                <w:sz w:val="22"/>
                <w:szCs w:val="22"/>
              </w:rPr>
              <w:t>100% (3)</w:t>
            </w:r>
            <w:r w:rsidRPr="008072EB">
              <w:rPr>
                <w:rFonts w:cs="Arial"/>
                <w:sz w:val="22"/>
                <w:szCs w:val="22"/>
                <w:lang w:val="en-US"/>
              </w:rPr>
              <w:t>​</w:t>
            </w:r>
          </w:p>
        </w:tc>
        <w:tc>
          <w:tcPr>
            <w:tcW w:w="1965" w:type="dxa"/>
            <w:shd w:val="clear" w:color="auto" w:fill="F3F8F9"/>
            <w:hideMark/>
          </w:tcPr>
          <w:p w:rsidRPr="008072EB" w:rsidR="008072EB" w:rsidP="008072EB" w:rsidRDefault="008072EB" w14:paraId="7B9784B5" w14:textId="77777777">
            <w:pPr>
              <w:rPr>
                <w:rFonts w:cs="Arial"/>
                <w:sz w:val="22"/>
                <w:szCs w:val="22"/>
                <w:lang w:val="en-US"/>
              </w:rPr>
            </w:pPr>
            <w:r w:rsidRPr="008072EB">
              <w:rPr>
                <w:rFonts w:cs="Arial"/>
                <w:sz w:val="22"/>
                <w:szCs w:val="22"/>
              </w:rPr>
              <w:t>100% (3)</w:t>
            </w:r>
            <w:r w:rsidRPr="008072EB">
              <w:rPr>
                <w:rFonts w:cs="Arial"/>
                <w:sz w:val="22"/>
                <w:szCs w:val="22"/>
                <w:lang w:val="en-US"/>
              </w:rPr>
              <w:t>​</w:t>
            </w:r>
          </w:p>
        </w:tc>
      </w:tr>
      <w:tr w:rsidRPr="008072EB" w:rsidR="008072EB" w:rsidTr="1FB22237" w14:paraId="33D8882A" w14:textId="77777777">
        <w:trPr>
          <w:trHeight w:val="570"/>
        </w:trPr>
        <w:tc>
          <w:tcPr>
            <w:tcW w:w="3765" w:type="dxa"/>
            <w:shd w:val="clear" w:color="auto" w:fill="E6F0F4"/>
            <w:hideMark/>
          </w:tcPr>
          <w:p w:rsidRPr="008072EB" w:rsidR="008072EB" w:rsidP="008072EB" w:rsidRDefault="008072EB" w14:paraId="504DA9CD" w14:textId="77777777">
            <w:pPr>
              <w:rPr>
                <w:rFonts w:cs="Arial"/>
                <w:sz w:val="22"/>
                <w:szCs w:val="22"/>
                <w:lang w:val="en-US"/>
              </w:rPr>
            </w:pPr>
            <w:r w:rsidRPr="008072EB">
              <w:rPr>
                <w:rFonts w:cs="Arial"/>
                <w:sz w:val="22"/>
                <w:szCs w:val="22"/>
              </w:rPr>
              <w:t>Ocean accounts</w:t>
            </w:r>
            <w:r w:rsidRPr="008072EB">
              <w:rPr>
                <w:rFonts w:cs="Arial"/>
                <w:sz w:val="22"/>
                <w:szCs w:val="22"/>
                <w:lang w:val="en-US"/>
              </w:rPr>
              <w:t>​</w:t>
            </w:r>
          </w:p>
        </w:tc>
        <w:tc>
          <w:tcPr>
            <w:tcW w:w="1455" w:type="dxa"/>
            <w:shd w:val="clear" w:color="auto" w:fill="E6F0F4"/>
            <w:hideMark/>
          </w:tcPr>
          <w:p w:rsidRPr="008072EB" w:rsidR="008072EB" w:rsidP="008072EB" w:rsidRDefault="008072EB" w14:paraId="4E780027" w14:textId="77777777">
            <w:pPr>
              <w:rPr>
                <w:rFonts w:cs="Arial"/>
                <w:sz w:val="22"/>
                <w:szCs w:val="22"/>
              </w:rPr>
            </w:pPr>
            <w:r w:rsidRPr="008072EB">
              <w:rPr>
                <w:rFonts w:cs="Arial"/>
                <w:sz w:val="22"/>
                <w:szCs w:val="22"/>
              </w:rPr>
              <w:t>​14% (3)</w:t>
            </w:r>
          </w:p>
        </w:tc>
        <w:tc>
          <w:tcPr>
            <w:tcW w:w="1905" w:type="dxa"/>
            <w:shd w:val="clear" w:color="auto" w:fill="E6F0F4"/>
            <w:hideMark/>
          </w:tcPr>
          <w:p w:rsidRPr="008072EB" w:rsidR="008072EB" w:rsidP="008072EB" w:rsidRDefault="008072EB" w14:paraId="6CAABA79" w14:textId="77777777">
            <w:pPr>
              <w:rPr>
                <w:rFonts w:cs="Arial"/>
                <w:sz w:val="22"/>
                <w:szCs w:val="22"/>
                <w:lang w:val="en-US"/>
              </w:rPr>
            </w:pPr>
            <w:r w:rsidRPr="008072EB">
              <w:rPr>
                <w:rFonts w:cs="Arial"/>
                <w:sz w:val="22"/>
                <w:szCs w:val="22"/>
              </w:rPr>
              <w:t>86% (18)</w:t>
            </w:r>
            <w:r w:rsidRPr="008072EB">
              <w:rPr>
                <w:rFonts w:cs="Arial"/>
                <w:sz w:val="22"/>
                <w:szCs w:val="22"/>
                <w:lang w:val="en-US"/>
              </w:rPr>
              <w:t>​</w:t>
            </w:r>
          </w:p>
        </w:tc>
        <w:tc>
          <w:tcPr>
            <w:tcW w:w="1965" w:type="dxa"/>
            <w:shd w:val="clear" w:color="auto" w:fill="E6F0F4"/>
            <w:hideMark/>
          </w:tcPr>
          <w:p w:rsidRPr="008072EB" w:rsidR="008072EB" w:rsidP="008072EB" w:rsidRDefault="008072EB" w14:paraId="6CC099C8" w14:textId="77777777">
            <w:pPr>
              <w:rPr>
                <w:rFonts w:cs="Arial"/>
                <w:sz w:val="22"/>
                <w:szCs w:val="22"/>
                <w:lang w:val="en-US"/>
              </w:rPr>
            </w:pPr>
            <w:r w:rsidRPr="008072EB">
              <w:rPr>
                <w:rFonts w:cs="Arial"/>
                <w:sz w:val="22"/>
                <w:szCs w:val="22"/>
              </w:rPr>
              <w:t>100% (21)</w:t>
            </w:r>
            <w:r w:rsidRPr="008072EB">
              <w:rPr>
                <w:rFonts w:cs="Arial"/>
                <w:sz w:val="22"/>
                <w:szCs w:val="22"/>
                <w:lang w:val="en-US"/>
              </w:rPr>
              <w:t>​</w:t>
            </w:r>
          </w:p>
        </w:tc>
      </w:tr>
      <w:tr w:rsidRPr="008072EB" w:rsidR="008072EB" w:rsidTr="1FB22237" w14:paraId="34D1D428" w14:textId="77777777">
        <w:trPr>
          <w:trHeight w:val="570"/>
        </w:trPr>
        <w:tc>
          <w:tcPr>
            <w:tcW w:w="3765" w:type="dxa"/>
            <w:shd w:val="clear" w:color="auto" w:fill="F3F8F9"/>
            <w:hideMark/>
          </w:tcPr>
          <w:p w:rsidRPr="008072EB" w:rsidR="008072EB" w:rsidP="008072EB" w:rsidRDefault="008072EB" w14:paraId="14EC8C80" w14:textId="77777777">
            <w:pPr>
              <w:rPr>
                <w:rFonts w:cs="Arial"/>
                <w:sz w:val="22"/>
                <w:szCs w:val="22"/>
                <w:lang w:val="en-US"/>
              </w:rPr>
            </w:pPr>
            <w:r w:rsidRPr="008072EB">
              <w:rPr>
                <w:rFonts w:cs="Arial"/>
                <w:sz w:val="22"/>
                <w:szCs w:val="22"/>
              </w:rPr>
              <w:t>Technical assessments</w:t>
            </w:r>
            <w:r w:rsidRPr="008072EB">
              <w:rPr>
                <w:rFonts w:cs="Arial"/>
                <w:sz w:val="22"/>
                <w:szCs w:val="22"/>
                <w:lang w:val="en-US"/>
              </w:rPr>
              <w:t>​</w:t>
            </w:r>
          </w:p>
        </w:tc>
        <w:tc>
          <w:tcPr>
            <w:tcW w:w="1455" w:type="dxa"/>
            <w:shd w:val="clear" w:color="auto" w:fill="F3F8F9"/>
            <w:hideMark/>
          </w:tcPr>
          <w:p w:rsidRPr="008072EB" w:rsidR="008072EB" w:rsidP="008072EB" w:rsidRDefault="008072EB" w14:paraId="51D6CACA" w14:textId="77777777">
            <w:pPr>
              <w:rPr>
                <w:rFonts w:cs="Arial"/>
                <w:sz w:val="22"/>
                <w:szCs w:val="22"/>
              </w:rPr>
            </w:pPr>
            <w:r w:rsidRPr="008072EB">
              <w:rPr>
                <w:rFonts w:cs="Arial"/>
                <w:sz w:val="22"/>
                <w:szCs w:val="22"/>
              </w:rPr>
              <w:t>​</w:t>
            </w:r>
          </w:p>
        </w:tc>
        <w:tc>
          <w:tcPr>
            <w:tcW w:w="1905" w:type="dxa"/>
            <w:shd w:val="clear" w:color="auto" w:fill="F3F8F9"/>
            <w:hideMark/>
          </w:tcPr>
          <w:p w:rsidRPr="008072EB" w:rsidR="008072EB" w:rsidP="008072EB" w:rsidRDefault="008072EB" w14:paraId="382E7B61" w14:textId="24B36C2B">
            <w:pPr>
              <w:rPr>
                <w:rFonts w:cs="Arial"/>
                <w:sz w:val="22"/>
                <w:szCs w:val="22"/>
                <w:lang w:val="en-US"/>
              </w:rPr>
            </w:pPr>
            <w:r w:rsidRPr="008072EB">
              <w:rPr>
                <w:rFonts w:cs="Arial"/>
                <w:sz w:val="22"/>
                <w:szCs w:val="22"/>
              </w:rPr>
              <w:t>100% (</w:t>
            </w:r>
            <w:r w:rsidRPr="008072EB" w:rsidR="00FE5229">
              <w:rPr>
                <w:rFonts w:cs="Arial"/>
                <w:sz w:val="22"/>
                <w:szCs w:val="22"/>
              </w:rPr>
              <w:t>1</w:t>
            </w:r>
            <w:r w:rsidR="00FE5229">
              <w:rPr>
                <w:rFonts w:cs="Arial"/>
                <w:sz w:val="22"/>
                <w:szCs w:val="22"/>
              </w:rPr>
              <w:t>3</w:t>
            </w:r>
            <w:r w:rsidRPr="008072EB">
              <w:rPr>
                <w:rFonts w:cs="Arial"/>
                <w:sz w:val="22"/>
                <w:szCs w:val="22"/>
              </w:rPr>
              <w:t>)</w:t>
            </w:r>
          </w:p>
        </w:tc>
        <w:tc>
          <w:tcPr>
            <w:tcW w:w="1965" w:type="dxa"/>
            <w:shd w:val="clear" w:color="auto" w:fill="F3F8F9"/>
            <w:hideMark/>
          </w:tcPr>
          <w:p w:rsidRPr="008072EB" w:rsidR="008072EB" w:rsidP="008072EB" w:rsidRDefault="008072EB" w14:paraId="6A400377" w14:textId="28406BE2">
            <w:pPr>
              <w:rPr>
                <w:rFonts w:cs="Arial"/>
                <w:sz w:val="22"/>
                <w:szCs w:val="22"/>
                <w:lang w:val="en-US"/>
              </w:rPr>
            </w:pPr>
            <w:r w:rsidRPr="008072EB">
              <w:rPr>
                <w:rFonts w:cs="Arial"/>
                <w:sz w:val="22"/>
                <w:szCs w:val="22"/>
              </w:rPr>
              <w:t>100% (</w:t>
            </w:r>
            <w:r w:rsidRPr="008072EB" w:rsidR="00FE5229">
              <w:rPr>
                <w:rFonts w:cs="Arial"/>
                <w:sz w:val="22"/>
                <w:szCs w:val="22"/>
              </w:rPr>
              <w:t>1</w:t>
            </w:r>
            <w:r w:rsidR="00FE5229">
              <w:rPr>
                <w:rFonts w:cs="Arial"/>
                <w:sz w:val="22"/>
                <w:szCs w:val="22"/>
              </w:rPr>
              <w:t>3</w:t>
            </w:r>
            <w:r w:rsidRPr="008072EB">
              <w:rPr>
                <w:rFonts w:cs="Arial"/>
                <w:sz w:val="22"/>
                <w:szCs w:val="22"/>
              </w:rPr>
              <w:t>)</w:t>
            </w:r>
            <w:r w:rsidRPr="008072EB">
              <w:rPr>
                <w:rFonts w:cs="Arial"/>
                <w:sz w:val="22"/>
                <w:szCs w:val="22"/>
                <w:lang w:val="en-US"/>
              </w:rPr>
              <w:t>​</w:t>
            </w:r>
          </w:p>
        </w:tc>
      </w:tr>
      <w:tr w:rsidRPr="008072EB" w:rsidR="008072EB" w:rsidTr="1FB22237" w14:paraId="1CA117F9" w14:textId="77777777">
        <w:trPr>
          <w:trHeight w:val="570"/>
        </w:trPr>
        <w:tc>
          <w:tcPr>
            <w:tcW w:w="3765" w:type="dxa"/>
            <w:shd w:val="clear" w:color="auto" w:fill="E6F0F4"/>
            <w:hideMark/>
          </w:tcPr>
          <w:p w:rsidRPr="008072EB" w:rsidR="008072EB" w:rsidP="008072EB" w:rsidRDefault="008072EB" w14:paraId="70C4D9E5" w14:textId="77777777">
            <w:pPr>
              <w:rPr>
                <w:rFonts w:cs="Arial"/>
                <w:sz w:val="22"/>
                <w:szCs w:val="22"/>
                <w:lang w:val="en-US"/>
              </w:rPr>
            </w:pPr>
            <w:r w:rsidRPr="008072EB">
              <w:rPr>
                <w:rFonts w:cs="Arial"/>
                <w:sz w:val="22"/>
                <w:szCs w:val="22"/>
              </w:rPr>
              <w:t>Total</w:t>
            </w:r>
            <w:r w:rsidRPr="008072EB">
              <w:rPr>
                <w:rFonts w:cs="Arial"/>
                <w:sz w:val="22"/>
                <w:szCs w:val="22"/>
                <w:lang w:val="en-US"/>
              </w:rPr>
              <w:t>​</w:t>
            </w:r>
          </w:p>
        </w:tc>
        <w:tc>
          <w:tcPr>
            <w:tcW w:w="1455" w:type="dxa"/>
            <w:shd w:val="clear" w:color="auto" w:fill="E6F0F4"/>
            <w:hideMark/>
          </w:tcPr>
          <w:p w:rsidRPr="008072EB" w:rsidR="008072EB" w:rsidP="008072EB" w:rsidRDefault="008072EB" w14:paraId="4AE81E73" w14:textId="77777777">
            <w:pPr>
              <w:rPr>
                <w:rFonts w:cs="Arial"/>
                <w:sz w:val="22"/>
                <w:szCs w:val="22"/>
                <w:lang w:val="en-US"/>
              </w:rPr>
            </w:pPr>
            <w:r w:rsidRPr="008072EB">
              <w:rPr>
                <w:rFonts w:cs="Arial"/>
                <w:sz w:val="22"/>
                <w:szCs w:val="22"/>
              </w:rPr>
              <w:t>5% (6)</w:t>
            </w:r>
            <w:r w:rsidRPr="008072EB">
              <w:rPr>
                <w:rFonts w:cs="Arial"/>
                <w:sz w:val="22"/>
                <w:szCs w:val="22"/>
                <w:lang w:val="en-US"/>
              </w:rPr>
              <w:t>​</w:t>
            </w:r>
          </w:p>
        </w:tc>
        <w:tc>
          <w:tcPr>
            <w:tcW w:w="1905" w:type="dxa"/>
            <w:shd w:val="clear" w:color="auto" w:fill="E6F0F4"/>
            <w:hideMark/>
          </w:tcPr>
          <w:p w:rsidRPr="008072EB" w:rsidR="008072EB" w:rsidP="008072EB" w:rsidRDefault="008072EB" w14:paraId="45E51026" w14:textId="7F0A5E2C">
            <w:pPr>
              <w:rPr>
                <w:rFonts w:cs="Arial"/>
                <w:sz w:val="22"/>
                <w:szCs w:val="22"/>
                <w:lang w:val="en-US"/>
              </w:rPr>
            </w:pPr>
            <w:r w:rsidRPr="008072EB">
              <w:rPr>
                <w:rFonts w:cs="Arial"/>
                <w:sz w:val="22"/>
                <w:szCs w:val="22"/>
              </w:rPr>
              <w:t>95% (</w:t>
            </w:r>
            <w:r w:rsidRPr="008072EB" w:rsidR="00FE5229">
              <w:rPr>
                <w:rFonts w:cs="Arial"/>
                <w:sz w:val="22"/>
                <w:szCs w:val="22"/>
              </w:rPr>
              <w:t>5</w:t>
            </w:r>
            <w:r w:rsidR="00FE5229">
              <w:rPr>
                <w:rFonts w:cs="Arial"/>
                <w:sz w:val="22"/>
                <w:szCs w:val="22"/>
              </w:rPr>
              <w:t>4</w:t>
            </w:r>
            <w:r w:rsidRPr="008072EB">
              <w:rPr>
                <w:rFonts w:cs="Arial"/>
                <w:sz w:val="22"/>
                <w:szCs w:val="22"/>
              </w:rPr>
              <w:t>)</w:t>
            </w:r>
            <w:r w:rsidRPr="008072EB">
              <w:rPr>
                <w:rFonts w:cs="Arial"/>
                <w:sz w:val="22"/>
                <w:szCs w:val="22"/>
                <w:lang w:val="en-US"/>
              </w:rPr>
              <w:t>​</w:t>
            </w:r>
          </w:p>
        </w:tc>
        <w:tc>
          <w:tcPr>
            <w:tcW w:w="1965" w:type="dxa"/>
            <w:shd w:val="clear" w:color="auto" w:fill="E6F0F4"/>
            <w:hideMark/>
          </w:tcPr>
          <w:p w:rsidRPr="008072EB" w:rsidR="008072EB" w:rsidP="008072EB" w:rsidRDefault="008072EB" w14:paraId="7FA94AA2" w14:textId="1315220C">
            <w:pPr>
              <w:rPr>
                <w:rFonts w:cs="Arial"/>
                <w:sz w:val="22"/>
                <w:szCs w:val="22"/>
                <w:lang w:val="en-US"/>
              </w:rPr>
            </w:pPr>
            <w:r w:rsidRPr="008072EB">
              <w:rPr>
                <w:rFonts w:cs="Arial"/>
                <w:sz w:val="22"/>
                <w:szCs w:val="22"/>
              </w:rPr>
              <w:t>100% (</w:t>
            </w:r>
            <w:r w:rsidR="00FE5229">
              <w:rPr>
                <w:rFonts w:cs="Arial"/>
                <w:sz w:val="22"/>
                <w:szCs w:val="22"/>
              </w:rPr>
              <w:t>60</w:t>
            </w:r>
            <w:r w:rsidRPr="008072EB">
              <w:rPr>
                <w:rFonts w:cs="Arial"/>
                <w:sz w:val="22"/>
                <w:szCs w:val="22"/>
              </w:rPr>
              <w:t>)</w:t>
            </w:r>
            <w:r w:rsidRPr="008072EB">
              <w:rPr>
                <w:rFonts w:cs="Arial"/>
                <w:sz w:val="22"/>
                <w:szCs w:val="22"/>
                <w:lang w:val="en-US"/>
              </w:rPr>
              <w:t>​</w:t>
            </w:r>
          </w:p>
        </w:tc>
      </w:tr>
    </w:tbl>
    <w:p w:rsidRPr="008072EB" w:rsidR="008072EB" w:rsidP="008072EB" w:rsidRDefault="008072EB" w14:paraId="6B216D51" w14:textId="77777777">
      <w:pPr>
        <w:rPr>
          <w:rFonts w:cs="Arial"/>
          <w:sz w:val="22"/>
          <w:szCs w:val="22"/>
        </w:rPr>
      </w:pPr>
    </w:p>
    <w:p w:rsidRPr="008072EB" w:rsidR="008072EB" w:rsidP="008072EB" w:rsidRDefault="008072EB" w14:paraId="7C6BAFAA" w14:textId="77777777">
      <w:pPr>
        <w:rPr>
          <w:rFonts w:cs="Arial"/>
          <w:sz w:val="22"/>
          <w:szCs w:val="22"/>
          <w:u w:val="single"/>
        </w:rPr>
      </w:pPr>
      <w:r w:rsidRPr="008072EB">
        <w:rPr>
          <w:rFonts w:cs="Arial"/>
          <w:sz w:val="22"/>
          <w:szCs w:val="22"/>
          <w:u w:val="single"/>
        </w:rPr>
        <w:t>Data breakdown by Delivery Partner</w:t>
      </w:r>
    </w:p>
    <w:p w:rsidRPr="008072EB" w:rsidR="008072EB" w:rsidP="008072EB" w:rsidRDefault="008072EB" w14:paraId="4A3EF4AF" w14:textId="77777777">
      <w:pPr>
        <w:rPr>
          <w:rFonts w:ascii="Times New Roman" w:hAnsi="Times New Roman"/>
          <w:lang w:eastAsia="en-GB"/>
        </w:rPr>
      </w:pPr>
    </w:p>
    <w:tbl>
      <w:tblPr>
        <w:tblW w:w="9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3093"/>
        <w:gridCol w:w="1967"/>
        <w:gridCol w:w="2236"/>
        <w:gridCol w:w="1748"/>
      </w:tblGrid>
      <w:tr w:rsidRPr="008072EB" w:rsidR="008072EB" w:rsidTr="00540FB0" w14:paraId="658659EC" w14:textId="77777777">
        <w:trPr>
          <w:trHeight w:val="337"/>
        </w:trPr>
        <w:tc>
          <w:tcPr>
            <w:tcW w:w="3093" w:type="dxa"/>
            <w:vMerge w:val="restart"/>
            <w:shd w:val="clear" w:color="auto" w:fill="B7D6E1"/>
            <w:vAlign w:val="center"/>
            <w:hideMark/>
          </w:tcPr>
          <w:p w:rsidRPr="008072EB" w:rsidR="008072EB" w:rsidP="008072EB" w:rsidRDefault="008072EB" w14:paraId="6C3DB503" w14:textId="77777777">
            <w:pPr>
              <w:spacing w:before="100" w:beforeAutospacing="1" w:after="100" w:afterAutospacing="1"/>
              <w:jc w:val="center"/>
              <w:textAlignment w:val="baseline"/>
              <w:rPr>
                <w:rFonts w:cs="Arial"/>
                <w:b/>
                <w:bCs/>
                <w:sz w:val="22"/>
                <w:szCs w:val="22"/>
                <w:lang w:val="en-US" w:eastAsia="en-GB"/>
              </w:rPr>
            </w:pPr>
            <w:r w:rsidRPr="008072EB">
              <w:rPr>
                <w:rFonts w:cs="Arial"/>
                <w:position w:val="1"/>
                <w:sz w:val="22"/>
                <w:szCs w:val="22"/>
                <w:lang w:eastAsia="en-GB"/>
              </w:rPr>
              <w:t>Delivery Partner</w:t>
            </w:r>
          </w:p>
        </w:tc>
        <w:tc>
          <w:tcPr>
            <w:tcW w:w="4203" w:type="dxa"/>
            <w:gridSpan w:val="2"/>
            <w:shd w:val="clear" w:color="auto" w:fill="B7D6E1"/>
            <w:hideMark/>
          </w:tcPr>
          <w:p w:rsidRPr="008072EB" w:rsidR="008072EB" w:rsidP="008072EB" w:rsidRDefault="008072EB" w14:paraId="16563352" w14:textId="77777777">
            <w:pPr>
              <w:spacing w:before="100" w:beforeAutospacing="1" w:after="100" w:afterAutospacing="1"/>
              <w:jc w:val="center"/>
              <w:textAlignment w:val="baseline"/>
              <w:rPr>
                <w:rFonts w:cs="Arial"/>
                <w:b/>
                <w:bCs/>
                <w:sz w:val="22"/>
                <w:szCs w:val="22"/>
                <w:lang w:val="en-US" w:eastAsia="en-GB"/>
              </w:rPr>
            </w:pPr>
            <w:r w:rsidRPr="008072EB">
              <w:rPr>
                <w:rFonts w:cs="Arial"/>
                <w:position w:val="1"/>
                <w:sz w:val="22"/>
                <w:szCs w:val="22"/>
                <w:lang w:eastAsia="en-GB"/>
              </w:rPr>
              <w:t>Level of support</w:t>
            </w:r>
            <w:r w:rsidRPr="008072EB">
              <w:rPr>
                <w:rFonts w:cs="Arial"/>
                <w:b/>
                <w:bCs/>
                <w:sz w:val="22"/>
                <w:szCs w:val="22"/>
                <w:lang w:val="en-US" w:eastAsia="en-GB"/>
              </w:rPr>
              <w:t>​</w:t>
            </w:r>
          </w:p>
        </w:tc>
        <w:tc>
          <w:tcPr>
            <w:tcW w:w="1748" w:type="dxa"/>
            <w:vMerge w:val="restart"/>
            <w:shd w:val="clear" w:color="auto" w:fill="B7D6E1"/>
            <w:vAlign w:val="center"/>
            <w:hideMark/>
          </w:tcPr>
          <w:p w:rsidRPr="008072EB" w:rsidR="008072EB" w:rsidP="008072EB" w:rsidRDefault="008072EB" w14:paraId="03FB94C1" w14:textId="77777777">
            <w:pPr>
              <w:spacing w:before="100" w:beforeAutospacing="1" w:after="100" w:afterAutospacing="1"/>
              <w:jc w:val="center"/>
              <w:textAlignment w:val="baseline"/>
              <w:rPr>
                <w:rFonts w:cs="Arial"/>
                <w:b/>
                <w:bCs/>
                <w:sz w:val="22"/>
                <w:szCs w:val="22"/>
                <w:lang w:val="en-US" w:eastAsia="en-GB"/>
              </w:rPr>
            </w:pPr>
            <w:r w:rsidRPr="008072EB">
              <w:rPr>
                <w:rFonts w:cs="Arial"/>
                <w:position w:val="1"/>
                <w:sz w:val="22"/>
                <w:szCs w:val="22"/>
                <w:lang w:eastAsia="en-GB"/>
              </w:rPr>
              <w:t>Total</w:t>
            </w:r>
            <w:r w:rsidRPr="008072EB">
              <w:rPr>
                <w:rFonts w:cs="Arial"/>
                <w:b/>
                <w:bCs/>
                <w:sz w:val="22"/>
                <w:szCs w:val="22"/>
                <w:lang w:val="en-US" w:eastAsia="en-GB"/>
              </w:rPr>
              <w:t>​</w:t>
            </w:r>
          </w:p>
        </w:tc>
      </w:tr>
      <w:tr w:rsidRPr="008072EB" w:rsidR="008072EB" w:rsidTr="00540FB0" w14:paraId="180634BD" w14:textId="77777777">
        <w:trPr>
          <w:trHeight w:val="147"/>
        </w:trPr>
        <w:tc>
          <w:tcPr>
            <w:tcW w:w="0" w:type="auto"/>
            <w:vMerge/>
            <w:shd w:val="clear" w:color="auto" w:fill="auto"/>
            <w:vAlign w:val="center"/>
            <w:hideMark/>
          </w:tcPr>
          <w:p w:rsidRPr="008072EB" w:rsidR="008072EB" w:rsidP="008072EB" w:rsidRDefault="008072EB" w14:paraId="6E349A35" w14:textId="77777777">
            <w:pPr>
              <w:rPr>
                <w:rFonts w:cs="Arial"/>
                <w:b/>
                <w:bCs/>
                <w:sz w:val="22"/>
                <w:szCs w:val="22"/>
                <w:lang w:val="en-US" w:eastAsia="en-GB"/>
              </w:rPr>
            </w:pPr>
          </w:p>
        </w:tc>
        <w:tc>
          <w:tcPr>
            <w:tcW w:w="1967" w:type="dxa"/>
            <w:shd w:val="clear" w:color="auto" w:fill="E6F0F4"/>
            <w:hideMark/>
          </w:tcPr>
          <w:p w:rsidRPr="008072EB" w:rsidR="008072EB" w:rsidP="008072EB" w:rsidRDefault="008072EB" w14:paraId="730CDD89" w14:textId="77777777">
            <w:pPr>
              <w:spacing w:before="100" w:beforeAutospacing="1" w:after="100" w:afterAutospacing="1"/>
              <w:textAlignment w:val="baseline"/>
              <w:rPr>
                <w:rFonts w:cs="Arial"/>
                <w:sz w:val="22"/>
                <w:szCs w:val="22"/>
                <w:lang w:val="en-US" w:eastAsia="en-GB"/>
              </w:rPr>
            </w:pPr>
            <w:r w:rsidRPr="008072EB">
              <w:rPr>
                <w:rFonts w:cs="Arial"/>
                <w:position w:val="1"/>
                <w:sz w:val="22"/>
                <w:szCs w:val="22"/>
                <w:lang w:eastAsia="en-GB"/>
              </w:rPr>
              <w:t>Improved</w:t>
            </w:r>
          </w:p>
        </w:tc>
        <w:tc>
          <w:tcPr>
            <w:tcW w:w="2236" w:type="dxa"/>
            <w:shd w:val="clear" w:color="auto" w:fill="E6F0F4"/>
            <w:hideMark/>
          </w:tcPr>
          <w:p w:rsidRPr="008072EB" w:rsidR="008072EB" w:rsidP="008072EB" w:rsidRDefault="008072EB" w14:paraId="4F9BBB64" w14:textId="77777777">
            <w:pPr>
              <w:spacing w:before="100" w:beforeAutospacing="1" w:after="100" w:afterAutospacing="1"/>
              <w:textAlignment w:val="baseline"/>
              <w:rPr>
                <w:rFonts w:cs="Arial"/>
                <w:sz w:val="22"/>
                <w:szCs w:val="22"/>
                <w:lang w:val="en-US" w:eastAsia="en-GB"/>
              </w:rPr>
            </w:pPr>
            <w:r w:rsidRPr="008072EB">
              <w:rPr>
                <w:rFonts w:cs="Arial"/>
                <w:position w:val="1"/>
                <w:sz w:val="22"/>
                <w:szCs w:val="22"/>
                <w:lang w:eastAsia="en-GB"/>
              </w:rPr>
              <w:t>New</w:t>
            </w:r>
          </w:p>
        </w:tc>
        <w:tc>
          <w:tcPr>
            <w:tcW w:w="0" w:type="auto"/>
            <w:vMerge/>
            <w:shd w:val="clear" w:color="auto" w:fill="auto"/>
            <w:vAlign w:val="center"/>
            <w:hideMark/>
          </w:tcPr>
          <w:p w:rsidRPr="008072EB" w:rsidR="008072EB" w:rsidP="008072EB" w:rsidRDefault="008072EB" w14:paraId="2470D774" w14:textId="77777777">
            <w:pPr>
              <w:rPr>
                <w:rFonts w:cs="Arial"/>
                <w:b/>
                <w:bCs/>
                <w:sz w:val="22"/>
                <w:szCs w:val="22"/>
                <w:lang w:val="en-US" w:eastAsia="en-GB"/>
              </w:rPr>
            </w:pPr>
          </w:p>
        </w:tc>
      </w:tr>
      <w:tr w:rsidRPr="008072EB" w:rsidR="008072EB" w:rsidTr="00540FB0" w14:paraId="5E275F21" w14:textId="77777777">
        <w:trPr>
          <w:trHeight w:val="583"/>
        </w:trPr>
        <w:tc>
          <w:tcPr>
            <w:tcW w:w="3093" w:type="dxa"/>
            <w:shd w:val="clear" w:color="auto" w:fill="F3F8F9"/>
            <w:hideMark/>
          </w:tcPr>
          <w:p w:rsidRPr="008072EB" w:rsidR="008072EB" w:rsidP="008072EB" w:rsidRDefault="008072EB" w14:paraId="412207F5" w14:textId="77777777">
            <w:pPr>
              <w:spacing w:before="100" w:beforeAutospacing="1" w:after="100" w:afterAutospacing="1"/>
              <w:textAlignment w:val="baseline"/>
              <w:rPr>
                <w:rFonts w:cs="Arial"/>
                <w:sz w:val="22"/>
                <w:szCs w:val="22"/>
                <w:lang w:val="en-US" w:eastAsia="en-GB"/>
              </w:rPr>
            </w:pPr>
            <w:r w:rsidRPr="008072EB">
              <w:rPr>
                <w:rFonts w:cs="Arial"/>
                <w:position w:val="1"/>
                <w:sz w:val="22"/>
                <w:szCs w:val="22"/>
                <w:lang w:eastAsia="en-GB"/>
              </w:rPr>
              <w:t>ALBs</w:t>
            </w:r>
            <w:r w:rsidRPr="008072EB">
              <w:rPr>
                <w:rFonts w:cs="Arial"/>
                <w:sz w:val="22"/>
                <w:szCs w:val="22"/>
                <w:lang w:val="en-US" w:eastAsia="en-GB"/>
              </w:rPr>
              <w:t>​</w:t>
            </w:r>
          </w:p>
        </w:tc>
        <w:tc>
          <w:tcPr>
            <w:tcW w:w="1967" w:type="dxa"/>
            <w:shd w:val="clear" w:color="auto" w:fill="F3F8F9"/>
            <w:hideMark/>
          </w:tcPr>
          <w:p w:rsidRPr="008072EB" w:rsidR="008072EB" w:rsidP="008072EB" w:rsidRDefault="008072EB" w14:paraId="51981EEA" w14:textId="77777777">
            <w:pPr>
              <w:spacing w:before="100" w:beforeAutospacing="1" w:after="100" w:afterAutospacing="1"/>
              <w:textAlignment w:val="baseline"/>
              <w:rPr>
                <w:rFonts w:cs="Arial"/>
                <w:sz w:val="22"/>
                <w:szCs w:val="22"/>
                <w:lang w:val="en-US" w:eastAsia="en-GB"/>
              </w:rPr>
            </w:pPr>
            <w:r w:rsidRPr="008072EB">
              <w:rPr>
                <w:rFonts w:cs="Arial"/>
                <w:position w:val="1"/>
                <w:sz w:val="22"/>
                <w:szCs w:val="22"/>
                <w:lang w:eastAsia="en-GB"/>
              </w:rPr>
              <w:t>8% (3)</w:t>
            </w:r>
            <w:r w:rsidRPr="008072EB">
              <w:rPr>
                <w:rFonts w:cs="Arial"/>
                <w:sz w:val="22"/>
                <w:szCs w:val="22"/>
                <w:lang w:val="en-US" w:eastAsia="en-GB"/>
              </w:rPr>
              <w:t>​</w:t>
            </w:r>
          </w:p>
        </w:tc>
        <w:tc>
          <w:tcPr>
            <w:tcW w:w="2236" w:type="dxa"/>
            <w:shd w:val="clear" w:color="auto" w:fill="F3F8F9"/>
            <w:hideMark/>
          </w:tcPr>
          <w:p w:rsidRPr="008072EB" w:rsidR="008072EB" w:rsidP="008072EB" w:rsidRDefault="008072EB" w14:paraId="53E6D9D6" w14:textId="1C6C4789">
            <w:pPr>
              <w:spacing w:before="100" w:beforeAutospacing="1" w:after="100" w:afterAutospacing="1"/>
              <w:textAlignment w:val="baseline"/>
              <w:rPr>
                <w:rFonts w:cs="Arial"/>
                <w:sz w:val="22"/>
                <w:szCs w:val="22"/>
                <w:lang w:val="en-US" w:eastAsia="en-GB"/>
              </w:rPr>
            </w:pPr>
            <w:r w:rsidRPr="008072EB">
              <w:rPr>
                <w:rFonts w:cs="Arial"/>
                <w:position w:val="1"/>
                <w:sz w:val="22"/>
                <w:szCs w:val="22"/>
                <w:lang w:eastAsia="en-GB"/>
              </w:rPr>
              <w:t>92% (</w:t>
            </w:r>
            <w:r w:rsidRPr="008072EB" w:rsidR="00FE5229">
              <w:rPr>
                <w:rFonts w:cs="Arial"/>
                <w:position w:val="1"/>
                <w:sz w:val="22"/>
                <w:szCs w:val="22"/>
                <w:lang w:eastAsia="en-GB"/>
              </w:rPr>
              <w:t>3</w:t>
            </w:r>
            <w:r w:rsidR="00FE5229">
              <w:rPr>
                <w:rFonts w:cs="Arial"/>
                <w:position w:val="1"/>
                <w:sz w:val="22"/>
                <w:szCs w:val="22"/>
                <w:lang w:eastAsia="en-GB"/>
              </w:rPr>
              <w:t>4</w:t>
            </w:r>
            <w:r w:rsidRPr="008072EB">
              <w:rPr>
                <w:rFonts w:cs="Arial"/>
                <w:position w:val="1"/>
                <w:sz w:val="22"/>
                <w:szCs w:val="22"/>
                <w:lang w:eastAsia="en-GB"/>
              </w:rPr>
              <w:t>)</w:t>
            </w:r>
            <w:r w:rsidRPr="008072EB">
              <w:rPr>
                <w:rFonts w:cs="Arial"/>
                <w:sz w:val="22"/>
                <w:szCs w:val="22"/>
                <w:lang w:val="en-US" w:eastAsia="en-GB"/>
              </w:rPr>
              <w:t>​</w:t>
            </w:r>
          </w:p>
        </w:tc>
        <w:tc>
          <w:tcPr>
            <w:tcW w:w="1748" w:type="dxa"/>
            <w:shd w:val="clear" w:color="auto" w:fill="F3F8F9"/>
            <w:hideMark/>
          </w:tcPr>
          <w:p w:rsidRPr="008072EB" w:rsidR="008072EB" w:rsidP="008072EB" w:rsidRDefault="008072EB" w14:paraId="5A3FD6FC" w14:textId="2545F713">
            <w:pPr>
              <w:spacing w:before="100" w:beforeAutospacing="1" w:after="100" w:afterAutospacing="1"/>
              <w:textAlignment w:val="baseline"/>
              <w:rPr>
                <w:rFonts w:cs="Arial"/>
                <w:sz w:val="22"/>
                <w:szCs w:val="22"/>
                <w:lang w:val="en-US" w:eastAsia="en-GB"/>
              </w:rPr>
            </w:pPr>
            <w:r w:rsidRPr="008072EB">
              <w:rPr>
                <w:rFonts w:cs="Arial"/>
                <w:position w:val="1"/>
                <w:sz w:val="22"/>
                <w:szCs w:val="22"/>
                <w:lang w:eastAsia="en-GB"/>
              </w:rPr>
              <w:t>100% (</w:t>
            </w:r>
            <w:r w:rsidRPr="008072EB" w:rsidR="00FE5229">
              <w:rPr>
                <w:rFonts w:cs="Arial"/>
                <w:position w:val="1"/>
                <w:sz w:val="22"/>
                <w:szCs w:val="22"/>
                <w:lang w:eastAsia="en-GB"/>
              </w:rPr>
              <w:t>3</w:t>
            </w:r>
            <w:r w:rsidR="00FE5229">
              <w:rPr>
                <w:rFonts w:cs="Arial"/>
                <w:position w:val="1"/>
                <w:sz w:val="22"/>
                <w:szCs w:val="22"/>
                <w:lang w:eastAsia="en-GB"/>
              </w:rPr>
              <w:t>7</w:t>
            </w:r>
            <w:r w:rsidRPr="008072EB">
              <w:rPr>
                <w:rFonts w:cs="Arial"/>
                <w:position w:val="1"/>
                <w:sz w:val="22"/>
                <w:szCs w:val="22"/>
                <w:lang w:eastAsia="en-GB"/>
              </w:rPr>
              <w:t>)</w:t>
            </w:r>
            <w:r w:rsidRPr="008072EB">
              <w:rPr>
                <w:rFonts w:cs="Arial"/>
                <w:sz w:val="22"/>
                <w:szCs w:val="22"/>
                <w:lang w:val="en-US" w:eastAsia="en-GB"/>
              </w:rPr>
              <w:t>​</w:t>
            </w:r>
          </w:p>
        </w:tc>
      </w:tr>
      <w:tr w:rsidRPr="008072EB" w:rsidR="008072EB" w:rsidTr="00540FB0" w14:paraId="533114B8" w14:textId="77777777">
        <w:trPr>
          <w:trHeight w:val="583"/>
        </w:trPr>
        <w:tc>
          <w:tcPr>
            <w:tcW w:w="3093" w:type="dxa"/>
            <w:shd w:val="clear" w:color="auto" w:fill="E6F0F4"/>
            <w:hideMark/>
          </w:tcPr>
          <w:p w:rsidRPr="008072EB" w:rsidR="008072EB" w:rsidP="008072EB" w:rsidRDefault="008072EB" w14:paraId="2779702C" w14:textId="77777777">
            <w:pPr>
              <w:spacing w:before="100" w:beforeAutospacing="1" w:after="100" w:afterAutospacing="1"/>
              <w:textAlignment w:val="baseline"/>
              <w:rPr>
                <w:rFonts w:cs="Arial"/>
                <w:sz w:val="22"/>
                <w:szCs w:val="22"/>
                <w:lang w:val="en-US" w:eastAsia="en-GB"/>
              </w:rPr>
            </w:pPr>
            <w:r w:rsidRPr="008072EB">
              <w:rPr>
                <w:rFonts w:cs="Arial"/>
                <w:position w:val="1"/>
                <w:sz w:val="22"/>
                <w:szCs w:val="22"/>
                <w:lang w:eastAsia="en-GB"/>
              </w:rPr>
              <w:t>GOAP</w:t>
            </w:r>
            <w:r w:rsidRPr="008072EB">
              <w:rPr>
                <w:rFonts w:cs="Arial"/>
                <w:sz w:val="22"/>
                <w:szCs w:val="22"/>
                <w:lang w:val="en-US" w:eastAsia="en-GB"/>
              </w:rPr>
              <w:t>​</w:t>
            </w:r>
          </w:p>
        </w:tc>
        <w:tc>
          <w:tcPr>
            <w:tcW w:w="1967" w:type="dxa"/>
            <w:shd w:val="clear" w:color="auto" w:fill="E6F0F4"/>
            <w:hideMark/>
          </w:tcPr>
          <w:p w:rsidRPr="008072EB" w:rsidR="008072EB" w:rsidP="008072EB" w:rsidRDefault="008072EB" w14:paraId="78D11322" w14:textId="77777777">
            <w:pPr>
              <w:spacing w:before="100" w:beforeAutospacing="1" w:after="100" w:afterAutospacing="1"/>
              <w:textAlignment w:val="baseline"/>
              <w:rPr>
                <w:rFonts w:cs="Arial"/>
                <w:sz w:val="22"/>
                <w:szCs w:val="22"/>
                <w:lang w:eastAsia="en-GB"/>
              </w:rPr>
            </w:pPr>
            <w:r w:rsidRPr="008072EB">
              <w:rPr>
                <w:rFonts w:cs="Arial"/>
                <w:sz w:val="22"/>
                <w:szCs w:val="22"/>
                <w:lang w:eastAsia="en-GB"/>
              </w:rPr>
              <w:t xml:space="preserve">​13% (3) </w:t>
            </w:r>
          </w:p>
        </w:tc>
        <w:tc>
          <w:tcPr>
            <w:tcW w:w="2236" w:type="dxa"/>
            <w:shd w:val="clear" w:color="auto" w:fill="E6F0F4"/>
            <w:hideMark/>
          </w:tcPr>
          <w:p w:rsidRPr="008072EB" w:rsidR="008072EB" w:rsidP="008072EB" w:rsidRDefault="008072EB" w14:paraId="07D806AD" w14:textId="77777777">
            <w:pPr>
              <w:spacing w:before="100" w:beforeAutospacing="1" w:after="100" w:afterAutospacing="1"/>
              <w:textAlignment w:val="baseline"/>
              <w:rPr>
                <w:rFonts w:cs="Arial"/>
                <w:sz w:val="22"/>
                <w:szCs w:val="22"/>
                <w:lang w:val="en-US" w:eastAsia="en-GB"/>
              </w:rPr>
            </w:pPr>
            <w:r w:rsidRPr="008072EB">
              <w:rPr>
                <w:rFonts w:cs="Arial"/>
                <w:position w:val="1"/>
                <w:sz w:val="22"/>
                <w:szCs w:val="22"/>
                <w:lang w:eastAsia="en-GB"/>
              </w:rPr>
              <w:t>87% (20)</w:t>
            </w:r>
            <w:r w:rsidRPr="008072EB">
              <w:rPr>
                <w:rFonts w:cs="Arial"/>
                <w:sz w:val="22"/>
                <w:szCs w:val="22"/>
                <w:lang w:val="en-US" w:eastAsia="en-GB"/>
              </w:rPr>
              <w:t>​</w:t>
            </w:r>
          </w:p>
        </w:tc>
        <w:tc>
          <w:tcPr>
            <w:tcW w:w="1748" w:type="dxa"/>
            <w:shd w:val="clear" w:color="auto" w:fill="E6F0F4"/>
            <w:hideMark/>
          </w:tcPr>
          <w:p w:rsidRPr="008072EB" w:rsidR="008072EB" w:rsidP="008072EB" w:rsidRDefault="008072EB" w14:paraId="0584D020" w14:textId="77777777">
            <w:pPr>
              <w:spacing w:before="100" w:beforeAutospacing="1" w:after="100" w:afterAutospacing="1"/>
              <w:textAlignment w:val="baseline"/>
              <w:rPr>
                <w:rFonts w:cs="Arial"/>
                <w:sz w:val="22"/>
                <w:szCs w:val="22"/>
                <w:lang w:val="en-US" w:eastAsia="en-GB"/>
              </w:rPr>
            </w:pPr>
            <w:r w:rsidRPr="008072EB">
              <w:rPr>
                <w:rFonts w:cs="Arial"/>
                <w:position w:val="1"/>
                <w:sz w:val="22"/>
                <w:szCs w:val="22"/>
                <w:lang w:eastAsia="en-GB"/>
              </w:rPr>
              <w:t>100% (23)</w:t>
            </w:r>
            <w:r w:rsidRPr="008072EB">
              <w:rPr>
                <w:rFonts w:cs="Arial"/>
                <w:sz w:val="22"/>
                <w:szCs w:val="22"/>
                <w:lang w:val="en-US" w:eastAsia="en-GB"/>
              </w:rPr>
              <w:t>​</w:t>
            </w:r>
          </w:p>
        </w:tc>
      </w:tr>
      <w:tr w:rsidRPr="008072EB" w:rsidR="008072EB" w:rsidTr="00540FB0" w14:paraId="7C828200" w14:textId="77777777">
        <w:trPr>
          <w:trHeight w:val="583"/>
        </w:trPr>
        <w:tc>
          <w:tcPr>
            <w:tcW w:w="3093" w:type="dxa"/>
            <w:shd w:val="clear" w:color="auto" w:fill="F3F8F9"/>
            <w:hideMark/>
          </w:tcPr>
          <w:p w:rsidRPr="008072EB" w:rsidR="008072EB" w:rsidP="008072EB" w:rsidRDefault="008072EB" w14:paraId="1CF4C06C" w14:textId="77777777">
            <w:pPr>
              <w:spacing w:before="100" w:beforeAutospacing="1" w:after="100" w:afterAutospacing="1"/>
              <w:textAlignment w:val="baseline"/>
              <w:rPr>
                <w:rFonts w:cs="Arial"/>
                <w:sz w:val="22"/>
                <w:szCs w:val="22"/>
                <w:lang w:val="en-US" w:eastAsia="en-GB"/>
              </w:rPr>
            </w:pPr>
            <w:r w:rsidRPr="008072EB">
              <w:rPr>
                <w:rFonts w:cs="Arial"/>
                <w:position w:val="1"/>
                <w:sz w:val="22"/>
                <w:szCs w:val="22"/>
                <w:lang w:eastAsia="en-GB"/>
              </w:rPr>
              <w:t>Total</w:t>
            </w:r>
            <w:r w:rsidRPr="008072EB">
              <w:rPr>
                <w:rFonts w:cs="Arial"/>
                <w:sz w:val="22"/>
                <w:szCs w:val="22"/>
                <w:lang w:val="en-US" w:eastAsia="en-GB"/>
              </w:rPr>
              <w:t>​</w:t>
            </w:r>
          </w:p>
        </w:tc>
        <w:tc>
          <w:tcPr>
            <w:tcW w:w="1967" w:type="dxa"/>
            <w:shd w:val="clear" w:color="auto" w:fill="F3F8F9"/>
            <w:hideMark/>
          </w:tcPr>
          <w:p w:rsidRPr="008072EB" w:rsidR="008072EB" w:rsidP="008072EB" w:rsidRDefault="008072EB" w14:paraId="7486A016" w14:textId="77777777">
            <w:pPr>
              <w:spacing w:before="100" w:beforeAutospacing="1" w:after="100" w:afterAutospacing="1"/>
              <w:textAlignment w:val="baseline"/>
              <w:rPr>
                <w:rFonts w:cs="Arial"/>
                <w:sz w:val="22"/>
                <w:szCs w:val="22"/>
                <w:lang w:val="en-US" w:eastAsia="en-GB"/>
              </w:rPr>
            </w:pPr>
            <w:r w:rsidRPr="008072EB">
              <w:rPr>
                <w:rFonts w:cs="Arial"/>
                <w:position w:val="1"/>
                <w:sz w:val="22"/>
                <w:szCs w:val="22"/>
                <w:lang w:eastAsia="en-GB"/>
              </w:rPr>
              <w:t>10% (6)</w:t>
            </w:r>
            <w:r w:rsidRPr="008072EB">
              <w:rPr>
                <w:rFonts w:cs="Arial"/>
                <w:sz w:val="22"/>
                <w:szCs w:val="22"/>
                <w:lang w:val="en-US" w:eastAsia="en-GB"/>
              </w:rPr>
              <w:t>​</w:t>
            </w:r>
          </w:p>
        </w:tc>
        <w:tc>
          <w:tcPr>
            <w:tcW w:w="2236" w:type="dxa"/>
            <w:shd w:val="clear" w:color="auto" w:fill="F3F8F9"/>
            <w:hideMark/>
          </w:tcPr>
          <w:p w:rsidRPr="008072EB" w:rsidR="008072EB" w:rsidP="008072EB" w:rsidRDefault="008072EB" w14:paraId="6BB85650" w14:textId="77777777">
            <w:pPr>
              <w:spacing w:before="100" w:beforeAutospacing="1" w:after="100" w:afterAutospacing="1"/>
              <w:textAlignment w:val="baseline"/>
              <w:rPr>
                <w:rFonts w:cs="Arial"/>
                <w:sz w:val="22"/>
                <w:szCs w:val="22"/>
                <w:lang w:val="en-US" w:eastAsia="en-GB"/>
              </w:rPr>
            </w:pPr>
            <w:r w:rsidRPr="008072EB">
              <w:rPr>
                <w:rFonts w:cs="Arial"/>
                <w:position w:val="1"/>
                <w:sz w:val="22"/>
                <w:szCs w:val="22"/>
                <w:lang w:eastAsia="en-GB"/>
              </w:rPr>
              <w:t>90% (53)</w:t>
            </w:r>
            <w:r w:rsidRPr="008072EB">
              <w:rPr>
                <w:rFonts w:cs="Arial"/>
                <w:sz w:val="22"/>
                <w:szCs w:val="22"/>
                <w:lang w:val="en-US" w:eastAsia="en-GB"/>
              </w:rPr>
              <w:t>​</w:t>
            </w:r>
          </w:p>
        </w:tc>
        <w:tc>
          <w:tcPr>
            <w:tcW w:w="1748" w:type="dxa"/>
            <w:shd w:val="clear" w:color="auto" w:fill="F3F8F9"/>
            <w:hideMark/>
          </w:tcPr>
          <w:p w:rsidRPr="008072EB" w:rsidR="008072EB" w:rsidP="008072EB" w:rsidRDefault="008072EB" w14:paraId="19D431AD" w14:textId="77777777">
            <w:pPr>
              <w:spacing w:before="100" w:beforeAutospacing="1" w:after="100" w:afterAutospacing="1"/>
              <w:textAlignment w:val="baseline"/>
              <w:rPr>
                <w:rFonts w:cs="Arial"/>
                <w:sz w:val="22"/>
                <w:szCs w:val="22"/>
                <w:lang w:val="en-US" w:eastAsia="en-GB"/>
              </w:rPr>
            </w:pPr>
            <w:r w:rsidRPr="008072EB">
              <w:rPr>
                <w:rFonts w:cs="Arial"/>
                <w:position w:val="1"/>
                <w:sz w:val="22"/>
                <w:szCs w:val="22"/>
                <w:lang w:eastAsia="en-GB"/>
              </w:rPr>
              <w:t>100% (59)</w:t>
            </w:r>
            <w:r w:rsidRPr="008072EB">
              <w:rPr>
                <w:rFonts w:cs="Arial"/>
                <w:sz w:val="22"/>
                <w:szCs w:val="22"/>
                <w:lang w:val="en-US" w:eastAsia="en-GB"/>
              </w:rPr>
              <w:t>​</w:t>
            </w:r>
          </w:p>
        </w:tc>
      </w:tr>
    </w:tbl>
    <w:p w:rsidRPr="008072EB" w:rsidR="008072EB" w:rsidP="008072EB" w:rsidRDefault="008072EB" w14:paraId="35C23722" w14:textId="77777777">
      <w:pPr>
        <w:rPr>
          <w:rFonts w:cs="Arial"/>
          <w:b/>
          <w:bCs/>
          <w:sz w:val="22"/>
          <w:szCs w:val="22"/>
        </w:rPr>
      </w:pPr>
    </w:p>
    <w:p w:rsidR="008072EB" w:rsidP="008072EB" w:rsidRDefault="008072EB" w14:paraId="76C9D403" w14:textId="2F337EB6">
      <w:pPr>
        <w:rPr>
          <w:rFonts w:cs="Arial"/>
          <w:sz w:val="22"/>
          <w:szCs w:val="22"/>
        </w:rPr>
      </w:pPr>
      <w:r w:rsidRPr="1FB22237">
        <w:rPr>
          <w:b/>
          <w:bCs/>
          <w:sz w:val="22"/>
          <w:szCs w:val="22"/>
        </w:rPr>
        <w:t>3.2 – A.</w:t>
      </w:r>
      <w:r w:rsidRPr="1FB22237" w:rsidR="006810BD">
        <w:rPr>
          <w:b/>
          <w:bCs/>
          <w:sz w:val="22"/>
          <w:szCs w:val="22"/>
        </w:rPr>
        <w:t xml:space="preserve"> </w:t>
      </w:r>
      <w:r w:rsidRPr="1FB22237">
        <w:rPr>
          <w:sz w:val="22"/>
          <w:szCs w:val="22"/>
        </w:rPr>
        <w:t>This indicator measures the number of scholars who enrolled and % who achieved a qualification (Masters, PhD)</w:t>
      </w:r>
      <w:r w:rsidRPr="1FB22237">
        <w:rPr>
          <w:rFonts w:cs="Arial"/>
          <w:sz w:val="22"/>
          <w:szCs w:val="22"/>
        </w:rPr>
        <w:t xml:space="preserve"> in </w:t>
      </w:r>
      <w:r w:rsidRPr="1FB22237">
        <w:rPr>
          <w:sz w:val="22"/>
          <w:szCs w:val="22"/>
        </w:rPr>
        <w:t>relevant topics.</w:t>
      </w:r>
      <w:r w:rsidRPr="1FB22237">
        <w:rPr>
          <w:rFonts w:cs="Arial"/>
          <w:sz w:val="22"/>
          <w:szCs w:val="22"/>
        </w:rPr>
        <w:t xml:space="preserve"> ALB partners reported 94. Data was not collected for GOAP due to their late addition into reporting requirements for this indicator. The total reported is 94 enrolled, 0% qualified (this percentage is expected in increase in future years due to the time lag for gaining qualification). 52% (49) of scholars enrolled this year were female. 48% (45) of scholars enrolled this year were male. 91 students were enrolled in Masters courses, 2 students were funded to undertake the second year of their course and </w:t>
      </w:r>
      <w:r w:rsidR="00E63332">
        <w:rPr>
          <w:rFonts w:cs="Arial"/>
          <w:sz w:val="22"/>
          <w:szCs w:val="22"/>
        </w:rPr>
        <w:t>one</w:t>
      </w:r>
      <w:r w:rsidRPr="1FB22237">
        <w:rPr>
          <w:rFonts w:cs="Arial"/>
          <w:sz w:val="22"/>
          <w:szCs w:val="22"/>
        </w:rPr>
        <w:t xml:space="preserve"> student enrolled into a PhD.</w:t>
      </w:r>
      <w:r w:rsidR="006A2F5F">
        <w:t xml:space="preserve"> </w:t>
      </w:r>
      <w:r w:rsidRPr="1FB22237" w:rsidR="006A2F5F">
        <w:rPr>
          <w:rFonts w:cs="Arial"/>
          <w:sz w:val="22"/>
          <w:szCs w:val="22"/>
        </w:rPr>
        <w:t>The table below displays the geographic spread of the OCPP scholars enrolled.</w:t>
      </w:r>
    </w:p>
    <w:p w:rsidR="0089778D" w:rsidP="008072EB" w:rsidRDefault="0089778D" w14:paraId="5400E4ED" w14:textId="77777777">
      <w:pPr>
        <w:rPr>
          <w:rFonts w:cs="Arial"/>
          <w:sz w:val="22"/>
          <w:szCs w:val="22"/>
        </w:rPr>
      </w:pPr>
    </w:p>
    <w:p w:rsidRPr="008072EB" w:rsidR="0089778D" w:rsidP="008072EB" w:rsidRDefault="0089778D" w14:paraId="6C500028" w14:textId="05302C68">
      <w:pPr>
        <w:rPr>
          <w:rFonts w:cs="Arial"/>
          <w:sz w:val="22"/>
          <w:szCs w:val="22"/>
        </w:rPr>
      </w:pPr>
      <w:r>
        <w:rPr>
          <w:noProof/>
        </w:rPr>
        <w:drawing>
          <wp:inline distT="0" distB="0" distL="0" distR="0" wp14:anchorId="2424457C" wp14:editId="27625302">
            <wp:extent cx="5731510" cy="2364105"/>
            <wp:effectExtent l="0" t="0" r="2540" b="17145"/>
            <wp:docPr id="926203307" name="Chart 11">
              <a:extLst xmlns:a="http://schemas.openxmlformats.org/drawingml/2006/main">
                <a:ext uri="{FF2B5EF4-FFF2-40B4-BE49-F238E27FC236}">
                  <a16:creationId xmlns:a16="http://schemas.microsoft.com/office/drawing/2014/main" id="{C7C62BC7-41D5-CA6C-608C-BC151C113A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8072EB" w:rsidR="008072EB" w:rsidP="008072EB" w:rsidRDefault="008072EB" w14:paraId="37D76DED" w14:textId="77777777">
      <w:pPr>
        <w:jc w:val="both"/>
        <w:rPr>
          <w:rFonts w:cs="Arial"/>
          <w:sz w:val="22"/>
          <w:szCs w:val="22"/>
        </w:rPr>
      </w:pPr>
    </w:p>
    <w:p w:rsidRPr="008072EB" w:rsidR="008072EB" w:rsidP="008072EB" w:rsidRDefault="008072EB" w14:paraId="5EA0FA3B" w14:textId="77777777">
      <w:pPr>
        <w:rPr>
          <w:sz w:val="22"/>
          <w:szCs w:val="22"/>
          <w:u w:val="single"/>
          <w:lang w:val="en-US" w:eastAsia="en-GB"/>
        </w:rPr>
      </w:pPr>
      <w:r w:rsidRPr="008072EB">
        <w:rPr>
          <w:sz w:val="22"/>
          <w:szCs w:val="22"/>
          <w:u w:val="single"/>
          <w:lang w:eastAsia="en-GB"/>
        </w:rPr>
        <w:t>Examples of courses undertaken</w:t>
      </w:r>
      <w:r w:rsidRPr="008072EB">
        <w:rPr>
          <w:sz w:val="22"/>
          <w:szCs w:val="22"/>
          <w:u w:val="single"/>
          <w:lang w:val="en-US" w:eastAsia="en-GB"/>
        </w:rPr>
        <w:t>​</w:t>
      </w:r>
    </w:p>
    <w:p w:rsidRPr="008072EB" w:rsidR="008072EB" w:rsidP="008072EB" w:rsidRDefault="008072EB" w14:paraId="60ACA12B" w14:textId="77777777">
      <w:pPr>
        <w:rPr>
          <w:sz w:val="20"/>
          <w:szCs w:val="20"/>
          <w:lang w:eastAsia="en-GB"/>
        </w:rPr>
      </w:pPr>
      <w:r w:rsidRPr="008072EB">
        <w:rPr>
          <w:sz w:val="20"/>
          <w:szCs w:val="20"/>
          <w:lang w:eastAsia="en-GB"/>
        </w:rPr>
        <w:t>​</w:t>
      </w:r>
    </w:p>
    <w:p w:rsidRPr="008072EB" w:rsidR="008072EB" w:rsidP="001D265D" w:rsidRDefault="008072EB" w14:paraId="59AFD280" w14:textId="77777777">
      <w:pPr>
        <w:numPr>
          <w:ilvl w:val="0"/>
          <w:numId w:val="27"/>
        </w:numPr>
        <w:spacing w:after="240" w:line="259" w:lineRule="auto"/>
        <w:contextualSpacing/>
        <w:rPr>
          <w:sz w:val="22"/>
          <w:szCs w:val="22"/>
          <w:lang w:val="en-US" w:eastAsia="en-GB"/>
        </w:rPr>
      </w:pPr>
      <w:r w:rsidRPr="008072EB">
        <w:rPr>
          <w:sz w:val="22"/>
          <w:szCs w:val="22"/>
          <w:lang w:eastAsia="en-GB"/>
        </w:rPr>
        <w:t>MSc Marine Biology</w:t>
      </w:r>
      <w:r w:rsidRPr="008072EB">
        <w:rPr>
          <w:sz w:val="22"/>
          <w:szCs w:val="22"/>
          <w:lang w:val="en-US" w:eastAsia="en-GB"/>
        </w:rPr>
        <w:t>​</w:t>
      </w:r>
    </w:p>
    <w:p w:rsidRPr="008072EB" w:rsidR="008072EB" w:rsidP="001D265D" w:rsidRDefault="008072EB" w14:paraId="492B5736" w14:textId="77777777">
      <w:pPr>
        <w:numPr>
          <w:ilvl w:val="0"/>
          <w:numId w:val="27"/>
        </w:numPr>
        <w:spacing w:after="240" w:line="259" w:lineRule="auto"/>
        <w:contextualSpacing/>
        <w:rPr>
          <w:sz w:val="22"/>
          <w:szCs w:val="22"/>
          <w:lang w:val="en-US" w:eastAsia="en-GB"/>
        </w:rPr>
      </w:pPr>
      <w:r w:rsidRPr="008072EB">
        <w:rPr>
          <w:sz w:val="22"/>
          <w:szCs w:val="22"/>
          <w:lang w:eastAsia="en-GB"/>
        </w:rPr>
        <w:t>Masters in Conservation Biology and Ecology</w:t>
      </w:r>
      <w:r w:rsidRPr="008072EB">
        <w:rPr>
          <w:sz w:val="22"/>
          <w:szCs w:val="22"/>
          <w:lang w:val="en-US" w:eastAsia="en-GB"/>
        </w:rPr>
        <w:t>​</w:t>
      </w:r>
    </w:p>
    <w:p w:rsidRPr="008072EB" w:rsidR="008072EB" w:rsidP="001D265D" w:rsidRDefault="008072EB" w14:paraId="1EBD7CE0" w14:textId="77777777">
      <w:pPr>
        <w:numPr>
          <w:ilvl w:val="0"/>
          <w:numId w:val="27"/>
        </w:numPr>
        <w:spacing w:after="240" w:line="259" w:lineRule="auto"/>
        <w:contextualSpacing/>
        <w:rPr>
          <w:sz w:val="22"/>
          <w:szCs w:val="22"/>
          <w:lang w:val="en-US" w:eastAsia="en-GB"/>
        </w:rPr>
      </w:pPr>
      <w:r w:rsidRPr="008072EB">
        <w:rPr>
          <w:sz w:val="22"/>
          <w:szCs w:val="22"/>
          <w:lang w:eastAsia="en-GB"/>
        </w:rPr>
        <w:t>Masters in Engineering and Management of the Environment</w:t>
      </w:r>
      <w:r w:rsidRPr="008072EB">
        <w:rPr>
          <w:sz w:val="22"/>
          <w:szCs w:val="22"/>
          <w:lang w:val="en-US" w:eastAsia="en-GB"/>
        </w:rPr>
        <w:t>​</w:t>
      </w:r>
    </w:p>
    <w:p w:rsidRPr="008072EB" w:rsidR="008072EB" w:rsidP="001D265D" w:rsidRDefault="008072EB" w14:paraId="666C5113" w14:textId="77777777">
      <w:pPr>
        <w:numPr>
          <w:ilvl w:val="0"/>
          <w:numId w:val="27"/>
        </w:numPr>
        <w:spacing w:after="240" w:line="259" w:lineRule="auto"/>
        <w:contextualSpacing/>
        <w:rPr>
          <w:sz w:val="22"/>
          <w:szCs w:val="22"/>
          <w:lang w:val="en-US" w:eastAsia="en-GB"/>
        </w:rPr>
      </w:pPr>
      <w:r w:rsidRPr="008072EB">
        <w:rPr>
          <w:sz w:val="22"/>
          <w:szCs w:val="22"/>
          <w:lang w:eastAsia="en-GB"/>
        </w:rPr>
        <w:t xml:space="preserve">MPhil Aquatic Resource Management </w:t>
      </w:r>
    </w:p>
    <w:p w:rsidRPr="008072EB" w:rsidR="008072EB" w:rsidP="008072EB" w:rsidRDefault="008072EB" w14:paraId="646F2C7A" w14:textId="77777777">
      <w:pPr>
        <w:rPr>
          <w:rFonts w:cs="Arial"/>
          <w:sz w:val="22"/>
          <w:szCs w:val="22"/>
        </w:rPr>
      </w:pPr>
    </w:p>
    <w:p w:rsidRPr="008072EB" w:rsidR="008072EB" w:rsidP="008072EB" w:rsidRDefault="008072EB" w14:paraId="07423EEC" w14:textId="78C46B97">
      <w:pPr>
        <w:rPr>
          <w:rFonts w:cs="Arial"/>
          <w:sz w:val="22"/>
          <w:szCs w:val="22"/>
        </w:rPr>
      </w:pPr>
      <w:r w:rsidRPr="008072EB">
        <w:rPr>
          <w:b/>
          <w:bCs/>
          <w:sz w:val="22"/>
          <w:szCs w:val="22"/>
        </w:rPr>
        <w:t xml:space="preserve">3.3 – A. </w:t>
      </w:r>
      <w:r w:rsidRPr="008072EB">
        <w:rPr>
          <w:sz w:val="22"/>
          <w:szCs w:val="22"/>
        </w:rPr>
        <w:t xml:space="preserve">This indicator measures </w:t>
      </w:r>
      <w:r w:rsidRPr="1FB22237">
        <w:rPr>
          <w:sz w:val="22"/>
          <w:szCs w:val="22"/>
        </w:rPr>
        <w:t>scientific papers, reports, strategies, tools and/or databases developed or published which are freely available</w:t>
      </w:r>
      <w:r w:rsidRPr="008072EB">
        <w:rPr>
          <w:rFonts w:cs="Arial"/>
          <w:sz w:val="22"/>
          <w:szCs w:val="22"/>
        </w:rPr>
        <w:t xml:space="preserve">. ALB partners reported </w:t>
      </w:r>
      <w:r w:rsidR="001A195A">
        <w:rPr>
          <w:rFonts w:cs="Arial"/>
          <w:sz w:val="22"/>
          <w:szCs w:val="22"/>
        </w:rPr>
        <w:t>eight</w:t>
      </w:r>
      <w:r w:rsidRPr="008072EB">
        <w:rPr>
          <w:rFonts w:cs="Arial"/>
          <w:sz w:val="22"/>
          <w:szCs w:val="22"/>
        </w:rPr>
        <w:t>, GOAP 24 and FOA 11. The total reported is 43.</w:t>
      </w:r>
      <w:r w:rsidRPr="00660F08" w:rsidR="00660F08">
        <w:t xml:space="preserve"> </w:t>
      </w:r>
      <w:r w:rsidRPr="00660F08" w:rsidR="00660F08">
        <w:rPr>
          <w:rFonts w:cs="Arial"/>
          <w:sz w:val="22"/>
          <w:szCs w:val="22"/>
        </w:rPr>
        <w:t xml:space="preserve">For example, the ALBs in India published a pollution-focused scientific paper, “Interaction of climate change and marine pollution in Southern India: Implications for coastal zone management practices and policies”, which features several Indian authors and is freely available </w:t>
      </w:r>
      <w:r w:rsidR="0030435F">
        <w:rPr>
          <w:rFonts w:cs="Arial"/>
          <w:sz w:val="22"/>
          <w:szCs w:val="22"/>
        </w:rPr>
        <w:t>online</w:t>
      </w:r>
      <w:r w:rsidR="0030435F">
        <w:rPr>
          <w:rStyle w:val="FootnoteReference"/>
          <w:rFonts w:cs="Arial"/>
          <w:sz w:val="22"/>
          <w:szCs w:val="22"/>
        </w:rPr>
        <w:footnoteReference w:id="5"/>
      </w:r>
      <w:r w:rsidR="007E1012">
        <w:rPr>
          <w:rFonts w:cs="Arial"/>
          <w:sz w:val="22"/>
          <w:szCs w:val="22"/>
        </w:rPr>
        <w:t>.</w:t>
      </w:r>
      <w:r w:rsidR="00A423B7">
        <w:rPr>
          <w:rFonts w:cs="Arial"/>
          <w:sz w:val="22"/>
          <w:szCs w:val="22"/>
        </w:rPr>
        <w:t xml:space="preserve"> </w:t>
      </w:r>
      <w:r w:rsidRPr="00C17172" w:rsidR="00C17172">
        <w:rPr>
          <w:rFonts w:cs="Arial"/>
          <w:sz w:val="22"/>
          <w:szCs w:val="22"/>
        </w:rPr>
        <w:t>They also conducted National Protected Areas System Management Effectiveness Evaluations for 14 MPAs on behalf of the Belize Fisheries Department, Ministry of Blue Economy and Disaster Risk Management, and MPA co-managers. The interim evaluation found that the average management effectiveness of the country's combined 14 MPAs and seven new High Protection for Biodiversity Zones (HBPZs) was 63.6%.</w:t>
      </w:r>
      <w:r w:rsidRPr="009D0405" w:rsidR="009D0405">
        <w:t xml:space="preserve"> </w:t>
      </w:r>
      <w:r w:rsidRPr="009D0405" w:rsidR="009D0405">
        <w:rPr>
          <w:rFonts w:cs="Arial"/>
          <w:sz w:val="22"/>
          <w:szCs w:val="22"/>
        </w:rPr>
        <w:t>This indicates that the inclusion of the newly established HBPZs in the assessment has reduced the overall management effectiveness ratings, as there are not yet management processes in place for these Marine Reserves. The International Union for Conservation of Nature (IUCN) global benchmark is 67.7</w:t>
      </w:r>
      <w:r w:rsidRPr="009D0405" w:rsidR="00526D8B">
        <w:rPr>
          <w:rFonts w:cs="Arial"/>
          <w:sz w:val="22"/>
          <w:szCs w:val="22"/>
        </w:rPr>
        <w:t>%.</w:t>
      </w:r>
      <w:r w:rsidRPr="008072EB" w:rsidR="00526D8B">
        <w:rPr>
          <w:rFonts w:cs="Arial"/>
          <w:sz w:val="22"/>
          <w:szCs w:val="22"/>
        </w:rPr>
        <w:t xml:space="preserve"> This</w:t>
      </w:r>
      <w:r w:rsidRPr="008072EB">
        <w:rPr>
          <w:rFonts w:cs="Arial"/>
          <w:sz w:val="22"/>
          <w:szCs w:val="22"/>
        </w:rPr>
        <w:t xml:space="preserve"> data helps to strengthen Belize's capacity to manage their MPA networks. It further helps in-country stakeholders understand what is working well and what needs to improve as they seek</w:t>
      </w:r>
      <w:r w:rsidRPr="16C8B3F1">
        <w:rPr>
          <w:rFonts w:cs="Arial"/>
          <w:sz w:val="22"/>
          <w:szCs w:val="22"/>
        </w:rPr>
        <w:t xml:space="preserve"> to achieve the IUCN Green List standard.</w:t>
      </w:r>
    </w:p>
    <w:p w:rsidRPr="008072EB" w:rsidR="008072EB" w:rsidP="008072EB" w:rsidRDefault="008072EB" w14:paraId="1374A48D" w14:textId="77777777">
      <w:pPr>
        <w:jc w:val="both"/>
        <w:rPr>
          <w:rFonts w:cs="Arial"/>
          <w:b/>
          <w:bCs/>
          <w:sz w:val="22"/>
          <w:szCs w:val="22"/>
        </w:rPr>
      </w:pPr>
    </w:p>
    <w:p w:rsidRPr="008072EB" w:rsidR="008072EB" w:rsidP="008072EB" w:rsidRDefault="008072EB" w14:paraId="7CD96D44" w14:textId="77777777">
      <w:pPr>
        <w:jc w:val="both"/>
        <w:rPr>
          <w:rFonts w:cs="Arial"/>
          <w:b/>
          <w:sz w:val="22"/>
          <w:szCs w:val="22"/>
        </w:rPr>
      </w:pPr>
      <w:r w:rsidRPr="008072EB">
        <w:rPr>
          <w:rFonts w:cs="Arial"/>
          <w:b/>
          <w:sz w:val="22"/>
          <w:szCs w:val="22"/>
        </w:rPr>
        <w:t>Output 4</w:t>
      </w:r>
    </w:p>
    <w:p w:rsidRPr="008072EB" w:rsidR="008072EB" w:rsidP="008072EB" w:rsidRDefault="008072EB" w14:paraId="3C41C4D0" w14:textId="77777777">
      <w:pPr>
        <w:jc w:val="both"/>
        <w:rPr>
          <w:rFonts w:cs="Arial"/>
          <w:sz w:val="22"/>
          <w:szCs w:val="22"/>
        </w:rPr>
      </w:pPr>
    </w:p>
    <w:tbl>
      <w:tblPr>
        <w:tblStyle w:val="TableGrid"/>
        <w:tblW w:w="9356" w:type="dxa"/>
        <w:tblInd w:w="-147" w:type="dxa"/>
        <w:tblLook w:val="04A0" w:firstRow="1" w:lastRow="0" w:firstColumn="1" w:lastColumn="0" w:noHBand="0" w:noVBand="1"/>
      </w:tblPr>
      <w:tblGrid>
        <w:gridCol w:w="1708"/>
        <w:gridCol w:w="616"/>
        <w:gridCol w:w="937"/>
        <w:gridCol w:w="3283"/>
        <w:gridCol w:w="2812"/>
      </w:tblGrid>
      <w:tr w:rsidRPr="008072EB" w:rsidR="00EC7BB8" w14:paraId="416C893C" w14:textId="77777777">
        <w:trPr>
          <w:trHeight w:val="489"/>
        </w:trPr>
        <w:tc>
          <w:tcPr>
            <w:tcW w:w="1708"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422823D3" w14:textId="77777777">
            <w:pPr>
              <w:rPr>
                <w:b/>
                <w:bCs/>
                <w:sz w:val="20"/>
                <w:szCs w:val="20"/>
              </w:rPr>
            </w:pPr>
            <w:r w:rsidRPr="008072EB">
              <w:rPr>
                <w:b/>
                <w:bCs/>
                <w:sz w:val="20"/>
                <w:szCs w:val="20"/>
              </w:rPr>
              <w:t xml:space="preserve">Output Title </w:t>
            </w:r>
          </w:p>
        </w:tc>
        <w:tc>
          <w:tcPr>
            <w:tcW w:w="7648" w:type="dxa"/>
            <w:gridSpan w:val="4"/>
            <w:tcBorders>
              <w:top w:val="single" w:color="auto" w:sz="4" w:space="0"/>
              <w:left w:val="single" w:color="auto" w:sz="4" w:space="0"/>
              <w:bottom w:val="single" w:color="auto" w:sz="4" w:space="0"/>
              <w:right w:val="single" w:color="auto" w:sz="4" w:space="0"/>
            </w:tcBorders>
            <w:shd w:val="clear" w:color="auto" w:fill="FFFFFF" w:themeFill="background1"/>
          </w:tcPr>
          <w:p w:rsidRPr="008072EB" w:rsidR="008072EB" w:rsidP="008072EB" w:rsidRDefault="008072EB" w14:paraId="18F31B57" w14:textId="77777777">
            <w:pPr>
              <w:rPr>
                <w:bCs/>
                <w:i/>
                <w:color w:val="FF0000"/>
                <w:sz w:val="20"/>
                <w:szCs w:val="20"/>
              </w:rPr>
            </w:pPr>
            <w:r w:rsidRPr="008072EB">
              <w:rPr>
                <w:sz w:val="20"/>
                <w:szCs w:val="20"/>
              </w:rPr>
              <w:t>Active ocean-science related knowledge networks and partnerships (either UK – partner country or in-country coalitions) developed or supported by OCPP activities</w:t>
            </w:r>
          </w:p>
        </w:tc>
      </w:tr>
      <w:tr w:rsidRPr="008072EB" w:rsidR="002C7B3C" w14:paraId="60178BE4" w14:textId="77777777">
        <w:trPr>
          <w:trHeight w:val="347"/>
        </w:trPr>
        <w:tc>
          <w:tcPr>
            <w:tcW w:w="2324"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7BD99836" w14:textId="77777777">
            <w:pPr>
              <w:rPr>
                <w:bCs/>
                <w:sz w:val="20"/>
                <w:szCs w:val="20"/>
              </w:rPr>
            </w:pPr>
            <w:r w:rsidRPr="008072EB">
              <w:rPr>
                <w:bCs/>
                <w:sz w:val="20"/>
                <w:szCs w:val="20"/>
              </w:rPr>
              <w:t xml:space="preserve">Output number: </w:t>
            </w:r>
          </w:p>
        </w:tc>
        <w:tc>
          <w:tcPr>
            <w:tcW w:w="937"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65B15284" w14:textId="77777777">
            <w:pPr>
              <w:rPr>
                <w:sz w:val="20"/>
                <w:szCs w:val="20"/>
              </w:rPr>
            </w:pPr>
            <w:r w:rsidRPr="008072EB">
              <w:rPr>
                <w:sz w:val="20"/>
                <w:szCs w:val="20"/>
              </w:rPr>
              <w:t>4</w:t>
            </w:r>
          </w:p>
        </w:tc>
        <w:tc>
          <w:tcPr>
            <w:tcW w:w="3283"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5EB77861" w14:textId="77777777">
            <w:pPr>
              <w:rPr>
                <w:sz w:val="20"/>
                <w:szCs w:val="20"/>
              </w:rPr>
            </w:pPr>
            <w:r w:rsidRPr="008072EB">
              <w:rPr>
                <w:bCs/>
                <w:sz w:val="20"/>
                <w:szCs w:val="20"/>
              </w:rPr>
              <w:t xml:space="preserve">Output Score: </w:t>
            </w:r>
          </w:p>
        </w:tc>
        <w:tc>
          <w:tcPr>
            <w:tcW w:w="2812"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3F9206B1" w14:textId="77777777">
            <w:pPr>
              <w:rPr>
                <w:b/>
                <w:bCs/>
                <w:color w:val="FF0000"/>
                <w:sz w:val="20"/>
                <w:szCs w:val="20"/>
              </w:rPr>
            </w:pPr>
            <w:r w:rsidRPr="008072EB">
              <w:rPr>
                <w:b/>
                <w:bCs/>
                <w:color w:val="FF0000"/>
                <w:sz w:val="20"/>
                <w:szCs w:val="20"/>
              </w:rPr>
              <w:t>A</w:t>
            </w:r>
          </w:p>
        </w:tc>
      </w:tr>
      <w:tr w:rsidRPr="008072EB" w:rsidR="002C7B3C" w14:paraId="677B63F2" w14:textId="77777777">
        <w:trPr>
          <w:trHeight w:val="345"/>
        </w:trPr>
        <w:tc>
          <w:tcPr>
            <w:tcW w:w="2324"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025E90A2" w14:textId="77777777">
            <w:pPr>
              <w:rPr>
                <w:sz w:val="20"/>
                <w:szCs w:val="20"/>
              </w:rPr>
            </w:pPr>
            <w:r w:rsidRPr="008072EB">
              <w:rPr>
                <w:bCs/>
                <w:sz w:val="20"/>
                <w:szCs w:val="20"/>
              </w:rPr>
              <w:t xml:space="preserve">Impact weighting (%):  </w:t>
            </w:r>
          </w:p>
        </w:tc>
        <w:tc>
          <w:tcPr>
            <w:tcW w:w="937" w:type="dxa"/>
            <w:tcBorders>
              <w:top w:val="single" w:color="auto" w:sz="4" w:space="0"/>
              <w:left w:val="single" w:color="auto" w:sz="4" w:space="0"/>
              <w:bottom w:val="single" w:color="auto" w:sz="4" w:space="0"/>
              <w:right w:val="single" w:color="auto" w:sz="4" w:space="0"/>
            </w:tcBorders>
            <w:hideMark/>
          </w:tcPr>
          <w:p w:rsidRPr="008072EB" w:rsidR="008072EB" w:rsidP="008072EB" w:rsidRDefault="008072EB" w14:paraId="00DF526C" w14:textId="77777777">
            <w:pPr>
              <w:rPr>
                <w:sz w:val="20"/>
                <w:szCs w:val="20"/>
              </w:rPr>
            </w:pPr>
            <w:r w:rsidRPr="008072EB">
              <w:rPr>
                <w:sz w:val="20"/>
                <w:szCs w:val="20"/>
              </w:rPr>
              <w:t>16.66</w:t>
            </w:r>
          </w:p>
        </w:tc>
        <w:tc>
          <w:tcPr>
            <w:tcW w:w="3283"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1269BC3A" w14:textId="2EC84D50">
            <w:pPr>
              <w:rPr>
                <w:bCs/>
                <w:sz w:val="20"/>
                <w:szCs w:val="20"/>
              </w:rPr>
            </w:pPr>
            <w:r w:rsidRPr="008072EB">
              <w:rPr>
                <w:bCs/>
                <w:sz w:val="20"/>
                <w:szCs w:val="20"/>
              </w:rPr>
              <w:t xml:space="preserve">Weighting revised since last </w:t>
            </w:r>
            <w:r w:rsidR="00C14357">
              <w:rPr>
                <w:bCs/>
                <w:sz w:val="20"/>
                <w:szCs w:val="20"/>
              </w:rPr>
              <w:t>annual review</w:t>
            </w:r>
            <w:r w:rsidRPr="008072EB">
              <w:rPr>
                <w:bCs/>
                <w:sz w:val="20"/>
                <w:szCs w:val="20"/>
              </w:rPr>
              <w:t xml:space="preserve">? </w:t>
            </w:r>
          </w:p>
        </w:tc>
        <w:tc>
          <w:tcPr>
            <w:tcW w:w="2812"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7D66B003" w14:textId="77777777">
            <w:pPr>
              <w:rPr>
                <w:sz w:val="20"/>
                <w:szCs w:val="20"/>
              </w:rPr>
            </w:pPr>
            <w:r w:rsidRPr="008072EB">
              <w:rPr>
                <w:sz w:val="20"/>
                <w:szCs w:val="20"/>
              </w:rPr>
              <w:t>N/A</w:t>
            </w:r>
          </w:p>
        </w:tc>
      </w:tr>
    </w:tbl>
    <w:p w:rsidRPr="008072EB" w:rsidR="008072EB" w:rsidP="008072EB" w:rsidRDefault="008072EB" w14:paraId="03B62CE2" w14:textId="77777777">
      <w:pPr>
        <w:rPr>
          <w:bCs/>
          <w:sz w:val="20"/>
          <w:szCs w:val="20"/>
        </w:rPr>
      </w:pPr>
    </w:p>
    <w:tbl>
      <w:tblPr>
        <w:tblStyle w:val="TableGrid"/>
        <w:tblpPr w:leftFromText="180" w:rightFromText="180" w:vertAnchor="text" w:horzAnchor="page" w:tblpX="1325" w:tblpY="-10"/>
        <w:tblOverlap w:val="never"/>
        <w:tblW w:w="9309" w:type="dxa"/>
        <w:tblLook w:val="04A0" w:firstRow="1" w:lastRow="0" w:firstColumn="1" w:lastColumn="0" w:noHBand="0" w:noVBand="1"/>
      </w:tblPr>
      <w:tblGrid>
        <w:gridCol w:w="1362"/>
        <w:gridCol w:w="2207"/>
        <w:gridCol w:w="2210"/>
        <w:gridCol w:w="3530"/>
      </w:tblGrid>
      <w:tr w:rsidRPr="008072EB" w:rsidR="008072EB" w:rsidTr="2C6B85DE" w14:paraId="1F3F7999" w14:textId="77777777">
        <w:trPr>
          <w:trHeight w:val="278"/>
        </w:trPr>
        <w:tc>
          <w:tcPr>
            <w:tcW w:w="1362"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7EE49824" w14:textId="77777777">
            <w:pPr>
              <w:rPr>
                <w:b/>
                <w:bCs/>
                <w:sz w:val="20"/>
                <w:szCs w:val="20"/>
              </w:rPr>
            </w:pPr>
            <w:r w:rsidRPr="008072EB">
              <w:rPr>
                <w:b/>
                <w:bCs/>
                <w:sz w:val="20"/>
                <w:szCs w:val="20"/>
              </w:rPr>
              <w:t>Indicator(s)</w:t>
            </w:r>
          </w:p>
        </w:tc>
        <w:tc>
          <w:tcPr>
            <w:tcW w:w="2207"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8072EB" w:rsidR="008072EB" w:rsidP="008072EB" w:rsidRDefault="008072EB" w14:paraId="22AD8634" w14:textId="77777777">
            <w:pPr>
              <w:rPr>
                <w:b/>
                <w:bCs/>
                <w:sz w:val="20"/>
                <w:szCs w:val="20"/>
              </w:rPr>
            </w:pPr>
            <w:r w:rsidRPr="008072EB">
              <w:rPr>
                <w:b/>
                <w:bCs/>
                <w:sz w:val="20"/>
                <w:szCs w:val="20"/>
              </w:rPr>
              <w:t>Description</w:t>
            </w:r>
          </w:p>
        </w:tc>
        <w:tc>
          <w:tcPr>
            <w:tcW w:w="2210"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76024CBB" w14:textId="77777777">
            <w:pPr>
              <w:rPr>
                <w:b/>
                <w:bCs/>
                <w:sz w:val="20"/>
                <w:szCs w:val="20"/>
              </w:rPr>
            </w:pPr>
            <w:r w:rsidRPr="008072EB">
              <w:rPr>
                <w:b/>
                <w:bCs/>
                <w:sz w:val="20"/>
                <w:szCs w:val="20"/>
              </w:rPr>
              <w:t>Milestone(s) for this review</w:t>
            </w:r>
          </w:p>
        </w:tc>
        <w:tc>
          <w:tcPr>
            <w:tcW w:w="3530"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5146ABF3" w14:textId="77777777">
            <w:pPr>
              <w:rPr>
                <w:b/>
                <w:bCs/>
                <w:sz w:val="20"/>
                <w:szCs w:val="20"/>
              </w:rPr>
            </w:pPr>
            <w:r w:rsidRPr="008072EB">
              <w:rPr>
                <w:b/>
                <w:bCs/>
                <w:sz w:val="20"/>
                <w:szCs w:val="20"/>
              </w:rPr>
              <w:t xml:space="preserve">Progress </w:t>
            </w:r>
          </w:p>
        </w:tc>
      </w:tr>
      <w:tr w:rsidRPr="008072EB" w:rsidR="008072EB" w:rsidTr="2C6B85DE" w14:paraId="1729C693" w14:textId="77777777">
        <w:trPr>
          <w:trHeight w:val="934"/>
        </w:trPr>
        <w:tc>
          <w:tcPr>
            <w:tcW w:w="1362"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6128A0C5" w14:textId="77777777">
            <w:pPr>
              <w:rPr>
                <w:sz w:val="20"/>
                <w:szCs w:val="20"/>
              </w:rPr>
            </w:pPr>
            <w:r w:rsidRPr="008072EB">
              <w:rPr>
                <w:sz w:val="20"/>
                <w:szCs w:val="20"/>
              </w:rPr>
              <w:t xml:space="preserve">4.1 </w:t>
            </w:r>
          </w:p>
        </w:tc>
        <w:tc>
          <w:tcPr>
            <w:tcW w:w="2207"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6EAC9CA0" w14:textId="40FA45D3">
            <w:pPr>
              <w:rPr>
                <w:bCs/>
                <w:sz w:val="20"/>
                <w:szCs w:val="20"/>
              </w:rPr>
            </w:pPr>
            <w:r w:rsidRPr="008072EB">
              <w:rPr>
                <w:bCs/>
                <w:sz w:val="20"/>
                <w:szCs w:val="20"/>
              </w:rPr>
              <w:t xml:space="preserve">MoUs or similar agreement </w:t>
            </w:r>
            <w:r w:rsidRPr="008072EB" w:rsidR="009E70EF">
              <w:rPr>
                <w:bCs/>
                <w:sz w:val="20"/>
                <w:szCs w:val="20"/>
              </w:rPr>
              <w:t>between OCPP</w:t>
            </w:r>
            <w:r w:rsidRPr="008072EB">
              <w:rPr>
                <w:bCs/>
                <w:sz w:val="20"/>
                <w:szCs w:val="20"/>
              </w:rPr>
              <w:t xml:space="preserve"> and partner country stakeholders signed</w:t>
            </w:r>
          </w:p>
        </w:tc>
        <w:tc>
          <w:tcPr>
            <w:tcW w:w="2210" w:type="dxa"/>
            <w:tcBorders>
              <w:top w:val="single" w:color="auto" w:sz="4" w:space="0"/>
              <w:left w:val="single" w:color="auto" w:sz="4" w:space="0"/>
              <w:bottom w:val="single" w:color="auto" w:sz="4" w:space="0"/>
              <w:right w:val="single" w:color="auto" w:sz="4" w:space="0"/>
            </w:tcBorders>
          </w:tcPr>
          <w:p w:rsidRPr="008072EB" w:rsidR="008072EB" w:rsidP="66518878" w:rsidRDefault="008072EB" w14:paraId="6F019803" w14:textId="77777777">
            <w:pPr>
              <w:rPr>
                <w:sz w:val="20"/>
                <w:szCs w:val="20"/>
              </w:rPr>
            </w:pPr>
            <w:r w:rsidRPr="2C6B85DE">
              <w:rPr>
                <w:sz w:val="20"/>
                <w:szCs w:val="20"/>
              </w:rPr>
              <w:t xml:space="preserve">24/25 Milestone: </w:t>
            </w:r>
          </w:p>
          <w:p w:rsidRPr="008072EB" w:rsidR="008072EB" w:rsidP="008072EB" w:rsidRDefault="008072EB" w14:paraId="2B31AEE4" w14:textId="77777777">
            <w:pPr>
              <w:rPr>
                <w:bCs/>
                <w:sz w:val="20"/>
                <w:szCs w:val="20"/>
              </w:rPr>
            </w:pPr>
            <w:r w:rsidRPr="008072EB">
              <w:rPr>
                <w:bCs/>
                <w:sz w:val="20"/>
                <w:szCs w:val="20"/>
              </w:rPr>
              <w:t>Total:11</w:t>
            </w:r>
          </w:p>
          <w:p w:rsidRPr="008072EB" w:rsidR="008072EB" w:rsidP="008072EB" w:rsidRDefault="008072EB" w14:paraId="2C0F27C9" w14:textId="77777777">
            <w:pPr>
              <w:rPr>
                <w:bCs/>
                <w:sz w:val="20"/>
                <w:szCs w:val="20"/>
              </w:rPr>
            </w:pPr>
            <w:r w:rsidRPr="008072EB">
              <w:rPr>
                <w:bCs/>
                <w:sz w:val="20"/>
                <w:szCs w:val="20"/>
              </w:rPr>
              <w:t>ALBs:6</w:t>
            </w:r>
          </w:p>
          <w:p w:rsidRPr="008072EB" w:rsidR="008072EB" w:rsidP="008072EB" w:rsidRDefault="008072EB" w14:paraId="5C762462" w14:textId="77777777">
            <w:pPr>
              <w:rPr>
                <w:bCs/>
                <w:sz w:val="20"/>
                <w:szCs w:val="20"/>
              </w:rPr>
            </w:pPr>
            <w:r w:rsidRPr="008072EB">
              <w:rPr>
                <w:bCs/>
                <w:sz w:val="20"/>
                <w:szCs w:val="20"/>
              </w:rPr>
              <w:t>GOAP:5</w:t>
            </w:r>
          </w:p>
          <w:p w:rsidRPr="008072EB" w:rsidR="008072EB" w:rsidP="008072EB" w:rsidRDefault="008072EB" w14:paraId="3B5E9FB0" w14:textId="77777777">
            <w:pPr>
              <w:rPr>
                <w:bCs/>
                <w:sz w:val="20"/>
                <w:szCs w:val="20"/>
              </w:rPr>
            </w:pPr>
          </w:p>
          <w:p w:rsidRPr="008072EB" w:rsidR="008072EB" w:rsidP="008072EB" w:rsidRDefault="008072EB" w14:paraId="382105D8" w14:textId="77777777">
            <w:pPr>
              <w:rPr>
                <w:bCs/>
                <w:sz w:val="20"/>
                <w:szCs w:val="20"/>
              </w:rPr>
            </w:pPr>
            <w:r w:rsidRPr="008072EB">
              <w:rPr>
                <w:bCs/>
                <w:sz w:val="20"/>
                <w:szCs w:val="20"/>
              </w:rPr>
              <w:t xml:space="preserve">23/24 thresholds </w:t>
            </w:r>
            <w:r w:rsidRPr="008072EB">
              <w:rPr>
                <w:i/>
                <w:iCs/>
                <w:sz w:val="20"/>
                <w:szCs w:val="20"/>
              </w:rPr>
              <w:t>(Cumulative milestones with discrete reporting)</w:t>
            </w:r>
          </w:p>
          <w:p w:rsidRPr="008072EB" w:rsidR="008072EB" w:rsidP="008072EB" w:rsidRDefault="008072EB" w14:paraId="65EA0050" w14:textId="77777777">
            <w:pPr>
              <w:rPr>
                <w:bCs/>
                <w:sz w:val="20"/>
                <w:szCs w:val="20"/>
              </w:rPr>
            </w:pPr>
            <w:r w:rsidRPr="008072EB">
              <w:rPr>
                <w:bCs/>
                <w:sz w:val="20"/>
                <w:szCs w:val="20"/>
              </w:rPr>
              <w:t>70% (A): 7.7</w:t>
            </w:r>
          </w:p>
          <w:p w:rsidRPr="008072EB" w:rsidR="008072EB" w:rsidP="008072EB" w:rsidRDefault="008072EB" w14:paraId="5D1AFCE4" w14:textId="77777777">
            <w:pPr>
              <w:rPr>
                <w:bCs/>
                <w:sz w:val="20"/>
                <w:szCs w:val="20"/>
              </w:rPr>
            </w:pPr>
            <w:r w:rsidRPr="008072EB">
              <w:rPr>
                <w:bCs/>
                <w:sz w:val="20"/>
                <w:szCs w:val="20"/>
              </w:rPr>
              <w:t>60% (B): 6.6</w:t>
            </w:r>
          </w:p>
          <w:p w:rsidRPr="008072EB" w:rsidR="008072EB" w:rsidP="008072EB" w:rsidRDefault="008072EB" w14:paraId="6F648C05" w14:textId="77777777">
            <w:pPr>
              <w:rPr>
                <w:bCs/>
                <w:sz w:val="20"/>
                <w:szCs w:val="20"/>
              </w:rPr>
            </w:pPr>
            <w:r w:rsidRPr="008072EB">
              <w:rPr>
                <w:bCs/>
                <w:sz w:val="20"/>
                <w:szCs w:val="20"/>
              </w:rPr>
              <w:t>&lt;60% (C)</w:t>
            </w:r>
          </w:p>
          <w:p w:rsidRPr="008072EB" w:rsidR="008072EB" w:rsidP="008072EB" w:rsidRDefault="008072EB" w14:paraId="7F5C89CF" w14:textId="77777777">
            <w:pPr>
              <w:rPr>
                <w:bCs/>
                <w:sz w:val="20"/>
                <w:szCs w:val="20"/>
              </w:rPr>
            </w:pPr>
          </w:p>
        </w:tc>
        <w:tc>
          <w:tcPr>
            <w:tcW w:w="3530"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1C1FBCEB" w14:textId="77777777">
            <w:pPr>
              <w:rPr>
                <w:sz w:val="20"/>
                <w:szCs w:val="20"/>
              </w:rPr>
            </w:pPr>
            <w:r w:rsidRPr="008072EB">
              <w:rPr>
                <w:sz w:val="20"/>
                <w:szCs w:val="20"/>
              </w:rPr>
              <w:t xml:space="preserve">Overall: 14, A </w:t>
            </w:r>
          </w:p>
          <w:p w:rsidRPr="008072EB" w:rsidR="008072EB" w:rsidP="008072EB" w:rsidRDefault="008072EB" w14:paraId="089F3A72" w14:textId="77777777">
            <w:pPr>
              <w:rPr>
                <w:sz w:val="20"/>
                <w:szCs w:val="20"/>
              </w:rPr>
            </w:pPr>
          </w:p>
          <w:p w:rsidRPr="008072EB" w:rsidR="008072EB" w:rsidP="008072EB" w:rsidRDefault="008072EB" w14:paraId="5F91EE4B" w14:textId="77777777">
            <w:pPr>
              <w:rPr>
                <w:sz w:val="20"/>
                <w:szCs w:val="20"/>
              </w:rPr>
            </w:pPr>
            <w:r w:rsidRPr="008072EB">
              <w:rPr>
                <w:sz w:val="20"/>
                <w:szCs w:val="20"/>
              </w:rPr>
              <w:t>ALB progress: 4</w:t>
            </w:r>
          </w:p>
          <w:p w:rsidRPr="008072EB" w:rsidR="008072EB" w:rsidP="008072EB" w:rsidRDefault="008072EB" w14:paraId="7C6FAD00" w14:textId="77777777">
            <w:pPr>
              <w:rPr>
                <w:sz w:val="20"/>
                <w:szCs w:val="20"/>
              </w:rPr>
            </w:pPr>
            <w:r w:rsidRPr="008072EB">
              <w:rPr>
                <w:sz w:val="20"/>
                <w:szCs w:val="20"/>
              </w:rPr>
              <w:t>GOAP progress: 9</w:t>
            </w:r>
          </w:p>
          <w:p w:rsidRPr="008072EB" w:rsidR="008072EB" w:rsidP="008072EB" w:rsidRDefault="008072EB" w14:paraId="634CDF92" w14:textId="77777777">
            <w:pPr>
              <w:rPr>
                <w:sz w:val="20"/>
                <w:szCs w:val="20"/>
              </w:rPr>
            </w:pPr>
            <w:r w:rsidRPr="008072EB">
              <w:rPr>
                <w:sz w:val="20"/>
                <w:szCs w:val="20"/>
              </w:rPr>
              <w:t>FOA progress: 1</w:t>
            </w:r>
          </w:p>
        </w:tc>
      </w:tr>
      <w:tr w:rsidRPr="008072EB" w:rsidR="008072EB" w:rsidTr="2C6B85DE" w14:paraId="1A65AD7E" w14:textId="77777777">
        <w:trPr>
          <w:trHeight w:val="229"/>
        </w:trPr>
        <w:tc>
          <w:tcPr>
            <w:tcW w:w="1362"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38B3A369" w14:textId="77777777">
            <w:pPr>
              <w:rPr>
                <w:bCs/>
                <w:sz w:val="20"/>
                <w:szCs w:val="20"/>
              </w:rPr>
            </w:pPr>
            <w:r w:rsidRPr="008072EB">
              <w:rPr>
                <w:bCs/>
                <w:sz w:val="20"/>
                <w:szCs w:val="20"/>
              </w:rPr>
              <w:t>4.2</w:t>
            </w:r>
          </w:p>
        </w:tc>
        <w:tc>
          <w:tcPr>
            <w:tcW w:w="2207"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5E90BAD9" w14:textId="77777777">
            <w:pPr>
              <w:rPr>
                <w:bCs/>
                <w:sz w:val="20"/>
                <w:szCs w:val="20"/>
              </w:rPr>
            </w:pPr>
            <w:r w:rsidRPr="008072EB">
              <w:rPr>
                <w:bCs/>
                <w:sz w:val="20"/>
                <w:szCs w:val="20"/>
              </w:rPr>
              <w:t>Number of public- private sector partnerships or business clusters mobilised</w:t>
            </w:r>
          </w:p>
          <w:p w:rsidRPr="008072EB" w:rsidR="008072EB" w:rsidP="008072EB" w:rsidRDefault="008072EB" w14:paraId="715D1083" w14:textId="77777777">
            <w:pPr>
              <w:rPr>
                <w:bCs/>
                <w:sz w:val="20"/>
                <w:szCs w:val="20"/>
              </w:rPr>
            </w:pPr>
          </w:p>
          <w:p w:rsidRPr="008072EB" w:rsidR="008072EB" w:rsidP="008072EB" w:rsidRDefault="008072EB" w14:paraId="1A4F7132" w14:textId="28D5A387">
            <w:pPr>
              <w:rPr>
                <w:bCs/>
                <w:i/>
                <w:iCs/>
                <w:sz w:val="20"/>
                <w:szCs w:val="20"/>
              </w:rPr>
            </w:pPr>
            <w:r w:rsidRPr="008072EB">
              <w:rPr>
                <w:bCs/>
                <w:i/>
                <w:iCs/>
                <w:sz w:val="20"/>
                <w:szCs w:val="20"/>
              </w:rPr>
              <w:t xml:space="preserve">Indicator primarily aimed at FOA. </w:t>
            </w:r>
          </w:p>
        </w:tc>
        <w:tc>
          <w:tcPr>
            <w:tcW w:w="2210"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74B64B86" w14:textId="77777777">
            <w:pPr>
              <w:rPr>
                <w:bCs/>
                <w:sz w:val="20"/>
                <w:szCs w:val="20"/>
              </w:rPr>
            </w:pPr>
            <w:r w:rsidRPr="008072EB">
              <w:rPr>
                <w:bCs/>
                <w:sz w:val="20"/>
                <w:szCs w:val="20"/>
              </w:rPr>
              <w:t xml:space="preserve">24/25 Milestone: </w:t>
            </w:r>
          </w:p>
          <w:p w:rsidRPr="008072EB" w:rsidR="008072EB" w:rsidP="008072EB" w:rsidRDefault="008072EB" w14:paraId="107C5502" w14:textId="77777777">
            <w:pPr>
              <w:rPr>
                <w:bCs/>
                <w:sz w:val="20"/>
                <w:szCs w:val="20"/>
              </w:rPr>
            </w:pPr>
            <w:r w:rsidRPr="008072EB">
              <w:rPr>
                <w:bCs/>
                <w:sz w:val="20"/>
                <w:szCs w:val="20"/>
              </w:rPr>
              <w:t>Total:0</w:t>
            </w:r>
          </w:p>
          <w:p w:rsidRPr="008072EB" w:rsidR="008072EB" w:rsidP="008072EB" w:rsidRDefault="008072EB" w14:paraId="0CD5F4FD" w14:textId="682E72A4">
            <w:pPr>
              <w:rPr>
                <w:bCs/>
                <w:sz w:val="20"/>
                <w:szCs w:val="20"/>
              </w:rPr>
            </w:pPr>
            <w:r w:rsidRPr="008072EB">
              <w:rPr>
                <w:bCs/>
                <w:sz w:val="20"/>
                <w:szCs w:val="20"/>
              </w:rPr>
              <w:t>ALBs:</w:t>
            </w:r>
            <w:r w:rsidR="00446717">
              <w:rPr>
                <w:bCs/>
                <w:sz w:val="20"/>
                <w:szCs w:val="20"/>
              </w:rPr>
              <w:t xml:space="preserve"> </w:t>
            </w:r>
            <w:r w:rsidRPr="008072EB">
              <w:rPr>
                <w:bCs/>
                <w:sz w:val="20"/>
                <w:szCs w:val="20"/>
              </w:rPr>
              <w:t>N</w:t>
            </w:r>
            <w:r w:rsidR="00446717">
              <w:rPr>
                <w:bCs/>
                <w:sz w:val="20"/>
                <w:szCs w:val="20"/>
              </w:rPr>
              <w:t>/</w:t>
            </w:r>
            <w:r w:rsidRPr="008072EB">
              <w:rPr>
                <w:bCs/>
                <w:sz w:val="20"/>
                <w:szCs w:val="20"/>
              </w:rPr>
              <w:t>A</w:t>
            </w:r>
          </w:p>
          <w:p w:rsidRPr="008072EB" w:rsidR="008072EB" w:rsidP="008072EB" w:rsidRDefault="008072EB" w14:paraId="0724376D" w14:textId="58F0E295">
            <w:pPr>
              <w:rPr>
                <w:bCs/>
                <w:sz w:val="20"/>
                <w:szCs w:val="20"/>
              </w:rPr>
            </w:pPr>
            <w:r w:rsidRPr="008072EB">
              <w:rPr>
                <w:bCs/>
                <w:sz w:val="20"/>
                <w:szCs w:val="20"/>
              </w:rPr>
              <w:t>GOAP:</w:t>
            </w:r>
            <w:r w:rsidR="00446717">
              <w:rPr>
                <w:bCs/>
                <w:sz w:val="20"/>
                <w:szCs w:val="20"/>
              </w:rPr>
              <w:t xml:space="preserve"> </w:t>
            </w:r>
            <w:r w:rsidRPr="008072EB">
              <w:rPr>
                <w:bCs/>
                <w:sz w:val="20"/>
                <w:szCs w:val="20"/>
              </w:rPr>
              <w:t>N</w:t>
            </w:r>
            <w:r w:rsidR="00446717">
              <w:rPr>
                <w:bCs/>
                <w:sz w:val="20"/>
                <w:szCs w:val="20"/>
              </w:rPr>
              <w:t>/</w:t>
            </w:r>
            <w:r w:rsidRPr="008072EB">
              <w:rPr>
                <w:bCs/>
                <w:sz w:val="20"/>
                <w:szCs w:val="20"/>
              </w:rPr>
              <w:t>A</w:t>
            </w:r>
          </w:p>
          <w:p w:rsidRPr="008072EB" w:rsidR="008072EB" w:rsidP="008072EB" w:rsidRDefault="008072EB" w14:paraId="136EF5D7" w14:textId="77777777">
            <w:pPr>
              <w:rPr>
                <w:bCs/>
                <w:sz w:val="20"/>
                <w:szCs w:val="20"/>
              </w:rPr>
            </w:pPr>
          </w:p>
          <w:p w:rsidRPr="008072EB" w:rsidR="008072EB" w:rsidP="008072EB" w:rsidRDefault="008072EB" w14:paraId="22D9F726" w14:textId="77777777">
            <w:pPr>
              <w:rPr>
                <w:bCs/>
                <w:sz w:val="20"/>
                <w:szCs w:val="20"/>
              </w:rPr>
            </w:pPr>
            <w:r w:rsidRPr="008072EB">
              <w:rPr>
                <w:bCs/>
                <w:sz w:val="20"/>
                <w:szCs w:val="20"/>
              </w:rPr>
              <w:t xml:space="preserve">23/24 thresholds </w:t>
            </w:r>
            <w:r w:rsidRPr="008072EB">
              <w:rPr>
                <w:i/>
                <w:iCs/>
                <w:sz w:val="20"/>
                <w:szCs w:val="20"/>
              </w:rPr>
              <w:t>(Cumulative milestones with discrete reporting)</w:t>
            </w:r>
          </w:p>
          <w:p w:rsidRPr="008072EB" w:rsidR="008072EB" w:rsidP="008072EB" w:rsidRDefault="008072EB" w14:paraId="1EEB2F91" w14:textId="77777777">
            <w:pPr>
              <w:rPr>
                <w:bCs/>
                <w:sz w:val="20"/>
                <w:szCs w:val="20"/>
              </w:rPr>
            </w:pPr>
            <w:r w:rsidRPr="008072EB">
              <w:rPr>
                <w:bCs/>
                <w:sz w:val="20"/>
                <w:szCs w:val="20"/>
              </w:rPr>
              <w:t>No Milestone</w:t>
            </w:r>
          </w:p>
          <w:p w:rsidRPr="008072EB" w:rsidR="008072EB" w:rsidP="008072EB" w:rsidRDefault="008072EB" w14:paraId="3F8CA172" w14:textId="77777777">
            <w:pPr>
              <w:rPr>
                <w:bCs/>
                <w:sz w:val="20"/>
                <w:szCs w:val="20"/>
              </w:rPr>
            </w:pPr>
          </w:p>
        </w:tc>
        <w:tc>
          <w:tcPr>
            <w:tcW w:w="3530"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111A6F1B" w14:textId="77777777">
            <w:pPr>
              <w:rPr>
                <w:sz w:val="20"/>
                <w:szCs w:val="20"/>
              </w:rPr>
            </w:pPr>
            <w:r w:rsidRPr="008072EB">
              <w:rPr>
                <w:sz w:val="20"/>
                <w:szCs w:val="20"/>
              </w:rPr>
              <w:t>Overall: 8, A</w:t>
            </w:r>
          </w:p>
          <w:p w:rsidRPr="008072EB" w:rsidR="008072EB" w:rsidP="008072EB" w:rsidRDefault="008072EB" w14:paraId="3E25065F" w14:textId="77777777">
            <w:pPr>
              <w:rPr>
                <w:sz w:val="20"/>
                <w:szCs w:val="20"/>
              </w:rPr>
            </w:pPr>
          </w:p>
          <w:p w:rsidRPr="008072EB" w:rsidR="008072EB" w:rsidP="008072EB" w:rsidRDefault="008072EB" w14:paraId="2D7240C1" w14:textId="77777777">
            <w:pPr>
              <w:rPr>
                <w:sz w:val="20"/>
                <w:szCs w:val="20"/>
              </w:rPr>
            </w:pPr>
            <w:r w:rsidRPr="008072EB">
              <w:rPr>
                <w:sz w:val="20"/>
                <w:szCs w:val="20"/>
              </w:rPr>
              <w:t>ALB progress: 6</w:t>
            </w:r>
          </w:p>
          <w:p w:rsidRPr="008072EB" w:rsidR="008072EB" w:rsidP="008072EB" w:rsidRDefault="008072EB" w14:paraId="132B0894" w14:textId="2C314246">
            <w:pPr>
              <w:rPr>
                <w:sz w:val="20"/>
                <w:szCs w:val="20"/>
              </w:rPr>
            </w:pPr>
            <w:r w:rsidRPr="008072EB">
              <w:rPr>
                <w:sz w:val="20"/>
                <w:szCs w:val="20"/>
              </w:rPr>
              <w:t>GOAP progress: N</w:t>
            </w:r>
            <w:r w:rsidR="00446717">
              <w:rPr>
                <w:sz w:val="20"/>
                <w:szCs w:val="20"/>
              </w:rPr>
              <w:t>/</w:t>
            </w:r>
            <w:r w:rsidRPr="008072EB">
              <w:rPr>
                <w:sz w:val="20"/>
                <w:szCs w:val="20"/>
              </w:rPr>
              <w:t>A</w:t>
            </w:r>
          </w:p>
          <w:p w:rsidRPr="008072EB" w:rsidR="008072EB" w:rsidP="008072EB" w:rsidRDefault="008072EB" w14:paraId="74F4CEC8" w14:textId="77777777">
            <w:pPr>
              <w:rPr>
                <w:sz w:val="20"/>
                <w:szCs w:val="20"/>
              </w:rPr>
            </w:pPr>
            <w:r w:rsidRPr="008072EB">
              <w:rPr>
                <w:sz w:val="20"/>
                <w:szCs w:val="20"/>
              </w:rPr>
              <w:t>FOA progress: 2</w:t>
            </w:r>
          </w:p>
          <w:p w:rsidRPr="008072EB" w:rsidR="008072EB" w:rsidP="008072EB" w:rsidRDefault="008072EB" w14:paraId="6EADD79F" w14:textId="77777777">
            <w:pPr>
              <w:rPr>
                <w:sz w:val="20"/>
                <w:szCs w:val="20"/>
              </w:rPr>
            </w:pPr>
          </w:p>
          <w:p w:rsidRPr="008072EB" w:rsidR="008072EB" w:rsidP="008072EB" w:rsidRDefault="008072EB" w14:paraId="1E35F077" w14:textId="77777777">
            <w:pPr>
              <w:rPr>
                <w:sz w:val="20"/>
                <w:szCs w:val="20"/>
              </w:rPr>
            </w:pPr>
          </w:p>
          <w:p w:rsidRPr="008072EB" w:rsidR="008072EB" w:rsidP="008072EB" w:rsidRDefault="008072EB" w14:paraId="1656C8E5" w14:textId="77777777">
            <w:pPr>
              <w:rPr>
                <w:sz w:val="20"/>
                <w:szCs w:val="20"/>
              </w:rPr>
            </w:pPr>
          </w:p>
        </w:tc>
      </w:tr>
      <w:tr w:rsidRPr="008072EB" w:rsidR="008072EB" w:rsidTr="2C6B85DE" w14:paraId="66B128B0" w14:textId="77777777">
        <w:trPr>
          <w:trHeight w:val="229"/>
        </w:trPr>
        <w:tc>
          <w:tcPr>
            <w:tcW w:w="1362"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49BD8C5F" w14:textId="77777777">
            <w:pPr>
              <w:rPr>
                <w:bCs/>
                <w:sz w:val="20"/>
                <w:szCs w:val="20"/>
              </w:rPr>
            </w:pPr>
            <w:r w:rsidRPr="008072EB">
              <w:rPr>
                <w:bCs/>
                <w:sz w:val="20"/>
                <w:szCs w:val="20"/>
              </w:rPr>
              <w:t>4.3</w:t>
            </w:r>
          </w:p>
        </w:tc>
        <w:tc>
          <w:tcPr>
            <w:tcW w:w="2207"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07BEEAF0" w14:textId="77777777">
            <w:pPr>
              <w:rPr>
                <w:bCs/>
                <w:sz w:val="20"/>
                <w:szCs w:val="20"/>
              </w:rPr>
            </w:pPr>
            <w:r w:rsidRPr="008072EB">
              <w:rPr>
                <w:bCs/>
                <w:sz w:val="20"/>
                <w:szCs w:val="20"/>
              </w:rPr>
              <w:t>Number of in-country coalitions, governance structures, networks or task forces established, engaged or strengthened</w:t>
            </w:r>
          </w:p>
        </w:tc>
        <w:tc>
          <w:tcPr>
            <w:tcW w:w="2210"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4247A52C" w14:textId="77777777">
            <w:pPr>
              <w:rPr>
                <w:bCs/>
                <w:sz w:val="20"/>
                <w:szCs w:val="20"/>
              </w:rPr>
            </w:pPr>
            <w:r w:rsidRPr="008072EB">
              <w:rPr>
                <w:bCs/>
                <w:sz w:val="20"/>
                <w:szCs w:val="20"/>
              </w:rPr>
              <w:t xml:space="preserve">24/25 Milestone: </w:t>
            </w:r>
          </w:p>
          <w:p w:rsidRPr="008072EB" w:rsidR="008072EB" w:rsidP="008072EB" w:rsidRDefault="008072EB" w14:paraId="5198545D" w14:textId="77777777">
            <w:pPr>
              <w:rPr>
                <w:bCs/>
                <w:sz w:val="20"/>
                <w:szCs w:val="20"/>
              </w:rPr>
            </w:pPr>
            <w:r w:rsidRPr="008072EB">
              <w:rPr>
                <w:bCs/>
                <w:sz w:val="20"/>
                <w:szCs w:val="20"/>
              </w:rPr>
              <w:t>Total:18</w:t>
            </w:r>
          </w:p>
          <w:p w:rsidRPr="008072EB" w:rsidR="008072EB" w:rsidP="008072EB" w:rsidRDefault="008072EB" w14:paraId="5BE94348" w14:textId="77777777">
            <w:pPr>
              <w:rPr>
                <w:bCs/>
                <w:sz w:val="20"/>
                <w:szCs w:val="20"/>
              </w:rPr>
            </w:pPr>
            <w:r w:rsidRPr="008072EB">
              <w:rPr>
                <w:bCs/>
                <w:sz w:val="20"/>
                <w:szCs w:val="20"/>
              </w:rPr>
              <w:t>ALBs:10</w:t>
            </w:r>
          </w:p>
          <w:p w:rsidRPr="008072EB" w:rsidR="008072EB" w:rsidP="008072EB" w:rsidRDefault="008072EB" w14:paraId="1EC716A5" w14:textId="77777777">
            <w:pPr>
              <w:rPr>
                <w:bCs/>
                <w:sz w:val="20"/>
                <w:szCs w:val="20"/>
              </w:rPr>
            </w:pPr>
            <w:r w:rsidRPr="008072EB">
              <w:rPr>
                <w:bCs/>
                <w:sz w:val="20"/>
                <w:szCs w:val="20"/>
              </w:rPr>
              <w:t>GOAP:8</w:t>
            </w:r>
          </w:p>
          <w:p w:rsidRPr="008072EB" w:rsidR="008072EB" w:rsidP="008072EB" w:rsidRDefault="008072EB" w14:paraId="56BC8A96" w14:textId="77777777">
            <w:pPr>
              <w:rPr>
                <w:bCs/>
                <w:sz w:val="20"/>
                <w:szCs w:val="20"/>
              </w:rPr>
            </w:pPr>
          </w:p>
          <w:p w:rsidRPr="008072EB" w:rsidR="008072EB" w:rsidP="008072EB" w:rsidRDefault="008072EB" w14:paraId="1A1D83BF" w14:textId="77777777">
            <w:pPr>
              <w:rPr>
                <w:bCs/>
                <w:sz w:val="20"/>
                <w:szCs w:val="20"/>
              </w:rPr>
            </w:pPr>
            <w:r w:rsidRPr="008072EB">
              <w:rPr>
                <w:bCs/>
                <w:sz w:val="20"/>
                <w:szCs w:val="20"/>
              </w:rPr>
              <w:t xml:space="preserve">23/24 thresholds </w:t>
            </w:r>
            <w:r w:rsidRPr="008072EB">
              <w:rPr>
                <w:i/>
                <w:iCs/>
                <w:sz w:val="20"/>
                <w:szCs w:val="20"/>
              </w:rPr>
              <w:t>(Cumulative milestones with year-on-year overlap)</w:t>
            </w:r>
          </w:p>
          <w:p w:rsidRPr="008072EB" w:rsidR="008072EB" w:rsidP="008072EB" w:rsidRDefault="008072EB" w14:paraId="7953F566" w14:textId="77777777">
            <w:pPr>
              <w:rPr>
                <w:bCs/>
                <w:sz w:val="20"/>
                <w:szCs w:val="20"/>
              </w:rPr>
            </w:pPr>
            <w:r w:rsidRPr="008072EB">
              <w:rPr>
                <w:bCs/>
                <w:sz w:val="20"/>
                <w:szCs w:val="20"/>
              </w:rPr>
              <w:t>60% (A): 10.8</w:t>
            </w:r>
          </w:p>
          <w:p w:rsidRPr="008072EB" w:rsidR="008072EB" w:rsidP="008072EB" w:rsidRDefault="008072EB" w14:paraId="24FA410B" w14:textId="77777777">
            <w:pPr>
              <w:rPr>
                <w:bCs/>
                <w:sz w:val="20"/>
                <w:szCs w:val="20"/>
              </w:rPr>
            </w:pPr>
            <w:r w:rsidRPr="008072EB">
              <w:rPr>
                <w:bCs/>
                <w:sz w:val="20"/>
                <w:szCs w:val="20"/>
              </w:rPr>
              <w:t>50% (B): 9</w:t>
            </w:r>
          </w:p>
          <w:p w:rsidRPr="008072EB" w:rsidR="008072EB" w:rsidP="008072EB" w:rsidRDefault="008072EB" w14:paraId="2F9E078F" w14:textId="77777777">
            <w:pPr>
              <w:rPr>
                <w:bCs/>
                <w:sz w:val="20"/>
                <w:szCs w:val="20"/>
              </w:rPr>
            </w:pPr>
            <w:r w:rsidRPr="008072EB">
              <w:rPr>
                <w:bCs/>
                <w:sz w:val="20"/>
                <w:szCs w:val="20"/>
              </w:rPr>
              <w:t>&lt;50% (C)</w:t>
            </w:r>
          </w:p>
          <w:p w:rsidRPr="008072EB" w:rsidR="008072EB" w:rsidP="008072EB" w:rsidRDefault="008072EB" w14:paraId="5C94B424" w14:textId="77777777">
            <w:pPr>
              <w:rPr>
                <w:bCs/>
                <w:sz w:val="20"/>
                <w:szCs w:val="20"/>
              </w:rPr>
            </w:pPr>
          </w:p>
        </w:tc>
        <w:tc>
          <w:tcPr>
            <w:tcW w:w="3530"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4FCFB5F3" w14:textId="77777777">
            <w:pPr>
              <w:rPr>
                <w:sz w:val="20"/>
                <w:szCs w:val="20"/>
              </w:rPr>
            </w:pPr>
            <w:r w:rsidRPr="008072EB">
              <w:rPr>
                <w:sz w:val="20"/>
                <w:szCs w:val="20"/>
              </w:rPr>
              <w:t>Overall: 28, A</w:t>
            </w:r>
          </w:p>
          <w:p w:rsidRPr="008072EB" w:rsidR="008072EB" w:rsidP="008072EB" w:rsidRDefault="008072EB" w14:paraId="6E840231" w14:textId="77777777">
            <w:pPr>
              <w:rPr>
                <w:sz w:val="20"/>
                <w:szCs w:val="20"/>
              </w:rPr>
            </w:pPr>
          </w:p>
          <w:p w:rsidRPr="008072EB" w:rsidR="008072EB" w:rsidP="008072EB" w:rsidRDefault="008072EB" w14:paraId="5955069D" w14:textId="77777777">
            <w:pPr>
              <w:rPr>
                <w:sz w:val="20"/>
                <w:szCs w:val="20"/>
              </w:rPr>
            </w:pPr>
            <w:r w:rsidRPr="008072EB">
              <w:rPr>
                <w:sz w:val="20"/>
                <w:szCs w:val="20"/>
              </w:rPr>
              <w:t>ALB progress: 9</w:t>
            </w:r>
          </w:p>
          <w:p w:rsidRPr="008072EB" w:rsidR="008072EB" w:rsidP="008072EB" w:rsidRDefault="008072EB" w14:paraId="2DEB95C5" w14:textId="77777777">
            <w:pPr>
              <w:rPr>
                <w:sz w:val="20"/>
                <w:szCs w:val="20"/>
              </w:rPr>
            </w:pPr>
            <w:r w:rsidRPr="008072EB">
              <w:rPr>
                <w:sz w:val="20"/>
                <w:szCs w:val="20"/>
              </w:rPr>
              <w:t>GOAP progress: 13</w:t>
            </w:r>
          </w:p>
          <w:p w:rsidRPr="008072EB" w:rsidR="008072EB" w:rsidP="008072EB" w:rsidRDefault="008072EB" w14:paraId="41DD6D26" w14:textId="77777777">
            <w:pPr>
              <w:rPr>
                <w:sz w:val="20"/>
                <w:szCs w:val="20"/>
              </w:rPr>
            </w:pPr>
            <w:r w:rsidRPr="008072EB">
              <w:rPr>
                <w:sz w:val="20"/>
                <w:szCs w:val="20"/>
              </w:rPr>
              <w:t>FOA progress: 6</w:t>
            </w:r>
          </w:p>
        </w:tc>
      </w:tr>
    </w:tbl>
    <w:p w:rsidRPr="008072EB" w:rsidR="008072EB" w:rsidP="008072EB" w:rsidRDefault="008072EB" w14:paraId="3572D8A1" w14:textId="77777777">
      <w:pPr>
        <w:jc w:val="both"/>
        <w:rPr>
          <w:rFonts w:cs="Arial"/>
          <w:b/>
          <w:bCs/>
          <w:sz w:val="22"/>
          <w:szCs w:val="22"/>
        </w:rPr>
      </w:pPr>
    </w:p>
    <w:p w:rsidRPr="008072EB" w:rsidR="008072EB" w:rsidP="008072EB" w:rsidRDefault="008072EB" w14:paraId="11ED7986" w14:textId="77777777">
      <w:pPr>
        <w:jc w:val="both"/>
        <w:rPr>
          <w:rFonts w:cs="Arial"/>
          <w:i/>
          <w:iCs/>
          <w:sz w:val="22"/>
          <w:szCs w:val="22"/>
        </w:rPr>
      </w:pPr>
      <w:r w:rsidRPr="008072EB">
        <w:rPr>
          <w:rFonts w:cs="Arial"/>
          <w:i/>
          <w:iCs/>
          <w:sz w:val="22"/>
          <w:szCs w:val="22"/>
        </w:rPr>
        <w:t>Note: 23/24 reporting for FOA is taken from phase 3 plans and reporting. Milestones for FOA were not set for 24/25 because of pending funding decisions.</w:t>
      </w:r>
    </w:p>
    <w:p w:rsidRPr="008072EB" w:rsidR="008072EB" w:rsidP="008072EB" w:rsidRDefault="008072EB" w14:paraId="5E5BC5C5" w14:textId="77777777">
      <w:pPr>
        <w:jc w:val="both"/>
        <w:rPr>
          <w:rFonts w:cs="Arial"/>
          <w:b/>
          <w:bCs/>
          <w:sz w:val="22"/>
          <w:szCs w:val="22"/>
        </w:rPr>
      </w:pPr>
    </w:p>
    <w:p w:rsidRPr="008072EB" w:rsidR="008072EB" w:rsidP="008072EB" w:rsidRDefault="008072EB" w14:paraId="01BF0A56" w14:textId="5D2385A3">
      <w:pPr>
        <w:jc w:val="both"/>
        <w:rPr>
          <w:rFonts w:cs="Arial"/>
          <w:b/>
          <w:bCs/>
          <w:sz w:val="22"/>
          <w:szCs w:val="22"/>
        </w:rPr>
      </w:pPr>
      <w:r w:rsidRPr="008072EB">
        <w:rPr>
          <w:rFonts w:cs="Arial"/>
          <w:b/>
          <w:bCs/>
          <w:sz w:val="22"/>
          <w:szCs w:val="22"/>
        </w:rPr>
        <w:t xml:space="preserve">C1. Briefly describe the output’s </w:t>
      </w:r>
      <w:r w:rsidRPr="008072EB" w:rsidR="009E70EF">
        <w:rPr>
          <w:rFonts w:cs="Arial"/>
          <w:b/>
          <w:bCs/>
          <w:sz w:val="22"/>
          <w:szCs w:val="22"/>
        </w:rPr>
        <w:t>activities and</w:t>
      </w:r>
      <w:r w:rsidRPr="008072EB">
        <w:rPr>
          <w:rFonts w:cs="Arial"/>
          <w:b/>
          <w:bCs/>
          <w:sz w:val="22"/>
          <w:szCs w:val="22"/>
        </w:rPr>
        <w:t xml:space="preserve"> provide supporting narrative for the score.</w:t>
      </w:r>
      <w:r w:rsidRPr="008072EB">
        <w:rPr>
          <w:rFonts w:cs="Arial"/>
          <w:sz w:val="22"/>
          <w:szCs w:val="22"/>
        </w:rPr>
        <w:t xml:space="preserve"> </w:t>
      </w:r>
    </w:p>
    <w:p w:rsidRPr="008072EB" w:rsidR="008072EB" w:rsidP="008072EB" w:rsidRDefault="008072EB" w14:paraId="0595AACC" w14:textId="77777777">
      <w:pPr>
        <w:jc w:val="both"/>
        <w:rPr>
          <w:rFonts w:cs="Arial"/>
          <w:bCs/>
          <w:sz w:val="20"/>
          <w:szCs w:val="22"/>
        </w:rPr>
      </w:pPr>
    </w:p>
    <w:p w:rsidRPr="008072EB" w:rsidR="008072EB" w:rsidP="008072EB" w:rsidRDefault="008072EB" w14:paraId="59C5F993" w14:textId="7F9E47AC">
      <w:pPr>
        <w:rPr>
          <w:sz w:val="22"/>
          <w:szCs w:val="22"/>
        </w:rPr>
      </w:pPr>
      <w:r w:rsidRPr="1FB22237">
        <w:rPr>
          <w:rFonts w:cs="Arial"/>
          <w:sz w:val="22"/>
          <w:szCs w:val="22"/>
        </w:rPr>
        <w:t>Output 4 and associated indicators seek to monitor active ocean-science related knowledge networks and partnerships (either UK – partner country or in-country coalitions) developed or supported by OCPP activities.</w:t>
      </w:r>
      <w:r w:rsidRPr="1FB22237">
        <w:rPr>
          <w:sz w:val="22"/>
          <w:szCs w:val="22"/>
        </w:rPr>
        <w:t xml:space="preserve"> The programme has scored A in indicators 4.1, 4.2 and 4.3. Overall, output 4 has scored an A.</w:t>
      </w:r>
      <w:r w:rsidRPr="1FB22237" w:rsidR="00632A00">
        <w:rPr>
          <w:sz w:val="22"/>
          <w:szCs w:val="22"/>
        </w:rPr>
        <w:t xml:space="preserve"> While originally this indicator was created to capture results specific to FOA and GOAP, the bilateral programme delivered 19 total outputs across all three indicators within Output 4, which is much greater than originally anticipated.</w:t>
      </w:r>
    </w:p>
    <w:p w:rsidRPr="008072EB" w:rsidR="008072EB" w:rsidP="008072EB" w:rsidRDefault="008072EB" w14:paraId="1B044F5A" w14:textId="77777777">
      <w:pPr>
        <w:rPr>
          <w:sz w:val="22"/>
          <w:szCs w:val="22"/>
        </w:rPr>
      </w:pPr>
    </w:p>
    <w:p w:rsidR="008072EB" w:rsidP="008072EB" w:rsidRDefault="008072EB" w14:paraId="2CDBFB9D" w14:textId="493053A8">
      <w:pPr>
        <w:rPr>
          <w:rFonts w:cs="Arial"/>
          <w:b/>
          <w:bCs/>
          <w:sz w:val="22"/>
          <w:szCs w:val="22"/>
        </w:rPr>
      </w:pPr>
      <w:r w:rsidRPr="1FB22237">
        <w:rPr>
          <w:b/>
          <w:bCs/>
          <w:sz w:val="22"/>
          <w:szCs w:val="22"/>
        </w:rPr>
        <w:t xml:space="preserve">4.1 – A. </w:t>
      </w:r>
      <w:r w:rsidRPr="1FB22237">
        <w:rPr>
          <w:sz w:val="22"/>
          <w:szCs w:val="22"/>
        </w:rPr>
        <w:t>This indicator measures the number MoUs or similar agreement between OCPP and partner country stakeholders signed.</w:t>
      </w:r>
      <w:r w:rsidRPr="1FB22237">
        <w:rPr>
          <w:rFonts w:cs="Arial"/>
          <w:sz w:val="22"/>
          <w:szCs w:val="22"/>
        </w:rPr>
        <w:t xml:space="preserve"> ALB partners reported </w:t>
      </w:r>
      <w:r w:rsidR="00324E65">
        <w:rPr>
          <w:rFonts w:cs="Arial"/>
          <w:sz w:val="22"/>
          <w:szCs w:val="22"/>
        </w:rPr>
        <w:t>four</w:t>
      </w:r>
      <w:r w:rsidRPr="1FB22237">
        <w:rPr>
          <w:rFonts w:cs="Arial"/>
          <w:sz w:val="22"/>
          <w:szCs w:val="22"/>
        </w:rPr>
        <w:t xml:space="preserve">, GOAP </w:t>
      </w:r>
      <w:r w:rsidR="00324E65">
        <w:rPr>
          <w:rFonts w:cs="Arial"/>
          <w:sz w:val="22"/>
          <w:szCs w:val="22"/>
        </w:rPr>
        <w:t>nine</w:t>
      </w:r>
      <w:r w:rsidRPr="1FB22237">
        <w:rPr>
          <w:rFonts w:cs="Arial"/>
          <w:sz w:val="22"/>
          <w:szCs w:val="22"/>
        </w:rPr>
        <w:t xml:space="preserve"> and FOA </w:t>
      </w:r>
      <w:r w:rsidR="00324E65">
        <w:rPr>
          <w:rFonts w:cs="Arial"/>
          <w:sz w:val="22"/>
          <w:szCs w:val="22"/>
        </w:rPr>
        <w:t>one</w:t>
      </w:r>
      <w:r w:rsidRPr="1FB22237">
        <w:rPr>
          <w:rFonts w:cs="Arial"/>
          <w:sz w:val="22"/>
          <w:szCs w:val="22"/>
        </w:rPr>
        <w:t>. The total reported is 14.</w:t>
      </w:r>
      <w:r w:rsidRPr="1FB22237" w:rsidR="005A5832">
        <w:rPr>
          <w:rFonts w:cs="Arial"/>
          <w:sz w:val="22"/>
          <w:szCs w:val="22"/>
        </w:rPr>
        <w:t xml:space="preserve"> </w:t>
      </w:r>
      <w:r w:rsidRPr="1FB22237" w:rsidR="008708C1">
        <w:rPr>
          <w:rFonts w:cs="Arial"/>
          <w:sz w:val="22"/>
          <w:szCs w:val="22"/>
        </w:rPr>
        <w:t xml:space="preserve">GOAP exceeded their milestones by establishing </w:t>
      </w:r>
      <w:r w:rsidR="001A195A">
        <w:rPr>
          <w:rFonts w:cs="Arial"/>
          <w:sz w:val="22"/>
          <w:szCs w:val="22"/>
        </w:rPr>
        <w:t>nine</w:t>
      </w:r>
      <w:r w:rsidRPr="1FB22237" w:rsidR="008708C1">
        <w:rPr>
          <w:rFonts w:cs="Arial"/>
          <w:sz w:val="22"/>
          <w:szCs w:val="22"/>
        </w:rPr>
        <w:t xml:space="preserve"> new similar agreements with partner countries, including </w:t>
      </w:r>
      <w:r w:rsidR="00324E65">
        <w:rPr>
          <w:rFonts w:cs="Arial"/>
          <w:sz w:val="22"/>
          <w:szCs w:val="22"/>
        </w:rPr>
        <w:t>four</w:t>
      </w:r>
      <w:r w:rsidRPr="1FB22237" w:rsidR="008708C1">
        <w:rPr>
          <w:rFonts w:cs="Arial"/>
          <w:sz w:val="22"/>
          <w:szCs w:val="22"/>
        </w:rPr>
        <w:t xml:space="preserve"> partnership agreements with globally based partners: Plymouth Marine Laboratory; Norwegian Institute for Water Research; Ocean Policy Research Institute of the Sasakawa Peace Foundation; and International Coral Reef Initiative.</w:t>
      </w:r>
    </w:p>
    <w:p w:rsidRPr="008072EB" w:rsidR="008708C1" w:rsidP="008072EB" w:rsidRDefault="008708C1" w14:paraId="7B6C0415" w14:textId="77777777">
      <w:pPr>
        <w:rPr>
          <w:rFonts w:cs="Arial"/>
          <w:b/>
          <w:bCs/>
          <w:sz w:val="22"/>
          <w:szCs w:val="22"/>
        </w:rPr>
      </w:pPr>
    </w:p>
    <w:p w:rsidRPr="0091612C" w:rsidR="0091612C" w:rsidP="0091612C" w:rsidRDefault="008072EB" w14:paraId="6584E707" w14:textId="10A5152C">
      <w:pPr>
        <w:rPr>
          <w:sz w:val="22"/>
          <w:szCs w:val="22"/>
        </w:rPr>
      </w:pPr>
      <w:r w:rsidRPr="2D4AB74E">
        <w:rPr>
          <w:b/>
          <w:bCs/>
          <w:sz w:val="22"/>
          <w:szCs w:val="22"/>
        </w:rPr>
        <w:t xml:space="preserve">4.2 – A. </w:t>
      </w:r>
      <w:r w:rsidRPr="2D4AB74E">
        <w:rPr>
          <w:sz w:val="22"/>
          <w:szCs w:val="22"/>
        </w:rPr>
        <w:t xml:space="preserve">This indicator measures the number of public- private sector partnerships or business clusters mobilised. </w:t>
      </w:r>
      <w:r w:rsidRPr="2D4AB74E" w:rsidR="317705C1">
        <w:rPr>
          <w:sz w:val="22"/>
          <w:szCs w:val="22"/>
        </w:rPr>
        <w:t xml:space="preserve">For the purposes of this indicator, mobilised was defined as a formal (written) agreement or commitments and declarations on shared objectives (that align with OCPPs objectives) and plan for action is in place </w:t>
      </w:r>
      <w:r w:rsidRPr="2D4AB74E" w:rsidR="4751C859">
        <w:rPr>
          <w:sz w:val="22"/>
          <w:szCs w:val="22"/>
        </w:rPr>
        <w:t>because of</w:t>
      </w:r>
      <w:r w:rsidRPr="2D4AB74E" w:rsidR="317705C1">
        <w:rPr>
          <w:sz w:val="22"/>
          <w:szCs w:val="22"/>
        </w:rPr>
        <w:t xml:space="preserve"> OCPP support and engagement</w:t>
      </w:r>
      <w:r w:rsidRPr="2D4AB74E" w:rsidR="47A02A93">
        <w:rPr>
          <w:sz w:val="22"/>
          <w:szCs w:val="22"/>
        </w:rPr>
        <w:t xml:space="preserve">. ALBs did not set milestones for indicator </w:t>
      </w:r>
      <w:r w:rsidRPr="2D4AB74E" w:rsidR="3EF0FD5A">
        <w:rPr>
          <w:sz w:val="22"/>
          <w:szCs w:val="22"/>
        </w:rPr>
        <w:t>4.2 but</w:t>
      </w:r>
      <w:r w:rsidRPr="2D4AB74E" w:rsidR="47A02A93">
        <w:rPr>
          <w:sz w:val="22"/>
          <w:szCs w:val="22"/>
        </w:rPr>
        <w:t xml:space="preserve"> have achieved </w:t>
      </w:r>
      <w:r w:rsidR="000851BA">
        <w:rPr>
          <w:sz w:val="22"/>
          <w:szCs w:val="22"/>
        </w:rPr>
        <w:t>six</w:t>
      </w:r>
      <w:r w:rsidRPr="2D4AB74E" w:rsidR="47A02A93">
        <w:rPr>
          <w:sz w:val="22"/>
          <w:szCs w:val="22"/>
        </w:rPr>
        <w:t xml:space="preserve"> public-private sector partnerships in this reporting period and FOA </w:t>
      </w:r>
      <w:r w:rsidR="000851BA">
        <w:rPr>
          <w:sz w:val="22"/>
          <w:szCs w:val="22"/>
        </w:rPr>
        <w:t>two</w:t>
      </w:r>
      <w:r w:rsidRPr="2D4AB74E" w:rsidR="47A02A93">
        <w:rPr>
          <w:sz w:val="22"/>
          <w:szCs w:val="22"/>
        </w:rPr>
        <w:t xml:space="preserve">. This indicator is not relevant for GOAP. The total reported is </w:t>
      </w:r>
      <w:r w:rsidR="001A195A">
        <w:rPr>
          <w:sz w:val="22"/>
          <w:szCs w:val="22"/>
        </w:rPr>
        <w:t>eight</w:t>
      </w:r>
      <w:r w:rsidRPr="2D4AB74E" w:rsidR="7C072CD1">
        <w:rPr>
          <w:sz w:val="22"/>
          <w:szCs w:val="22"/>
        </w:rPr>
        <w:t>.</w:t>
      </w:r>
      <w:r w:rsidRPr="2D4AB74E" w:rsidR="47A02A93">
        <w:rPr>
          <w:sz w:val="22"/>
          <w:szCs w:val="22"/>
        </w:rPr>
        <w:t xml:space="preserve"> The ALBs in Belize established a private-public partnership with the Belize Recyclers and Waste Management Association. FOA established the Namibian Ocean Cluster which formally commits stakeholders to minimizing waste and maximizing socio-economic value from the fish harvested in the local fisheries sector. The founding members comprise leading Marine Stewardship Council (MSC) certified hake fishing companies, including Embwinda, Hangana, Merlus, Novanam, Pereira, and Seawork. The initiative aligns with the global ‘100% fish’ movement</w:t>
      </w:r>
      <w:r w:rsidR="00260EA9">
        <w:rPr>
          <w:rStyle w:val="FootnoteReference"/>
          <w:sz w:val="22"/>
          <w:szCs w:val="22"/>
        </w:rPr>
        <w:footnoteReference w:id="6"/>
      </w:r>
      <w:r w:rsidRPr="2D4AB74E" w:rsidR="47A02A93">
        <w:rPr>
          <w:sz w:val="22"/>
          <w:szCs w:val="22"/>
        </w:rPr>
        <w:t>, initiated in Iceland</w:t>
      </w:r>
      <w:r w:rsidRPr="2D4AB74E" w:rsidR="730637DB">
        <w:rPr>
          <w:sz w:val="22"/>
          <w:szCs w:val="22"/>
        </w:rPr>
        <w:t>,</w:t>
      </w:r>
      <w:r w:rsidRPr="2D4AB74E" w:rsidR="47A02A93">
        <w:rPr>
          <w:sz w:val="22"/>
          <w:szCs w:val="22"/>
        </w:rPr>
        <w:t xml:space="preserve"> and also present in Alaska, New England, and Denmark. </w:t>
      </w:r>
    </w:p>
    <w:p w:rsidRPr="008072EB" w:rsidR="008072EB" w:rsidP="008072EB" w:rsidRDefault="008072EB" w14:paraId="4284435E" w14:textId="77777777">
      <w:pPr>
        <w:rPr>
          <w:rFonts w:cs="Arial"/>
          <w:sz w:val="22"/>
          <w:szCs w:val="22"/>
        </w:rPr>
      </w:pPr>
    </w:p>
    <w:p w:rsidRPr="008072EB" w:rsidR="008072EB" w:rsidP="008072EB" w:rsidRDefault="008072EB" w14:paraId="67194902" w14:textId="40107316">
      <w:pPr>
        <w:rPr>
          <w:rFonts w:cs="Arial"/>
          <w:sz w:val="22"/>
          <w:szCs w:val="22"/>
        </w:rPr>
      </w:pPr>
      <w:r w:rsidRPr="008072EB">
        <w:rPr>
          <w:b/>
          <w:bCs/>
          <w:sz w:val="22"/>
          <w:szCs w:val="22"/>
        </w:rPr>
        <w:t xml:space="preserve">4.3 – A. </w:t>
      </w:r>
      <w:r w:rsidRPr="008072EB">
        <w:rPr>
          <w:sz w:val="22"/>
          <w:szCs w:val="22"/>
        </w:rPr>
        <w:t xml:space="preserve">This indicator measures </w:t>
      </w:r>
      <w:r w:rsidRPr="008072EB">
        <w:rPr>
          <w:bCs/>
          <w:sz w:val="22"/>
          <w:szCs w:val="22"/>
        </w:rPr>
        <w:t xml:space="preserve">the number of in-country coalitions, governance structures, networks or task forces established, </w:t>
      </w:r>
      <w:r w:rsidRPr="008072EB" w:rsidR="0010242F">
        <w:rPr>
          <w:bCs/>
          <w:sz w:val="22"/>
          <w:szCs w:val="22"/>
        </w:rPr>
        <w:t>engaged or</w:t>
      </w:r>
      <w:r w:rsidRPr="008072EB">
        <w:rPr>
          <w:bCs/>
          <w:sz w:val="22"/>
          <w:szCs w:val="22"/>
        </w:rPr>
        <w:t xml:space="preserve"> strengthened</w:t>
      </w:r>
      <w:r w:rsidRPr="008072EB">
        <w:rPr>
          <w:rFonts w:cs="Arial"/>
          <w:sz w:val="22"/>
          <w:szCs w:val="22"/>
        </w:rPr>
        <w:t xml:space="preserve">. ALB partners reported </w:t>
      </w:r>
      <w:r w:rsidR="008360D3">
        <w:rPr>
          <w:rFonts w:cs="Arial"/>
          <w:sz w:val="22"/>
          <w:szCs w:val="22"/>
        </w:rPr>
        <w:t>nine</w:t>
      </w:r>
      <w:r w:rsidRPr="008072EB">
        <w:rPr>
          <w:rFonts w:cs="Arial"/>
          <w:sz w:val="22"/>
          <w:szCs w:val="22"/>
        </w:rPr>
        <w:t xml:space="preserve">, GOAP 13 and FOA </w:t>
      </w:r>
      <w:r w:rsidR="008360D3">
        <w:rPr>
          <w:rFonts w:cs="Arial"/>
          <w:sz w:val="22"/>
          <w:szCs w:val="22"/>
        </w:rPr>
        <w:t>six</w:t>
      </w:r>
      <w:r w:rsidRPr="008072EB">
        <w:rPr>
          <w:rFonts w:cs="Arial"/>
          <w:sz w:val="22"/>
          <w:szCs w:val="22"/>
        </w:rPr>
        <w:t xml:space="preserve">. The total reported is 28. </w:t>
      </w:r>
      <w:r w:rsidRPr="00C75987" w:rsidR="00C75987">
        <w:rPr>
          <w:rFonts w:cs="Arial"/>
          <w:sz w:val="22"/>
          <w:szCs w:val="22"/>
        </w:rPr>
        <w:t xml:space="preserve">For example, the bilateral programme in Senegal has re-established a Marine Spatial Planning (MSP) Working Group with 21 in-country stakeholders, including government ministries and technical and financial partners. The </w:t>
      </w:r>
      <w:r w:rsidR="00965D03">
        <w:rPr>
          <w:rFonts w:cs="Arial"/>
          <w:sz w:val="22"/>
          <w:szCs w:val="22"/>
        </w:rPr>
        <w:t>bilateral programme</w:t>
      </w:r>
      <w:r w:rsidRPr="00C75987" w:rsidR="00C75987">
        <w:rPr>
          <w:rFonts w:cs="Arial"/>
          <w:sz w:val="22"/>
          <w:szCs w:val="22"/>
        </w:rPr>
        <w:t xml:space="preserve"> in Belize established an Experts Assessment Group for the Green Listing task force; and strengthened a Sargassum task force. </w:t>
      </w:r>
      <w:r w:rsidR="00965D03">
        <w:rPr>
          <w:rFonts w:cs="Arial"/>
          <w:sz w:val="22"/>
          <w:szCs w:val="22"/>
        </w:rPr>
        <w:t>GOAP</w:t>
      </w:r>
      <w:r w:rsidRPr="00C75987" w:rsidR="00C75987">
        <w:rPr>
          <w:rFonts w:cs="Arial"/>
          <w:sz w:val="22"/>
          <w:szCs w:val="22"/>
        </w:rPr>
        <w:t xml:space="preserve"> established a Community Fisheries Counsels (CCPs) Network of Inhambane Bay in Mozambique.</w:t>
      </w:r>
      <w:r w:rsidR="00006E9C">
        <w:rPr>
          <w:rFonts w:cs="Arial"/>
          <w:sz w:val="22"/>
          <w:szCs w:val="22"/>
        </w:rPr>
        <w:t xml:space="preserve"> </w:t>
      </w:r>
      <w:r w:rsidRPr="008072EB">
        <w:rPr>
          <w:rFonts w:cs="Arial"/>
          <w:sz w:val="22"/>
          <w:szCs w:val="22"/>
        </w:rPr>
        <w:t>The tables below show a breakdown of the data by type and by Delivery Partner.</w:t>
      </w:r>
    </w:p>
    <w:p w:rsidRPr="008072EB" w:rsidR="008072EB" w:rsidP="008072EB" w:rsidRDefault="008072EB" w14:paraId="5012C617" w14:textId="77777777">
      <w:pPr>
        <w:rPr>
          <w:rFonts w:cs="Arial"/>
          <w:sz w:val="22"/>
          <w:szCs w:val="22"/>
        </w:rPr>
      </w:pPr>
    </w:p>
    <w:p w:rsidRPr="008072EB" w:rsidR="008072EB" w:rsidP="008072EB" w:rsidRDefault="008072EB" w14:paraId="7B463D90" w14:textId="77777777">
      <w:pPr>
        <w:rPr>
          <w:rFonts w:cs="Arial"/>
          <w:sz w:val="22"/>
          <w:szCs w:val="22"/>
          <w:u w:val="single"/>
          <w:lang w:eastAsia="en-GB"/>
        </w:rPr>
      </w:pPr>
      <w:r w:rsidRPr="008072EB">
        <w:rPr>
          <w:rFonts w:cs="Arial"/>
          <w:sz w:val="22"/>
          <w:szCs w:val="22"/>
          <w:u w:val="single"/>
          <w:lang w:eastAsia="en-GB"/>
        </w:rPr>
        <w:t xml:space="preserve"> Data Breakdown by type </w:t>
      </w:r>
    </w:p>
    <w:p w:rsidRPr="008072EB" w:rsidR="008072EB" w:rsidP="008072EB" w:rsidRDefault="008072EB" w14:paraId="50B4BC04" w14:textId="77777777">
      <w:pPr>
        <w:rPr>
          <w:rFonts w:cs="Arial"/>
          <w:sz w:val="22"/>
          <w:szCs w:val="22"/>
          <w:lang w:eastAsia="en-GB"/>
        </w:rPr>
      </w:pPr>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2354"/>
        <w:gridCol w:w="1568"/>
        <w:gridCol w:w="1796"/>
        <w:gridCol w:w="1951"/>
        <w:gridCol w:w="1347"/>
      </w:tblGrid>
      <w:tr w:rsidRPr="008072EB" w:rsidR="008072EB" w:rsidTr="1FB22237" w14:paraId="0D5EA05D" w14:textId="77777777">
        <w:trPr>
          <w:trHeight w:val="570"/>
        </w:trPr>
        <w:tc>
          <w:tcPr>
            <w:tcW w:w="2760" w:type="dxa"/>
            <w:vMerge w:val="restart"/>
            <w:shd w:val="clear" w:color="auto" w:fill="B7D6E1"/>
            <w:vAlign w:val="center"/>
            <w:hideMark/>
          </w:tcPr>
          <w:p w:rsidRPr="008072EB" w:rsidR="008072EB" w:rsidP="008072EB" w:rsidRDefault="008072EB" w14:paraId="409DC549" w14:textId="77777777">
            <w:pPr>
              <w:spacing w:before="100" w:beforeAutospacing="1" w:after="100" w:afterAutospacing="1"/>
              <w:jc w:val="center"/>
              <w:textAlignment w:val="baseline"/>
              <w:rPr>
                <w:rFonts w:ascii="Times New Roman" w:hAnsi="Times New Roman"/>
                <w:b/>
                <w:bCs/>
                <w:sz w:val="22"/>
                <w:szCs w:val="22"/>
                <w:lang w:val="en-US" w:eastAsia="en-GB"/>
              </w:rPr>
            </w:pPr>
            <w:r w:rsidRPr="008072EB">
              <w:rPr>
                <w:rFonts w:ascii="Segoe UI" w:hAnsi="Segoe UI" w:cs="Segoe UI"/>
                <w:position w:val="1"/>
                <w:sz w:val="22"/>
                <w:szCs w:val="22"/>
                <w:lang w:eastAsia="en-GB"/>
              </w:rPr>
              <w:t>Type</w:t>
            </w:r>
            <w:r w:rsidRPr="008072EB">
              <w:rPr>
                <w:rFonts w:ascii="Segoe UI" w:hAnsi="Segoe UI" w:cs="Segoe UI"/>
                <w:b/>
                <w:bCs/>
                <w:sz w:val="22"/>
                <w:szCs w:val="22"/>
                <w:lang w:val="en-US" w:eastAsia="en-GB"/>
              </w:rPr>
              <w:t>​</w:t>
            </w:r>
          </w:p>
        </w:tc>
        <w:tc>
          <w:tcPr>
            <w:tcW w:w="5850" w:type="dxa"/>
            <w:gridSpan w:val="3"/>
            <w:shd w:val="clear" w:color="auto" w:fill="B7D6E1"/>
            <w:hideMark/>
          </w:tcPr>
          <w:p w:rsidRPr="008072EB" w:rsidR="008072EB" w:rsidP="008072EB" w:rsidRDefault="008072EB" w14:paraId="7FA66791" w14:textId="77777777">
            <w:pPr>
              <w:spacing w:before="100" w:beforeAutospacing="1" w:after="100" w:afterAutospacing="1"/>
              <w:jc w:val="center"/>
              <w:textAlignment w:val="baseline"/>
              <w:rPr>
                <w:rFonts w:ascii="Times New Roman" w:hAnsi="Times New Roman"/>
                <w:b/>
                <w:bCs/>
                <w:sz w:val="22"/>
                <w:szCs w:val="22"/>
                <w:lang w:val="en-US" w:eastAsia="en-GB"/>
              </w:rPr>
            </w:pPr>
            <w:r w:rsidRPr="008072EB">
              <w:rPr>
                <w:rFonts w:ascii="Segoe UI" w:hAnsi="Segoe UI" w:cs="Segoe UI"/>
                <w:position w:val="1"/>
                <w:sz w:val="22"/>
                <w:szCs w:val="22"/>
                <w:lang w:eastAsia="en-GB"/>
              </w:rPr>
              <w:t>Level of support</w:t>
            </w:r>
            <w:r w:rsidRPr="008072EB">
              <w:rPr>
                <w:rFonts w:ascii="Segoe UI" w:hAnsi="Segoe UI" w:cs="Segoe UI"/>
                <w:b/>
                <w:bCs/>
                <w:sz w:val="22"/>
                <w:szCs w:val="22"/>
                <w:lang w:val="en-US" w:eastAsia="en-GB"/>
              </w:rPr>
              <w:t>​</w:t>
            </w:r>
          </w:p>
        </w:tc>
        <w:tc>
          <w:tcPr>
            <w:tcW w:w="1560" w:type="dxa"/>
            <w:vMerge w:val="restart"/>
            <w:shd w:val="clear" w:color="auto" w:fill="B7D6E1"/>
            <w:vAlign w:val="center"/>
            <w:hideMark/>
          </w:tcPr>
          <w:p w:rsidRPr="008072EB" w:rsidR="008072EB" w:rsidP="008072EB" w:rsidRDefault="008072EB" w14:paraId="2DE03504" w14:textId="77777777">
            <w:pPr>
              <w:spacing w:before="100" w:beforeAutospacing="1" w:after="100" w:afterAutospacing="1"/>
              <w:jc w:val="center"/>
              <w:textAlignment w:val="baseline"/>
              <w:rPr>
                <w:rFonts w:ascii="Times New Roman" w:hAnsi="Times New Roman"/>
                <w:b/>
                <w:bCs/>
                <w:sz w:val="22"/>
                <w:szCs w:val="22"/>
                <w:lang w:val="en-US" w:eastAsia="en-GB"/>
              </w:rPr>
            </w:pPr>
            <w:r w:rsidRPr="008072EB">
              <w:rPr>
                <w:rFonts w:ascii="Segoe UI" w:hAnsi="Segoe UI" w:cs="Segoe UI"/>
                <w:position w:val="1"/>
                <w:sz w:val="22"/>
                <w:szCs w:val="22"/>
                <w:lang w:eastAsia="en-GB"/>
              </w:rPr>
              <w:t>Total</w:t>
            </w:r>
            <w:r w:rsidRPr="008072EB">
              <w:rPr>
                <w:rFonts w:ascii="Segoe UI" w:hAnsi="Segoe UI" w:cs="Segoe UI"/>
                <w:b/>
                <w:bCs/>
                <w:sz w:val="22"/>
                <w:szCs w:val="22"/>
                <w:lang w:val="en-US" w:eastAsia="en-GB"/>
              </w:rPr>
              <w:t>​</w:t>
            </w:r>
          </w:p>
        </w:tc>
      </w:tr>
      <w:tr w:rsidRPr="008072EB" w:rsidR="008072EB" w:rsidTr="1FB22237" w14:paraId="3667E6FE" w14:textId="77777777">
        <w:trPr>
          <w:trHeight w:val="570"/>
        </w:trPr>
        <w:tc>
          <w:tcPr>
            <w:tcW w:w="0" w:type="auto"/>
            <w:vMerge/>
            <w:vAlign w:val="center"/>
            <w:hideMark/>
          </w:tcPr>
          <w:p w:rsidRPr="008072EB" w:rsidR="008072EB" w:rsidP="008072EB" w:rsidRDefault="008072EB" w14:paraId="023AD553" w14:textId="77777777">
            <w:pPr>
              <w:rPr>
                <w:rFonts w:ascii="Times New Roman" w:hAnsi="Times New Roman"/>
                <w:b/>
                <w:bCs/>
                <w:sz w:val="22"/>
                <w:szCs w:val="22"/>
                <w:lang w:val="en-US" w:eastAsia="en-GB"/>
              </w:rPr>
            </w:pPr>
          </w:p>
        </w:tc>
        <w:tc>
          <w:tcPr>
            <w:tcW w:w="1755" w:type="dxa"/>
            <w:shd w:val="clear" w:color="auto" w:fill="E6F0F4"/>
            <w:hideMark/>
          </w:tcPr>
          <w:p w:rsidRPr="008072EB" w:rsidR="008072EB" w:rsidP="008072EB" w:rsidRDefault="008072EB" w14:paraId="261673D9"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Engaged</w:t>
            </w:r>
            <w:r w:rsidRPr="008072EB">
              <w:rPr>
                <w:rFonts w:ascii="Segoe UI" w:hAnsi="Segoe UI" w:cs="Segoe UI"/>
                <w:sz w:val="22"/>
                <w:szCs w:val="22"/>
                <w:lang w:val="en-US" w:eastAsia="en-GB"/>
              </w:rPr>
              <w:t>​</w:t>
            </w:r>
          </w:p>
        </w:tc>
        <w:tc>
          <w:tcPr>
            <w:tcW w:w="1980" w:type="dxa"/>
            <w:shd w:val="clear" w:color="auto" w:fill="E6F0F4"/>
            <w:hideMark/>
          </w:tcPr>
          <w:p w:rsidRPr="008072EB" w:rsidR="008072EB" w:rsidP="008072EB" w:rsidRDefault="008072EB" w14:paraId="46670322"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Established</w:t>
            </w:r>
            <w:r w:rsidRPr="008072EB">
              <w:rPr>
                <w:rFonts w:ascii="Segoe UI" w:hAnsi="Segoe UI" w:cs="Segoe UI"/>
                <w:sz w:val="22"/>
                <w:szCs w:val="22"/>
                <w:lang w:val="en-US" w:eastAsia="en-GB"/>
              </w:rPr>
              <w:t>​</w:t>
            </w:r>
          </w:p>
        </w:tc>
        <w:tc>
          <w:tcPr>
            <w:tcW w:w="2100" w:type="dxa"/>
            <w:shd w:val="clear" w:color="auto" w:fill="E6F0F4"/>
            <w:hideMark/>
          </w:tcPr>
          <w:p w:rsidRPr="008072EB" w:rsidR="008072EB" w:rsidP="008072EB" w:rsidRDefault="008072EB" w14:paraId="78EFFBC6"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Strengthened</w:t>
            </w:r>
            <w:r w:rsidRPr="008072EB">
              <w:rPr>
                <w:rFonts w:ascii="Segoe UI" w:hAnsi="Segoe UI" w:cs="Segoe UI"/>
                <w:sz w:val="22"/>
                <w:szCs w:val="22"/>
                <w:lang w:val="en-US" w:eastAsia="en-GB"/>
              </w:rPr>
              <w:t>​</w:t>
            </w:r>
          </w:p>
        </w:tc>
        <w:tc>
          <w:tcPr>
            <w:tcW w:w="0" w:type="auto"/>
            <w:vMerge/>
            <w:vAlign w:val="center"/>
            <w:hideMark/>
          </w:tcPr>
          <w:p w:rsidRPr="008072EB" w:rsidR="008072EB" w:rsidP="008072EB" w:rsidRDefault="008072EB" w14:paraId="299AE5A0" w14:textId="77777777">
            <w:pPr>
              <w:rPr>
                <w:rFonts w:ascii="Times New Roman" w:hAnsi="Times New Roman"/>
                <w:b/>
                <w:bCs/>
                <w:sz w:val="22"/>
                <w:szCs w:val="22"/>
                <w:lang w:val="en-US" w:eastAsia="en-GB"/>
              </w:rPr>
            </w:pPr>
          </w:p>
        </w:tc>
      </w:tr>
      <w:tr w:rsidRPr="008072EB" w:rsidR="008072EB" w:rsidTr="1FB22237" w14:paraId="17EAF696" w14:textId="77777777">
        <w:trPr>
          <w:trHeight w:val="570"/>
        </w:trPr>
        <w:tc>
          <w:tcPr>
            <w:tcW w:w="2760" w:type="dxa"/>
            <w:shd w:val="clear" w:color="auto" w:fill="F3F8F9"/>
            <w:hideMark/>
          </w:tcPr>
          <w:p w:rsidRPr="008072EB" w:rsidR="008072EB" w:rsidP="008072EB" w:rsidRDefault="008072EB" w14:paraId="4B157D22"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In-country coalition</w:t>
            </w:r>
            <w:r w:rsidRPr="008072EB">
              <w:rPr>
                <w:rFonts w:ascii="Segoe UI" w:hAnsi="Segoe UI" w:cs="Segoe UI"/>
                <w:sz w:val="22"/>
                <w:szCs w:val="22"/>
                <w:lang w:val="en-US" w:eastAsia="en-GB"/>
              </w:rPr>
              <w:t>​</w:t>
            </w:r>
          </w:p>
        </w:tc>
        <w:tc>
          <w:tcPr>
            <w:tcW w:w="1755" w:type="dxa"/>
            <w:shd w:val="clear" w:color="auto" w:fill="F3F8F9"/>
            <w:hideMark/>
          </w:tcPr>
          <w:p w:rsidRPr="008072EB" w:rsidR="008072EB" w:rsidP="008072EB" w:rsidRDefault="008072EB" w14:paraId="126E598C" w14:textId="77777777">
            <w:pPr>
              <w:spacing w:before="100" w:beforeAutospacing="1" w:after="100" w:afterAutospacing="1"/>
              <w:textAlignment w:val="baseline"/>
              <w:rPr>
                <w:rFonts w:ascii="Times New Roman" w:hAnsi="Times New Roman"/>
                <w:sz w:val="22"/>
                <w:szCs w:val="22"/>
                <w:lang w:eastAsia="en-GB"/>
              </w:rPr>
            </w:pPr>
            <w:r w:rsidRPr="008072EB">
              <w:rPr>
                <w:rFonts w:ascii="Segoe UI" w:hAnsi="Segoe UI" w:cs="Segoe UI"/>
                <w:sz w:val="22"/>
                <w:szCs w:val="22"/>
                <w:lang w:eastAsia="en-GB"/>
              </w:rPr>
              <w:t>​</w:t>
            </w:r>
          </w:p>
        </w:tc>
        <w:tc>
          <w:tcPr>
            <w:tcW w:w="1980" w:type="dxa"/>
            <w:shd w:val="clear" w:color="auto" w:fill="F3F8F9"/>
            <w:hideMark/>
          </w:tcPr>
          <w:p w:rsidRPr="008072EB" w:rsidR="008072EB" w:rsidP="008072EB" w:rsidRDefault="008072EB" w14:paraId="2E6DFB52"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83% (5)</w:t>
            </w:r>
            <w:r w:rsidRPr="008072EB">
              <w:rPr>
                <w:rFonts w:ascii="Segoe UI" w:hAnsi="Segoe UI" w:cs="Segoe UI"/>
                <w:sz w:val="22"/>
                <w:szCs w:val="22"/>
                <w:lang w:val="en-US" w:eastAsia="en-GB"/>
              </w:rPr>
              <w:t>​</w:t>
            </w:r>
          </w:p>
        </w:tc>
        <w:tc>
          <w:tcPr>
            <w:tcW w:w="2100" w:type="dxa"/>
            <w:shd w:val="clear" w:color="auto" w:fill="F3F8F9"/>
            <w:hideMark/>
          </w:tcPr>
          <w:p w:rsidRPr="008072EB" w:rsidR="008072EB" w:rsidP="008072EB" w:rsidRDefault="008072EB" w14:paraId="4C4F39C0"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17% (1)</w:t>
            </w:r>
            <w:r w:rsidRPr="008072EB">
              <w:rPr>
                <w:rFonts w:ascii="Segoe UI" w:hAnsi="Segoe UI" w:cs="Segoe UI"/>
                <w:sz w:val="22"/>
                <w:szCs w:val="22"/>
                <w:lang w:val="en-US" w:eastAsia="en-GB"/>
              </w:rPr>
              <w:t>​</w:t>
            </w:r>
          </w:p>
        </w:tc>
        <w:tc>
          <w:tcPr>
            <w:tcW w:w="1560" w:type="dxa"/>
            <w:shd w:val="clear" w:color="auto" w:fill="F3F8F9"/>
            <w:hideMark/>
          </w:tcPr>
          <w:p w:rsidRPr="008072EB" w:rsidR="008072EB" w:rsidP="1FB22237" w:rsidRDefault="008072EB" w14:paraId="16676719" w14:textId="3A85E096">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100% (6)</w:t>
            </w:r>
            <w:r w:rsidRPr="008072EB">
              <w:rPr>
                <w:rFonts w:ascii="Segoe UI" w:hAnsi="Segoe UI" w:cs="Segoe UI"/>
                <w:sz w:val="22"/>
                <w:szCs w:val="22"/>
                <w:lang w:val="en-US" w:eastAsia="en-GB"/>
              </w:rPr>
              <w:t>​</w:t>
            </w:r>
          </w:p>
        </w:tc>
      </w:tr>
      <w:tr w:rsidRPr="008072EB" w:rsidR="008072EB" w:rsidTr="1FB22237" w14:paraId="56B16294" w14:textId="77777777">
        <w:trPr>
          <w:trHeight w:val="570"/>
        </w:trPr>
        <w:tc>
          <w:tcPr>
            <w:tcW w:w="2760" w:type="dxa"/>
            <w:shd w:val="clear" w:color="auto" w:fill="E6F0F4"/>
            <w:hideMark/>
          </w:tcPr>
          <w:p w:rsidRPr="008072EB" w:rsidR="008072EB" w:rsidP="008072EB" w:rsidRDefault="008072EB" w14:paraId="2C029D6E"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Network</w:t>
            </w:r>
            <w:r w:rsidRPr="008072EB">
              <w:rPr>
                <w:rFonts w:ascii="Segoe UI" w:hAnsi="Segoe UI" w:cs="Segoe UI"/>
                <w:sz w:val="22"/>
                <w:szCs w:val="22"/>
                <w:lang w:val="en-US" w:eastAsia="en-GB"/>
              </w:rPr>
              <w:t>​</w:t>
            </w:r>
          </w:p>
        </w:tc>
        <w:tc>
          <w:tcPr>
            <w:tcW w:w="1755" w:type="dxa"/>
            <w:shd w:val="clear" w:color="auto" w:fill="E6F0F4"/>
            <w:hideMark/>
          </w:tcPr>
          <w:p w:rsidRPr="008072EB" w:rsidR="008072EB" w:rsidP="008072EB" w:rsidRDefault="008072EB" w14:paraId="7B5E3CA1"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11% (1)</w:t>
            </w:r>
            <w:r w:rsidRPr="008072EB">
              <w:rPr>
                <w:rFonts w:ascii="Segoe UI" w:hAnsi="Segoe UI" w:cs="Segoe UI"/>
                <w:sz w:val="22"/>
                <w:szCs w:val="22"/>
                <w:lang w:val="en-US" w:eastAsia="en-GB"/>
              </w:rPr>
              <w:t>​</w:t>
            </w:r>
          </w:p>
        </w:tc>
        <w:tc>
          <w:tcPr>
            <w:tcW w:w="1980" w:type="dxa"/>
            <w:shd w:val="clear" w:color="auto" w:fill="E6F0F4"/>
            <w:hideMark/>
          </w:tcPr>
          <w:p w:rsidRPr="008072EB" w:rsidR="008072EB" w:rsidP="008072EB" w:rsidRDefault="008072EB" w14:paraId="6948EB1D"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56% (5)</w:t>
            </w:r>
            <w:r w:rsidRPr="008072EB">
              <w:rPr>
                <w:rFonts w:ascii="Segoe UI" w:hAnsi="Segoe UI" w:cs="Segoe UI"/>
                <w:sz w:val="22"/>
                <w:szCs w:val="22"/>
                <w:lang w:val="en-US" w:eastAsia="en-GB"/>
              </w:rPr>
              <w:t>​</w:t>
            </w:r>
          </w:p>
        </w:tc>
        <w:tc>
          <w:tcPr>
            <w:tcW w:w="2100" w:type="dxa"/>
            <w:shd w:val="clear" w:color="auto" w:fill="E6F0F4"/>
            <w:hideMark/>
          </w:tcPr>
          <w:p w:rsidRPr="008072EB" w:rsidR="008072EB" w:rsidP="008072EB" w:rsidRDefault="008072EB" w14:paraId="2D70B6D7"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33% (3)</w:t>
            </w:r>
            <w:r w:rsidRPr="008072EB">
              <w:rPr>
                <w:rFonts w:ascii="Segoe UI" w:hAnsi="Segoe UI" w:cs="Segoe UI"/>
                <w:sz w:val="22"/>
                <w:szCs w:val="22"/>
                <w:lang w:val="en-US" w:eastAsia="en-GB"/>
              </w:rPr>
              <w:t>​</w:t>
            </w:r>
          </w:p>
        </w:tc>
        <w:tc>
          <w:tcPr>
            <w:tcW w:w="1560" w:type="dxa"/>
            <w:shd w:val="clear" w:color="auto" w:fill="E6F0F4"/>
            <w:hideMark/>
          </w:tcPr>
          <w:p w:rsidRPr="008072EB" w:rsidR="008072EB" w:rsidP="008072EB" w:rsidRDefault="008072EB" w14:paraId="582320E2"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100% (9)</w:t>
            </w:r>
            <w:r w:rsidRPr="008072EB">
              <w:rPr>
                <w:rFonts w:ascii="Segoe UI" w:hAnsi="Segoe UI" w:cs="Segoe UI"/>
                <w:sz w:val="22"/>
                <w:szCs w:val="22"/>
                <w:lang w:val="en-US" w:eastAsia="en-GB"/>
              </w:rPr>
              <w:t>​</w:t>
            </w:r>
          </w:p>
        </w:tc>
      </w:tr>
      <w:tr w:rsidRPr="008072EB" w:rsidR="008072EB" w:rsidTr="1FB22237" w14:paraId="3F9C54FE" w14:textId="77777777">
        <w:trPr>
          <w:trHeight w:val="570"/>
        </w:trPr>
        <w:tc>
          <w:tcPr>
            <w:tcW w:w="2760" w:type="dxa"/>
            <w:shd w:val="clear" w:color="auto" w:fill="F3F8F9"/>
            <w:hideMark/>
          </w:tcPr>
          <w:p w:rsidRPr="008072EB" w:rsidR="008072EB" w:rsidP="008072EB" w:rsidRDefault="008072EB" w14:paraId="6E1FB7DB"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Task force</w:t>
            </w:r>
            <w:r w:rsidRPr="008072EB">
              <w:rPr>
                <w:rFonts w:ascii="Segoe UI" w:hAnsi="Segoe UI" w:cs="Segoe UI"/>
                <w:sz w:val="22"/>
                <w:szCs w:val="22"/>
                <w:lang w:val="en-US" w:eastAsia="en-GB"/>
              </w:rPr>
              <w:t>​</w:t>
            </w:r>
          </w:p>
        </w:tc>
        <w:tc>
          <w:tcPr>
            <w:tcW w:w="1755" w:type="dxa"/>
            <w:shd w:val="clear" w:color="auto" w:fill="F3F8F9"/>
            <w:hideMark/>
          </w:tcPr>
          <w:p w:rsidRPr="008072EB" w:rsidR="008072EB" w:rsidP="008072EB" w:rsidRDefault="008072EB" w14:paraId="51DD4292"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7.5 % (1)</w:t>
            </w:r>
            <w:r w:rsidRPr="008072EB">
              <w:rPr>
                <w:rFonts w:ascii="Segoe UI" w:hAnsi="Segoe UI" w:cs="Segoe UI"/>
                <w:sz w:val="22"/>
                <w:szCs w:val="22"/>
                <w:lang w:val="en-US" w:eastAsia="en-GB"/>
              </w:rPr>
              <w:t>​</w:t>
            </w:r>
          </w:p>
        </w:tc>
        <w:tc>
          <w:tcPr>
            <w:tcW w:w="1980" w:type="dxa"/>
            <w:shd w:val="clear" w:color="auto" w:fill="F3F8F9"/>
            <w:hideMark/>
          </w:tcPr>
          <w:p w:rsidRPr="008072EB" w:rsidR="008072EB" w:rsidP="008072EB" w:rsidRDefault="008072EB" w14:paraId="304FB82D"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76.5% (10)</w:t>
            </w:r>
            <w:r w:rsidRPr="008072EB">
              <w:rPr>
                <w:rFonts w:ascii="Segoe UI" w:hAnsi="Segoe UI" w:cs="Segoe UI"/>
                <w:sz w:val="22"/>
                <w:szCs w:val="22"/>
                <w:lang w:val="en-US" w:eastAsia="en-GB"/>
              </w:rPr>
              <w:t>​</w:t>
            </w:r>
          </w:p>
        </w:tc>
        <w:tc>
          <w:tcPr>
            <w:tcW w:w="2100" w:type="dxa"/>
            <w:shd w:val="clear" w:color="auto" w:fill="F3F8F9"/>
            <w:hideMark/>
          </w:tcPr>
          <w:p w:rsidRPr="008072EB" w:rsidR="008072EB" w:rsidP="008072EB" w:rsidRDefault="008072EB" w14:paraId="7D5967B7"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15% (2)</w:t>
            </w:r>
            <w:r w:rsidRPr="008072EB">
              <w:rPr>
                <w:rFonts w:ascii="Segoe UI" w:hAnsi="Segoe UI" w:cs="Segoe UI"/>
                <w:sz w:val="22"/>
                <w:szCs w:val="22"/>
                <w:lang w:val="en-US" w:eastAsia="en-GB"/>
              </w:rPr>
              <w:t>​</w:t>
            </w:r>
          </w:p>
        </w:tc>
        <w:tc>
          <w:tcPr>
            <w:tcW w:w="1560" w:type="dxa"/>
            <w:shd w:val="clear" w:color="auto" w:fill="F3F8F9"/>
            <w:hideMark/>
          </w:tcPr>
          <w:p w:rsidRPr="008072EB" w:rsidR="008072EB" w:rsidP="008072EB" w:rsidRDefault="008072EB" w14:paraId="69ECE1B9"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100% (13)</w:t>
            </w:r>
            <w:r w:rsidRPr="008072EB">
              <w:rPr>
                <w:rFonts w:ascii="Segoe UI" w:hAnsi="Segoe UI" w:cs="Segoe UI"/>
                <w:sz w:val="22"/>
                <w:szCs w:val="22"/>
                <w:lang w:val="en-US" w:eastAsia="en-GB"/>
              </w:rPr>
              <w:t>​</w:t>
            </w:r>
          </w:p>
        </w:tc>
      </w:tr>
      <w:tr w:rsidRPr="008072EB" w:rsidR="008072EB" w:rsidTr="1FB22237" w14:paraId="480273D0" w14:textId="77777777">
        <w:trPr>
          <w:trHeight w:val="570"/>
        </w:trPr>
        <w:tc>
          <w:tcPr>
            <w:tcW w:w="2760" w:type="dxa"/>
            <w:shd w:val="clear" w:color="auto" w:fill="E6F0F4"/>
            <w:hideMark/>
          </w:tcPr>
          <w:p w:rsidRPr="008072EB" w:rsidR="008072EB" w:rsidP="008072EB" w:rsidRDefault="008072EB" w14:paraId="6B75657E"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Total</w:t>
            </w:r>
            <w:r w:rsidRPr="008072EB">
              <w:rPr>
                <w:rFonts w:ascii="Segoe UI" w:hAnsi="Segoe UI" w:cs="Segoe UI"/>
                <w:sz w:val="22"/>
                <w:szCs w:val="22"/>
                <w:lang w:val="en-US" w:eastAsia="en-GB"/>
              </w:rPr>
              <w:t>​</w:t>
            </w:r>
          </w:p>
        </w:tc>
        <w:tc>
          <w:tcPr>
            <w:tcW w:w="1755" w:type="dxa"/>
            <w:shd w:val="clear" w:color="auto" w:fill="E6F0F4"/>
            <w:hideMark/>
          </w:tcPr>
          <w:p w:rsidRPr="008072EB" w:rsidR="008072EB" w:rsidP="008072EB" w:rsidRDefault="008072EB" w14:paraId="11C38F15"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7% (2)</w:t>
            </w:r>
            <w:r w:rsidRPr="008072EB">
              <w:rPr>
                <w:rFonts w:ascii="Segoe UI" w:hAnsi="Segoe UI" w:cs="Segoe UI"/>
                <w:sz w:val="22"/>
                <w:szCs w:val="22"/>
                <w:lang w:val="en-US" w:eastAsia="en-GB"/>
              </w:rPr>
              <w:t>​</w:t>
            </w:r>
          </w:p>
        </w:tc>
        <w:tc>
          <w:tcPr>
            <w:tcW w:w="1980" w:type="dxa"/>
            <w:shd w:val="clear" w:color="auto" w:fill="E6F0F4"/>
            <w:hideMark/>
          </w:tcPr>
          <w:p w:rsidRPr="008072EB" w:rsidR="008072EB" w:rsidP="008072EB" w:rsidRDefault="008072EB" w14:paraId="1654D94B"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71.5 % (20)</w:t>
            </w:r>
            <w:r w:rsidRPr="008072EB">
              <w:rPr>
                <w:rFonts w:ascii="Segoe UI" w:hAnsi="Segoe UI" w:cs="Segoe UI"/>
                <w:sz w:val="22"/>
                <w:szCs w:val="22"/>
                <w:lang w:val="en-US" w:eastAsia="en-GB"/>
              </w:rPr>
              <w:t>​</w:t>
            </w:r>
          </w:p>
        </w:tc>
        <w:tc>
          <w:tcPr>
            <w:tcW w:w="2100" w:type="dxa"/>
            <w:shd w:val="clear" w:color="auto" w:fill="E6F0F4"/>
            <w:hideMark/>
          </w:tcPr>
          <w:p w:rsidRPr="008072EB" w:rsidR="008072EB" w:rsidP="008072EB" w:rsidRDefault="008072EB" w14:paraId="5020E2B8"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21.5% (6)</w:t>
            </w:r>
            <w:r w:rsidRPr="008072EB">
              <w:rPr>
                <w:rFonts w:ascii="Segoe UI" w:hAnsi="Segoe UI" w:cs="Segoe UI"/>
                <w:sz w:val="22"/>
                <w:szCs w:val="22"/>
                <w:lang w:val="en-US" w:eastAsia="en-GB"/>
              </w:rPr>
              <w:t>​</w:t>
            </w:r>
          </w:p>
        </w:tc>
        <w:tc>
          <w:tcPr>
            <w:tcW w:w="1560" w:type="dxa"/>
            <w:shd w:val="clear" w:color="auto" w:fill="E6F0F4"/>
            <w:hideMark/>
          </w:tcPr>
          <w:p w:rsidRPr="008072EB" w:rsidR="008072EB" w:rsidP="008072EB" w:rsidRDefault="008072EB" w14:paraId="18A689D5"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100% (28)</w:t>
            </w:r>
            <w:r w:rsidRPr="008072EB">
              <w:rPr>
                <w:rFonts w:ascii="Segoe UI" w:hAnsi="Segoe UI" w:cs="Segoe UI"/>
                <w:sz w:val="22"/>
                <w:szCs w:val="22"/>
                <w:lang w:val="en-US" w:eastAsia="en-GB"/>
              </w:rPr>
              <w:t>​</w:t>
            </w:r>
          </w:p>
        </w:tc>
      </w:tr>
    </w:tbl>
    <w:p w:rsidRPr="008072EB" w:rsidR="008072EB" w:rsidP="008072EB" w:rsidRDefault="008072EB" w14:paraId="2121DEB0" w14:textId="77777777">
      <w:pPr>
        <w:rPr>
          <w:rFonts w:cs="Arial"/>
          <w:sz w:val="22"/>
          <w:szCs w:val="22"/>
        </w:rPr>
      </w:pPr>
    </w:p>
    <w:p w:rsidRPr="008072EB" w:rsidR="008072EB" w:rsidP="008072EB" w:rsidRDefault="008072EB" w14:paraId="2B68BD89" w14:textId="77777777">
      <w:pPr>
        <w:rPr>
          <w:rFonts w:cs="Arial"/>
          <w:sz w:val="22"/>
          <w:szCs w:val="22"/>
          <w:u w:val="single"/>
        </w:rPr>
      </w:pPr>
      <w:r w:rsidRPr="008072EB">
        <w:rPr>
          <w:rFonts w:cs="Arial"/>
          <w:sz w:val="22"/>
          <w:szCs w:val="22"/>
          <w:u w:val="single"/>
        </w:rPr>
        <w:t>Data breakdown by Delivery Partner</w:t>
      </w:r>
    </w:p>
    <w:p w:rsidRPr="008072EB" w:rsidR="008072EB" w:rsidP="008072EB" w:rsidRDefault="008072EB" w14:paraId="6C3C0210" w14:textId="77777777">
      <w:pPr>
        <w:rPr>
          <w:rFonts w:ascii="Times New Roman" w:hAnsi="Times New Roman"/>
          <w:lang w:eastAsia="en-GB"/>
        </w:rPr>
      </w:pPr>
      <w:r w:rsidRPr="008072EB">
        <w:rPr>
          <w:rFonts w:ascii="Times New Roman" w:hAnsi="Times New Roman"/>
          <w:lang w:eastAsia="en-GB"/>
        </w:rPr>
        <w:t> </w:t>
      </w:r>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993"/>
        <w:gridCol w:w="1355"/>
        <w:gridCol w:w="1157"/>
        <w:gridCol w:w="1560"/>
        <w:gridCol w:w="1695"/>
        <w:gridCol w:w="1256"/>
      </w:tblGrid>
      <w:tr w:rsidRPr="008072EB" w:rsidR="008072EB" w:rsidTr="00540FB0" w14:paraId="737DD424" w14:textId="77777777">
        <w:trPr>
          <w:trHeight w:val="570"/>
        </w:trPr>
        <w:tc>
          <w:tcPr>
            <w:tcW w:w="2355" w:type="dxa"/>
            <w:vMerge w:val="restart"/>
            <w:shd w:val="clear" w:color="auto" w:fill="B7D6E1"/>
            <w:vAlign w:val="center"/>
            <w:hideMark/>
          </w:tcPr>
          <w:p w:rsidRPr="008072EB" w:rsidR="008072EB" w:rsidP="008072EB" w:rsidRDefault="008072EB" w14:paraId="55282316" w14:textId="77777777">
            <w:pPr>
              <w:spacing w:before="100" w:beforeAutospacing="1" w:after="100" w:afterAutospacing="1"/>
              <w:jc w:val="center"/>
              <w:textAlignment w:val="baseline"/>
              <w:rPr>
                <w:rFonts w:ascii="Times New Roman" w:hAnsi="Times New Roman"/>
                <w:b/>
                <w:bCs/>
                <w:sz w:val="22"/>
                <w:szCs w:val="22"/>
                <w:lang w:val="en-US" w:eastAsia="en-GB"/>
              </w:rPr>
            </w:pPr>
            <w:r w:rsidRPr="008072EB">
              <w:rPr>
                <w:rFonts w:ascii="Segoe UI" w:hAnsi="Segoe UI" w:cs="Segoe UI"/>
                <w:sz w:val="22"/>
                <w:szCs w:val="22"/>
                <w:lang w:val="en-US" w:eastAsia="en-GB"/>
              </w:rPr>
              <w:t>Delivery Partner</w:t>
            </w:r>
            <w:r w:rsidRPr="008072EB">
              <w:rPr>
                <w:rFonts w:ascii="Segoe UI" w:hAnsi="Segoe UI" w:cs="Segoe UI"/>
                <w:b/>
                <w:bCs/>
                <w:sz w:val="22"/>
                <w:szCs w:val="22"/>
                <w:lang w:val="en-US" w:eastAsia="en-GB"/>
              </w:rPr>
              <w:t>​</w:t>
            </w:r>
          </w:p>
        </w:tc>
        <w:tc>
          <w:tcPr>
            <w:tcW w:w="6495" w:type="dxa"/>
            <w:gridSpan w:val="4"/>
            <w:shd w:val="clear" w:color="auto" w:fill="B7D6E1"/>
            <w:hideMark/>
          </w:tcPr>
          <w:p w:rsidRPr="008072EB" w:rsidR="008072EB" w:rsidP="008072EB" w:rsidRDefault="008072EB" w14:paraId="7FD6E5D2" w14:textId="77777777">
            <w:pPr>
              <w:spacing w:before="100" w:beforeAutospacing="1" w:after="100" w:afterAutospacing="1"/>
              <w:jc w:val="center"/>
              <w:textAlignment w:val="baseline"/>
              <w:rPr>
                <w:rFonts w:ascii="Times New Roman" w:hAnsi="Times New Roman"/>
                <w:b/>
                <w:bCs/>
                <w:sz w:val="22"/>
                <w:szCs w:val="22"/>
                <w:lang w:val="en-US" w:eastAsia="en-GB"/>
              </w:rPr>
            </w:pPr>
            <w:r w:rsidRPr="008072EB">
              <w:rPr>
                <w:rFonts w:ascii="Segoe UI" w:hAnsi="Segoe UI" w:cs="Segoe UI"/>
                <w:position w:val="1"/>
                <w:sz w:val="22"/>
                <w:szCs w:val="22"/>
                <w:lang w:eastAsia="en-GB"/>
              </w:rPr>
              <w:t>Level of support</w:t>
            </w:r>
            <w:r w:rsidRPr="008072EB">
              <w:rPr>
                <w:rFonts w:ascii="Segoe UI" w:hAnsi="Segoe UI" w:cs="Segoe UI"/>
                <w:b/>
                <w:bCs/>
                <w:sz w:val="22"/>
                <w:szCs w:val="22"/>
                <w:lang w:val="en-US" w:eastAsia="en-GB"/>
              </w:rPr>
              <w:t>​</w:t>
            </w:r>
          </w:p>
        </w:tc>
        <w:tc>
          <w:tcPr>
            <w:tcW w:w="1335" w:type="dxa"/>
            <w:vMerge w:val="restart"/>
            <w:shd w:val="clear" w:color="auto" w:fill="B7D6E1"/>
            <w:vAlign w:val="center"/>
            <w:hideMark/>
          </w:tcPr>
          <w:p w:rsidRPr="008072EB" w:rsidR="008072EB" w:rsidP="008072EB" w:rsidRDefault="008072EB" w14:paraId="723B9987" w14:textId="77777777">
            <w:pPr>
              <w:spacing w:before="100" w:beforeAutospacing="1" w:after="100" w:afterAutospacing="1"/>
              <w:jc w:val="center"/>
              <w:textAlignment w:val="baseline"/>
              <w:rPr>
                <w:rFonts w:ascii="Times New Roman" w:hAnsi="Times New Roman"/>
                <w:b/>
                <w:bCs/>
                <w:sz w:val="22"/>
                <w:szCs w:val="22"/>
                <w:lang w:val="en-US" w:eastAsia="en-GB"/>
              </w:rPr>
            </w:pPr>
            <w:r w:rsidRPr="008072EB">
              <w:rPr>
                <w:rFonts w:ascii="Segoe UI" w:hAnsi="Segoe UI" w:cs="Segoe UI"/>
                <w:position w:val="1"/>
                <w:sz w:val="22"/>
                <w:szCs w:val="22"/>
                <w:lang w:eastAsia="en-GB"/>
              </w:rPr>
              <w:t>Total</w:t>
            </w:r>
            <w:r w:rsidRPr="008072EB">
              <w:rPr>
                <w:rFonts w:ascii="Segoe UI" w:hAnsi="Segoe UI" w:cs="Segoe UI"/>
                <w:b/>
                <w:bCs/>
                <w:sz w:val="22"/>
                <w:szCs w:val="22"/>
                <w:lang w:val="en-US" w:eastAsia="en-GB"/>
              </w:rPr>
              <w:t>​</w:t>
            </w:r>
          </w:p>
        </w:tc>
      </w:tr>
      <w:tr w:rsidRPr="008072EB" w:rsidR="008072EB" w:rsidTr="00540FB0" w14:paraId="5FAFD6B6" w14:textId="77777777">
        <w:trPr>
          <w:trHeight w:val="570"/>
        </w:trPr>
        <w:tc>
          <w:tcPr>
            <w:tcW w:w="0" w:type="auto"/>
            <w:vMerge/>
            <w:shd w:val="clear" w:color="auto" w:fill="auto"/>
            <w:vAlign w:val="center"/>
            <w:hideMark/>
          </w:tcPr>
          <w:p w:rsidRPr="008072EB" w:rsidR="008072EB" w:rsidP="008072EB" w:rsidRDefault="008072EB" w14:paraId="3D404BE9" w14:textId="77777777">
            <w:pPr>
              <w:rPr>
                <w:rFonts w:ascii="Times New Roman" w:hAnsi="Times New Roman"/>
                <w:b/>
                <w:bCs/>
                <w:sz w:val="22"/>
                <w:szCs w:val="22"/>
                <w:lang w:val="en-US" w:eastAsia="en-GB"/>
              </w:rPr>
            </w:pPr>
          </w:p>
        </w:tc>
        <w:tc>
          <w:tcPr>
            <w:tcW w:w="1500" w:type="dxa"/>
            <w:shd w:val="clear" w:color="auto" w:fill="E6F0F4"/>
            <w:hideMark/>
          </w:tcPr>
          <w:p w:rsidRPr="008072EB" w:rsidR="008072EB" w:rsidP="008072EB" w:rsidRDefault="008072EB" w14:paraId="66ACF399"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Engaged</w:t>
            </w:r>
            <w:r w:rsidRPr="008072EB">
              <w:rPr>
                <w:rFonts w:ascii="Segoe UI" w:hAnsi="Segoe UI" w:cs="Segoe UI"/>
                <w:sz w:val="22"/>
                <w:szCs w:val="22"/>
                <w:lang w:val="en-US" w:eastAsia="en-GB"/>
              </w:rPr>
              <w:t>​</w:t>
            </w:r>
          </w:p>
        </w:tc>
        <w:tc>
          <w:tcPr>
            <w:tcW w:w="1500" w:type="dxa"/>
            <w:shd w:val="clear" w:color="auto" w:fill="E6F0F4"/>
            <w:hideMark/>
          </w:tcPr>
          <w:p w:rsidRPr="008072EB" w:rsidR="008072EB" w:rsidP="008072EB" w:rsidRDefault="008072EB" w14:paraId="140A1924" w14:textId="77777777">
            <w:pPr>
              <w:spacing w:before="100" w:beforeAutospacing="1" w:after="100" w:afterAutospacing="1"/>
              <w:textAlignment w:val="baseline"/>
              <w:rPr>
                <w:rFonts w:ascii="Times New Roman" w:hAnsi="Times New Roman"/>
                <w:sz w:val="22"/>
                <w:szCs w:val="22"/>
                <w:lang w:eastAsia="en-GB"/>
              </w:rPr>
            </w:pPr>
            <w:r w:rsidRPr="008072EB">
              <w:rPr>
                <w:rFonts w:ascii="Segoe UI" w:hAnsi="Segoe UI" w:cs="Segoe UI"/>
                <w:sz w:val="22"/>
                <w:szCs w:val="22"/>
                <w:lang w:eastAsia="en-GB"/>
              </w:rPr>
              <w:t>​</w:t>
            </w:r>
          </w:p>
        </w:tc>
        <w:tc>
          <w:tcPr>
            <w:tcW w:w="1695" w:type="dxa"/>
            <w:shd w:val="clear" w:color="auto" w:fill="E6F0F4"/>
            <w:hideMark/>
          </w:tcPr>
          <w:p w:rsidRPr="008072EB" w:rsidR="008072EB" w:rsidP="008072EB" w:rsidRDefault="008072EB" w14:paraId="62732469"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Established</w:t>
            </w:r>
            <w:r w:rsidRPr="008072EB">
              <w:rPr>
                <w:rFonts w:ascii="Segoe UI" w:hAnsi="Segoe UI" w:cs="Segoe UI"/>
                <w:sz w:val="22"/>
                <w:szCs w:val="22"/>
                <w:lang w:val="en-US" w:eastAsia="en-GB"/>
              </w:rPr>
              <w:t>​</w:t>
            </w:r>
          </w:p>
        </w:tc>
        <w:tc>
          <w:tcPr>
            <w:tcW w:w="1785" w:type="dxa"/>
            <w:shd w:val="clear" w:color="auto" w:fill="E6F0F4"/>
            <w:hideMark/>
          </w:tcPr>
          <w:p w:rsidRPr="008072EB" w:rsidR="008072EB" w:rsidP="008072EB" w:rsidRDefault="008072EB" w14:paraId="7648C208"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Strengthened</w:t>
            </w:r>
            <w:r w:rsidRPr="008072EB">
              <w:rPr>
                <w:rFonts w:ascii="Segoe UI" w:hAnsi="Segoe UI" w:cs="Segoe UI"/>
                <w:sz w:val="22"/>
                <w:szCs w:val="22"/>
                <w:lang w:val="en-US" w:eastAsia="en-GB"/>
              </w:rPr>
              <w:t>​</w:t>
            </w:r>
          </w:p>
        </w:tc>
        <w:tc>
          <w:tcPr>
            <w:tcW w:w="0" w:type="auto"/>
            <w:vMerge/>
            <w:shd w:val="clear" w:color="auto" w:fill="auto"/>
            <w:vAlign w:val="center"/>
            <w:hideMark/>
          </w:tcPr>
          <w:p w:rsidRPr="008072EB" w:rsidR="008072EB" w:rsidP="008072EB" w:rsidRDefault="008072EB" w14:paraId="6048B0B4" w14:textId="77777777">
            <w:pPr>
              <w:rPr>
                <w:rFonts w:ascii="Times New Roman" w:hAnsi="Times New Roman"/>
                <w:b/>
                <w:bCs/>
                <w:sz w:val="22"/>
                <w:szCs w:val="22"/>
                <w:lang w:val="en-US" w:eastAsia="en-GB"/>
              </w:rPr>
            </w:pPr>
          </w:p>
        </w:tc>
      </w:tr>
      <w:tr w:rsidRPr="008072EB" w:rsidR="008072EB" w:rsidTr="00540FB0" w14:paraId="43A6DD9F" w14:textId="77777777">
        <w:trPr>
          <w:trHeight w:val="570"/>
        </w:trPr>
        <w:tc>
          <w:tcPr>
            <w:tcW w:w="2355" w:type="dxa"/>
            <w:shd w:val="clear" w:color="auto" w:fill="F3F8F9"/>
            <w:hideMark/>
          </w:tcPr>
          <w:p w:rsidRPr="008072EB" w:rsidR="008072EB" w:rsidP="008072EB" w:rsidRDefault="008072EB" w14:paraId="77CCDE7A"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ALBs</w:t>
            </w:r>
            <w:r w:rsidRPr="008072EB">
              <w:rPr>
                <w:rFonts w:ascii="Segoe UI" w:hAnsi="Segoe UI" w:cs="Segoe UI"/>
                <w:sz w:val="22"/>
                <w:szCs w:val="22"/>
                <w:lang w:val="en-US" w:eastAsia="en-GB"/>
              </w:rPr>
              <w:t>​</w:t>
            </w:r>
          </w:p>
        </w:tc>
        <w:tc>
          <w:tcPr>
            <w:tcW w:w="1500" w:type="dxa"/>
            <w:shd w:val="clear" w:color="auto" w:fill="F3F8F9"/>
            <w:hideMark/>
          </w:tcPr>
          <w:p w:rsidRPr="008072EB" w:rsidR="008072EB" w:rsidP="008072EB" w:rsidRDefault="008072EB" w14:paraId="097FF0C6" w14:textId="77777777">
            <w:pPr>
              <w:spacing w:before="100" w:beforeAutospacing="1" w:after="100" w:afterAutospacing="1"/>
              <w:textAlignment w:val="baseline"/>
              <w:rPr>
                <w:rFonts w:ascii="Times New Roman" w:hAnsi="Times New Roman"/>
                <w:sz w:val="22"/>
                <w:szCs w:val="22"/>
                <w:lang w:eastAsia="en-GB"/>
              </w:rPr>
            </w:pPr>
            <w:r w:rsidRPr="008072EB">
              <w:rPr>
                <w:rFonts w:ascii="Segoe UI" w:hAnsi="Segoe UI" w:cs="Segoe UI"/>
                <w:sz w:val="22"/>
                <w:szCs w:val="22"/>
                <w:lang w:eastAsia="en-GB"/>
              </w:rPr>
              <w:t>​</w:t>
            </w:r>
          </w:p>
        </w:tc>
        <w:tc>
          <w:tcPr>
            <w:tcW w:w="1500" w:type="dxa"/>
            <w:shd w:val="clear" w:color="auto" w:fill="F3F8F9"/>
            <w:hideMark/>
          </w:tcPr>
          <w:p w:rsidRPr="008072EB" w:rsidR="008072EB" w:rsidP="008072EB" w:rsidRDefault="008072EB" w14:paraId="0C44988D" w14:textId="77777777">
            <w:pPr>
              <w:spacing w:before="100" w:beforeAutospacing="1" w:after="100" w:afterAutospacing="1"/>
              <w:textAlignment w:val="baseline"/>
              <w:rPr>
                <w:rFonts w:ascii="Times New Roman" w:hAnsi="Times New Roman"/>
                <w:sz w:val="22"/>
                <w:szCs w:val="22"/>
                <w:lang w:eastAsia="en-GB"/>
              </w:rPr>
            </w:pPr>
            <w:r w:rsidRPr="008072EB">
              <w:rPr>
                <w:rFonts w:ascii="Segoe UI" w:hAnsi="Segoe UI" w:cs="Segoe UI"/>
                <w:sz w:val="22"/>
                <w:szCs w:val="22"/>
                <w:lang w:eastAsia="en-GB"/>
              </w:rPr>
              <w:t>​</w:t>
            </w:r>
          </w:p>
        </w:tc>
        <w:tc>
          <w:tcPr>
            <w:tcW w:w="1695" w:type="dxa"/>
            <w:shd w:val="clear" w:color="auto" w:fill="F3F8F9"/>
            <w:hideMark/>
          </w:tcPr>
          <w:p w:rsidRPr="008072EB" w:rsidR="008072EB" w:rsidP="008072EB" w:rsidRDefault="008072EB" w14:paraId="3E9D0AAD"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56% (5)</w:t>
            </w:r>
            <w:r w:rsidRPr="008072EB">
              <w:rPr>
                <w:rFonts w:ascii="Segoe UI" w:hAnsi="Segoe UI" w:cs="Segoe UI"/>
                <w:sz w:val="22"/>
                <w:szCs w:val="22"/>
                <w:lang w:val="en-US" w:eastAsia="en-GB"/>
              </w:rPr>
              <w:t>​</w:t>
            </w:r>
          </w:p>
        </w:tc>
        <w:tc>
          <w:tcPr>
            <w:tcW w:w="1785" w:type="dxa"/>
            <w:shd w:val="clear" w:color="auto" w:fill="F3F8F9"/>
            <w:hideMark/>
          </w:tcPr>
          <w:p w:rsidRPr="008072EB" w:rsidR="008072EB" w:rsidP="008072EB" w:rsidRDefault="008072EB" w14:paraId="29AF6431"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44% (4)</w:t>
            </w:r>
            <w:r w:rsidRPr="008072EB">
              <w:rPr>
                <w:rFonts w:ascii="Segoe UI" w:hAnsi="Segoe UI" w:cs="Segoe UI"/>
                <w:sz w:val="22"/>
                <w:szCs w:val="22"/>
                <w:lang w:val="en-US" w:eastAsia="en-GB"/>
              </w:rPr>
              <w:t>​</w:t>
            </w:r>
          </w:p>
        </w:tc>
        <w:tc>
          <w:tcPr>
            <w:tcW w:w="1335" w:type="dxa"/>
            <w:shd w:val="clear" w:color="auto" w:fill="F3F8F9"/>
            <w:hideMark/>
          </w:tcPr>
          <w:p w:rsidRPr="008072EB" w:rsidR="008072EB" w:rsidP="008072EB" w:rsidRDefault="008072EB" w14:paraId="48A3815E"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100% (9)</w:t>
            </w:r>
            <w:r w:rsidRPr="008072EB">
              <w:rPr>
                <w:rFonts w:ascii="Segoe UI" w:hAnsi="Segoe UI" w:cs="Segoe UI"/>
                <w:sz w:val="22"/>
                <w:szCs w:val="22"/>
                <w:lang w:val="en-US" w:eastAsia="en-GB"/>
              </w:rPr>
              <w:t>​</w:t>
            </w:r>
          </w:p>
        </w:tc>
      </w:tr>
      <w:tr w:rsidRPr="008072EB" w:rsidR="008072EB" w:rsidTr="00540FB0" w14:paraId="0199DD76" w14:textId="77777777">
        <w:trPr>
          <w:trHeight w:val="570"/>
        </w:trPr>
        <w:tc>
          <w:tcPr>
            <w:tcW w:w="2355" w:type="dxa"/>
            <w:shd w:val="clear" w:color="auto" w:fill="E6F0F4"/>
            <w:hideMark/>
          </w:tcPr>
          <w:p w:rsidRPr="008072EB" w:rsidR="008072EB" w:rsidP="008072EB" w:rsidRDefault="008072EB" w14:paraId="7390FADE"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FOA</w:t>
            </w:r>
            <w:r w:rsidRPr="008072EB">
              <w:rPr>
                <w:rFonts w:ascii="Segoe UI" w:hAnsi="Segoe UI" w:cs="Segoe UI"/>
                <w:sz w:val="22"/>
                <w:szCs w:val="22"/>
                <w:lang w:val="en-US" w:eastAsia="en-GB"/>
              </w:rPr>
              <w:t>​</w:t>
            </w:r>
          </w:p>
        </w:tc>
        <w:tc>
          <w:tcPr>
            <w:tcW w:w="1500" w:type="dxa"/>
            <w:shd w:val="clear" w:color="auto" w:fill="E6F0F4"/>
            <w:hideMark/>
          </w:tcPr>
          <w:p w:rsidRPr="008072EB" w:rsidR="008072EB" w:rsidP="008072EB" w:rsidRDefault="008072EB" w14:paraId="1BF51C40" w14:textId="77777777">
            <w:pPr>
              <w:spacing w:before="100" w:beforeAutospacing="1" w:after="100" w:afterAutospacing="1"/>
              <w:textAlignment w:val="baseline"/>
              <w:rPr>
                <w:rFonts w:ascii="Times New Roman" w:hAnsi="Times New Roman"/>
                <w:sz w:val="22"/>
                <w:szCs w:val="22"/>
                <w:lang w:eastAsia="en-GB"/>
              </w:rPr>
            </w:pPr>
            <w:r w:rsidRPr="008072EB">
              <w:rPr>
                <w:rFonts w:ascii="Segoe UI" w:hAnsi="Segoe UI" w:cs="Segoe UI"/>
                <w:sz w:val="22"/>
                <w:szCs w:val="22"/>
                <w:lang w:eastAsia="en-GB"/>
              </w:rPr>
              <w:t>​</w:t>
            </w:r>
          </w:p>
        </w:tc>
        <w:tc>
          <w:tcPr>
            <w:tcW w:w="1500" w:type="dxa"/>
            <w:shd w:val="clear" w:color="auto" w:fill="E6F0F4"/>
            <w:hideMark/>
          </w:tcPr>
          <w:p w:rsidRPr="008072EB" w:rsidR="008072EB" w:rsidP="008072EB" w:rsidRDefault="008072EB" w14:paraId="254971A2" w14:textId="77777777">
            <w:pPr>
              <w:spacing w:before="100" w:beforeAutospacing="1" w:after="100" w:afterAutospacing="1"/>
              <w:textAlignment w:val="baseline"/>
              <w:rPr>
                <w:rFonts w:ascii="Times New Roman" w:hAnsi="Times New Roman"/>
                <w:sz w:val="22"/>
                <w:szCs w:val="22"/>
                <w:lang w:eastAsia="en-GB"/>
              </w:rPr>
            </w:pPr>
            <w:r w:rsidRPr="008072EB">
              <w:rPr>
                <w:rFonts w:ascii="Segoe UI" w:hAnsi="Segoe UI" w:cs="Segoe UI"/>
                <w:sz w:val="22"/>
                <w:szCs w:val="22"/>
                <w:lang w:eastAsia="en-GB"/>
              </w:rPr>
              <w:t>​</w:t>
            </w:r>
          </w:p>
        </w:tc>
        <w:tc>
          <w:tcPr>
            <w:tcW w:w="1695" w:type="dxa"/>
            <w:shd w:val="clear" w:color="auto" w:fill="E6F0F4"/>
            <w:hideMark/>
          </w:tcPr>
          <w:p w:rsidRPr="008072EB" w:rsidR="008072EB" w:rsidP="008072EB" w:rsidRDefault="008072EB" w14:paraId="0D99180A"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100% (6)</w:t>
            </w:r>
            <w:r w:rsidRPr="008072EB">
              <w:rPr>
                <w:rFonts w:ascii="Segoe UI" w:hAnsi="Segoe UI" w:cs="Segoe UI"/>
                <w:sz w:val="22"/>
                <w:szCs w:val="22"/>
                <w:lang w:val="en-US" w:eastAsia="en-GB"/>
              </w:rPr>
              <w:t>​</w:t>
            </w:r>
          </w:p>
        </w:tc>
        <w:tc>
          <w:tcPr>
            <w:tcW w:w="1785" w:type="dxa"/>
            <w:shd w:val="clear" w:color="auto" w:fill="E6F0F4"/>
            <w:hideMark/>
          </w:tcPr>
          <w:p w:rsidRPr="008072EB" w:rsidR="008072EB" w:rsidP="008072EB" w:rsidRDefault="008072EB" w14:paraId="453BF659" w14:textId="77777777">
            <w:pPr>
              <w:spacing w:before="100" w:beforeAutospacing="1" w:after="100" w:afterAutospacing="1"/>
              <w:textAlignment w:val="baseline"/>
              <w:rPr>
                <w:rFonts w:ascii="Times New Roman" w:hAnsi="Times New Roman"/>
                <w:sz w:val="22"/>
                <w:szCs w:val="22"/>
                <w:lang w:eastAsia="en-GB"/>
              </w:rPr>
            </w:pPr>
            <w:r w:rsidRPr="008072EB">
              <w:rPr>
                <w:rFonts w:ascii="Segoe UI" w:hAnsi="Segoe UI" w:cs="Segoe UI"/>
                <w:sz w:val="22"/>
                <w:szCs w:val="22"/>
                <w:lang w:eastAsia="en-GB"/>
              </w:rPr>
              <w:t>​</w:t>
            </w:r>
          </w:p>
        </w:tc>
        <w:tc>
          <w:tcPr>
            <w:tcW w:w="1335" w:type="dxa"/>
            <w:shd w:val="clear" w:color="auto" w:fill="E6F0F4"/>
            <w:hideMark/>
          </w:tcPr>
          <w:p w:rsidRPr="008072EB" w:rsidR="008072EB" w:rsidP="008072EB" w:rsidRDefault="008072EB" w14:paraId="28668F72"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100% (6)</w:t>
            </w:r>
            <w:r w:rsidRPr="008072EB">
              <w:rPr>
                <w:rFonts w:ascii="Segoe UI" w:hAnsi="Segoe UI" w:cs="Segoe UI"/>
                <w:sz w:val="22"/>
                <w:szCs w:val="22"/>
                <w:lang w:val="en-US" w:eastAsia="en-GB"/>
              </w:rPr>
              <w:t>​</w:t>
            </w:r>
          </w:p>
        </w:tc>
      </w:tr>
      <w:tr w:rsidRPr="008072EB" w:rsidR="008072EB" w:rsidTr="00540FB0" w14:paraId="75C18BB2" w14:textId="77777777">
        <w:trPr>
          <w:trHeight w:val="570"/>
        </w:trPr>
        <w:tc>
          <w:tcPr>
            <w:tcW w:w="2355" w:type="dxa"/>
            <w:shd w:val="clear" w:color="auto" w:fill="F3F8F9"/>
            <w:hideMark/>
          </w:tcPr>
          <w:p w:rsidRPr="008072EB" w:rsidR="008072EB" w:rsidP="008072EB" w:rsidRDefault="008072EB" w14:paraId="06D1B191"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GOAP</w:t>
            </w:r>
            <w:r w:rsidRPr="008072EB">
              <w:rPr>
                <w:rFonts w:ascii="Segoe UI" w:hAnsi="Segoe UI" w:cs="Segoe UI"/>
                <w:sz w:val="22"/>
                <w:szCs w:val="22"/>
                <w:lang w:val="en-US" w:eastAsia="en-GB"/>
              </w:rPr>
              <w:t>​</w:t>
            </w:r>
          </w:p>
        </w:tc>
        <w:tc>
          <w:tcPr>
            <w:tcW w:w="1500" w:type="dxa"/>
            <w:shd w:val="clear" w:color="auto" w:fill="F3F8F9"/>
            <w:hideMark/>
          </w:tcPr>
          <w:p w:rsidRPr="008072EB" w:rsidR="008072EB" w:rsidP="008072EB" w:rsidRDefault="008072EB" w14:paraId="3595B5E9"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15.5% (2)</w:t>
            </w:r>
            <w:r w:rsidRPr="008072EB">
              <w:rPr>
                <w:rFonts w:ascii="Segoe UI" w:hAnsi="Segoe UI" w:cs="Segoe UI"/>
                <w:sz w:val="22"/>
                <w:szCs w:val="22"/>
                <w:lang w:val="en-US" w:eastAsia="en-GB"/>
              </w:rPr>
              <w:t>​</w:t>
            </w:r>
          </w:p>
        </w:tc>
        <w:tc>
          <w:tcPr>
            <w:tcW w:w="1500" w:type="dxa"/>
            <w:shd w:val="clear" w:color="auto" w:fill="F3F8F9"/>
            <w:hideMark/>
          </w:tcPr>
          <w:p w:rsidRPr="008072EB" w:rsidR="008072EB" w:rsidP="008072EB" w:rsidRDefault="008072EB" w14:paraId="4B706D65" w14:textId="77777777">
            <w:pPr>
              <w:spacing w:before="100" w:beforeAutospacing="1" w:after="100" w:afterAutospacing="1"/>
              <w:textAlignment w:val="baseline"/>
              <w:rPr>
                <w:rFonts w:ascii="Times New Roman" w:hAnsi="Times New Roman"/>
                <w:sz w:val="22"/>
                <w:szCs w:val="22"/>
                <w:lang w:eastAsia="en-GB"/>
              </w:rPr>
            </w:pPr>
            <w:r w:rsidRPr="008072EB">
              <w:rPr>
                <w:rFonts w:ascii="Segoe UI" w:hAnsi="Segoe UI" w:cs="Segoe UI"/>
                <w:sz w:val="22"/>
                <w:szCs w:val="22"/>
                <w:lang w:eastAsia="en-GB"/>
              </w:rPr>
              <w:t>​</w:t>
            </w:r>
          </w:p>
        </w:tc>
        <w:tc>
          <w:tcPr>
            <w:tcW w:w="1695" w:type="dxa"/>
            <w:shd w:val="clear" w:color="auto" w:fill="F3F8F9"/>
            <w:hideMark/>
          </w:tcPr>
          <w:p w:rsidRPr="008072EB" w:rsidR="008072EB" w:rsidP="008072EB" w:rsidRDefault="008072EB" w14:paraId="33219143"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69% (9)</w:t>
            </w:r>
            <w:r w:rsidRPr="008072EB">
              <w:rPr>
                <w:rFonts w:ascii="Segoe UI" w:hAnsi="Segoe UI" w:cs="Segoe UI"/>
                <w:sz w:val="22"/>
                <w:szCs w:val="22"/>
                <w:lang w:val="en-US" w:eastAsia="en-GB"/>
              </w:rPr>
              <w:t>​</w:t>
            </w:r>
          </w:p>
        </w:tc>
        <w:tc>
          <w:tcPr>
            <w:tcW w:w="1785" w:type="dxa"/>
            <w:shd w:val="clear" w:color="auto" w:fill="F3F8F9"/>
            <w:hideMark/>
          </w:tcPr>
          <w:p w:rsidRPr="008072EB" w:rsidR="008072EB" w:rsidP="008072EB" w:rsidRDefault="008072EB" w14:paraId="29CE7B74"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15.5% (2)</w:t>
            </w:r>
            <w:r w:rsidRPr="008072EB">
              <w:rPr>
                <w:rFonts w:ascii="Segoe UI" w:hAnsi="Segoe UI" w:cs="Segoe UI"/>
                <w:sz w:val="22"/>
                <w:szCs w:val="22"/>
                <w:lang w:val="en-US" w:eastAsia="en-GB"/>
              </w:rPr>
              <w:t>​</w:t>
            </w:r>
          </w:p>
        </w:tc>
        <w:tc>
          <w:tcPr>
            <w:tcW w:w="1335" w:type="dxa"/>
            <w:shd w:val="clear" w:color="auto" w:fill="F3F8F9"/>
            <w:hideMark/>
          </w:tcPr>
          <w:p w:rsidRPr="008072EB" w:rsidR="008072EB" w:rsidP="008072EB" w:rsidRDefault="008072EB" w14:paraId="7162C8E2"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100% (13)</w:t>
            </w:r>
            <w:r w:rsidRPr="008072EB">
              <w:rPr>
                <w:rFonts w:ascii="Segoe UI" w:hAnsi="Segoe UI" w:cs="Segoe UI"/>
                <w:sz w:val="22"/>
                <w:szCs w:val="22"/>
                <w:lang w:val="en-US" w:eastAsia="en-GB"/>
              </w:rPr>
              <w:t>​</w:t>
            </w:r>
          </w:p>
        </w:tc>
      </w:tr>
      <w:tr w:rsidRPr="008072EB" w:rsidR="008072EB" w:rsidTr="00540FB0" w14:paraId="4025E967" w14:textId="77777777">
        <w:trPr>
          <w:trHeight w:val="570"/>
        </w:trPr>
        <w:tc>
          <w:tcPr>
            <w:tcW w:w="2355" w:type="dxa"/>
            <w:shd w:val="clear" w:color="auto" w:fill="E6F0F4"/>
            <w:hideMark/>
          </w:tcPr>
          <w:p w:rsidRPr="008072EB" w:rsidR="008072EB" w:rsidP="008072EB" w:rsidRDefault="008072EB" w14:paraId="1D1926C6"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Total</w:t>
            </w:r>
            <w:r w:rsidRPr="008072EB">
              <w:rPr>
                <w:rFonts w:ascii="Segoe UI" w:hAnsi="Segoe UI" w:cs="Segoe UI"/>
                <w:sz w:val="22"/>
                <w:szCs w:val="22"/>
                <w:lang w:val="en-US" w:eastAsia="en-GB"/>
              </w:rPr>
              <w:t>​</w:t>
            </w:r>
          </w:p>
        </w:tc>
        <w:tc>
          <w:tcPr>
            <w:tcW w:w="1500" w:type="dxa"/>
            <w:shd w:val="clear" w:color="auto" w:fill="E6F0F4"/>
            <w:hideMark/>
          </w:tcPr>
          <w:p w:rsidRPr="008072EB" w:rsidR="008072EB" w:rsidP="008072EB" w:rsidRDefault="008072EB" w14:paraId="68F13E30"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7% (2)</w:t>
            </w:r>
            <w:r w:rsidRPr="008072EB">
              <w:rPr>
                <w:rFonts w:ascii="Segoe UI" w:hAnsi="Segoe UI" w:cs="Segoe UI"/>
                <w:sz w:val="22"/>
                <w:szCs w:val="22"/>
                <w:lang w:val="en-US" w:eastAsia="en-GB"/>
              </w:rPr>
              <w:t>​</w:t>
            </w:r>
          </w:p>
        </w:tc>
        <w:tc>
          <w:tcPr>
            <w:tcW w:w="1500" w:type="dxa"/>
            <w:shd w:val="clear" w:color="auto" w:fill="E6F0F4"/>
            <w:hideMark/>
          </w:tcPr>
          <w:p w:rsidRPr="008072EB" w:rsidR="008072EB" w:rsidP="008072EB" w:rsidRDefault="008072EB" w14:paraId="09EBA37D" w14:textId="77777777">
            <w:pPr>
              <w:spacing w:before="100" w:beforeAutospacing="1" w:after="100" w:afterAutospacing="1"/>
              <w:textAlignment w:val="baseline"/>
              <w:rPr>
                <w:rFonts w:ascii="Times New Roman" w:hAnsi="Times New Roman"/>
                <w:sz w:val="22"/>
                <w:szCs w:val="22"/>
                <w:lang w:eastAsia="en-GB"/>
              </w:rPr>
            </w:pPr>
            <w:r w:rsidRPr="008072EB">
              <w:rPr>
                <w:rFonts w:ascii="Segoe UI" w:hAnsi="Segoe UI" w:cs="Segoe UI"/>
                <w:sz w:val="22"/>
                <w:szCs w:val="22"/>
                <w:lang w:eastAsia="en-GB"/>
              </w:rPr>
              <w:t>​</w:t>
            </w:r>
          </w:p>
        </w:tc>
        <w:tc>
          <w:tcPr>
            <w:tcW w:w="1695" w:type="dxa"/>
            <w:shd w:val="clear" w:color="auto" w:fill="E6F0F4"/>
            <w:hideMark/>
          </w:tcPr>
          <w:p w:rsidRPr="008072EB" w:rsidR="008072EB" w:rsidP="008072EB" w:rsidRDefault="008072EB" w14:paraId="2FEBA30A"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71.5% (20)</w:t>
            </w:r>
            <w:r w:rsidRPr="008072EB">
              <w:rPr>
                <w:rFonts w:ascii="Segoe UI" w:hAnsi="Segoe UI" w:cs="Segoe UI"/>
                <w:sz w:val="22"/>
                <w:szCs w:val="22"/>
                <w:lang w:val="en-US" w:eastAsia="en-GB"/>
              </w:rPr>
              <w:t>​</w:t>
            </w:r>
          </w:p>
        </w:tc>
        <w:tc>
          <w:tcPr>
            <w:tcW w:w="1785" w:type="dxa"/>
            <w:shd w:val="clear" w:color="auto" w:fill="E6F0F4"/>
            <w:hideMark/>
          </w:tcPr>
          <w:p w:rsidRPr="008072EB" w:rsidR="008072EB" w:rsidP="008072EB" w:rsidRDefault="008072EB" w14:paraId="7DDA8C0C"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21.5% (6)</w:t>
            </w:r>
            <w:r w:rsidRPr="008072EB">
              <w:rPr>
                <w:rFonts w:ascii="Segoe UI" w:hAnsi="Segoe UI" w:cs="Segoe UI"/>
                <w:sz w:val="22"/>
                <w:szCs w:val="22"/>
                <w:lang w:val="en-US" w:eastAsia="en-GB"/>
              </w:rPr>
              <w:t>​</w:t>
            </w:r>
          </w:p>
        </w:tc>
        <w:tc>
          <w:tcPr>
            <w:tcW w:w="1335" w:type="dxa"/>
            <w:shd w:val="clear" w:color="auto" w:fill="E6F0F4"/>
            <w:hideMark/>
          </w:tcPr>
          <w:p w:rsidRPr="008072EB" w:rsidR="008072EB" w:rsidP="008072EB" w:rsidRDefault="008072EB" w14:paraId="443BAB42" w14:textId="77777777">
            <w:pPr>
              <w:spacing w:before="100" w:beforeAutospacing="1" w:after="100" w:afterAutospacing="1"/>
              <w:textAlignment w:val="baseline"/>
              <w:rPr>
                <w:rFonts w:ascii="Times New Roman" w:hAnsi="Times New Roman"/>
                <w:sz w:val="22"/>
                <w:szCs w:val="22"/>
                <w:lang w:val="en-US" w:eastAsia="en-GB"/>
              </w:rPr>
            </w:pPr>
            <w:r w:rsidRPr="008072EB">
              <w:rPr>
                <w:rFonts w:ascii="Segoe UI" w:hAnsi="Segoe UI" w:cs="Segoe UI"/>
                <w:position w:val="1"/>
                <w:sz w:val="22"/>
                <w:szCs w:val="22"/>
                <w:lang w:eastAsia="en-GB"/>
              </w:rPr>
              <w:t>28</w:t>
            </w:r>
            <w:r w:rsidRPr="008072EB">
              <w:rPr>
                <w:rFonts w:ascii="Segoe UI" w:hAnsi="Segoe UI" w:cs="Segoe UI"/>
                <w:sz w:val="22"/>
                <w:szCs w:val="22"/>
                <w:lang w:val="en-US" w:eastAsia="en-GB"/>
              </w:rPr>
              <w:t>​</w:t>
            </w:r>
          </w:p>
        </w:tc>
      </w:tr>
    </w:tbl>
    <w:p w:rsidRPr="008072EB" w:rsidR="008072EB" w:rsidP="008072EB" w:rsidRDefault="008072EB" w14:paraId="0977F9E0" w14:textId="77777777">
      <w:pPr>
        <w:jc w:val="both"/>
        <w:rPr>
          <w:rFonts w:cs="Arial"/>
          <w:b/>
          <w:sz w:val="22"/>
        </w:rPr>
      </w:pPr>
    </w:p>
    <w:p w:rsidRPr="008072EB" w:rsidR="008072EB" w:rsidP="008072EB" w:rsidRDefault="008072EB" w14:paraId="6FF944A1" w14:textId="77777777">
      <w:pPr>
        <w:jc w:val="both"/>
        <w:rPr>
          <w:rFonts w:cs="Arial"/>
          <w:b/>
          <w:sz w:val="22"/>
        </w:rPr>
      </w:pPr>
    </w:p>
    <w:p w:rsidRPr="008072EB" w:rsidR="008072EB" w:rsidP="008072EB" w:rsidRDefault="008072EB" w14:paraId="48CAC9E7" w14:textId="77777777">
      <w:pPr>
        <w:jc w:val="both"/>
        <w:rPr>
          <w:rFonts w:cs="Arial"/>
          <w:b/>
          <w:sz w:val="22"/>
        </w:rPr>
      </w:pPr>
      <w:r w:rsidRPr="008072EB">
        <w:rPr>
          <w:rFonts w:cs="Arial"/>
          <w:b/>
          <w:sz w:val="22"/>
        </w:rPr>
        <w:t>Output 5</w:t>
      </w:r>
    </w:p>
    <w:p w:rsidRPr="008072EB" w:rsidR="008072EB" w:rsidP="008072EB" w:rsidRDefault="008072EB" w14:paraId="26B06EAC" w14:textId="77777777">
      <w:pPr>
        <w:jc w:val="both"/>
        <w:rPr>
          <w:rFonts w:cs="Arial"/>
          <w:sz w:val="22"/>
          <w:szCs w:val="22"/>
        </w:rPr>
      </w:pPr>
    </w:p>
    <w:tbl>
      <w:tblPr>
        <w:tblStyle w:val="TableGrid"/>
        <w:tblW w:w="9356" w:type="dxa"/>
        <w:tblInd w:w="-147" w:type="dxa"/>
        <w:tblLook w:val="04A0" w:firstRow="1" w:lastRow="0" w:firstColumn="1" w:lastColumn="0" w:noHBand="0" w:noVBand="1"/>
      </w:tblPr>
      <w:tblGrid>
        <w:gridCol w:w="1708"/>
        <w:gridCol w:w="616"/>
        <w:gridCol w:w="937"/>
        <w:gridCol w:w="3283"/>
        <w:gridCol w:w="2812"/>
      </w:tblGrid>
      <w:tr w:rsidRPr="008072EB" w:rsidR="001D1DD7" w14:paraId="78F25544" w14:textId="77777777">
        <w:trPr>
          <w:trHeight w:val="489"/>
        </w:trPr>
        <w:tc>
          <w:tcPr>
            <w:tcW w:w="1708"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59928876" w14:textId="77777777">
            <w:pPr>
              <w:rPr>
                <w:b/>
                <w:bCs/>
                <w:sz w:val="20"/>
                <w:szCs w:val="20"/>
              </w:rPr>
            </w:pPr>
            <w:r w:rsidRPr="008072EB">
              <w:rPr>
                <w:b/>
                <w:bCs/>
                <w:sz w:val="20"/>
                <w:szCs w:val="20"/>
              </w:rPr>
              <w:t xml:space="preserve">Output Title </w:t>
            </w:r>
          </w:p>
        </w:tc>
        <w:tc>
          <w:tcPr>
            <w:tcW w:w="7648" w:type="dxa"/>
            <w:gridSpan w:val="4"/>
            <w:tcBorders>
              <w:top w:val="single" w:color="auto" w:sz="4" w:space="0"/>
              <w:left w:val="single" w:color="auto" w:sz="4" w:space="0"/>
              <w:bottom w:val="single" w:color="auto" w:sz="4" w:space="0"/>
              <w:right w:val="single" w:color="auto" w:sz="4" w:space="0"/>
            </w:tcBorders>
            <w:shd w:val="clear" w:color="auto" w:fill="FFFFFF" w:themeFill="background1"/>
          </w:tcPr>
          <w:p w:rsidRPr="008072EB" w:rsidR="008072EB" w:rsidP="008072EB" w:rsidRDefault="008072EB" w14:paraId="6589F7BF" w14:textId="0520D393">
            <w:pPr>
              <w:rPr>
                <w:bCs/>
                <w:i/>
                <w:color w:val="FF0000"/>
                <w:sz w:val="20"/>
                <w:szCs w:val="20"/>
              </w:rPr>
            </w:pPr>
            <w:r w:rsidRPr="008072EB">
              <w:rPr>
                <w:sz w:val="20"/>
                <w:szCs w:val="20"/>
              </w:rPr>
              <w:t xml:space="preserve">Innovative initiatives piloted that support equitable market access and value chain improvement </w:t>
            </w:r>
          </w:p>
        </w:tc>
      </w:tr>
      <w:tr w:rsidRPr="008072EB" w:rsidR="0015047F" w14:paraId="28D278A5" w14:textId="77777777">
        <w:trPr>
          <w:trHeight w:val="347"/>
        </w:trPr>
        <w:tc>
          <w:tcPr>
            <w:tcW w:w="2324"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03BE0DB7" w14:textId="77777777">
            <w:pPr>
              <w:rPr>
                <w:bCs/>
                <w:sz w:val="20"/>
                <w:szCs w:val="20"/>
              </w:rPr>
            </w:pPr>
            <w:r w:rsidRPr="008072EB">
              <w:rPr>
                <w:bCs/>
                <w:sz w:val="20"/>
                <w:szCs w:val="20"/>
              </w:rPr>
              <w:t xml:space="preserve">Output number: </w:t>
            </w:r>
          </w:p>
        </w:tc>
        <w:tc>
          <w:tcPr>
            <w:tcW w:w="937"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2D20CA46" w14:textId="77777777">
            <w:pPr>
              <w:rPr>
                <w:sz w:val="20"/>
                <w:szCs w:val="20"/>
              </w:rPr>
            </w:pPr>
            <w:r w:rsidRPr="008072EB">
              <w:rPr>
                <w:sz w:val="20"/>
                <w:szCs w:val="20"/>
              </w:rPr>
              <w:t>5</w:t>
            </w:r>
          </w:p>
        </w:tc>
        <w:tc>
          <w:tcPr>
            <w:tcW w:w="3283"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5DFC9A06" w14:textId="77777777">
            <w:pPr>
              <w:rPr>
                <w:sz w:val="20"/>
                <w:szCs w:val="20"/>
              </w:rPr>
            </w:pPr>
            <w:r w:rsidRPr="008072EB">
              <w:rPr>
                <w:bCs/>
                <w:sz w:val="20"/>
                <w:szCs w:val="20"/>
              </w:rPr>
              <w:t xml:space="preserve">Output Score: </w:t>
            </w:r>
          </w:p>
        </w:tc>
        <w:tc>
          <w:tcPr>
            <w:tcW w:w="2812"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3EADB3AB" w14:textId="77777777">
            <w:pPr>
              <w:rPr>
                <w:b/>
                <w:bCs/>
                <w:color w:val="FF0000"/>
                <w:sz w:val="20"/>
                <w:szCs w:val="20"/>
              </w:rPr>
            </w:pPr>
            <w:r w:rsidRPr="008072EB">
              <w:rPr>
                <w:b/>
                <w:bCs/>
                <w:color w:val="FF0000"/>
                <w:sz w:val="20"/>
                <w:szCs w:val="20"/>
              </w:rPr>
              <w:t>B</w:t>
            </w:r>
          </w:p>
        </w:tc>
      </w:tr>
      <w:tr w:rsidRPr="008072EB" w:rsidR="0015047F" w14:paraId="77CF09AB" w14:textId="77777777">
        <w:trPr>
          <w:trHeight w:val="345"/>
        </w:trPr>
        <w:tc>
          <w:tcPr>
            <w:tcW w:w="2324"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2D6B1D65" w14:textId="77777777">
            <w:pPr>
              <w:rPr>
                <w:sz w:val="20"/>
                <w:szCs w:val="20"/>
              </w:rPr>
            </w:pPr>
            <w:r w:rsidRPr="008072EB">
              <w:rPr>
                <w:bCs/>
                <w:sz w:val="20"/>
                <w:szCs w:val="20"/>
              </w:rPr>
              <w:t xml:space="preserve">Impact weighting (%):  </w:t>
            </w:r>
          </w:p>
        </w:tc>
        <w:tc>
          <w:tcPr>
            <w:tcW w:w="937" w:type="dxa"/>
            <w:tcBorders>
              <w:top w:val="single" w:color="auto" w:sz="4" w:space="0"/>
              <w:left w:val="single" w:color="auto" w:sz="4" w:space="0"/>
              <w:bottom w:val="single" w:color="auto" w:sz="4" w:space="0"/>
              <w:right w:val="single" w:color="auto" w:sz="4" w:space="0"/>
            </w:tcBorders>
            <w:hideMark/>
          </w:tcPr>
          <w:p w:rsidRPr="008072EB" w:rsidR="008072EB" w:rsidP="008072EB" w:rsidRDefault="008072EB" w14:paraId="0153822A" w14:textId="77777777">
            <w:pPr>
              <w:rPr>
                <w:sz w:val="20"/>
                <w:szCs w:val="20"/>
              </w:rPr>
            </w:pPr>
            <w:r w:rsidRPr="008072EB">
              <w:rPr>
                <w:sz w:val="20"/>
                <w:szCs w:val="20"/>
              </w:rPr>
              <w:t>16.66</w:t>
            </w:r>
          </w:p>
        </w:tc>
        <w:tc>
          <w:tcPr>
            <w:tcW w:w="3283"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7BB529E5" w14:textId="2E848BB8">
            <w:pPr>
              <w:rPr>
                <w:bCs/>
                <w:sz w:val="20"/>
                <w:szCs w:val="20"/>
              </w:rPr>
            </w:pPr>
            <w:r w:rsidRPr="008072EB">
              <w:rPr>
                <w:bCs/>
                <w:sz w:val="20"/>
                <w:szCs w:val="20"/>
              </w:rPr>
              <w:t xml:space="preserve">Weighting revised since last </w:t>
            </w:r>
            <w:r w:rsidR="00C14357">
              <w:rPr>
                <w:bCs/>
                <w:sz w:val="20"/>
                <w:szCs w:val="20"/>
              </w:rPr>
              <w:t>annual review</w:t>
            </w:r>
            <w:r w:rsidRPr="008072EB">
              <w:rPr>
                <w:bCs/>
                <w:sz w:val="20"/>
                <w:szCs w:val="20"/>
              </w:rPr>
              <w:t xml:space="preserve">? </w:t>
            </w:r>
          </w:p>
        </w:tc>
        <w:tc>
          <w:tcPr>
            <w:tcW w:w="2812"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70152F93" w14:textId="77777777">
            <w:pPr>
              <w:rPr>
                <w:sz w:val="20"/>
                <w:szCs w:val="20"/>
              </w:rPr>
            </w:pPr>
            <w:r w:rsidRPr="008072EB">
              <w:rPr>
                <w:sz w:val="20"/>
                <w:szCs w:val="20"/>
              </w:rPr>
              <w:t>N/A</w:t>
            </w:r>
          </w:p>
        </w:tc>
      </w:tr>
    </w:tbl>
    <w:p w:rsidRPr="008072EB" w:rsidR="008072EB" w:rsidP="008072EB" w:rsidRDefault="008072EB" w14:paraId="5CB2DB48" w14:textId="77777777">
      <w:pPr>
        <w:rPr>
          <w:bCs/>
          <w:sz w:val="20"/>
          <w:szCs w:val="20"/>
        </w:rPr>
      </w:pPr>
    </w:p>
    <w:tbl>
      <w:tblPr>
        <w:tblStyle w:val="TableGrid"/>
        <w:tblpPr w:leftFromText="180" w:rightFromText="180" w:vertAnchor="text" w:horzAnchor="page" w:tblpX="1325" w:tblpY="-10"/>
        <w:tblOverlap w:val="never"/>
        <w:tblW w:w="9309" w:type="dxa"/>
        <w:tblLook w:val="04A0" w:firstRow="1" w:lastRow="0" w:firstColumn="1" w:lastColumn="0" w:noHBand="0" w:noVBand="1"/>
      </w:tblPr>
      <w:tblGrid>
        <w:gridCol w:w="1362"/>
        <w:gridCol w:w="2207"/>
        <w:gridCol w:w="2210"/>
        <w:gridCol w:w="3530"/>
      </w:tblGrid>
      <w:tr w:rsidRPr="008072EB" w:rsidR="008072EB" w:rsidTr="2C6B85DE" w14:paraId="21E708C1" w14:textId="77777777">
        <w:trPr>
          <w:trHeight w:val="278"/>
        </w:trPr>
        <w:tc>
          <w:tcPr>
            <w:tcW w:w="1362"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5493443A" w14:textId="77777777">
            <w:pPr>
              <w:rPr>
                <w:b/>
                <w:bCs/>
                <w:sz w:val="20"/>
                <w:szCs w:val="20"/>
              </w:rPr>
            </w:pPr>
            <w:r w:rsidRPr="008072EB">
              <w:rPr>
                <w:b/>
                <w:bCs/>
                <w:sz w:val="20"/>
                <w:szCs w:val="20"/>
              </w:rPr>
              <w:t>Indicator(s)</w:t>
            </w:r>
          </w:p>
        </w:tc>
        <w:tc>
          <w:tcPr>
            <w:tcW w:w="2207"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8072EB" w:rsidR="008072EB" w:rsidP="008072EB" w:rsidRDefault="008072EB" w14:paraId="30AD5491" w14:textId="77777777">
            <w:pPr>
              <w:rPr>
                <w:b/>
                <w:bCs/>
                <w:sz w:val="20"/>
                <w:szCs w:val="20"/>
              </w:rPr>
            </w:pPr>
            <w:r w:rsidRPr="008072EB">
              <w:rPr>
                <w:b/>
                <w:bCs/>
                <w:sz w:val="20"/>
                <w:szCs w:val="20"/>
              </w:rPr>
              <w:t>Description</w:t>
            </w:r>
          </w:p>
        </w:tc>
        <w:tc>
          <w:tcPr>
            <w:tcW w:w="2210"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0491FCF2" w14:textId="77777777">
            <w:pPr>
              <w:rPr>
                <w:b/>
                <w:bCs/>
                <w:sz w:val="20"/>
                <w:szCs w:val="20"/>
              </w:rPr>
            </w:pPr>
            <w:r w:rsidRPr="008072EB">
              <w:rPr>
                <w:b/>
                <w:bCs/>
                <w:sz w:val="20"/>
                <w:szCs w:val="20"/>
              </w:rPr>
              <w:t>Milestone(s) for this review</w:t>
            </w:r>
          </w:p>
        </w:tc>
        <w:tc>
          <w:tcPr>
            <w:tcW w:w="3530"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6FA18137" w14:textId="77777777">
            <w:pPr>
              <w:rPr>
                <w:b/>
                <w:bCs/>
                <w:sz w:val="20"/>
                <w:szCs w:val="20"/>
              </w:rPr>
            </w:pPr>
            <w:r w:rsidRPr="008072EB">
              <w:rPr>
                <w:b/>
                <w:bCs/>
                <w:sz w:val="20"/>
                <w:szCs w:val="20"/>
              </w:rPr>
              <w:t xml:space="preserve">Progress </w:t>
            </w:r>
          </w:p>
        </w:tc>
      </w:tr>
      <w:tr w:rsidRPr="008072EB" w:rsidR="008072EB" w:rsidTr="2C6B85DE" w14:paraId="61FACEE1" w14:textId="77777777">
        <w:trPr>
          <w:trHeight w:val="934"/>
        </w:trPr>
        <w:tc>
          <w:tcPr>
            <w:tcW w:w="1362"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37478BA3" w14:textId="77777777">
            <w:pPr>
              <w:rPr>
                <w:sz w:val="20"/>
                <w:szCs w:val="20"/>
              </w:rPr>
            </w:pPr>
            <w:r w:rsidRPr="008072EB">
              <w:rPr>
                <w:sz w:val="20"/>
                <w:szCs w:val="20"/>
              </w:rPr>
              <w:t xml:space="preserve">5.1 </w:t>
            </w:r>
          </w:p>
        </w:tc>
        <w:tc>
          <w:tcPr>
            <w:tcW w:w="2207"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4EC4B68B" w14:textId="77777777">
            <w:pPr>
              <w:rPr>
                <w:bCs/>
                <w:sz w:val="20"/>
                <w:szCs w:val="20"/>
              </w:rPr>
            </w:pPr>
            <w:r w:rsidRPr="008072EB">
              <w:rPr>
                <w:bCs/>
                <w:sz w:val="20"/>
                <w:szCs w:val="20"/>
              </w:rPr>
              <w:t>Number of pilots designed and tested by stakeholder networks</w:t>
            </w:r>
          </w:p>
          <w:p w:rsidRPr="008072EB" w:rsidR="008072EB" w:rsidP="008072EB" w:rsidRDefault="008072EB" w14:paraId="6B9BD387" w14:textId="77777777">
            <w:pPr>
              <w:rPr>
                <w:bCs/>
                <w:sz w:val="20"/>
                <w:szCs w:val="20"/>
              </w:rPr>
            </w:pPr>
          </w:p>
          <w:p w:rsidRPr="008072EB" w:rsidR="008072EB" w:rsidP="008072EB" w:rsidRDefault="008072EB" w14:paraId="540EC47F" w14:textId="005C22A1">
            <w:pPr>
              <w:rPr>
                <w:bCs/>
                <w:sz w:val="20"/>
                <w:szCs w:val="20"/>
              </w:rPr>
            </w:pPr>
            <w:r w:rsidRPr="008072EB">
              <w:rPr>
                <w:bCs/>
                <w:i/>
                <w:iCs/>
                <w:sz w:val="20"/>
                <w:szCs w:val="20"/>
              </w:rPr>
              <w:t>Indicator primarily aimed at FOA. No funding has been provided to FOA in FY24/25 but will restart in FY 25/26</w:t>
            </w:r>
          </w:p>
        </w:tc>
        <w:tc>
          <w:tcPr>
            <w:tcW w:w="2210"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5595300D" w14:textId="77777777">
            <w:pPr>
              <w:rPr>
                <w:bCs/>
                <w:sz w:val="20"/>
                <w:szCs w:val="20"/>
              </w:rPr>
            </w:pPr>
            <w:r w:rsidRPr="008072EB">
              <w:rPr>
                <w:bCs/>
                <w:sz w:val="20"/>
                <w:szCs w:val="20"/>
              </w:rPr>
              <w:t xml:space="preserve">24/25 Milestone: </w:t>
            </w:r>
          </w:p>
          <w:p w:rsidRPr="008072EB" w:rsidR="008072EB" w:rsidP="008072EB" w:rsidRDefault="008072EB" w14:paraId="57613C7C" w14:textId="77777777">
            <w:pPr>
              <w:rPr>
                <w:bCs/>
                <w:sz w:val="20"/>
                <w:szCs w:val="20"/>
              </w:rPr>
            </w:pPr>
            <w:r w:rsidRPr="008072EB">
              <w:rPr>
                <w:bCs/>
                <w:sz w:val="20"/>
                <w:szCs w:val="20"/>
              </w:rPr>
              <w:t>Total:0</w:t>
            </w:r>
          </w:p>
          <w:p w:rsidRPr="008072EB" w:rsidR="008072EB" w:rsidP="008072EB" w:rsidRDefault="008072EB" w14:paraId="485A521D" w14:textId="37C8B6E7">
            <w:pPr>
              <w:rPr>
                <w:bCs/>
                <w:sz w:val="20"/>
                <w:szCs w:val="20"/>
              </w:rPr>
            </w:pPr>
            <w:r w:rsidRPr="008072EB">
              <w:rPr>
                <w:bCs/>
                <w:sz w:val="20"/>
                <w:szCs w:val="20"/>
              </w:rPr>
              <w:t>ALBs:</w:t>
            </w:r>
            <w:r w:rsidR="00446717">
              <w:rPr>
                <w:bCs/>
                <w:sz w:val="20"/>
                <w:szCs w:val="20"/>
              </w:rPr>
              <w:t xml:space="preserve"> </w:t>
            </w:r>
            <w:r w:rsidRPr="008072EB">
              <w:rPr>
                <w:bCs/>
                <w:sz w:val="20"/>
                <w:szCs w:val="20"/>
              </w:rPr>
              <w:t>N</w:t>
            </w:r>
            <w:r w:rsidR="00446717">
              <w:rPr>
                <w:bCs/>
                <w:sz w:val="20"/>
                <w:szCs w:val="20"/>
              </w:rPr>
              <w:t>/</w:t>
            </w:r>
            <w:r w:rsidRPr="008072EB">
              <w:rPr>
                <w:bCs/>
                <w:sz w:val="20"/>
                <w:szCs w:val="20"/>
              </w:rPr>
              <w:t>A</w:t>
            </w:r>
          </w:p>
          <w:p w:rsidRPr="008072EB" w:rsidR="008072EB" w:rsidP="008072EB" w:rsidRDefault="008072EB" w14:paraId="4C0D000C" w14:textId="67CC51AA">
            <w:pPr>
              <w:rPr>
                <w:bCs/>
                <w:sz w:val="20"/>
                <w:szCs w:val="20"/>
              </w:rPr>
            </w:pPr>
            <w:r w:rsidRPr="008072EB">
              <w:rPr>
                <w:bCs/>
                <w:sz w:val="20"/>
                <w:szCs w:val="20"/>
              </w:rPr>
              <w:t>GOAP:</w:t>
            </w:r>
            <w:r w:rsidR="00446717">
              <w:rPr>
                <w:bCs/>
                <w:sz w:val="20"/>
                <w:szCs w:val="20"/>
              </w:rPr>
              <w:t xml:space="preserve"> </w:t>
            </w:r>
            <w:r w:rsidRPr="008072EB">
              <w:rPr>
                <w:bCs/>
                <w:sz w:val="20"/>
                <w:szCs w:val="20"/>
              </w:rPr>
              <w:t>N</w:t>
            </w:r>
            <w:r w:rsidR="00446717">
              <w:rPr>
                <w:bCs/>
                <w:sz w:val="20"/>
                <w:szCs w:val="20"/>
              </w:rPr>
              <w:t>/</w:t>
            </w:r>
            <w:r w:rsidRPr="008072EB">
              <w:rPr>
                <w:bCs/>
                <w:sz w:val="20"/>
                <w:szCs w:val="20"/>
              </w:rPr>
              <w:t>A</w:t>
            </w:r>
          </w:p>
          <w:p w:rsidRPr="008072EB" w:rsidR="008072EB" w:rsidP="008072EB" w:rsidRDefault="008072EB" w14:paraId="29C79A36" w14:textId="77777777">
            <w:pPr>
              <w:rPr>
                <w:bCs/>
                <w:sz w:val="20"/>
                <w:szCs w:val="20"/>
              </w:rPr>
            </w:pPr>
          </w:p>
          <w:p w:rsidRPr="008072EB" w:rsidR="008072EB" w:rsidP="008072EB" w:rsidRDefault="008072EB" w14:paraId="6973D8E4" w14:textId="77777777">
            <w:pPr>
              <w:rPr>
                <w:bCs/>
                <w:sz w:val="20"/>
                <w:szCs w:val="20"/>
              </w:rPr>
            </w:pPr>
            <w:r w:rsidRPr="008072EB">
              <w:rPr>
                <w:bCs/>
                <w:sz w:val="20"/>
                <w:szCs w:val="20"/>
              </w:rPr>
              <w:t xml:space="preserve">23/24 thresholds </w:t>
            </w:r>
            <w:r w:rsidRPr="008072EB">
              <w:rPr>
                <w:i/>
                <w:iCs/>
                <w:sz w:val="20"/>
                <w:szCs w:val="20"/>
              </w:rPr>
              <w:t>(Cumulative milestones with year-on-year overlap)</w:t>
            </w:r>
          </w:p>
          <w:p w:rsidRPr="008072EB" w:rsidR="008072EB" w:rsidP="008072EB" w:rsidRDefault="008072EB" w14:paraId="1C54836A" w14:textId="77777777">
            <w:pPr>
              <w:rPr>
                <w:bCs/>
                <w:sz w:val="20"/>
                <w:szCs w:val="20"/>
              </w:rPr>
            </w:pPr>
            <w:r w:rsidRPr="008072EB">
              <w:rPr>
                <w:bCs/>
                <w:sz w:val="20"/>
                <w:szCs w:val="20"/>
              </w:rPr>
              <w:t>No milestone</w:t>
            </w:r>
          </w:p>
          <w:p w:rsidRPr="008072EB" w:rsidR="008072EB" w:rsidP="008072EB" w:rsidRDefault="008072EB" w14:paraId="71423227" w14:textId="77777777">
            <w:pPr>
              <w:rPr>
                <w:bCs/>
                <w:sz w:val="20"/>
                <w:szCs w:val="20"/>
              </w:rPr>
            </w:pPr>
          </w:p>
        </w:tc>
        <w:tc>
          <w:tcPr>
            <w:tcW w:w="3530"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138AE84C" w14:textId="0F1B6608">
            <w:pPr>
              <w:rPr>
                <w:sz w:val="20"/>
                <w:szCs w:val="20"/>
              </w:rPr>
            </w:pPr>
            <w:r w:rsidRPr="2C6B85DE">
              <w:rPr>
                <w:sz w:val="20"/>
                <w:szCs w:val="20"/>
              </w:rPr>
              <w:t xml:space="preserve">Overall: 3, B </w:t>
            </w:r>
          </w:p>
          <w:p w:rsidRPr="008072EB" w:rsidR="008072EB" w:rsidP="008072EB" w:rsidRDefault="008072EB" w14:paraId="52FE7543" w14:textId="77777777">
            <w:pPr>
              <w:rPr>
                <w:sz w:val="20"/>
                <w:szCs w:val="20"/>
              </w:rPr>
            </w:pPr>
          </w:p>
          <w:p w:rsidRPr="008072EB" w:rsidR="008072EB" w:rsidP="008072EB" w:rsidRDefault="008072EB" w14:paraId="06E57A63" w14:textId="77777777">
            <w:pPr>
              <w:rPr>
                <w:sz w:val="20"/>
                <w:szCs w:val="20"/>
              </w:rPr>
            </w:pPr>
            <w:r w:rsidRPr="008072EB">
              <w:rPr>
                <w:sz w:val="20"/>
                <w:szCs w:val="20"/>
              </w:rPr>
              <w:t>ALB progress: 0</w:t>
            </w:r>
          </w:p>
          <w:p w:rsidRPr="008072EB" w:rsidR="008072EB" w:rsidP="008072EB" w:rsidRDefault="008072EB" w14:paraId="2C94E2C9" w14:textId="77777777">
            <w:pPr>
              <w:rPr>
                <w:sz w:val="20"/>
                <w:szCs w:val="20"/>
              </w:rPr>
            </w:pPr>
            <w:r w:rsidRPr="008072EB">
              <w:rPr>
                <w:sz w:val="20"/>
                <w:szCs w:val="20"/>
              </w:rPr>
              <w:t xml:space="preserve">GOAP progress: 0 </w:t>
            </w:r>
          </w:p>
          <w:p w:rsidR="008072EB" w:rsidP="008072EB" w:rsidRDefault="008072EB" w14:paraId="041360F3" w14:textId="77777777">
            <w:pPr>
              <w:rPr>
                <w:sz w:val="20"/>
                <w:szCs w:val="20"/>
              </w:rPr>
            </w:pPr>
            <w:r w:rsidRPr="008072EB">
              <w:rPr>
                <w:sz w:val="20"/>
                <w:szCs w:val="20"/>
              </w:rPr>
              <w:t>FOA progress: 3</w:t>
            </w:r>
          </w:p>
          <w:p w:rsidR="00971134" w:rsidP="008072EB" w:rsidRDefault="00971134" w14:paraId="53A7F493" w14:textId="77777777">
            <w:pPr>
              <w:rPr>
                <w:sz w:val="20"/>
                <w:szCs w:val="20"/>
              </w:rPr>
            </w:pPr>
          </w:p>
          <w:p w:rsidRPr="008072EB" w:rsidR="00971134" w:rsidP="008072EB" w:rsidRDefault="00971134" w14:paraId="66CD030C" w14:textId="070BA65F">
            <w:pPr>
              <w:rPr>
                <w:sz w:val="20"/>
                <w:szCs w:val="20"/>
              </w:rPr>
            </w:pPr>
            <w:r>
              <w:rPr>
                <w:bCs/>
                <w:i/>
                <w:iCs/>
                <w:sz w:val="20"/>
                <w:szCs w:val="20"/>
              </w:rPr>
              <w:t>Scoring based on the results of the FOA evaluation report produced February 2024</w:t>
            </w:r>
          </w:p>
        </w:tc>
      </w:tr>
      <w:tr w:rsidRPr="008072EB" w:rsidR="008072EB" w:rsidTr="2C6B85DE" w14:paraId="2B53DCB8" w14:textId="77777777">
        <w:trPr>
          <w:trHeight w:val="229"/>
        </w:trPr>
        <w:tc>
          <w:tcPr>
            <w:tcW w:w="1362"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6DDF80AD" w14:textId="77777777">
            <w:pPr>
              <w:rPr>
                <w:bCs/>
                <w:sz w:val="20"/>
                <w:szCs w:val="20"/>
              </w:rPr>
            </w:pPr>
            <w:r w:rsidRPr="008072EB">
              <w:rPr>
                <w:bCs/>
                <w:sz w:val="20"/>
                <w:szCs w:val="20"/>
              </w:rPr>
              <w:t>5.2</w:t>
            </w:r>
          </w:p>
        </w:tc>
        <w:tc>
          <w:tcPr>
            <w:tcW w:w="2207"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32585F1D" w14:textId="77777777">
            <w:pPr>
              <w:rPr>
                <w:bCs/>
                <w:sz w:val="20"/>
                <w:szCs w:val="20"/>
              </w:rPr>
            </w:pPr>
            <w:r w:rsidRPr="008072EB">
              <w:rPr>
                <w:bCs/>
                <w:sz w:val="20"/>
                <w:szCs w:val="20"/>
              </w:rPr>
              <w:t>Number of initiatives planned to take to scale that support value chain improvement and equitable market access</w:t>
            </w:r>
          </w:p>
          <w:p w:rsidRPr="008072EB" w:rsidR="008072EB" w:rsidP="008072EB" w:rsidRDefault="008072EB" w14:paraId="0345B587" w14:textId="77777777">
            <w:pPr>
              <w:rPr>
                <w:bCs/>
                <w:sz w:val="20"/>
                <w:szCs w:val="20"/>
              </w:rPr>
            </w:pPr>
          </w:p>
          <w:p w:rsidRPr="008072EB" w:rsidR="008072EB" w:rsidP="008072EB" w:rsidRDefault="008072EB" w14:paraId="2451B54A" w14:textId="77777777">
            <w:pPr>
              <w:rPr>
                <w:bCs/>
                <w:sz w:val="20"/>
                <w:szCs w:val="20"/>
              </w:rPr>
            </w:pPr>
            <w:r w:rsidRPr="008072EB">
              <w:rPr>
                <w:bCs/>
                <w:i/>
                <w:iCs/>
                <w:sz w:val="20"/>
                <w:szCs w:val="20"/>
              </w:rPr>
              <w:t>Indicator primarily aimed at FOA. No funding has been provided to FOA in FY24/25 but will restart in FY 25/26</w:t>
            </w:r>
          </w:p>
        </w:tc>
        <w:tc>
          <w:tcPr>
            <w:tcW w:w="2210"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6DA4A908" w14:textId="77777777">
            <w:pPr>
              <w:rPr>
                <w:bCs/>
                <w:sz w:val="20"/>
                <w:szCs w:val="20"/>
              </w:rPr>
            </w:pPr>
            <w:r w:rsidRPr="008072EB">
              <w:rPr>
                <w:bCs/>
                <w:sz w:val="20"/>
                <w:szCs w:val="20"/>
              </w:rPr>
              <w:t xml:space="preserve">24/25 Milestone: </w:t>
            </w:r>
          </w:p>
          <w:p w:rsidRPr="008072EB" w:rsidR="008072EB" w:rsidP="008072EB" w:rsidRDefault="008072EB" w14:paraId="60F57DE2" w14:textId="77777777">
            <w:pPr>
              <w:rPr>
                <w:bCs/>
                <w:sz w:val="20"/>
                <w:szCs w:val="20"/>
              </w:rPr>
            </w:pPr>
            <w:r w:rsidRPr="008072EB">
              <w:rPr>
                <w:bCs/>
                <w:sz w:val="20"/>
                <w:szCs w:val="20"/>
              </w:rPr>
              <w:t>Total:0</w:t>
            </w:r>
          </w:p>
          <w:p w:rsidRPr="008072EB" w:rsidR="008072EB" w:rsidP="008072EB" w:rsidRDefault="008072EB" w14:paraId="44EB292F" w14:textId="4A504299">
            <w:pPr>
              <w:rPr>
                <w:bCs/>
                <w:sz w:val="20"/>
                <w:szCs w:val="20"/>
              </w:rPr>
            </w:pPr>
            <w:r w:rsidRPr="008072EB">
              <w:rPr>
                <w:bCs/>
                <w:sz w:val="20"/>
                <w:szCs w:val="20"/>
              </w:rPr>
              <w:t>ALBs:</w:t>
            </w:r>
            <w:r w:rsidR="00446717">
              <w:rPr>
                <w:bCs/>
                <w:sz w:val="20"/>
                <w:szCs w:val="20"/>
              </w:rPr>
              <w:t xml:space="preserve"> </w:t>
            </w:r>
            <w:r w:rsidRPr="008072EB">
              <w:rPr>
                <w:bCs/>
                <w:sz w:val="20"/>
                <w:szCs w:val="20"/>
              </w:rPr>
              <w:t>N</w:t>
            </w:r>
            <w:r w:rsidR="00446717">
              <w:rPr>
                <w:bCs/>
                <w:sz w:val="20"/>
                <w:szCs w:val="20"/>
              </w:rPr>
              <w:t>/</w:t>
            </w:r>
            <w:r w:rsidRPr="008072EB">
              <w:rPr>
                <w:bCs/>
                <w:sz w:val="20"/>
                <w:szCs w:val="20"/>
              </w:rPr>
              <w:t>A</w:t>
            </w:r>
          </w:p>
          <w:p w:rsidRPr="008072EB" w:rsidR="008072EB" w:rsidP="008072EB" w:rsidRDefault="008072EB" w14:paraId="0C97C100" w14:textId="212A1DF7">
            <w:pPr>
              <w:rPr>
                <w:bCs/>
                <w:sz w:val="20"/>
                <w:szCs w:val="20"/>
              </w:rPr>
            </w:pPr>
            <w:r w:rsidRPr="008072EB">
              <w:rPr>
                <w:bCs/>
                <w:sz w:val="20"/>
                <w:szCs w:val="20"/>
              </w:rPr>
              <w:t>GOAP:</w:t>
            </w:r>
            <w:r w:rsidR="00446717">
              <w:rPr>
                <w:bCs/>
                <w:sz w:val="20"/>
                <w:szCs w:val="20"/>
              </w:rPr>
              <w:t xml:space="preserve"> </w:t>
            </w:r>
            <w:r w:rsidRPr="008072EB">
              <w:rPr>
                <w:bCs/>
                <w:sz w:val="20"/>
                <w:szCs w:val="20"/>
              </w:rPr>
              <w:t>N</w:t>
            </w:r>
            <w:r w:rsidR="00446717">
              <w:rPr>
                <w:bCs/>
                <w:sz w:val="20"/>
                <w:szCs w:val="20"/>
              </w:rPr>
              <w:t>/</w:t>
            </w:r>
            <w:r w:rsidRPr="008072EB">
              <w:rPr>
                <w:bCs/>
                <w:sz w:val="20"/>
                <w:szCs w:val="20"/>
              </w:rPr>
              <w:t>A</w:t>
            </w:r>
          </w:p>
          <w:p w:rsidRPr="008072EB" w:rsidR="008072EB" w:rsidP="008072EB" w:rsidRDefault="008072EB" w14:paraId="34D3D712" w14:textId="77777777">
            <w:pPr>
              <w:rPr>
                <w:bCs/>
                <w:sz w:val="20"/>
                <w:szCs w:val="20"/>
              </w:rPr>
            </w:pPr>
          </w:p>
          <w:p w:rsidRPr="008072EB" w:rsidR="008072EB" w:rsidP="008072EB" w:rsidRDefault="008072EB" w14:paraId="3DEE9E9D" w14:textId="77777777">
            <w:pPr>
              <w:rPr>
                <w:bCs/>
                <w:sz w:val="20"/>
                <w:szCs w:val="20"/>
              </w:rPr>
            </w:pPr>
            <w:r w:rsidRPr="008072EB">
              <w:rPr>
                <w:bCs/>
                <w:sz w:val="20"/>
                <w:szCs w:val="20"/>
              </w:rPr>
              <w:t xml:space="preserve">23/24 thresholds </w:t>
            </w:r>
            <w:r w:rsidRPr="008072EB">
              <w:rPr>
                <w:i/>
                <w:iCs/>
                <w:sz w:val="20"/>
                <w:szCs w:val="20"/>
              </w:rPr>
              <w:t>(Cumulative milestones with year-on-year overlap)</w:t>
            </w:r>
          </w:p>
          <w:p w:rsidRPr="008072EB" w:rsidR="008072EB" w:rsidP="008072EB" w:rsidRDefault="008072EB" w14:paraId="0647B50C" w14:textId="77777777">
            <w:pPr>
              <w:rPr>
                <w:bCs/>
                <w:sz w:val="20"/>
                <w:szCs w:val="20"/>
              </w:rPr>
            </w:pPr>
            <w:r w:rsidRPr="008072EB">
              <w:rPr>
                <w:bCs/>
                <w:sz w:val="20"/>
                <w:szCs w:val="20"/>
              </w:rPr>
              <w:t>No milestone</w:t>
            </w:r>
          </w:p>
          <w:p w:rsidRPr="008072EB" w:rsidR="008072EB" w:rsidP="008072EB" w:rsidRDefault="008072EB" w14:paraId="07F92FD5" w14:textId="77777777">
            <w:pPr>
              <w:rPr>
                <w:bCs/>
                <w:sz w:val="20"/>
                <w:szCs w:val="20"/>
              </w:rPr>
            </w:pPr>
          </w:p>
        </w:tc>
        <w:tc>
          <w:tcPr>
            <w:tcW w:w="3530"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7DACA0C4" w14:textId="77777777">
            <w:pPr>
              <w:rPr>
                <w:sz w:val="20"/>
                <w:szCs w:val="20"/>
              </w:rPr>
            </w:pPr>
            <w:r w:rsidRPr="008072EB">
              <w:rPr>
                <w:sz w:val="20"/>
                <w:szCs w:val="20"/>
              </w:rPr>
              <w:t>Overall: 3, B</w:t>
            </w:r>
          </w:p>
          <w:p w:rsidRPr="008072EB" w:rsidR="008072EB" w:rsidP="008072EB" w:rsidRDefault="008072EB" w14:paraId="62A08DB7" w14:textId="77777777">
            <w:pPr>
              <w:rPr>
                <w:sz w:val="20"/>
                <w:szCs w:val="20"/>
              </w:rPr>
            </w:pPr>
          </w:p>
          <w:p w:rsidRPr="008072EB" w:rsidR="008072EB" w:rsidP="008072EB" w:rsidRDefault="008072EB" w14:paraId="446991E7" w14:textId="2465C4CB">
            <w:pPr>
              <w:rPr>
                <w:sz w:val="20"/>
                <w:szCs w:val="20"/>
              </w:rPr>
            </w:pPr>
            <w:r w:rsidRPr="008072EB">
              <w:rPr>
                <w:sz w:val="20"/>
                <w:szCs w:val="20"/>
              </w:rPr>
              <w:t>ALB progress: N</w:t>
            </w:r>
            <w:r w:rsidR="00446717">
              <w:rPr>
                <w:sz w:val="20"/>
                <w:szCs w:val="20"/>
              </w:rPr>
              <w:t>/</w:t>
            </w:r>
            <w:r w:rsidRPr="008072EB">
              <w:rPr>
                <w:sz w:val="20"/>
                <w:szCs w:val="20"/>
              </w:rPr>
              <w:t>A</w:t>
            </w:r>
          </w:p>
          <w:p w:rsidRPr="008072EB" w:rsidR="008072EB" w:rsidP="008072EB" w:rsidRDefault="008072EB" w14:paraId="210F1E64" w14:textId="6F3B7802">
            <w:pPr>
              <w:rPr>
                <w:sz w:val="20"/>
                <w:szCs w:val="20"/>
              </w:rPr>
            </w:pPr>
            <w:r w:rsidRPr="008072EB">
              <w:rPr>
                <w:sz w:val="20"/>
                <w:szCs w:val="20"/>
              </w:rPr>
              <w:t>GOAP progress: N</w:t>
            </w:r>
            <w:r w:rsidR="00446717">
              <w:rPr>
                <w:sz w:val="20"/>
                <w:szCs w:val="20"/>
              </w:rPr>
              <w:t>/</w:t>
            </w:r>
            <w:r w:rsidRPr="008072EB">
              <w:rPr>
                <w:sz w:val="20"/>
                <w:szCs w:val="20"/>
              </w:rPr>
              <w:t xml:space="preserve">A </w:t>
            </w:r>
          </w:p>
          <w:p w:rsidRPr="008072EB" w:rsidR="008072EB" w:rsidP="008072EB" w:rsidRDefault="008072EB" w14:paraId="5C0DA324" w14:textId="77777777">
            <w:pPr>
              <w:rPr>
                <w:sz w:val="20"/>
                <w:szCs w:val="20"/>
              </w:rPr>
            </w:pPr>
            <w:r w:rsidRPr="008072EB">
              <w:rPr>
                <w:sz w:val="20"/>
                <w:szCs w:val="20"/>
              </w:rPr>
              <w:t>FOA progress: 3</w:t>
            </w:r>
          </w:p>
          <w:p w:rsidRPr="008072EB" w:rsidR="008072EB" w:rsidP="008072EB" w:rsidRDefault="008072EB" w14:paraId="12387A7E" w14:textId="77777777">
            <w:pPr>
              <w:rPr>
                <w:sz w:val="20"/>
                <w:szCs w:val="20"/>
              </w:rPr>
            </w:pPr>
          </w:p>
          <w:p w:rsidRPr="008072EB" w:rsidR="008072EB" w:rsidP="008072EB" w:rsidRDefault="00971134" w14:paraId="1BBFE228" w14:textId="5333B474">
            <w:pPr>
              <w:rPr>
                <w:sz w:val="20"/>
                <w:szCs w:val="20"/>
              </w:rPr>
            </w:pPr>
            <w:r>
              <w:rPr>
                <w:bCs/>
                <w:i/>
                <w:iCs/>
                <w:sz w:val="20"/>
                <w:szCs w:val="20"/>
              </w:rPr>
              <w:t>Scoring based on the results of the FOA evaluation report produced February 2024</w:t>
            </w:r>
          </w:p>
        </w:tc>
      </w:tr>
    </w:tbl>
    <w:p w:rsidRPr="008072EB" w:rsidR="008072EB" w:rsidP="008072EB" w:rsidRDefault="008072EB" w14:paraId="4B473D8F" w14:textId="77777777">
      <w:pPr>
        <w:jc w:val="both"/>
        <w:rPr>
          <w:rFonts w:cs="Arial"/>
          <w:b/>
          <w:bCs/>
          <w:sz w:val="22"/>
          <w:szCs w:val="22"/>
        </w:rPr>
      </w:pPr>
    </w:p>
    <w:p w:rsidRPr="008072EB" w:rsidR="008072EB" w:rsidP="008072EB" w:rsidRDefault="008072EB" w14:paraId="07117211" w14:textId="77777777">
      <w:pPr>
        <w:jc w:val="both"/>
        <w:rPr>
          <w:rFonts w:cs="Arial"/>
          <w:i/>
          <w:iCs/>
          <w:sz w:val="22"/>
          <w:szCs w:val="22"/>
        </w:rPr>
      </w:pPr>
      <w:r w:rsidRPr="008072EB">
        <w:rPr>
          <w:rFonts w:cs="Arial"/>
          <w:i/>
          <w:iCs/>
          <w:sz w:val="22"/>
          <w:szCs w:val="22"/>
        </w:rPr>
        <w:t>Note: 23/24 reporting for FOA is taken from phase 3 plans and reporting. Milestones for FOA were not set for 24/25 because of pending funding decisions.</w:t>
      </w:r>
    </w:p>
    <w:p w:rsidRPr="008072EB" w:rsidR="008072EB" w:rsidP="008072EB" w:rsidRDefault="008072EB" w14:paraId="4351A4DB" w14:textId="77777777">
      <w:pPr>
        <w:jc w:val="both"/>
        <w:rPr>
          <w:rFonts w:cs="Arial"/>
          <w:b/>
          <w:bCs/>
          <w:sz w:val="22"/>
          <w:szCs w:val="22"/>
        </w:rPr>
      </w:pPr>
    </w:p>
    <w:p w:rsidRPr="008072EB" w:rsidR="008072EB" w:rsidP="008072EB" w:rsidRDefault="008072EB" w14:paraId="2E2E459E" w14:textId="391BA2EF">
      <w:pPr>
        <w:jc w:val="both"/>
        <w:rPr>
          <w:rFonts w:cs="Arial"/>
          <w:b/>
          <w:bCs/>
          <w:sz w:val="22"/>
          <w:szCs w:val="22"/>
        </w:rPr>
      </w:pPr>
      <w:r w:rsidRPr="008072EB">
        <w:rPr>
          <w:rFonts w:cs="Arial"/>
          <w:b/>
          <w:bCs/>
          <w:sz w:val="22"/>
          <w:szCs w:val="22"/>
        </w:rPr>
        <w:t xml:space="preserve">C1. Briefly describe the output’s </w:t>
      </w:r>
      <w:r w:rsidRPr="008072EB" w:rsidR="009E70EF">
        <w:rPr>
          <w:rFonts w:cs="Arial"/>
          <w:b/>
          <w:bCs/>
          <w:sz w:val="22"/>
          <w:szCs w:val="22"/>
        </w:rPr>
        <w:t>activities and</w:t>
      </w:r>
      <w:r w:rsidRPr="008072EB">
        <w:rPr>
          <w:rFonts w:cs="Arial"/>
          <w:b/>
          <w:bCs/>
          <w:sz w:val="22"/>
          <w:szCs w:val="22"/>
        </w:rPr>
        <w:t xml:space="preserve"> provide supporting narrative for the score.</w:t>
      </w:r>
      <w:r w:rsidRPr="008072EB">
        <w:rPr>
          <w:rFonts w:cs="Arial"/>
          <w:sz w:val="22"/>
          <w:szCs w:val="22"/>
        </w:rPr>
        <w:t xml:space="preserve"> </w:t>
      </w:r>
    </w:p>
    <w:p w:rsidRPr="008072EB" w:rsidR="008072EB" w:rsidP="008072EB" w:rsidRDefault="008072EB" w14:paraId="796C296B" w14:textId="77777777">
      <w:pPr>
        <w:rPr>
          <w:rFonts w:cs="Arial"/>
          <w:sz w:val="22"/>
          <w:szCs w:val="22"/>
        </w:rPr>
      </w:pPr>
    </w:p>
    <w:p w:rsidRPr="008072EB" w:rsidR="008072EB" w:rsidP="008072EB" w:rsidRDefault="008072EB" w14:paraId="457DEE99" w14:textId="6461A751">
      <w:pPr>
        <w:rPr>
          <w:sz w:val="22"/>
          <w:szCs w:val="22"/>
        </w:rPr>
      </w:pPr>
      <w:r w:rsidRPr="008072EB">
        <w:rPr>
          <w:rFonts w:cs="Arial"/>
          <w:sz w:val="22"/>
          <w:szCs w:val="22"/>
        </w:rPr>
        <w:t xml:space="preserve">Output 5 and associated indicators monitor innovative initiatives piloted that support equitable market access and value chain improvement. </w:t>
      </w:r>
      <w:r w:rsidRPr="008072EB">
        <w:rPr>
          <w:sz w:val="22"/>
          <w:szCs w:val="22"/>
        </w:rPr>
        <w:t xml:space="preserve">The programme has scored B in indicators 5.1 and 5.2. Overall, output 4 has scored a B. The indicators </w:t>
      </w:r>
      <w:r w:rsidRPr="008072EB" w:rsidR="002926A4">
        <w:rPr>
          <w:sz w:val="22"/>
          <w:szCs w:val="22"/>
        </w:rPr>
        <w:t>capture</w:t>
      </w:r>
      <w:r w:rsidRPr="008072EB">
        <w:rPr>
          <w:sz w:val="22"/>
          <w:szCs w:val="22"/>
        </w:rPr>
        <w:t xml:space="preserve"> the work of FOA and is not applicable for ALBs and GOAP.</w:t>
      </w:r>
      <w:r w:rsidRPr="002926A4" w:rsidR="002926A4">
        <w:t xml:space="preserve"> </w:t>
      </w:r>
      <w:r w:rsidRPr="002926A4" w:rsidR="002926A4">
        <w:rPr>
          <w:sz w:val="22"/>
          <w:szCs w:val="22"/>
        </w:rPr>
        <w:t>No milestones were set by FOA due to the uncertainty of continued funding at the time of setting milestones. The scoring is based on the results of the FOA evaluation report produced in February 2024.</w:t>
      </w:r>
    </w:p>
    <w:p w:rsidRPr="008072EB" w:rsidR="008072EB" w:rsidP="008072EB" w:rsidRDefault="008072EB" w14:paraId="0B373FD3" w14:textId="77777777">
      <w:pPr>
        <w:rPr>
          <w:sz w:val="22"/>
          <w:szCs w:val="22"/>
        </w:rPr>
      </w:pPr>
    </w:p>
    <w:p w:rsidRPr="008072EB" w:rsidR="008072EB" w:rsidP="008072EB" w:rsidRDefault="008072EB" w14:paraId="619825C4" w14:textId="521BEA0F">
      <w:pPr>
        <w:rPr>
          <w:rFonts w:cs="Arial"/>
          <w:sz w:val="22"/>
          <w:szCs w:val="22"/>
        </w:rPr>
      </w:pPr>
      <w:r w:rsidRPr="008072EB">
        <w:rPr>
          <w:b/>
          <w:bCs/>
          <w:sz w:val="22"/>
          <w:szCs w:val="22"/>
        </w:rPr>
        <w:t xml:space="preserve">5.1 – B. </w:t>
      </w:r>
      <w:r w:rsidRPr="008072EB">
        <w:rPr>
          <w:sz w:val="22"/>
          <w:szCs w:val="22"/>
        </w:rPr>
        <w:t>This indicator measures the</w:t>
      </w:r>
      <w:r w:rsidRPr="008072EB">
        <w:t xml:space="preserve"> </w:t>
      </w:r>
      <w:r w:rsidRPr="008072EB">
        <w:rPr>
          <w:sz w:val="22"/>
          <w:szCs w:val="22"/>
        </w:rPr>
        <w:t>number of pilots designed and tested by stakeholder networks.</w:t>
      </w:r>
      <w:r w:rsidRPr="008072EB">
        <w:rPr>
          <w:rFonts w:cs="Arial"/>
          <w:sz w:val="22"/>
          <w:szCs w:val="22"/>
        </w:rPr>
        <w:t xml:space="preserve"> FOA reported </w:t>
      </w:r>
      <w:r w:rsidR="000851BA">
        <w:rPr>
          <w:rFonts w:cs="Arial"/>
          <w:sz w:val="22"/>
          <w:szCs w:val="22"/>
        </w:rPr>
        <w:t>three</w:t>
      </w:r>
      <w:r w:rsidRPr="008072EB">
        <w:rPr>
          <w:rFonts w:cs="Arial"/>
          <w:sz w:val="22"/>
          <w:szCs w:val="22"/>
        </w:rPr>
        <w:t xml:space="preserve">. The total reported is 3. </w:t>
      </w:r>
      <w:r w:rsidRPr="008072EB">
        <w:rPr>
          <w:sz w:val="22"/>
          <w:szCs w:val="22"/>
        </w:rPr>
        <w:t>This Indicator is primarily aimed at FOA, no funding has been provided to FOA in FY24/25 but will restart in FY 25/26.</w:t>
      </w:r>
    </w:p>
    <w:p w:rsidRPr="008072EB" w:rsidR="008072EB" w:rsidP="008072EB" w:rsidRDefault="008072EB" w14:paraId="24EDBF2D" w14:textId="77777777">
      <w:pPr>
        <w:rPr>
          <w:rFonts w:cs="Arial"/>
          <w:b/>
          <w:bCs/>
          <w:sz w:val="22"/>
          <w:szCs w:val="22"/>
        </w:rPr>
      </w:pPr>
    </w:p>
    <w:p w:rsidRPr="008072EB" w:rsidR="008072EB" w:rsidP="1FB22237" w:rsidRDefault="008072EB" w14:paraId="4FCBD533" w14:textId="4A9DC753">
      <w:pPr>
        <w:rPr>
          <w:rFonts w:cs="Arial"/>
          <w:b/>
          <w:bCs/>
          <w:sz w:val="22"/>
          <w:szCs w:val="22"/>
        </w:rPr>
      </w:pPr>
      <w:r w:rsidRPr="1FB22237">
        <w:rPr>
          <w:b/>
          <w:bCs/>
          <w:sz w:val="22"/>
          <w:szCs w:val="22"/>
        </w:rPr>
        <w:t xml:space="preserve">5.2 – B. </w:t>
      </w:r>
      <w:r w:rsidRPr="1FB22237">
        <w:rPr>
          <w:sz w:val="22"/>
          <w:szCs w:val="22"/>
        </w:rPr>
        <w:t>This indicator measures the number of initiatives </w:t>
      </w:r>
      <w:r w:rsidRPr="1FB22237" w:rsidR="00DF539C">
        <w:rPr>
          <w:sz w:val="22"/>
          <w:szCs w:val="22"/>
        </w:rPr>
        <w:t xml:space="preserve">counted in indicator 5.1 that are </w:t>
      </w:r>
      <w:r w:rsidRPr="1FB22237">
        <w:rPr>
          <w:sz w:val="22"/>
          <w:szCs w:val="22"/>
        </w:rPr>
        <w:t xml:space="preserve">planned to take to scale that support value chain improvement and equitable market access. </w:t>
      </w:r>
      <w:r w:rsidRPr="1FB22237">
        <w:rPr>
          <w:rFonts w:cs="Arial"/>
          <w:sz w:val="22"/>
          <w:szCs w:val="22"/>
        </w:rPr>
        <w:t xml:space="preserve">FOA reported </w:t>
      </w:r>
      <w:r w:rsidR="000851BA">
        <w:rPr>
          <w:rFonts w:cs="Arial"/>
          <w:sz w:val="22"/>
          <w:szCs w:val="22"/>
        </w:rPr>
        <w:t>three</w:t>
      </w:r>
      <w:r w:rsidRPr="1FB22237">
        <w:rPr>
          <w:rFonts w:cs="Arial"/>
          <w:sz w:val="22"/>
          <w:szCs w:val="22"/>
        </w:rPr>
        <w:t xml:space="preserve">. The total reported is </w:t>
      </w:r>
      <w:r w:rsidR="000851BA">
        <w:rPr>
          <w:rFonts w:cs="Arial"/>
          <w:sz w:val="22"/>
          <w:szCs w:val="22"/>
        </w:rPr>
        <w:t>three</w:t>
      </w:r>
      <w:r w:rsidRPr="1FB22237">
        <w:rPr>
          <w:rFonts w:cs="Arial"/>
          <w:sz w:val="22"/>
          <w:szCs w:val="22"/>
        </w:rPr>
        <w:t xml:space="preserve">. </w:t>
      </w:r>
      <w:r w:rsidRPr="1FB22237">
        <w:rPr>
          <w:sz w:val="22"/>
          <w:szCs w:val="22"/>
        </w:rPr>
        <w:t>This Indicator is primarily aimed at FOA, no funding has been provided to FOA in FY24/25 but will restart in FY 25/26.</w:t>
      </w:r>
    </w:p>
    <w:p w:rsidRPr="008072EB" w:rsidR="008072EB" w:rsidP="008072EB" w:rsidRDefault="008072EB" w14:paraId="59BED3AD" w14:textId="77777777">
      <w:pPr>
        <w:jc w:val="both"/>
        <w:rPr>
          <w:rFonts w:cs="Arial"/>
          <w:b/>
          <w:sz w:val="22"/>
        </w:rPr>
      </w:pPr>
    </w:p>
    <w:p w:rsidR="004A3789" w:rsidP="004A3789" w:rsidRDefault="004A3789" w14:paraId="0A8567A4" w14:textId="77777777">
      <w:pPr>
        <w:jc w:val="both"/>
        <w:rPr>
          <w:rFonts w:cs="Arial"/>
          <w:bCs/>
          <w:sz w:val="22"/>
          <w:u w:val="single"/>
        </w:rPr>
      </w:pPr>
      <w:r>
        <w:rPr>
          <w:rFonts w:cs="Arial"/>
          <w:bCs/>
          <w:sz w:val="22"/>
          <w:u w:val="single"/>
        </w:rPr>
        <w:t>The three pilots delivered by FOA that are designed and stakeholder tested (indicator 5.1) and planned to take to scale (indicator 5.2) include:</w:t>
      </w:r>
    </w:p>
    <w:p w:rsidRPr="008072EB" w:rsidR="008072EB" w:rsidP="008072EB" w:rsidRDefault="008072EB" w14:paraId="01D3CCBD" w14:textId="77777777">
      <w:pPr>
        <w:jc w:val="both"/>
        <w:rPr>
          <w:rFonts w:cs="Arial"/>
          <w:bCs/>
          <w:sz w:val="22"/>
          <w:u w:val="single"/>
        </w:rPr>
      </w:pPr>
    </w:p>
    <w:p w:rsidR="008D477F" w:rsidP="00620E68" w:rsidRDefault="00620E68" w14:paraId="1B273EF3" w14:textId="18878D23">
      <w:pPr>
        <w:pStyle w:val="ListBullet"/>
        <w:numPr>
          <w:ilvl w:val="0"/>
          <w:numId w:val="44"/>
        </w:numPr>
        <w:rPr>
          <w:sz w:val="22"/>
          <w:szCs w:val="22"/>
        </w:rPr>
      </w:pPr>
      <w:r w:rsidRPr="2C6B85DE">
        <w:rPr>
          <w:sz w:val="22"/>
          <w:szCs w:val="22"/>
        </w:rPr>
        <w:t xml:space="preserve">Namibian Ocean Cluster: Within this reporting period, the project established three R&amp;D projects: 1) investigating the quantity and quality of collagen from </w:t>
      </w:r>
      <w:r w:rsidRPr="2C6B85DE" w:rsidR="0002206C">
        <w:rPr>
          <w:sz w:val="22"/>
          <w:szCs w:val="22"/>
        </w:rPr>
        <w:t xml:space="preserve">fish </w:t>
      </w:r>
      <w:r w:rsidRPr="2C6B85DE">
        <w:rPr>
          <w:sz w:val="22"/>
          <w:szCs w:val="22"/>
        </w:rPr>
        <w:t>skins, 2) an assessment of the liver oil production process and 3) market research into the opportunity of producing collagen and liver oil from hake.​</w:t>
      </w:r>
    </w:p>
    <w:p w:rsidR="008D477F" w:rsidP="00620E68" w:rsidRDefault="00620E68" w14:paraId="354C53F0" w14:textId="77777777">
      <w:pPr>
        <w:pStyle w:val="ListBullet"/>
        <w:numPr>
          <w:ilvl w:val="0"/>
          <w:numId w:val="44"/>
        </w:numPr>
        <w:rPr>
          <w:sz w:val="22"/>
          <w:szCs w:val="22"/>
        </w:rPr>
      </w:pPr>
      <w:r w:rsidRPr="008D477F">
        <w:rPr>
          <w:sz w:val="22"/>
          <w:szCs w:val="22"/>
        </w:rPr>
        <w:t>In Ghana, a needs assessment on monitoring fish disease</w:t>
      </w:r>
      <w:r w:rsidRPr="008D477F">
        <w:rPr>
          <w:rFonts w:ascii="Aptos Narrow" w:hAnsi="Aptos Narrow"/>
          <w:color w:val="242424"/>
          <w:sz w:val="20"/>
          <w:szCs w:val="20"/>
          <w:lang w:eastAsia="en-GB"/>
        </w:rPr>
        <w:t xml:space="preserve"> </w:t>
      </w:r>
      <w:r w:rsidRPr="008D477F">
        <w:rPr>
          <w:sz w:val="22"/>
          <w:szCs w:val="22"/>
        </w:rPr>
        <w:t xml:space="preserve">developed by the Task Force on Fish Health &amp; Data Quality Management, to provide insights into how the aquaculture industry addresses and monitors fish disease and suggesting improvements for future prevention. </w:t>
      </w:r>
    </w:p>
    <w:p w:rsidRPr="008D477F" w:rsidR="00620E68" w:rsidP="00620E68" w:rsidRDefault="00620E68" w14:paraId="7C276347" w14:textId="4DCFBB2C">
      <w:pPr>
        <w:pStyle w:val="ListBullet"/>
        <w:numPr>
          <w:ilvl w:val="0"/>
          <w:numId w:val="44"/>
        </w:numPr>
        <w:rPr>
          <w:sz w:val="22"/>
          <w:szCs w:val="22"/>
        </w:rPr>
      </w:pPr>
      <w:r w:rsidRPr="008D477F">
        <w:rPr>
          <w:sz w:val="22"/>
          <w:szCs w:val="22"/>
        </w:rPr>
        <w:t>In Ghana, the Business Development Plan for an annual Farmed Fish Festival will be carried forward by industry champions with the goal of delivering the first festival by the end of 2024.</w:t>
      </w:r>
    </w:p>
    <w:p w:rsidRPr="008072EB" w:rsidR="008072EB" w:rsidP="008072EB" w:rsidRDefault="008072EB" w14:paraId="11C43EE2" w14:textId="77777777">
      <w:pPr>
        <w:jc w:val="both"/>
        <w:rPr>
          <w:rFonts w:cs="Arial"/>
          <w:b/>
          <w:sz w:val="22"/>
        </w:rPr>
      </w:pPr>
    </w:p>
    <w:p w:rsidRPr="008072EB" w:rsidR="008072EB" w:rsidP="008072EB" w:rsidRDefault="008072EB" w14:paraId="30AD18A1" w14:textId="77777777">
      <w:pPr>
        <w:jc w:val="both"/>
        <w:rPr>
          <w:rFonts w:cs="Arial"/>
          <w:b/>
          <w:sz w:val="22"/>
        </w:rPr>
      </w:pPr>
      <w:r w:rsidRPr="008072EB">
        <w:rPr>
          <w:rFonts w:cs="Arial"/>
          <w:b/>
          <w:sz w:val="22"/>
        </w:rPr>
        <w:t>Output 6</w:t>
      </w:r>
    </w:p>
    <w:p w:rsidRPr="008072EB" w:rsidR="008072EB" w:rsidP="008072EB" w:rsidRDefault="008072EB" w14:paraId="7B9698A0" w14:textId="77777777">
      <w:pPr>
        <w:jc w:val="both"/>
        <w:rPr>
          <w:rFonts w:cs="Arial"/>
          <w:sz w:val="22"/>
          <w:szCs w:val="22"/>
        </w:rPr>
      </w:pPr>
    </w:p>
    <w:tbl>
      <w:tblPr>
        <w:tblStyle w:val="TableGrid"/>
        <w:tblW w:w="9356" w:type="dxa"/>
        <w:tblInd w:w="-147" w:type="dxa"/>
        <w:tblLook w:val="04A0" w:firstRow="1" w:lastRow="0" w:firstColumn="1" w:lastColumn="0" w:noHBand="0" w:noVBand="1"/>
      </w:tblPr>
      <w:tblGrid>
        <w:gridCol w:w="1708"/>
        <w:gridCol w:w="616"/>
        <w:gridCol w:w="937"/>
        <w:gridCol w:w="3283"/>
        <w:gridCol w:w="2812"/>
      </w:tblGrid>
      <w:tr w:rsidRPr="008072EB" w:rsidR="001D1DD7" w:rsidTr="18F973FC" w14:paraId="7B6FC18F" w14:textId="77777777">
        <w:trPr>
          <w:trHeight w:val="489"/>
        </w:trPr>
        <w:tc>
          <w:tcPr>
            <w:tcW w:w="1708"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5B6A1E8B" w14:textId="77777777">
            <w:pPr>
              <w:rPr>
                <w:b/>
                <w:bCs/>
                <w:sz w:val="20"/>
                <w:szCs w:val="20"/>
              </w:rPr>
            </w:pPr>
            <w:r w:rsidRPr="008072EB">
              <w:rPr>
                <w:b/>
                <w:bCs/>
                <w:sz w:val="20"/>
                <w:szCs w:val="20"/>
              </w:rPr>
              <w:t xml:space="preserve">Output Title </w:t>
            </w:r>
          </w:p>
        </w:tc>
        <w:tc>
          <w:tcPr>
            <w:tcW w:w="7648" w:type="dxa"/>
            <w:gridSpan w:val="4"/>
            <w:tcBorders>
              <w:top w:val="single" w:color="auto" w:sz="4" w:space="0"/>
              <w:left w:val="single" w:color="auto" w:sz="4" w:space="0"/>
              <w:bottom w:val="single" w:color="auto" w:sz="4" w:space="0"/>
              <w:right w:val="single" w:color="auto" w:sz="4" w:space="0"/>
            </w:tcBorders>
            <w:shd w:val="clear" w:color="auto" w:fill="FFFFFF" w:themeFill="background1"/>
          </w:tcPr>
          <w:p w:rsidRPr="008072EB" w:rsidR="008072EB" w:rsidP="18F973FC" w:rsidRDefault="008072EB" w14:paraId="1122B468" w14:textId="6177DE57">
            <w:pPr>
              <w:rPr>
                <w:i/>
                <w:iCs/>
                <w:color w:val="FF0000"/>
                <w:sz w:val="20"/>
                <w:szCs w:val="20"/>
              </w:rPr>
            </w:pPr>
            <w:r w:rsidRPr="18F973FC">
              <w:rPr>
                <w:sz w:val="20"/>
                <w:szCs w:val="20"/>
              </w:rPr>
              <w:t>OCPP intervention design adequately considers gender, equity and social inclusion and safeguarding</w:t>
            </w:r>
          </w:p>
        </w:tc>
      </w:tr>
      <w:tr w:rsidRPr="008072EB" w:rsidR="0015047F" w:rsidTr="18F973FC" w14:paraId="5364F6F4" w14:textId="77777777">
        <w:trPr>
          <w:trHeight w:val="347"/>
        </w:trPr>
        <w:tc>
          <w:tcPr>
            <w:tcW w:w="2324"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09618B9B" w14:textId="77777777">
            <w:pPr>
              <w:rPr>
                <w:bCs/>
                <w:sz w:val="20"/>
                <w:szCs w:val="20"/>
              </w:rPr>
            </w:pPr>
            <w:r w:rsidRPr="008072EB">
              <w:rPr>
                <w:bCs/>
                <w:sz w:val="20"/>
                <w:szCs w:val="20"/>
              </w:rPr>
              <w:t xml:space="preserve">Output number: </w:t>
            </w:r>
          </w:p>
        </w:tc>
        <w:tc>
          <w:tcPr>
            <w:tcW w:w="937"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7E356823" w14:textId="77777777">
            <w:pPr>
              <w:rPr>
                <w:sz w:val="20"/>
                <w:szCs w:val="20"/>
              </w:rPr>
            </w:pPr>
            <w:r w:rsidRPr="008072EB">
              <w:rPr>
                <w:sz w:val="20"/>
                <w:szCs w:val="20"/>
              </w:rPr>
              <w:t>6</w:t>
            </w:r>
          </w:p>
        </w:tc>
        <w:tc>
          <w:tcPr>
            <w:tcW w:w="3283"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61E8F4B5" w14:textId="77777777">
            <w:pPr>
              <w:rPr>
                <w:sz w:val="20"/>
                <w:szCs w:val="20"/>
              </w:rPr>
            </w:pPr>
            <w:r w:rsidRPr="008072EB">
              <w:rPr>
                <w:bCs/>
                <w:sz w:val="20"/>
                <w:szCs w:val="20"/>
              </w:rPr>
              <w:t xml:space="preserve">Output Score: </w:t>
            </w:r>
          </w:p>
        </w:tc>
        <w:tc>
          <w:tcPr>
            <w:tcW w:w="2812"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4100B678" w14:textId="77777777">
            <w:pPr>
              <w:rPr>
                <w:b/>
                <w:bCs/>
                <w:color w:val="FF0000"/>
                <w:sz w:val="20"/>
                <w:szCs w:val="20"/>
              </w:rPr>
            </w:pPr>
            <w:r w:rsidRPr="008072EB">
              <w:rPr>
                <w:b/>
                <w:bCs/>
                <w:color w:val="FF0000"/>
                <w:sz w:val="20"/>
                <w:szCs w:val="20"/>
              </w:rPr>
              <w:t>C</w:t>
            </w:r>
          </w:p>
        </w:tc>
      </w:tr>
      <w:tr w:rsidRPr="008072EB" w:rsidR="0015047F" w:rsidTr="18F973FC" w14:paraId="23CF1F5F" w14:textId="77777777">
        <w:trPr>
          <w:trHeight w:val="345"/>
        </w:trPr>
        <w:tc>
          <w:tcPr>
            <w:tcW w:w="2324"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6362D4EA" w14:textId="77777777">
            <w:pPr>
              <w:rPr>
                <w:sz w:val="20"/>
                <w:szCs w:val="20"/>
              </w:rPr>
            </w:pPr>
            <w:r w:rsidRPr="008072EB">
              <w:rPr>
                <w:bCs/>
                <w:sz w:val="20"/>
                <w:szCs w:val="20"/>
              </w:rPr>
              <w:t xml:space="preserve">Impact weighting (%):  </w:t>
            </w:r>
          </w:p>
        </w:tc>
        <w:tc>
          <w:tcPr>
            <w:tcW w:w="937" w:type="dxa"/>
            <w:tcBorders>
              <w:top w:val="single" w:color="auto" w:sz="4" w:space="0"/>
              <w:left w:val="single" w:color="auto" w:sz="4" w:space="0"/>
              <w:bottom w:val="single" w:color="auto" w:sz="4" w:space="0"/>
              <w:right w:val="single" w:color="auto" w:sz="4" w:space="0"/>
            </w:tcBorders>
            <w:hideMark/>
          </w:tcPr>
          <w:p w:rsidRPr="008072EB" w:rsidR="008072EB" w:rsidP="008072EB" w:rsidRDefault="008072EB" w14:paraId="618F12E3" w14:textId="77777777">
            <w:pPr>
              <w:rPr>
                <w:sz w:val="20"/>
                <w:szCs w:val="20"/>
              </w:rPr>
            </w:pPr>
            <w:r w:rsidRPr="008072EB">
              <w:rPr>
                <w:sz w:val="20"/>
                <w:szCs w:val="20"/>
              </w:rPr>
              <w:t>16.66</w:t>
            </w:r>
          </w:p>
        </w:tc>
        <w:tc>
          <w:tcPr>
            <w:tcW w:w="3283"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48D46E4C" w14:textId="09A922A3">
            <w:pPr>
              <w:rPr>
                <w:bCs/>
                <w:sz w:val="20"/>
                <w:szCs w:val="20"/>
              </w:rPr>
            </w:pPr>
            <w:r w:rsidRPr="008072EB">
              <w:rPr>
                <w:bCs/>
                <w:sz w:val="20"/>
                <w:szCs w:val="20"/>
              </w:rPr>
              <w:t xml:space="preserve">Weighting revised since last </w:t>
            </w:r>
            <w:r w:rsidR="00C14357">
              <w:rPr>
                <w:bCs/>
                <w:sz w:val="20"/>
                <w:szCs w:val="20"/>
              </w:rPr>
              <w:t>annual review</w:t>
            </w:r>
            <w:r w:rsidRPr="008072EB">
              <w:rPr>
                <w:bCs/>
                <w:sz w:val="20"/>
                <w:szCs w:val="20"/>
              </w:rPr>
              <w:t xml:space="preserve">? </w:t>
            </w:r>
          </w:p>
        </w:tc>
        <w:tc>
          <w:tcPr>
            <w:tcW w:w="2812"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18983FAA" w14:textId="77777777">
            <w:pPr>
              <w:rPr>
                <w:sz w:val="20"/>
                <w:szCs w:val="20"/>
              </w:rPr>
            </w:pPr>
            <w:r w:rsidRPr="008072EB">
              <w:rPr>
                <w:sz w:val="20"/>
                <w:szCs w:val="20"/>
              </w:rPr>
              <w:t>N/A</w:t>
            </w:r>
          </w:p>
        </w:tc>
      </w:tr>
    </w:tbl>
    <w:p w:rsidRPr="008072EB" w:rsidR="008072EB" w:rsidP="008072EB" w:rsidRDefault="008072EB" w14:paraId="5BF34558" w14:textId="77777777">
      <w:pPr>
        <w:rPr>
          <w:bCs/>
          <w:sz w:val="20"/>
          <w:szCs w:val="20"/>
        </w:rPr>
      </w:pPr>
    </w:p>
    <w:tbl>
      <w:tblPr>
        <w:tblStyle w:val="TableGrid"/>
        <w:tblpPr w:leftFromText="180" w:rightFromText="180" w:vertAnchor="text" w:horzAnchor="page" w:tblpX="1325" w:tblpY="-10"/>
        <w:tblOverlap w:val="never"/>
        <w:tblW w:w="9309" w:type="dxa"/>
        <w:tblLook w:val="04A0" w:firstRow="1" w:lastRow="0" w:firstColumn="1" w:lastColumn="0" w:noHBand="0" w:noVBand="1"/>
      </w:tblPr>
      <w:tblGrid>
        <w:gridCol w:w="1362"/>
        <w:gridCol w:w="2207"/>
        <w:gridCol w:w="2210"/>
        <w:gridCol w:w="3530"/>
      </w:tblGrid>
      <w:tr w:rsidRPr="008072EB" w:rsidR="008072EB" w:rsidTr="00540FB0" w14:paraId="45C7FD4E" w14:textId="77777777">
        <w:trPr>
          <w:trHeight w:val="278"/>
        </w:trPr>
        <w:tc>
          <w:tcPr>
            <w:tcW w:w="1362"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1EB825E6" w14:textId="77777777">
            <w:pPr>
              <w:rPr>
                <w:b/>
                <w:bCs/>
                <w:sz w:val="20"/>
                <w:szCs w:val="20"/>
              </w:rPr>
            </w:pPr>
            <w:r w:rsidRPr="008072EB">
              <w:rPr>
                <w:b/>
                <w:bCs/>
                <w:sz w:val="20"/>
                <w:szCs w:val="20"/>
              </w:rPr>
              <w:t>Indicator(s)</w:t>
            </w:r>
          </w:p>
        </w:tc>
        <w:tc>
          <w:tcPr>
            <w:tcW w:w="2207"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8072EB" w:rsidR="008072EB" w:rsidP="008072EB" w:rsidRDefault="008072EB" w14:paraId="1992B5BC" w14:textId="77777777">
            <w:pPr>
              <w:rPr>
                <w:b/>
                <w:bCs/>
                <w:sz w:val="20"/>
                <w:szCs w:val="20"/>
              </w:rPr>
            </w:pPr>
            <w:r w:rsidRPr="008072EB">
              <w:rPr>
                <w:b/>
                <w:bCs/>
                <w:sz w:val="20"/>
                <w:szCs w:val="20"/>
              </w:rPr>
              <w:t>Description</w:t>
            </w:r>
          </w:p>
        </w:tc>
        <w:tc>
          <w:tcPr>
            <w:tcW w:w="2210"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2C52A439" w14:textId="77777777">
            <w:pPr>
              <w:rPr>
                <w:b/>
                <w:bCs/>
                <w:sz w:val="20"/>
                <w:szCs w:val="20"/>
              </w:rPr>
            </w:pPr>
            <w:r w:rsidRPr="008072EB">
              <w:rPr>
                <w:b/>
                <w:bCs/>
                <w:sz w:val="20"/>
                <w:szCs w:val="20"/>
              </w:rPr>
              <w:t>Milestone(s) for this review</w:t>
            </w:r>
          </w:p>
        </w:tc>
        <w:tc>
          <w:tcPr>
            <w:tcW w:w="3530"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8072EB" w:rsidR="008072EB" w:rsidP="008072EB" w:rsidRDefault="008072EB" w14:paraId="7972D7A6" w14:textId="77777777">
            <w:pPr>
              <w:rPr>
                <w:b/>
                <w:bCs/>
                <w:sz w:val="20"/>
                <w:szCs w:val="20"/>
              </w:rPr>
            </w:pPr>
            <w:r w:rsidRPr="008072EB">
              <w:rPr>
                <w:b/>
                <w:bCs/>
                <w:sz w:val="20"/>
                <w:szCs w:val="20"/>
              </w:rPr>
              <w:t xml:space="preserve">Progress </w:t>
            </w:r>
          </w:p>
        </w:tc>
      </w:tr>
      <w:tr w:rsidRPr="008072EB" w:rsidR="008072EB" w:rsidTr="00540FB0" w14:paraId="5E04E5F8" w14:textId="77777777">
        <w:trPr>
          <w:trHeight w:val="934"/>
        </w:trPr>
        <w:tc>
          <w:tcPr>
            <w:tcW w:w="1362"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244D78DF" w14:textId="77777777">
            <w:pPr>
              <w:rPr>
                <w:sz w:val="20"/>
                <w:szCs w:val="20"/>
              </w:rPr>
            </w:pPr>
            <w:r w:rsidRPr="008072EB">
              <w:rPr>
                <w:sz w:val="20"/>
                <w:szCs w:val="20"/>
              </w:rPr>
              <w:t xml:space="preserve">6.1 </w:t>
            </w:r>
          </w:p>
        </w:tc>
        <w:tc>
          <w:tcPr>
            <w:tcW w:w="2207"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4B22CD31" w14:textId="77777777">
            <w:pPr>
              <w:rPr>
                <w:bCs/>
                <w:sz w:val="20"/>
                <w:szCs w:val="20"/>
              </w:rPr>
            </w:pPr>
            <w:r w:rsidRPr="008072EB">
              <w:rPr>
                <w:bCs/>
                <w:sz w:val="20"/>
                <w:szCs w:val="20"/>
              </w:rPr>
              <w:t>Number of scoping missions/reports that include detailed stakeholder mapping, GESI analysis and safeguarding risk assessment</w:t>
            </w:r>
          </w:p>
        </w:tc>
        <w:tc>
          <w:tcPr>
            <w:tcW w:w="2210"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1126A3E6" w14:textId="77777777">
            <w:pPr>
              <w:rPr>
                <w:bCs/>
                <w:sz w:val="20"/>
                <w:szCs w:val="20"/>
              </w:rPr>
            </w:pPr>
            <w:r w:rsidRPr="008072EB">
              <w:rPr>
                <w:bCs/>
                <w:sz w:val="20"/>
                <w:szCs w:val="20"/>
              </w:rPr>
              <w:t xml:space="preserve">24/25 Milestone: </w:t>
            </w:r>
          </w:p>
          <w:p w:rsidRPr="008072EB" w:rsidR="008072EB" w:rsidP="008072EB" w:rsidRDefault="008072EB" w14:paraId="126A72E4" w14:textId="77777777">
            <w:pPr>
              <w:rPr>
                <w:bCs/>
                <w:sz w:val="20"/>
                <w:szCs w:val="20"/>
              </w:rPr>
            </w:pPr>
            <w:r w:rsidRPr="008072EB">
              <w:rPr>
                <w:bCs/>
                <w:sz w:val="20"/>
                <w:szCs w:val="20"/>
              </w:rPr>
              <w:t>Total:12</w:t>
            </w:r>
          </w:p>
          <w:p w:rsidRPr="008072EB" w:rsidR="008072EB" w:rsidP="008072EB" w:rsidRDefault="008072EB" w14:paraId="18C6617C" w14:textId="77777777">
            <w:pPr>
              <w:rPr>
                <w:bCs/>
                <w:sz w:val="20"/>
                <w:szCs w:val="20"/>
              </w:rPr>
            </w:pPr>
            <w:r w:rsidRPr="008072EB">
              <w:rPr>
                <w:bCs/>
                <w:sz w:val="20"/>
                <w:szCs w:val="20"/>
              </w:rPr>
              <w:t>ALBs:12</w:t>
            </w:r>
          </w:p>
          <w:p w:rsidRPr="008072EB" w:rsidR="008072EB" w:rsidP="008072EB" w:rsidRDefault="008072EB" w14:paraId="0D967E8F" w14:textId="764E19AC">
            <w:pPr>
              <w:rPr>
                <w:bCs/>
                <w:sz w:val="20"/>
                <w:szCs w:val="20"/>
              </w:rPr>
            </w:pPr>
            <w:r w:rsidRPr="008072EB">
              <w:rPr>
                <w:bCs/>
                <w:sz w:val="20"/>
                <w:szCs w:val="20"/>
              </w:rPr>
              <w:t>GOAP:</w:t>
            </w:r>
            <w:r w:rsidR="003B7A1D">
              <w:rPr>
                <w:bCs/>
                <w:sz w:val="20"/>
                <w:szCs w:val="20"/>
              </w:rPr>
              <w:t xml:space="preserve"> </w:t>
            </w:r>
            <w:r w:rsidRPr="008072EB">
              <w:rPr>
                <w:bCs/>
                <w:sz w:val="20"/>
                <w:szCs w:val="20"/>
              </w:rPr>
              <w:t>N</w:t>
            </w:r>
            <w:r w:rsidR="003B7A1D">
              <w:rPr>
                <w:bCs/>
                <w:sz w:val="20"/>
                <w:szCs w:val="20"/>
              </w:rPr>
              <w:t>/</w:t>
            </w:r>
            <w:r w:rsidRPr="008072EB">
              <w:rPr>
                <w:bCs/>
                <w:sz w:val="20"/>
                <w:szCs w:val="20"/>
              </w:rPr>
              <w:t>A</w:t>
            </w:r>
          </w:p>
          <w:p w:rsidRPr="008072EB" w:rsidR="008072EB" w:rsidP="008072EB" w:rsidRDefault="008072EB" w14:paraId="6181E361" w14:textId="77777777">
            <w:pPr>
              <w:rPr>
                <w:bCs/>
                <w:sz w:val="20"/>
                <w:szCs w:val="20"/>
              </w:rPr>
            </w:pPr>
          </w:p>
          <w:p w:rsidRPr="008072EB" w:rsidR="008072EB" w:rsidP="008072EB" w:rsidRDefault="008072EB" w14:paraId="4EFCD941" w14:textId="77777777">
            <w:pPr>
              <w:rPr>
                <w:bCs/>
                <w:sz w:val="20"/>
                <w:szCs w:val="20"/>
              </w:rPr>
            </w:pPr>
            <w:r w:rsidRPr="008072EB">
              <w:rPr>
                <w:bCs/>
                <w:sz w:val="20"/>
                <w:szCs w:val="20"/>
              </w:rPr>
              <w:t xml:space="preserve">23/24 thresholds </w:t>
            </w:r>
            <w:r w:rsidRPr="008072EB">
              <w:rPr>
                <w:i/>
                <w:iCs/>
                <w:sz w:val="20"/>
                <w:szCs w:val="20"/>
              </w:rPr>
              <w:t>(Cumulative milestones with discrete reporting)</w:t>
            </w:r>
          </w:p>
          <w:p w:rsidRPr="008072EB" w:rsidR="008072EB" w:rsidP="008072EB" w:rsidRDefault="008072EB" w14:paraId="5527645C" w14:textId="77777777">
            <w:pPr>
              <w:rPr>
                <w:bCs/>
                <w:sz w:val="20"/>
                <w:szCs w:val="20"/>
              </w:rPr>
            </w:pPr>
            <w:r w:rsidRPr="008072EB">
              <w:rPr>
                <w:bCs/>
                <w:sz w:val="20"/>
                <w:szCs w:val="20"/>
              </w:rPr>
              <w:t>70% (A): 8.4</w:t>
            </w:r>
          </w:p>
          <w:p w:rsidRPr="008072EB" w:rsidR="008072EB" w:rsidP="008072EB" w:rsidRDefault="008072EB" w14:paraId="6341FDC7" w14:textId="77777777">
            <w:pPr>
              <w:rPr>
                <w:bCs/>
                <w:sz w:val="20"/>
                <w:szCs w:val="20"/>
              </w:rPr>
            </w:pPr>
            <w:r w:rsidRPr="008072EB">
              <w:rPr>
                <w:bCs/>
                <w:sz w:val="20"/>
                <w:szCs w:val="20"/>
              </w:rPr>
              <w:t>60% (B): 7.2</w:t>
            </w:r>
          </w:p>
          <w:p w:rsidRPr="008072EB" w:rsidR="008072EB" w:rsidP="008072EB" w:rsidRDefault="008072EB" w14:paraId="75B1ABC2" w14:textId="77777777">
            <w:pPr>
              <w:rPr>
                <w:bCs/>
                <w:sz w:val="20"/>
                <w:szCs w:val="20"/>
              </w:rPr>
            </w:pPr>
            <w:r w:rsidRPr="008072EB">
              <w:rPr>
                <w:bCs/>
                <w:sz w:val="20"/>
                <w:szCs w:val="20"/>
              </w:rPr>
              <w:t>&lt;60% (C)</w:t>
            </w:r>
          </w:p>
          <w:p w:rsidRPr="008072EB" w:rsidR="008072EB" w:rsidP="008072EB" w:rsidRDefault="008072EB" w14:paraId="3C1723F8" w14:textId="77777777">
            <w:pPr>
              <w:rPr>
                <w:bCs/>
                <w:sz w:val="20"/>
                <w:szCs w:val="20"/>
              </w:rPr>
            </w:pPr>
          </w:p>
        </w:tc>
        <w:tc>
          <w:tcPr>
            <w:tcW w:w="3530"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5ECBA98C" w14:textId="77777777">
            <w:pPr>
              <w:rPr>
                <w:sz w:val="20"/>
                <w:szCs w:val="20"/>
              </w:rPr>
            </w:pPr>
            <w:r w:rsidRPr="008072EB">
              <w:rPr>
                <w:sz w:val="20"/>
                <w:szCs w:val="20"/>
              </w:rPr>
              <w:t xml:space="preserve">Overall: 1, C </w:t>
            </w:r>
          </w:p>
          <w:p w:rsidRPr="008072EB" w:rsidR="008072EB" w:rsidP="008072EB" w:rsidRDefault="008072EB" w14:paraId="46345280" w14:textId="77777777">
            <w:pPr>
              <w:rPr>
                <w:sz w:val="20"/>
                <w:szCs w:val="20"/>
              </w:rPr>
            </w:pPr>
          </w:p>
          <w:p w:rsidRPr="008072EB" w:rsidR="008072EB" w:rsidP="008072EB" w:rsidRDefault="008072EB" w14:paraId="604DCEE4" w14:textId="1F58EE7B">
            <w:pPr>
              <w:rPr>
                <w:sz w:val="20"/>
                <w:szCs w:val="20"/>
              </w:rPr>
            </w:pPr>
            <w:r w:rsidRPr="008072EB">
              <w:rPr>
                <w:sz w:val="20"/>
                <w:szCs w:val="20"/>
              </w:rPr>
              <w:t>ALB progress: 0</w:t>
            </w:r>
          </w:p>
          <w:p w:rsidRPr="008072EB" w:rsidR="008072EB" w:rsidP="008072EB" w:rsidRDefault="008072EB" w14:paraId="2406EB3A" w14:textId="2D3BCFA1">
            <w:pPr>
              <w:rPr>
                <w:sz w:val="20"/>
                <w:szCs w:val="20"/>
              </w:rPr>
            </w:pPr>
            <w:r w:rsidRPr="008072EB">
              <w:rPr>
                <w:sz w:val="20"/>
                <w:szCs w:val="20"/>
              </w:rPr>
              <w:t>GOAP progress: N</w:t>
            </w:r>
            <w:r w:rsidR="003B7A1D">
              <w:rPr>
                <w:sz w:val="20"/>
                <w:szCs w:val="20"/>
              </w:rPr>
              <w:t>/</w:t>
            </w:r>
            <w:r w:rsidRPr="008072EB">
              <w:rPr>
                <w:sz w:val="20"/>
                <w:szCs w:val="20"/>
              </w:rPr>
              <w:t>A</w:t>
            </w:r>
          </w:p>
          <w:p w:rsidRPr="008072EB" w:rsidR="008072EB" w:rsidP="008072EB" w:rsidRDefault="008072EB" w14:paraId="387AE736" w14:textId="77777777">
            <w:pPr>
              <w:rPr>
                <w:sz w:val="20"/>
                <w:szCs w:val="20"/>
              </w:rPr>
            </w:pPr>
            <w:r w:rsidRPr="008072EB">
              <w:rPr>
                <w:sz w:val="20"/>
                <w:szCs w:val="20"/>
              </w:rPr>
              <w:t>FOA progress: 1</w:t>
            </w:r>
          </w:p>
        </w:tc>
      </w:tr>
      <w:tr w:rsidRPr="008072EB" w:rsidR="008072EB" w:rsidTr="00540FB0" w14:paraId="7F7B8B63" w14:textId="77777777">
        <w:trPr>
          <w:trHeight w:val="229"/>
        </w:trPr>
        <w:tc>
          <w:tcPr>
            <w:tcW w:w="1362"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7CF755BF" w14:textId="77777777">
            <w:pPr>
              <w:rPr>
                <w:bCs/>
                <w:sz w:val="20"/>
                <w:szCs w:val="20"/>
              </w:rPr>
            </w:pPr>
            <w:r w:rsidRPr="008072EB">
              <w:rPr>
                <w:bCs/>
                <w:sz w:val="20"/>
                <w:szCs w:val="20"/>
              </w:rPr>
              <w:t>6.2</w:t>
            </w:r>
          </w:p>
        </w:tc>
        <w:tc>
          <w:tcPr>
            <w:tcW w:w="2207"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37A18DDA" w14:textId="77777777">
            <w:pPr>
              <w:rPr>
                <w:bCs/>
                <w:sz w:val="20"/>
                <w:szCs w:val="20"/>
              </w:rPr>
            </w:pPr>
            <w:r w:rsidRPr="008072EB">
              <w:rPr>
                <w:bCs/>
                <w:sz w:val="20"/>
                <w:szCs w:val="20"/>
              </w:rPr>
              <w:t>Number of intervention plans that reflect GESI recommendations and safeguarding measures</w:t>
            </w:r>
          </w:p>
        </w:tc>
        <w:tc>
          <w:tcPr>
            <w:tcW w:w="2210"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4BCBBBA3" w14:textId="77777777">
            <w:pPr>
              <w:rPr>
                <w:bCs/>
                <w:sz w:val="20"/>
                <w:szCs w:val="20"/>
              </w:rPr>
            </w:pPr>
            <w:r w:rsidRPr="008072EB">
              <w:rPr>
                <w:bCs/>
                <w:sz w:val="20"/>
                <w:szCs w:val="20"/>
              </w:rPr>
              <w:t xml:space="preserve">24/25 Milestone: </w:t>
            </w:r>
          </w:p>
          <w:p w:rsidRPr="008072EB" w:rsidR="008072EB" w:rsidP="008072EB" w:rsidRDefault="008072EB" w14:paraId="61EA3514" w14:textId="77777777">
            <w:pPr>
              <w:rPr>
                <w:bCs/>
                <w:sz w:val="20"/>
                <w:szCs w:val="20"/>
              </w:rPr>
            </w:pPr>
            <w:r w:rsidRPr="008072EB">
              <w:rPr>
                <w:bCs/>
                <w:sz w:val="20"/>
                <w:szCs w:val="20"/>
              </w:rPr>
              <w:t>Total:12</w:t>
            </w:r>
          </w:p>
          <w:p w:rsidRPr="008072EB" w:rsidR="008072EB" w:rsidP="008072EB" w:rsidRDefault="008072EB" w14:paraId="71032A70" w14:textId="77777777">
            <w:pPr>
              <w:rPr>
                <w:bCs/>
                <w:sz w:val="20"/>
                <w:szCs w:val="20"/>
              </w:rPr>
            </w:pPr>
            <w:r w:rsidRPr="008072EB">
              <w:rPr>
                <w:bCs/>
                <w:sz w:val="20"/>
                <w:szCs w:val="20"/>
              </w:rPr>
              <w:t>ALBs:12</w:t>
            </w:r>
          </w:p>
          <w:p w:rsidRPr="008072EB" w:rsidR="008072EB" w:rsidP="008072EB" w:rsidRDefault="008072EB" w14:paraId="217FF34A" w14:textId="67C2FBB7">
            <w:pPr>
              <w:rPr>
                <w:bCs/>
                <w:sz w:val="20"/>
                <w:szCs w:val="20"/>
              </w:rPr>
            </w:pPr>
            <w:r w:rsidRPr="008072EB">
              <w:rPr>
                <w:bCs/>
                <w:sz w:val="20"/>
                <w:szCs w:val="20"/>
              </w:rPr>
              <w:t>GOAP:</w:t>
            </w:r>
            <w:r w:rsidR="003B7A1D">
              <w:rPr>
                <w:bCs/>
                <w:sz w:val="20"/>
                <w:szCs w:val="20"/>
              </w:rPr>
              <w:t xml:space="preserve"> </w:t>
            </w:r>
            <w:r w:rsidRPr="008072EB">
              <w:rPr>
                <w:bCs/>
                <w:sz w:val="20"/>
                <w:szCs w:val="20"/>
              </w:rPr>
              <w:t>N</w:t>
            </w:r>
            <w:r w:rsidR="003B7A1D">
              <w:rPr>
                <w:bCs/>
                <w:sz w:val="20"/>
                <w:szCs w:val="20"/>
              </w:rPr>
              <w:t>/</w:t>
            </w:r>
            <w:r w:rsidRPr="008072EB">
              <w:rPr>
                <w:bCs/>
                <w:sz w:val="20"/>
                <w:szCs w:val="20"/>
              </w:rPr>
              <w:t>A</w:t>
            </w:r>
          </w:p>
          <w:p w:rsidRPr="008072EB" w:rsidR="008072EB" w:rsidP="008072EB" w:rsidRDefault="008072EB" w14:paraId="44A5273D" w14:textId="77777777">
            <w:pPr>
              <w:rPr>
                <w:bCs/>
                <w:sz w:val="20"/>
                <w:szCs w:val="20"/>
              </w:rPr>
            </w:pPr>
          </w:p>
          <w:p w:rsidRPr="008072EB" w:rsidR="008072EB" w:rsidP="008072EB" w:rsidRDefault="008072EB" w14:paraId="0EDF2255" w14:textId="77777777">
            <w:pPr>
              <w:rPr>
                <w:bCs/>
                <w:sz w:val="20"/>
                <w:szCs w:val="20"/>
              </w:rPr>
            </w:pPr>
            <w:r w:rsidRPr="008072EB">
              <w:rPr>
                <w:bCs/>
                <w:sz w:val="20"/>
                <w:szCs w:val="20"/>
              </w:rPr>
              <w:t xml:space="preserve">23/24 thresholds </w:t>
            </w:r>
            <w:r w:rsidRPr="008072EB">
              <w:rPr>
                <w:i/>
                <w:iCs/>
                <w:sz w:val="20"/>
                <w:szCs w:val="20"/>
              </w:rPr>
              <w:t>(Cumulative milestones with discrete reporting)</w:t>
            </w:r>
          </w:p>
          <w:p w:rsidRPr="008072EB" w:rsidR="008072EB" w:rsidP="008072EB" w:rsidRDefault="008072EB" w14:paraId="2134E22F" w14:textId="77777777">
            <w:pPr>
              <w:rPr>
                <w:bCs/>
                <w:sz w:val="20"/>
                <w:szCs w:val="20"/>
              </w:rPr>
            </w:pPr>
            <w:r w:rsidRPr="008072EB">
              <w:rPr>
                <w:bCs/>
                <w:sz w:val="20"/>
                <w:szCs w:val="20"/>
              </w:rPr>
              <w:t>70% (A): 8.4</w:t>
            </w:r>
          </w:p>
          <w:p w:rsidRPr="008072EB" w:rsidR="008072EB" w:rsidP="008072EB" w:rsidRDefault="008072EB" w14:paraId="04D5ED9C" w14:textId="77777777">
            <w:pPr>
              <w:rPr>
                <w:bCs/>
                <w:sz w:val="20"/>
                <w:szCs w:val="20"/>
              </w:rPr>
            </w:pPr>
            <w:r w:rsidRPr="008072EB">
              <w:rPr>
                <w:bCs/>
                <w:sz w:val="20"/>
                <w:szCs w:val="20"/>
              </w:rPr>
              <w:t>60% (B): 7.2</w:t>
            </w:r>
          </w:p>
          <w:p w:rsidRPr="008072EB" w:rsidR="008072EB" w:rsidP="008072EB" w:rsidRDefault="008072EB" w14:paraId="1E09268E" w14:textId="77777777">
            <w:pPr>
              <w:rPr>
                <w:bCs/>
                <w:sz w:val="20"/>
                <w:szCs w:val="20"/>
              </w:rPr>
            </w:pPr>
            <w:r w:rsidRPr="008072EB">
              <w:rPr>
                <w:bCs/>
                <w:sz w:val="20"/>
                <w:szCs w:val="20"/>
              </w:rPr>
              <w:t>&lt;60% (C)</w:t>
            </w:r>
          </w:p>
          <w:p w:rsidRPr="008072EB" w:rsidR="008072EB" w:rsidP="008072EB" w:rsidRDefault="008072EB" w14:paraId="6018E7DB" w14:textId="77777777">
            <w:pPr>
              <w:rPr>
                <w:bCs/>
                <w:sz w:val="20"/>
                <w:szCs w:val="20"/>
              </w:rPr>
            </w:pPr>
          </w:p>
        </w:tc>
        <w:tc>
          <w:tcPr>
            <w:tcW w:w="3530" w:type="dxa"/>
            <w:tcBorders>
              <w:top w:val="single" w:color="auto" w:sz="4" w:space="0"/>
              <w:left w:val="single" w:color="auto" w:sz="4" w:space="0"/>
              <w:bottom w:val="single" w:color="auto" w:sz="4" w:space="0"/>
              <w:right w:val="single" w:color="auto" w:sz="4" w:space="0"/>
            </w:tcBorders>
          </w:tcPr>
          <w:p w:rsidRPr="008072EB" w:rsidR="008072EB" w:rsidP="008072EB" w:rsidRDefault="008072EB" w14:paraId="3683A755" w14:textId="77777777">
            <w:pPr>
              <w:rPr>
                <w:sz w:val="20"/>
                <w:szCs w:val="20"/>
              </w:rPr>
            </w:pPr>
            <w:r w:rsidRPr="008072EB">
              <w:rPr>
                <w:sz w:val="20"/>
                <w:szCs w:val="20"/>
              </w:rPr>
              <w:t xml:space="preserve">Overall: 1, C </w:t>
            </w:r>
          </w:p>
          <w:p w:rsidRPr="008072EB" w:rsidR="008072EB" w:rsidP="008072EB" w:rsidRDefault="008072EB" w14:paraId="73B73B7F" w14:textId="77777777">
            <w:pPr>
              <w:rPr>
                <w:sz w:val="20"/>
                <w:szCs w:val="20"/>
              </w:rPr>
            </w:pPr>
          </w:p>
          <w:p w:rsidRPr="008072EB" w:rsidR="008072EB" w:rsidP="008072EB" w:rsidRDefault="008072EB" w14:paraId="57726C40" w14:textId="77777777">
            <w:pPr>
              <w:rPr>
                <w:sz w:val="20"/>
                <w:szCs w:val="20"/>
              </w:rPr>
            </w:pPr>
            <w:r w:rsidRPr="008072EB">
              <w:rPr>
                <w:sz w:val="20"/>
                <w:szCs w:val="20"/>
              </w:rPr>
              <w:t>ALB progress: 0</w:t>
            </w:r>
          </w:p>
          <w:p w:rsidRPr="008072EB" w:rsidR="008072EB" w:rsidP="008072EB" w:rsidRDefault="008072EB" w14:paraId="5BAFA97E" w14:textId="6A990C82">
            <w:pPr>
              <w:rPr>
                <w:sz w:val="20"/>
                <w:szCs w:val="20"/>
              </w:rPr>
            </w:pPr>
            <w:r w:rsidRPr="008072EB">
              <w:rPr>
                <w:sz w:val="20"/>
                <w:szCs w:val="20"/>
              </w:rPr>
              <w:t>GOAP progress: N</w:t>
            </w:r>
            <w:r w:rsidR="003B7A1D">
              <w:rPr>
                <w:sz w:val="20"/>
                <w:szCs w:val="20"/>
              </w:rPr>
              <w:t>/</w:t>
            </w:r>
            <w:r w:rsidRPr="008072EB">
              <w:rPr>
                <w:sz w:val="20"/>
                <w:szCs w:val="20"/>
              </w:rPr>
              <w:t>A</w:t>
            </w:r>
          </w:p>
          <w:p w:rsidRPr="008072EB" w:rsidR="008072EB" w:rsidP="008072EB" w:rsidRDefault="008072EB" w14:paraId="7D06233B" w14:textId="77777777">
            <w:pPr>
              <w:rPr>
                <w:sz w:val="20"/>
                <w:szCs w:val="20"/>
              </w:rPr>
            </w:pPr>
            <w:r w:rsidRPr="008072EB">
              <w:rPr>
                <w:sz w:val="20"/>
                <w:szCs w:val="20"/>
              </w:rPr>
              <w:t>FOA progress: 1</w:t>
            </w:r>
          </w:p>
          <w:p w:rsidRPr="008072EB" w:rsidR="008072EB" w:rsidP="008072EB" w:rsidRDefault="008072EB" w14:paraId="6F82942E" w14:textId="77777777">
            <w:pPr>
              <w:rPr>
                <w:sz w:val="20"/>
                <w:szCs w:val="20"/>
              </w:rPr>
            </w:pPr>
          </w:p>
        </w:tc>
      </w:tr>
    </w:tbl>
    <w:p w:rsidRPr="008072EB" w:rsidR="008072EB" w:rsidP="008072EB" w:rsidRDefault="008072EB" w14:paraId="419F5DB6" w14:textId="77777777">
      <w:pPr>
        <w:jc w:val="both"/>
        <w:rPr>
          <w:rFonts w:cs="Arial"/>
          <w:b/>
          <w:bCs/>
          <w:sz w:val="22"/>
          <w:szCs w:val="22"/>
        </w:rPr>
      </w:pPr>
    </w:p>
    <w:p w:rsidRPr="008072EB" w:rsidR="008072EB" w:rsidP="008072EB" w:rsidRDefault="008072EB" w14:paraId="19DAD5A1" w14:textId="0E0B24B0">
      <w:pPr>
        <w:jc w:val="both"/>
        <w:rPr>
          <w:rFonts w:cs="Arial"/>
          <w:b/>
          <w:bCs/>
          <w:sz w:val="22"/>
          <w:szCs w:val="22"/>
        </w:rPr>
      </w:pPr>
      <w:r w:rsidRPr="008072EB">
        <w:rPr>
          <w:rFonts w:cs="Arial"/>
          <w:b/>
          <w:bCs/>
          <w:sz w:val="22"/>
          <w:szCs w:val="22"/>
        </w:rPr>
        <w:t xml:space="preserve">C1. Briefly describe the output’s </w:t>
      </w:r>
      <w:r w:rsidRPr="008072EB" w:rsidR="009E70EF">
        <w:rPr>
          <w:rFonts w:cs="Arial"/>
          <w:b/>
          <w:bCs/>
          <w:sz w:val="22"/>
          <w:szCs w:val="22"/>
        </w:rPr>
        <w:t>activities and</w:t>
      </w:r>
      <w:r w:rsidRPr="008072EB">
        <w:rPr>
          <w:rFonts w:cs="Arial"/>
          <w:b/>
          <w:bCs/>
          <w:sz w:val="22"/>
          <w:szCs w:val="22"/>
        </w:rPr>
        <w:t xml:space="preserve"> provide supporting narrative for the score.</w:t>
      </w:r>
      <w:r w:rsidRPr="008072EB">
        <w:rPr>
          <w:rFonts w:cs="Arial"/>
          <w:sz w:val="22"/>
          <w:szCs w:val="22"/>
        </w:rPr>
        <w:t xml:space="preserve"> </w:t>
      </w:r>
    </w:p>
    <w:p w:rsidRPr="008072EB" w:rsidR="008072EB" w:rsidP="008072EB" w:rsidRDefault="008072EB" w14:paraId="7B42320A" w14:textId="77777777">
      <w:pPr>
        <w:rPr>
          <w:rFonts w:cs="Arial"/>
          <w:sz w:val="22"/>
          <w:szCs w:val="22"/>
        </w:rPr>
      </w:pPr>
    </w:p>
    <w:p w:rsidRPr="008072EB" w:rsidR="008072EB" w:rsidP="008072EB" w:rsidRDefault="008072EB" w14:paraId="35869E72" w14:textId="339CAD46">
      <w:pPr>
        <w:rPr>
          <w:sz w:val="22"/>
          <w:szCs w:val="22"/>
        </w:rPr>
      </w:pPr>
      <w:r w:rsidRPr="2239886A">
        <w:rPr>
          <w:rFonts w:cs="Arial"/>
          <w:sz w:val="22"/>
          <w:szCs w:val="22"/>
        </w:rPr>
        <w:t xml:space="preserve">Output 6 and associated indicators monitor progress towards OCPP intervention design adequately considering gender, equity and social inclusion and safeguarding. </w:t>
      </w:r>
      <w:r w:rsidRPr="2239886A">
        <w:rPr>
          <w:sz w:val="22"/>
          <w:szCs w:val="22"/>
        </w:rPr>
        <w:t xml:space="preserve">The programme has scored C in indicators 6.1 and 6.2. Overall, output </w:t>
      </w:r>
      <w:r w:rsidRPr="2239886A" w:rsidR="0002206C">
        <w:rPr>
          <w:sz w:val="22"/>
          <w:szCs w:val="22"/>
        </w:rPr>
        <w:t>6</w:t>
      </w:r>
      <w:r w:rsidRPr="2239886A">
        <w:rPr>
          <w:sz w:val="22"/>
          <w:szCs w:val="22"/>
        </w:rPr>
        <w:t xml:space="preserve"> has scored a C.</w:t>
      </w:r>
      <w:r w:rsidR="00A42277">
        <w:t xml:space="preserve"> </w:t>
      </w:r>
      <w:r w:rsidRPr="2239886A" w:rsidR="00A42277">
        <w:rPr>
          <w:sz w:val="22"/>
          <w:szCs w:val="22"/>
        </w:rPr>
        <w:t>It is important to note that this indicator was introduced during the report year and requires further defining to ensure its alignment with programme GESI strategy and agreed approaches.  Pockets of GESI sensitivity/consideration were noted from certain countries/workstreams which, whilst they did not fit the definitions outlined in the programme indicator reference sheet, do provide examples of actioning on the requirements of GESI and putting it into action, which is commendable.  Data gathered this year will be used to</w:t>
      </w:r>
      <w:r w:rsidRPr="2239886A" w:rsidR="004671C7">
        <w:rPr>
          <w:sz w:val="22"/>
          <w:szCs w:val="22"/>
        </w:rPr>
        <w:t xml:space="preserve"> review and ensure better alignment in the coming year. A GESI action plan has been agreed with ALBs partners and work is underway to conduct GESI analysis</w:t>
      </w:r>
      <w:r w:rsidRPr="2239886A" w:rsidR="00F50FD3">
        <w:rPr>
          <w:sz w:val="22"/>
          <w:szCs w:val="22"/>
        </w:rPr>
        <w:t xml:space="preserve"> </w:t>
      </w:r>
      <w:r w:rsidRPr="2239886A" w:rsidR="00F50FD3">
        <w:rPr>
          <w:rFonts w:cs="Arial"/>
          <w:sz w:val="22"/>
          <w:szCs w:val="22"/>
        </w:rPr>
        <w:t>to inform delivery and stakeholder engagement and identify GESI and SEAH safeguarding risks and mitigations.</w:t>
      </w:r>
    </w:p>
    <w:p w:rsidRPr="008072EB" w:rsidR="008072EB" w:rsidP="008072EB" w:rsidRDefault="008072EB" w14:paraId="08795C26" w14:textId="77777777">
      <w:pPr>
        <w:rPr>
          <w:sz w:val="22"/>
          <w:szCs w:val="22"/>
        </w:rPr>
      </w:pPr>
    </w:p>
    <w:p w:rsidRPr="00B80244" w:rsidR="00B80244" w:rsidP="00B80244" w:rsidRDefault="008072EB" w14:paraId="6AAE4FC1" w14:textId="1A4BDDD5">
      <w:pPr>
        <w:rPr>
          <w:sz w:val="22"/>
          <w:szCs w:val="22"/>
        </w:rPr>
      </w:pPr>
      <w:r w:rsidRPr="008072EB">
        <w:rPr>
          <w:b/>
          <w:bCs/>
          <w:sz w:val="22"/>
          <w:szCs w:val="22"/>
        </w:rPr>
        <w:t xml:space="preserve">6.1 – C. </w:t>
      </w:r>
      <w:r w:rsidRPr="008072EB">
        <w:rPr>
          <w:sz w:val="22"/>
          <w:szCs w:val="22"/>
        </w:rPr>
        <w:t>This indicator measures the</w:t>
      </w:r>
      <w:r w:rsidRPr="008072EB">
        <w:t xml:space="preserve"> </w:t>
      </w:r>
      <w:r w:rsidRPr="008072EB">
        <w:rPr>
          <w:sz w:val="22"/>
          <w:szCs w:val="22"/>
        </w:rPr>
        <w:t xml:space="preserve">number of scoping missions/reports that include </w:t>
      </w:r>
      <w:r w:rsidR="0040079A">
        <w:rPr>
          <w:sz w:val="22"/>
          <w:szCs w:val="22"/>
        </w:rPr>
        <w:t xml:space="preserve">either </w:t>
      </w:r>
      <w:r w:rsidRPr="008072EB">
        <w:rPr>
          <w:sz w:val="22"/>
          <w:szCs w:val="22"/>
        </w:rPr>
        <w:t>detailed stakeholder mapping, GESI analysis and safeguarding risk assessment</w:t>
      </w:r>
      <w:r w:rsidR="0040079A">
        <w:rPr>
          <w:rFonts w:cs="Arial"/>
          <w:sz w:val="22"/>
          <w:szCs w:val="22"/>
        </w:rPr>
        <w:t xml:space="preserve"> or all three.</w:t>
      </w:r>
      <w:r w:rsidRPr="008072EB">
        <w:rPr>
          <w:rFonts w:cs="Arial"/>
          <w:sz w:val="22"/>
          <w:szCs w:val="22"/>
        </w:rPr>
        <w:t xml:space="preserve"> ALB partners reported </w:t>
      </w:r>
      <w:r w:rsidR="00E63332">
        <w:rPr>
          <w:rFonts w:cs="Arial"/>
          <w:sz w:val="22"/>
          <w:szCs w:val="22"/>
        </w:rPr>
        <w:t>zero</w:t>
      </w:r>
      <w:r w:rsidRPr="008072EB">
        <w:rPr>
          <w:rFonts w:cs="Arial"/>
          <w:sz w:val="22"/>
          <w:szCs w:val="22"/>
        </w:rPr>
        <w:t>, GOAP N</w:t>
      </w:r>
      <w:r w:rsidR="00FA6EDF">
        <w:rPr>
          <w:rFonts w:cs="Arial"/>
          <w:sz w:val="22"/>
          <w:szCs w:val="22"/>
        </w:rPr>
        <w:t>/</w:t>
      </w:r>
      <w:r w:rsidRPr="008072EB">
        <w:rPr>
          <w:rFonts w:cs="Arial"/>
          <w:sz w:val="22"/>
          <w:szCs w:val="22"/>
        </w:rPr>
        <w:t xml:space="preserve">A and FOA </w:t>
      </w:r>
      <w:r w:rsidR="00E63332">
        <w:rPr>
          <w:rFonts w:cs="Arial"/>
          <w:sz w:val="22"/>
          <w:szCs w:val="22"/>
        </w:rPr>
        <w:t>one</w:t>
      </w:r>
      <w:r w:rsidRPr="008072EB">
        <w:rPr>
          <w:rFonts w:cs="Arial"/>
          <w:sz w:val="22"/>
          <w:szCs w:val="22"/>
        </w:rPr>
        <w:t xml:space="preserve">. </w:t>
      </w:r>
      <w:r w:rsidRPr="008072EB">
        <w:rPr>
          <w:sz w:val="22"/>
          <w:szCs w:val="22"/>
        </w:rPr>
        <w:t xml:space="preserve">The total reported is </w:t>
      </w:r>
      <w:r w:rsidR="00E63332">
        <w:rPr>
          <w:sz w:val="22"/>
          <w:szCs w:val="22"/>
        </w:rPr>
        <w:t>one</w:t>
      </w:r>
      <w:r w:rsidRPr="008072EB">
        <w:rPr>
          <w:sz w:val="22"/>
          <w:szCs w:val="22"/>
        </w:rPr>
        <w:t>.</w:t>
      </w:r>
      <w:r w:rsidR="00B80244">
        <w:t xml:space="preserve"> </w:t>
      </w:r>
      <w:r w:rsidRPr="00B80244" w:rsidR="00B80244">
        <w:rPr>
          <w:sz w:val="22"/>
          <w:szCs w:val="22"/>
        </w:rPr>
        <w:t>GOAP’s scoring is reported as ‘N/A’ because the indicator was not created nor was relevant for GOAP programming during this reporting period. FOA in Ghana produced a situational analysis report, “Landscaping Analysis of Aquaculture in Ghana,” that included stakeholder mapping and provided a GESI analysis for vulnerable groups and included recommendations.</w:t>
      </w:r>
    </w:p>
    <w:p w:rsidRPr="008072EB" w:rsidR="008072EB" w:rsidP="008072EB" w:rsidRDefault="008072EB" w14:paraId="32D0E463" w14:textId="3C36864A">
      <w:pPr>
        <w:rPr>
          <w:rFonts w:cs="Arial"/>
          <w:sz w:val="22"/>
          <w:szCs w:val="22"/>
        </w:rPr>
      </w:pPr>
    </w:p>
    <w:p w:rsidRPr="008072EB" w:rsidR="008072EB" w:rsidP="008072EB" w:rsidRDefault="008072EB" w14:paraId="12D687DA" w14:textId="77777777">
      <w:pPr>
        <w:rPr>
          <w:rFonts w:cs="Arial"/>
          <w:b/>
          <w:bCs/>
          <w:sz w:val="22"/>
          <w:szCs w:val="22"/>
        </w:rPr>
      </w:pPr>
    </w:p>
    <w:p w:rsidRPr="008072EB" w:rsidR="008072EB" w:rsidP="008072EB" w:rsidRDefault="008072EB" w14:paraId="4B268086" w14:textId="6AE3F755">
      <w:pPr>
        <w:rPr>
          <w:sz w:val="22"/>
          <w:szCs w:val="22"/>
        </w:rPr>
      </w:pPr>
      <w:r w:rsidRPr="1FB22237">
        <w:rPr>
          <w:b/>
          <w:bCs/>
          <w:sz w:val="22"/>
          <w:szCs w:val="22"/>
        </w:rPr>
        <w:t xml:space="preserve">6.2 – C. </w:t>
      </w:r>
      <w:r w:rsidRPr="1FB22237">
        <w:rPr>
          <w:sz w:val="22"/>
          <w:szCs w:val="22"/>
        </w:rPr>
        <w:t>This indicator measures the</w:t>
      </w:r>
      <w:r>
        <w:t xml:space="preserve"> </w:t>
      </w:r>
      <w:r w:rsidRPr="1FB22237">
        <w:rPr>
          <w:sz w:val="22"/>
          <w:szCs w:val="22"/>
        </w:rPr>
        <w:t xml:space="preserve">number of intervention plans that reflect GESI recommendations and safeguarding measures. </w:t>
      </w:r>
      <w:r w:rsidRPr="1FB22237">
        <w:rPr>
          <w:rFonts w:cs="Arial"/>
          <w:sz w:val="22"/>
          <w:szCs w:val="22"/>
        </w:rPr>
        <w:t xml:space="preserve">ALB partners reported </w:t>
      </w:r>
      <w:r w:rsidR="00E63332">
        <w:rPr>
          <w:rFonts w:cs="Arial"/>
          <w:sz w:val="22"/>
          <w:szCs w:val="22"/>
        </w:rPr>
        <w:t>zero</w:t>
      </w:r>
      <w:r w:rsidRPr="1FB22237">
        <w:rPr>
          <w:rFonts w:cs="Arial"/>
          <w:sz w:val="22"/>
          <w:szCs w:val="22"/>
        </w:rPr>
        <w:t>, GOAP N</w:t>
      </w:r>
      <w:r w:rsidRPr="1FB22237" w:rsidR="005D537E">
        <w:rPr>
          <w:rFonts w:cs="Arial"/>
          <w:sz w:val="22"/>
          <w:szCs w:val="22"/>
        </w:rPr>
        <w:t>/</w:t>
      </w:r>
      <w:r w:rsidRPr="1FB22237">
        <w:rPr>
          <w:rFonts w:cs="Arial"/>
          <w:sz w:val="22"/>
          <w:szCs w:val="22"/>
        </w:rPr>
        <w:t xml:space="preserve">A and FOA </w:t>
      </w:r>
      <w:r w:rsidR="00E63332">
        <w:rPr>
          <w:rFonts w:cs="Arial"/>
          <w:sz w:val="22"/>
          <w:szCs w:val="22"/>
        </w:rPr>
        <w:t>one</w:t>
      </w:r>
      <w:r w:rsidRPr="1FB22237">
        <w:rPr>
          <w:rFonts w:cs="Arial"/>
          <w:sz w:val="22"/>
          <w:szCs w:val="22"/>
        </w:rPr>
        <w:t xml:space="preserve">. </w:t>
      </w:r>
      <w:r w:rsidRPr="1FB22237">
        <w:rPr>
          <w:sz w:val="22"/>
          <w:szCs w:val="22"/>
        </w:rPr>
        <w:t xml:space="preserve">The total reported is </w:t>
      </w:r>
      <w:r w:rsidR="00E63332">
        <w:rPr>
          <w:sz w:val="22"/>
          <w:szCs w:val="22"/>
        </w:rPr>
        <w:t>one</w:t>
      </w:r>
      <w:r w:rsidRPr="1FB22237">
        <w:rPr>
          <w:sz w:val="22"/>
          <w:szCs w:val="22"/>
        </w:rPr>
        <w:t>.</w:t>
      </w:r>
      <w:r w:rsidR="00172219">
        <w:t xml:space="preserve"> </w:t>
      </w:r>
      <w:r w:rsidRPr="1FB22237" w:rsidR="005D537E">
        <w:rPr>
          <w:sz w:val="22"/>
          <w:szCs w:val="22"/>
        </w:rPr>
        <w:t xml:space="preserve">In </w:t>
      </w:r>
      <w:r w:rsidRPr="1FB22237" w:rsidR="00172219">
        <w:rPr>
          <w:sz w:val="22"/>
          <w:szCs w:val="22"/>
        </w:rPr>
        <w:t>Ghana</w:t>
      </w:r>
      <w:r w:rsidRPr="1FB22237" w:rsidR="005D537E">
        <w:rPr>
          <w:sz w:val="22"/>
          <w:szCs w:val="22"/>
        </w:rPr>
        <w:t>, FOA</w:t>
      </w:r>
      <w:r w:rsidRPr="1FB22237" w:rsidR="00172219">
        <w:rPr>
          <w:sz w:val="22"/>
          <w:szCs w:val="22"/>
        </w:rPr>
        <w:t xml:space="preserve"> produced a workplan</w:t>
      </w:r>
      <w:r w:rsidRPr="1FB22237" w:rsidR="005D537E">
        <w:rPr>
          <w:sz w:val="22"/>
          <w:szCs w:val="22"/>
        </w:rPr>
        <w:t xml:space="preserve"> titled </w:t>
      </w:r>
      <w:r w:rsidRPr="1FB22237" w:rsidR="00172219">
        <w:rPr>
          <w:sz w:val="22"/>
          <w:szCs w:val="22"/>
        </w:rPr>
        <w:t>Blue Food Partnership Ghana Action Plan”</w:t>
      </w:r>
      <w:r w:rsidRPr="1FB22237" w:rsidR="005D537E">
        <w:rPr>
          <w:sz w:val="22"/>
          <w:szCs w:val="22"/>
        </w:rPr>
        <w:t>,</w:t>
      </w:r>
      <w:r w:rsidRPr="1FB22237" w:rsidR="00172219">
        <w:rPr>
          <w:sz w:val="22"/>
          <w:szCs w:val="22"/>
        </w:rPr>
        <w:t xml:space="preserve"> that included stakeholder mapping and addresses GESI</w:t>
      </w:r>
      <w:r w:rsidRPr="1FB22237" w:rsidR="009E20C8">
        <w:rPr>
          <w:sz w:val="22"/>
          <w:szCs w:val="22"/>
        </w:rPr>
        <w:t>.</w:t>
      </w:r>
    </w:p>
    <w:p w:rsidRPr="008072EB" w:rsidR="008072EB" w:rsidP="008072EB" w:rsidRDefault="008072EB" w14:paraId="1F1D75B7" w14:textId="77777777">
      <w:pPr>
        <w:jc w:val="both"/>
        <w:rPr>
          <w:sz w:val="22"/>
          <w:szCs w:val="22"/>
        </w:rPr>
      </w:pPr>
    </w:p>
    <w:p w:rsidRPr="008072EB" w:rsidR="008072EB" w:rsidP="00C70CFE" w:rsidRDefault="008072EB" w14:paraId="672B39CD" w14:textId="77777777">
      <w:pPr>
        <w:rPr>
          <w:rFonts w:cs="Arial"/>
          <w:bCs/>
          <w:sz w:val="22"/>
          <w:u w:val="single"/>
        </w:rPr>
      </w:pPr>
    </w:p>
    <w:p w:rsidRPr="008072EB" w:rsidR="008072EB" w:rsidP="00C70CFE" w:rsidRDefault="008072EB" w14:paraId="00555FAB" w14:textId="77777777">
      <w:pPr>
        <w:rPr>
          <w:rFonts w:cs="Arial"/>
          <w:bCs/>
          <w:sz w:val="22"/>
          <w:u w:val="single"/>
        </w:rPr>
      </w:pPr>
      <w:r w:rsidRPr="008072EB">
        <w:rPr>
          <w:rFonts w:cs="Arial"/>
          <w:bCs/>
          <w:sz w:val="22"/>
          <w:u w:val="single"/>
        </w:rPr>
        <w:t>Wider examples (did not fit the definitions outlined in our indicator reference sheet).</w:t>
      </w:r>
    </w:p>
    <w:p w:rsidRPr="008072EB" w:rsidR="008072EB" w:rsidP="00C70CFE" w:rsidRDefault="008072EB" w14:paraId="6643CFB4" w14:textId="77777777">
      <w:pPr>
        <w:rPr>
          <w:rFonts w:cs="Arial"/>
          <w:bCs/>
          <w:sz w:val="22"/>
          <w:u w:val="single"/>
        </w:rPr>
      </w:pPr>
    </w:p>
    <w:p w:rsidRPr="008072EB" w:rsidR="008072EB" w:rsidP="00C70CFE" w:rsidRDefault="008072EB" w14:paraId="52840927" w14:textId="75933FEE">
      <w:pPr>
        <w:rPr>
          <w:rFonts w:cs="Arial"/>
          <w:bCs/>
          <w:sz w:val="22"/>
        </w:rPr>
      </w:pPr>
      <w:r w:rsidRPr="008072EB">
        <w:rPr>
          <w:rFonts w:cs="Arial"/>
          <w:b/>
          <w:sz w:val="22"/>
        </w:rPr>
        <w:t xml:space="preserve">FOA​, Supply Chain </w:t>
      </w:r>
      <w:r w:rsidR="00E15E23">
        <w:rPr>
          <w:rFonts w:cs="Arial"/>
          <w:b/>
          <w:sz w:val="22"/>
        </w:rPr>
        <w:t>Risk</w:t>
      </w:r>
      <w:r w:rsidRPr="008072EB" w:rsidR="00E15E23">
        <w:rPr>
          <w:rFonts w:cs="Arial"/>
          <w:b/>
          <w:sz w:val="22"/>
        </w:rPr>
        <w:t xml:space="preserve"> </w:t>
      </w:r>
      <w:r w:rsidRPr="008072EB">
        <w:rPr>
          <w:rFonts w:cs="Arial"/>
          <w:b/>
          <w:sz w:val="22"/>
        </w:rPr>
        <w:t>Tool (SCRT):</w:t>
      </w:r>
      <w:r w:rsidRPr="008072EB">
        <w:rPr>
          <w:rFonts w:cs="Arial"/>
          <w:bCs/>
          <w:sz w:val="22"/>
        </w:rPr>
        <w:t xml:space="preserve"> incorporates stakeholder analysis and acknowledges gender and social inclusion in its Phase III Strategy (published Feb 2024). SCRT report that half of the Seafood Meta-coalition leads the project engaged were female (non-corroborated statement). ​</w:t>
      </w:r>
    </w:p>
    <w:p w:rsidRPr="008072EB" w:rsidR="008072EB" w:rsidP="00C70CFE" w:rsidRDefault="008072EB" w14:paraId="2E600073" w14:textId="77777777">
      <w:pPr>
        <w:rPr>
          <w:rFonts w:cs="Arial"/>
          <w:bCs/>
          <w:sz w:val="22"/>
        </w:rPr>
      </w:pPr>
    </w:p>
    <w:p w:rsidRPr="008072EB" w:rsidR="008072EB" w:rsidP="00C70CFE" w:rsidRDefault="008072EB" w14:paraId="33FE091B" w14:textId="77777777">
      <w:pPr>
        <w:rPr>
          <w:rFonts w:cs="Arial"/>
          <w:bCs/>
          <w:sz w:val="22"/>
        </w:rPr>
      </w:pPr>
      <w:r w:rsidRPr="008072EB">
        <w:rPr>
          <w:rFonts w:cs="Arial"/>
          <w:b/>
          <w:sz w:val="22"/>
        </w:rPr>
        <w:t>ALBs, Belize:</w:t>
      </w:r>
      <w:r w:rsidRPr="008072EB">
        <w:rPr>
          <w:rFonts w:cs="Arial"/>
          <w:bCs/>
          <w:sz w:val="22"/>
        </w:rPr>
        <w:t xml:space="preserve"> The programme’s subcontractor, WREN, ensured GESDI (including diversity) was reflected in the Pilot Port(s) Waste Infrastructure Upgrade Feasibility Study (published June 2024). The study acknowledges that social and gender inclusivity should be ensured through inclusive planning processes that actively engage various stakeholders directly impacted by port infrastructure (p.28). The Action Plan features an explicit GESDI action item to assess ‘green job’ creation for GESDI-identified actors.</w:t>
      </w:r>
    </w:p>
    <w:p w:rsidRPr="008072EB" w:rsidR="008072EB" w:rsidP="00C70CFE" w:rsidRDefault="008072EB" w14:paraId="33B015AB" w14:textId="77777777">
      <w:pPr>
        <w:rPr>
          <w:rFonts w:cs="Arial"/>
          <w:bCs/>
          <w:sz w:val="22"/>
        </w:rPr>
      </w:pPr>
    </w:p>
    <w:p w:rsidRPr="008072EB" w:rsidR="008072EB" w:rsidP="1FB22237" w:rsidRDefault="008072EB" w14:paraId="053C1831" w14:textId="74A100C4">
      <w:pPr>
        <w:rPr>
          <w:rFonts w:cs="Arial"/>
          <w:sz w:val="22"/>
          <w:szCs w:val="22"/>
        </w:rPr>
      </w:pPr>
      <w:r w:rsidRPr="1FB22237">
        <w:rPr>
          <w:rFonts w:cs="Arial"/>
          <w:sz w:val="22"/>
          <w:szCs w:val="22"/>
        </w:rPr>
        <w:t xml:space="preserve">The National Maritime Transport Policy (June 2024) incorporates and acknowledges GESI aspects in the following ways: 1) as an explicit guiding principle of the policy; 2) the policy lists ‘Maritime Gender Equity’ under its Priority Areas and Action areas and identifies which stakeholders are responsible for completing the identified five action areas. </w:t>
      </w:r>
    </w:p>
    <w:p w:rsidRPr="008072EB" w:rsidR="008072EB" w:rsidP="00C70CFE" w:rsidRDefault="008072EB" w14:paraId="6D78C5D2" w14:textId="77777777">
      <w:pPr>
        <w:rPr>
          <w:rFonts w:cs="Arial"/>
          <w:bCs/>
          <w:sz w:val="22"/>
        </w:rPr>
      </w:pPr>
    </w:p>
    <w:p w:rsidRPr="008072EB" w:rsidR="008072EB" w:rsidP="00C70CFE" w:rsidRDefault="008072EB" w14:paraId="4D4A0811" w14:textId="5C146926">
      <w:pPr>
        <w:rPr>
          <w:rFonts w:cs="Arial"/>
          <w:bCs/>
          <w:sz w:val="22"/>
        </w:rPr>
      </w:pPr>
      <w:r w:rsidRPr="008072EB">
        <w:rPr>
          <w:rFonts w:cs="Arial"/>
          <w:b/>
          <w:sz w:val="22"/>
        </w:rPr>
        <w:t>ALBs, Maldives:</w:t>
      </w:r>
      <w:r w:rsidRPr="008072EB">
        <w:rPr>
          <w:rFonts w:cs="Arial"/>
          <w:bCs/>
          <w:sz w:val="22"/>
        </w:rPr>
        <w:t xml:space="preserve"> Currently the MPA Management Framework and MPA Management Planning Guide do promote inclusive participation as a way of empowerment, but there is no guidance, and </w:t>
      </w:r>
      <w:r w:rsidR="00593302">
        <w:rPr>
          <w:rFonts w:cs="Arial"/>
          <w:bCs/>
          <w:sz w:val="22"/>
        </w:rPr>
        <w:t xml:space="preserve">there are </w:t>
      </w:r>
      <w:r w:rsidRPr="008072EB">
        <w:rPr>
          <w:rFonts w:cs="Arial"/>
          <w:bCs/>
          <w:sz w:val="22"/>
        </w:rPr>
        <w:t>no tools included in the frameworks to help achieve this at a local level. ​</w:t>
      </w:r>
    </w:p>
    <w:p w:rsidRPr="008072EB" w:rsidR="008072EB" w:rsidP="00C70CFE" w:rsidRDefault="008072EB" w14:paraId="2C39E736" w14:textId="3204ADAC">
      <w:pPr>
        <w:rPr>
          <w:rFonts w:cs="Arial"/>
          <w:bCs/>
          <w:sz w:val="22"/>
        </w:rPr>
      </w:pPr>
    </w:p>
    <w:p w:rsidRPr="008072EB" w:rsidR="008072EB" w:rsidP="1FB22237" w:rsidRDefault="008072EB" w14:paraId="4467C48E" w14:textId="7C3CFE99">
      <w:pPr>
        <w:rPr>
          <w:rFonts w:cs="Arial"/>
          <w:sz w:val="22"/>
          <w:szCs w:val="22"/>
        </w:rPr>
      </w:pPr>
      <w:r w:rsidRPr="1FB22237">
        <w:rPr>
          <w:rFonts w:cs="Arial"/>
          <w:b/>
          <w:bCs/>
          <w:sz w:val="22"/>
          <w:szCs w:val="22"/>
        </w:rPr>
        <w:t>Association of Commonwealth Universities (ACU):</w:t>
      </w:r>
      <w:r w:rsidRPr="1FB22237">
        <w:rPr>
          <w:rFonts w:cs="Arial"/>
          <w:sz w:val="22"/>
          <w:szCs w:val="22"/>
        </w:rPr>
        <w:t xml:space="preserve"> The ACU scholarships programme</w:t>
      </w:r>
      <w:r w:rsidRPr="1FB22237" w:rsidR="00A230F2">
        <w:rPr>
          <w:rFonts w:cs="Arial"/>
          <w:sz w:val="22"/>
          <w:szCs w:val="22"/>
        </w:rPr>
        <w:t xml:space="preserve"> has implemented an inclusive policy</w:t>
      </w:r>
      <w:r w:rsidRPr="1FB22237" w:rsidR="009548DC">
        <w:rPr>
          <w:rFonts w:cs="Arial"/>
          <w:sz w:val="22"/>
          <w:szCs w:val="22"/>
        </w:rPr>
        <w:t xml:space="preserve"> for </w:t>
      </w:r>
      <w:r w:rsidRPr="1FB22237" w:rsidR="00FF6538">
        <w:rPr>
          <w:rFonts w:cs="Arial"/>
          <w:sz w:val="22"/>
          <w:szCs w:val="22"/>
        </w:rPr>
        <w:t>scholars</w:t>
      </w:r>
      <w:r w:rsidRPr="1FB22237" w:rsidR="009548DC">
        <w:rPr>
          <w:rFonts w:cs="Arial"/>
          <w:sz w:val="22"/>
          <w:szCs w:val="22"/>
        </w:rPr>
        <w:t>, for example</w:t>
      </w:r>
      <w:r w:rsidRPr="1FB22237">
        <w:rPr>
          <w:rFonts w:cs="Arial"/>
          <w:sz w:val="22"/>
          <w:szCs w:val="22"/>
        </w:rPr>
        <w:t xml:space="preserve"> provid</w:t>
      </w:r>
      <w:r w:rsidRPr="1FB22237" w:rsidR="009548DC">
        <w:rPr>
          <w:rFonts w:cs="Arial"/>
          <w:sz w:val="22"/>
          <w:szCs w:val="22"/>
        </w:rPr>
        <w:t>ing</w:t>
      </w:r>
      <w:r w:rsidRPr="1FB22237">
        <w:rPr>
          <w:rFonts w:cs="Arial"/>
          <w:sz w:val="22"/>
          <w:szCs w:val="22"/>
        </w:rPr>
        <w:t xml:space="preserve"> </w:t>
      </w:r>
      <w:r w:rsidRPr="1FB22237" w:rsidR="009548DC">
        <w:rPr>
          <w:rFonts w:cs="Arial"/>
          <w:sz w:val="22"/>
          <w:szCs w:val="22"/>
        </w:rPr>
        <w:t>f</w:t>
      </w:r>
      <w:r w:rsidRPr="1FB22237">
        <w:rPr>
          <w:rFonts w:cs="Arial"/>
          <w:sz w:val="22"/>
          <w:szCs w:val="22"/>
        </w:rPr>
        <w:t>unding to support disability and maternity costs on a case-by-case basis.</w:t>
      </w:r>
    </w:p>
    <w:p w:rsidRPr="008072EB" w:rsidR="008072EB" w:rsidP="008072EB" w:rsidRDefault="008072EB" w14:paraId="5BEC4F6E" w14:textId="77777777">
      <w:pPr>
        <w:jc w:val="both"/>
        <w:rPr>
          <w:rFonts w:cs="Arial"/>
          <w:bCs/>
          <w:sz w:val="22"/>
          <w:szCs w:val="22"/>
        </w:rPr>
      </w:pPr>
    </w:p>
    <w:p w:rsidRPr="008072EB" w:rsidR="008072EB" w:rsidP="008072EB" w:rsidRDefault="008072EB" w14:paraId="13B0129E" w14:textId="62E0EEC1">
      <w:pPr>
        <w:rPr>
          <w:rFonts w:cs="Arial"/>
          <w:sz w:val="22"/>
          <w:szCs w:val="22"/>
        </w:rPr>
      </w:pPr>
      <w:r w:rsidRPr="008072EB">
        <w:rPr>
          <w:b/>
          <w:bCs/>
          <w:sz w:val="22"/>
          <w:szCs w:val="22"/>
        </w:rPr>
        <w:t>C2. Describe any changes to outputs during the past year, and any planned changes as a result of this review</w:t>
      </w:r>
      <w:r w:rsidR="00090FA9">
        <w:rPr>
          <w:b/>
          <w:bCs/>
          <w:sz w:val="22"/>
          <w:szCs w:val="22"/>
        </w:rPr>
        <w:t>.</w:t>
      </w:r>
    </w:p>
    <w:p w:rsidRPr="008072EB" w:rsidR="008072EB" w:rsidP="008072EB" w:rsidRDefault="008072EB" w14:paraId="64C70133" w14:textId="77777777">
      <w:pPr>
        <w:rPr>
          <w:rFonts w:cs="Arial"/>
          <w:sz w:val="20"/>
          <w:szCs w:val="20"/>
        </w:rPr>
      </w:pPr>
    </w:p>
    <w:p w:rsidRPr="008072EB" w:rsidR="00CF62BF" w:rsidP="008072EB" w:rsidRDefault="00CF62BF" w14:paraId="326A9C94" w14:textId="4E69FA2C">
      <w:pPr>
        <w:rPr>
          <w:rFonts w:cs="Arial"/>
          <w:sz w:val="20"/>
          <w:szCs w:val="20"/>
        </w:rPr>
      </w:pPr>
    </w:p>
    <w:p w:rsidRPr="008072EB" w:rsidR="008072EB" w:rsidP="008072EB" w:rsidRDefault="008072EB" w14:paraId="7274E388" w14:textId="46945C0F">
      <w:pPr>
        <w:spacing w:after="160" w:line="259" w:lineRule="auto"/>
        <w:rPr>
          <w:rFonts w:cs="Arial" w:eastAsiaTheme="minorHAnsi"/>
          <w:kern w:val="2"/>
          <w:sz w:val="22"/>
          <w:szCs w:val="22"/>
          <w14:ligatures w14:val="standardContextual"/>
        </w:rPr>
      </w:pPr>
      <w:r w:rsidRPr="008072EB">
        <w:rPr>
          <w:rFonts w:cs="Arial" w:eastAsiaTheme="minorHAnsi"/>
          <w:kern w:val="2"/>
          <w:sz w:val="22"/>
          <w:szCs w:val="22"/>
          <w14:ligatures w14:val="standardContextual"/>
        </w:rPr>
        <w:t xml:space="preserve">During the reporting period, the OCPP logframe was revised by the newly recruited MEL services partner along with the MEL working group (formed of representatives from each delivery partner). The revision required the development of new indicator reference sheets and assessment methodologies which were used to capture data from across the reporting year where possible. This revision, </w:t>
      </w:r>
      <w:r w:rsidR="001A195A">
        <w:rPr>
          <w:rFonts w:cs="Arial" w:eastAsiaTheme="minorHAnsi"/>
          <w:kern w:val="2"/>
          <w:sz w:val="22"/>
          <w:szCs w:val="22"/>
          <w14:ligatures w14:val="standardContextual"/>
        </w:rPr>
        <w:t>six</w:t>
      </w:r>
      <w:r w:rsidRPr="008072EB">
        <w:rPr>
          <w:rFonts w:cs="Arial" w:eastAsiaTheme="minorHAnsi"/>
          <w:kern w:val="2"/>
          <w:sz w:val="22"/>
          <w:szCs w:val="22"/>
          <w14:ligatures w14:val="standardContextual"/>
        </w:rPr>
        <w:t xml:space="preserve"> months through the year had implications for how milestones were set and, where new indicators were introduced,</w:t>
      </w:r>
      <w:r w:rsidR="002969A1">
        <w:rPr>
          <w:rFonts w:cs="Arial" w:eastAsiaTheme="minorHAnsi"/>
          <w:kern w:val="2"/>
          <w:sz w:val="22"/>
          <w:szCs w:val="22"/>
          <w14:ligatures w14:val="standardContextual"/>
        </w:rPr>
        <w:t xml:space="preserve"> and</w:t>
      </w:r>
      <w:r w:rsidRPr="008072EB">
        <w:rPr>
          <w:rFonts w:cs="Arial" w:eastAsiaTheme="minorHAnsi"/>
          <w:kern w:val="2"/>
          <w:sz w:val="22"/>
          <w:szCs w:val="22"/>
          <w14:ligatures w14:val="standardContextual"/>
        </w:rPr>
        <w:t xml:space="preserve"> the ability of the programme to consistently report across the whole year. </w:t>
      </w:r>
    </w:p>
    <w:p w:rsidRPr="008072EB" w:rsidR="008072EB" w:rsidP="1FB22237" w:rsidRDefault="008072EB" w14:paraId="0949C881" w14:textId="2E12F9F0">
      <w:pPr>
        <w:spacing w:after="160" w:line="259" w:lineRule="auto"/>
        <w:rPr>
          <w:rFonts w:cs="Arial" w:eastAsiaTheme="minorEastAsia"/>
          <w:kern w:val="2"/>
          <w:sz w:val="22"/>
          <w:szCs w:val="22"/>
          <w14:ligatures w14:val="standardContextual"/>
        </w:rPr>
      </w:pPr>
      <w:r w:rsidRPr="1FB22237">
        <w:rPr>
          <w:rFonts w:cs="Arial" w:eastAsiaTheme="minorEastAsia"/>
          <w:kern w:val="2"/>
          <w:sz w:val="22"/>
          <w:szCs w:val="22"/>
          <w14:ligatures w14:val="standardContextual"/>
        </w:rPr>
        <w:t xml:space="preserve">Additionally, previous </w:t>
      </w:r>
      <w:r w:rsidR="00C14357">
        <w:rPr>
          <w:rFonts w:cs="Arial" w:eastAsiaTheme="minorEastAsia"/>
          <w:kern w:val="2"/>
          <w:sz w:val="22"/>
          <w:szCs w:val="22"/>
          <w14:ligatures w14:val="standardContextual"/>
        </w:rPr>
        <w:t>annual review</w:t>
      </w:r>
      <w:r w:rsidRPr="1FB22237">
        <w:rPr>
          <w:rFonts w:cs="Arial" w:eastAsiaTheme="minorEastAsia"/>
          <w:kern w:val="2"/>
          <w:sz w:val="22"/>
          <w:szCs w:val="22"/>
          <w14:ligatures w14:val="standardContextual"/>
        </w:rPr>
        <w:t xml:space="preserve">s highlighted the need for improved M&amp;E capacity across the programme. This year, the MEL services partner has been working closely with delivery partners to build capacity and improve the quality of reporting. There has been a significant improvement in monitoring </w:t>
      </w:r>
      <w:r w:rsidRPr="1FB22237" w:rsidR="004A795E">
        <w:rPr>
          <w:rFonts w:cs="Arial" w:eastAsiaTheme="minorEastAsia"/>
          <w:kern w:val="2"/>
          <w:sz w:val="22"/>
          <w:szCs w:val="22"/>
          <w14:ligatures w14:val="standardContextual"/>
        </w:rPr>
        <w:t xml:space="preserve">and </w:t>
      </w:r>
      <w:r w:rsidRPr="1FB22237">
        <w:rPr>
          <w:rFonts w:cs="Arial" w:eastAsiaTheme="minorEastAsia"/>
          <w:kern w:val="2"/>
          <w:sz w:val="22"/>
          <w:szCs w:val="22"/>
          <w14:ligatures w14:val="standardContextual"/>
        </w:rPr>
        <w:t xml:space="preserve">reporting this year </w:t>
      </w:r>
      <w:r w:rsidRPr="1FB22237" w:rsidR="003C7248">
        <w:rPr>
          <w:rFonts w:cs="Arial" w:eastAsiaTheme="minorEastAsia"/>
          <w:kern w:val="2"/>
          <w:sz w:val="22"/>
          <w:szCs w:val="22"/>
          <w14:ligatures w14:val="standardContextual"/>
        </w:rPr>
        <w:t xml:space="preserve">compared to previous reporting periods </w:t>
      </w:r>
      <w:r w:rsidRPr="1FB22237" w:rsidR="003378D3">
        <w:rPr>
          <w:rFonts w:cs="Arial" w:eastAsiaTheme="minorEastAsia"/>
          <w:kern w:val="2"/>
          <w:sz w:val="22"/>
          <w:szCs w:val="22"/>
          <w14:ligatures w14:val="standardContextual"/>
        </w:rPr>
        <w:t xml:space="preserve">which has been demonstrated by the </w:t>
      </w:r>
      <w:r w:rsidRPr="1FB22237" w:rsidR="004D2337">
        <w:rPr>
          <w:rFonts w:cs="Arial" w:eastAsiaTheme="minorEastAsia"/>
          <w:kern w:val="2"/>
          <w:sz w:val="22"/>
          <w:szCs w:val="22"/>
          <w14:ligatures w14:val="standardContextual"/>
        </w:rPr>
        <w:t xml:space="preserve">depth of </w:t>
      </w:r>
      <w:r w:rsidRPr="1FB22237" w:rsidR="00BB6F08">
        <w:rPr>
          <w:rFonts w:cs="Arial" w:eastAsiaTheme="minorEastAsia"/>
          <w:kern w:val="2"/>
          <w:sz w:val="22"/>
          <w:szCs w:val="22"/>
          <w14:ligatures w14:val="standardContextual"/>
        </w:rPr>
        <w:t>insight on programme performance within this review.</w:t>
      </w:r>
    </w:p>
    <w:p w:rsidRPr="008072EB" w:rsidR="008072EB" w:rsidP="2FECC8AB" w:rsidRDefault="008072EB" w14:paraId="6E9DA625" w14:textId="69CBC568">
      <w:pPr>
        <w:spacing w:after="160" w:line="259" w:lineRule="auto"/>
        <w:rPr>
          <w:rFonts w:cs="Arial" w:eastAsiaTheme="minorEastAsia"/>
          <w:kern w:val="2"/>
          <w:sz w:val="22"/>
          <w:szCs w:val="22"/>
          <w14:ligatures w14:val="standardContextual"/>
        </w:rPr>
      </w:pPr>
      <w:r w:rsidRPr="2FECC8AB">
        <w:rPr>
          <w:rFonts w:cs="Arial" w:eastAsiaTheme="minorEastAsia"/>
          <w:kern w:val="2"/>
          <w:sz w:val="22"/>
          <w:szCs w:val="22"/>
          <w14:ligatures w14:val="standardContextual"/>
        </w:rPr>
        <w:t xml:space="preserve">The following revisions and changes will be considered by the programme </w:t>
      </w:r>
      <w:r w:rsidRPr="2FECC8AB" w:rsidR="66842ADB">
        <w:rPr>
          <w:rFonts w:cs="Arial" w:eastAsiaTheme="minorEastAsia"/>
          <w:kern w:val="2"/>
          <w:sz w:val="22"/>
          <w:szCs w:val="22"/>
          <w14:ligatures w14:val="standardContextual"/>
        </w:rPr>
        <w:t>in</w:t>
      </w:r>
      <w:r w:rsidRPr="2FECC8AB">
        <w:rPr>
          <w:rFonts w:cs="Arial" w:eastAsiaTheme="minorEastAsia"/>
          <w:kern w:val="2"/>
          <w:sz w:val="22"/>
          <w:szCs w:val="22"/>
          <w14:ligatures w14:val="standardContextual"/>
        </w:rPr>
        <w:t xml:space="preserve"> December 2024 (to ensure compliance with best practice guidance requiring logframe changes to be agreed at least </w:t>
      </w:r>
      <w:r w:rsidRPr="2FECC8AB" w:rsidR="001A195A">
        <w:rPr>
          <w:rFonts w:cs="Arial" w:eastAsiaTheme="minorEastAsia"/>
          <w:kern w:val="2"/>
          <w:sz w:val="22"/>
          <w:szCs w:val="22"/>
          <w14:ligatures w14:val="standardContextual"/>
        </w:rPr>
        <w:t>six</w:t>
      </w:r>
      <w:r w:rsidRPr="2FECC8AB">
        <w:rPr>
          <w:rFonts w:cs="Arial" w:eastAsiaTheme="minorEastAsia"/>
          <w:kern w:val="2"/>
          <w:sz w:val="22"/>
          <w:szCs w:val="22"/>
          <w14:ligatures w14:val="standardContextual"/>
        </w:rPr>
        <w:t xml:space="preserve"> months before </w:t>
      </w:r>
      <w:r w:rsidRPr="2FECC8AB" w:rsidR="00C14357">
        <w:rPr>
          <w:rFonts w:cs="Arial" w:eastAsiaTheme="minorEastAsia"/>
          <w:kern w:val="2"/>
          <w:sz w:val="22"/>
          <w:szCs w:val="22"/>
          <w14:ligatures w14:val="standardContextual"/>
        </w:rPr>
        <w:t>annual review</w:t>
      </w:r>
      <w:r w:rsidRPr="2FECC8AB">
        <w:rPr>
          <w:rFonts w:cs="Arial" w:eastAsiaTheme="minorEastAsia"/>
          <w:kern w:val="2"/>
          <w:sz w:val="22"/>
          <w:szCs w:val="22"/>
          <w14:ligatures w14:val="standardContextual"/>
        </w:rPr>
        <w:t>);</w:t>
      </w:r>
    </w:p>
    <w:p w:rsidRPr="008072EB" w:rsidR="008072EB" w:rsidP="001D265D" w:rsidRDefault="008072EB" w14:paraId="30FBDCDE" w14:textId="75554162">
      <w:pPr>
        <w:numPr>
          <w:ilvl w:val="0"/>
          <w:numId w:val="29"/>
        </w:numPr>
        <w:spacing w:after="160" w:line="259" w:lineRule="auto"/>
        <w:contextualSpacing/>
        <w:rPr>
          <w:rFonts w:cs="Arial" w:eastAsiaTheme="minorHAnsi"/>
          <w:kern w:val="2"/>
          <w:sz w:val="22"/>
          <w:szCs w:val="22"/>
          <w14:ligatures w14:val="standardContextual"/>
        </w:rPr>
      </w:pPr>
      <w:r w:rsidRPr="008072EB">
        <w:rPr>
          <w:rFonts w:cs="Arial" w:eastAsiaTheme="minorHAnsi"/>
          <w:kern w:val="2"/>
          <w:sz w:val="22"/>
          <w:szCs w:val="22"/>
          <w14:ligatures w14:val="standardContextual"/>
        </w:rPr>
        <w:t xml:space="preserve">Milestone targets </w:t>
      </w:r>
      <w:r w:rsidR="008235DD">
        <w:rPr>
          <w:rFonts w:cs="Arial" w:eastAsiaTheme="minorHAnsi"/>
          <w:kern w:val="2"/>
          <w:sz w:val="22"/>
          <w:szCs w:val="22"/>
          <w14:ligatures w14:val="standardContextual"/>
        </w:rPr>
        <w:t xml:space="preserve">and end of programme targets </w:t>
      </w:r>
      <w:r w:rsidRPr="008072EB">
        <w:rPr>
          <w:rFonts w:cs="Arial" w:eastAsiaTheme="minorHAnsi"/>
          <w:kern w:val="2"/>
          <w:sz w:val="22"/>
          <w:szCs w:val="22"/>
          <w14:ligatures w14:val="standardContextual"/>
        </w:rPr>
        <w:t xml:space="preserve">for all output indicators will require review following this first round of data collection against the revised logframe to ensure they remain both ambitious and realistic, especially where year-on-year double counting is likely. </w:t>
      </w:r>
    </w:p>
    <w:p w:rsidRPr="008072EB" w:rsidR="008072EB" w:rsidP="001D265D" w:rsidRDefault="008072EB" w14:paraId="4954FB34" w14:textId="77777777">
      <w:pPr>
        <w:numPr>
          <w:ilvl w:val="0"/>
          <w:numId w:val="29"/>
        </w:numPr>
        <w:spacing w:after="160" w:line="259" w:lineRule="auto"/>
        <w:contextualSpacing/>
        <w:rPr>
          <w:rFonts w:cs="Arial" w:eastAsiaTheme="minorHAnsi"/>
          <w:kern w:val="2"/>
          <w:sz w:val="22"/>
          <w:szCs w:val="22"/>
          <w14:ligatures w14:val="standardContextual"/>
        </w:rPr>
      </w:pPr>
      <w:r w:rsidRPr="008072EB">
        <w:rPr>
          <w:rFonts w:cs="Arial" w:eastAsiaTheme="minorHAnsi"/>
          <w:kern w:val="2"/>
          <w:sz w:val="22"/>
          <w:szCs w:val="22"/>
          <w14:ligatures w14:val="standardContextual"/>
        </w:rPr>
        <w:t>Output weightings will need to be reconsidered given that FOA will not be reporting in the coming year and that Output 5 focuses primarily on the work of FOA.</w:t>
      </w:r>
    </w:p>
    <w:p w:rsidR="008072EB" w:rsidP="001D265D" w:rsidRDefault="008072EB" w14:paraId="5C35C977" w14:textId="77777777">
      <w:pPr>
        <w:numPr>
          <w:ilvl w:val="0"/>
          <w:numId w:val="29"/>
        </w:numPr>
        <w:spacing w:after="160" w:line="259" w:lineRule="auto"/>
        <w:contextualSpacing/>
        <w:rPr>
          <w:rFonts w:cs="Arial" w:eastAsiaTheme="minorHAnsi"/>
          <w:kern w:val="2"/>
          <w:sz w:val="22"/>
          <w:szCs w:val="22"/>
          <w14:ligatures w14:val="standardContextual"/>
        </w:rPr>
      </w:pPr>
      <w:r w:rsidRPr="008072EB">
        <w:rPr>
          <w:rFonts w:cs="Arial" w:eastAsiaTheme="minorHAnsi"/>
          <w:kern w:val="2"/>
          <w:sz w:val="22"/>
          <w:szCs w:val="22"/>
          <w14:ligatures w14:val="standardContextual"/>
        </w:rPr>
        <w:t xml:space="preserve">Output indicator 6 definitions and methodology need to be reviewed to strengthen the alignment between what is measured and programme GESI strategy. </w:t>
      </w:r>
    </w:p>
    <w:p w:rsidRPr="008072EB" w:rsidR="007B4835" w:rsidP="007B4835" w:rsidRDefault="007B4835" w14:paraId="4AECD542" w14:textId="77777777">
      <w:pPr>
        <w:spacing w:after="160" w:line="259" w:lineRule="auto"/>
        <w:ind w:left="720"/>
        <w:contextualSpacing/>
        <w:rPr>
          <w:rFonts w:cs="Arial" w:eastAsiaTheme="minorHAnsi"/>
          <w:kern w:val="2"/>
          <w:sz w:val="22"/>
          <w:szCs w:val="22"/>
          <w14:ligatures w14:val="standardContextual"/>
        </w:rPr>
      </w:pPr>
    </w:p>
    <w:p w:rsidRPr="003556E1" w:rsidR="006F3AE7" w:rsidP="2350498C" w:rsidRDefault="3477D3E2" w14:paraId="38DC73A2" w14:textId="4B46F59D">
      <w:pPr>
        <w:jc w:val="both"/>
        <w:rPr>
          <w:rFonts w:cs="Arial"/>
          <w:sz w:val="22"/>
          <w:szCs w:val="22"/>
        </w:rPr>
      </w:pPr>
      <w:r w:rsidRPr="2350498C">
        <w:rPr>
          <w:rFonts w:cs="Arial"/>
          <w:b/>
          <w:bCs/>
          <w:sz w:val="22"/>
          <w:szCs w:val="22"/>
        </w:rPr>
        <w:t xml:space="preserve">C3. </w:t>
      </w:r>
      <w:r w:rsidRPr="2350498C" w:rsidR="006F3AE7">
        <w:rPr>
          <w:rFonts w:cs="Arial"/>
          <w:b/>
          <w:bCs/>
          <w:sz w:val="22"/>
          <w:szCs w:val="22"/>
        </w:rPr>
        <w:t xml:space="preserve">Progress on recommendations from the previous </w:t>
      </w:r>
      <w:r w:rsidR="00C14357">
        <w:rPr>
          <w:rFonts w:cs="Arial"/>
          <w:b/>
          <w:bCs/>
          <w:sz w:val="22"/>
          <w:szCs w:val="22"/>
        </w:rPr>
        <w:t>annual review</w:t>
      </w:r>
      <w:r w:rsidRPr="2350498C" w:rsidR="006F3AE7">
        <w:rPr>
          <w:rFonts w:cs="Arial"/>
          <w:b/>
          <w:bCs/>
          <w:sz w:val="22"/>
          <w:szCs w:val="22"/>
        </w:rPr>
        <w:t xml:space="preserve"> (if completed), lessons learned this year and recommendations for the year ahead</w:t>
      </w:r>
    </w:p>
    <w:p w:rsidR="006F3AE7" w:rsidP="006F3AE7" w:rsidRDefault="006F3AE7" w14:paraId="7C4CF2C7" w14:textId="77777777">
      <w:pPr>
        <w:tabs>
          <w:tab w:val="left" w:pos="8352"/>
        </w:tabs>
        <w:jc w:val="both"/>
        <w:rPr>
          <w:rFonts w:cs="Arial"/>
          <w:bCs/>
          <w:sz w:val="22"/>
          <w:szCs w:val="22"/>
        </w:rPr>
      </w:pPr>
    </w:p>
    <w:p w:rsidR="00A641B5" w:rsidP="001442A3" w:rsidRDefault="00A641B5" w14:paraId="537613F8" w14:textId="77777777">
      <w:pPr>
        <w:rPr>
          <w:b/>
          <w:bCs/>
          <w:sz w:val="22"/>
          <w:szCs w:val="22"/>
        </w:rPr>
      </w:pPr>
    </w:p>
    <w:p w:rsidRPr="00347EB1" w:rsidR="001442A3" w:rsidP="001442A3" w:rsidRDefault="001442A3" w14:paraId="60358125" w14:textId="195E5881">
      <w:pPr>
        <w:rPr>
          <w:b/>
          <w:bCs/>
          <w:sz w:val="22"/>
          <w:szCs w:val="22"/>
        </w:rPr>
      </w:pPr>
      <w:r w:rsidRPr="00347EB1">
        <w:rPr>
          <w:b/>
          <w:bCs/>
          <w:sz w:val="22"/>
          <w:szCs w:val="22"/>
        </w:rPr>
        <w:t>Recommendation 1: Results and OCPP Monitoring System</w:t>
      </w:r>
    </w:p>
    <w:p w:rsidRPr="001442A3" w:rsidR="001442A3" w:rsidP="001442A3" w:rsidRDefault="001442A3" w14:paraId="7FA85FA6" w14:textId="77777777">
      <w:pPr>
        <w:rPr>
          <w:sz w:val="22"/>
          <w:szCs w:val="22"/>
        </w:rPr>
      </w:pPr>
      <w:r w:rsidRPr="001442A3">
        <w:rPr>
          <w:sz w:val="22"/>
          <w:szCs w:val="22"/>
        </w:rPr>
        <w:t> </w:t>
      </w:r>
    </w:p>
    <w:p w:rsidRPr="00FE5182" w:rsidR="00FE5182" w:rsidP="000B2B40" w:rsidRDefault="001442A3" w14:paraId="42F5DAB8" w14:textId="49B6DC4C">
      <w:pPr>
        <w:rPr>
          <w:sz w:val="22"/>
          <w:szCs w:val="22"/>
        </w:rPr>
      </w:pPr>
      <w:r w:rsidRPr="001442A3">
        <w:rPr>
          <w:sz w:val="22"/>
          <w:szCs w:val="22"/>
        </w:rPr>
        <w:t>The OCPP programme team should procure an external MEL supplier for the programme to refresh the OCPP’s MEL framework including ToC and logframe and revise and coordinate the monitoring system by the end of 2023. The supplier should also undertake an independent mid-term evaluation of the programme in 2024 and an end of programme evaluation in 2026 and deliver a learning and knowledge exchange plan.</w:t>
      </w:r>
    </w:p>
    <w:p w:rsidRPr="001442A3" w:rsidR="001442A3" w:rsidP="001442A3" w:rsidRDefault="001442A3" w14:paraId="0169E4B3" w14:textId="6EB4A45F">
      <w:pPr>
        <w:rPr>
          <w:sz w:val="22"/>
          <w:szCs w:val="22"/>
        </w:rPr>
      </w:pPr>
    </w:p>
    <w:p w:rsidRPr="00347EB1" w:rsidR="001442A3" w:rsidP="001442A3" w:rsidRDefault="001442A3" w14:paraId="5677564E" w14:textId="77777777">
      <w:pPr>
        <w:rPr>
          <w:b/>
          <w:bCs/>
          <w:i/>
          <w:sz w:val="22"/>
          <w:szCs w:val="22"/>
        </w:rPr>
      </w:pPr>
      <w:r w:rsidRPr="00347EB1">
        <w:rPr>
          <w:b/>
          <w:bCs/>
          <w:i/>
          <w:sz w:val="22"/>
          <w:szCs w:val="22"/>
        </w:rPr>
        <w:t>Progress:</w:t>
      </w:r>
    </w:p>
    <w:p w:rsidRPr="002F23E9" w:rsidR="001442A3" w:rsidP="1FB22237" w:rsidRDefault="002F23E9" w14:paraId="3B36DFC7" w14:textId="710541D4">
      <w:pPr>
        <w:rPr>
          <w:i/>
          <w:iCs/>
          <w:sz w:val="22"/>
          <w:szCs w:val="22"/>
        </w:rPr>
      </w:pPr>
      <w:r w:rsidRPr="1FB22237">
        <w:rPr>
          <w:i/>
          <w:iCs/>
          <w:sz w:val="22"/>
          <w:szCs w:val="22"/>
        </w:rPr>
        <w:t>(</w:t>
      </w:r>
      <w:r w:rsidRPr="1FB22237" w:rsidR="009601F0">
        <w:rPr>
          <w:i/>
          <w:iCs/>
          <w:sz w:val="22"/>
          <w:szCs w:val="22"/>
        </w:rPr>
        <w:t>C</w:t>
      </w:r>
      <w:r w:rsidRPr="1FB22237" w:rsidR="00BB67D3">
        <w:rPr>
          <w:i/>
          <w:iCs/>
          <w:sz w:val="22"/>
          <w:szCs w:val="22"/>
        </w:rPr>
        <w:t>omplete</w:t>
      </w:r>
      <w:r w:rsidRPr="1FB22237">
        <w:rPr>
          <w:i/>
          <w:iCs/>
          <w:sz w:val="22"/>
          <w:szCs w:val="22"/>
        </w:rPr>
        <w:t>)</w:t>
      </w:r>
    </w:p>
    <w:p w:rsidR="002F23E9" w:rsidP="002F23E9" w:rsidRDefault="002F23E9" w14:paraId="010908E0" w14:textId="77777777">
      <w:pPr>
        <w:rPr>
          <w:sz w:val="22"/>
          <w:szCs w:val="22"/>
        </w:rPr>
      </w:pPr>
    </w:p>
    <w:p w:rsidR="00A628F3" w:rsidP="002F23E9" w:rsidRDefault="001442A3" w14:paraId="0002710C" w14:textId="11811202">
      <w:pPr>
        <w:rPr>
          <w:sz w:val="22"/>
          <w:szCs w:val="22"/>
        </w:rPr>
      </w:pPr>
      <w:r w:rsidRPr="001442A3">
        <w:rPr>
          <w:sz w:val="22"/>
          <w:szCs w:val="22"/>
        </w:rPr>
        <w:t xml:space="preserve">In July 2023, Defra procured NIRAS as an external MEL supplier for the programme. The revised MEL framework was approved by </w:t>
      </w:r>
      <w:r w:rsidR="006400C6">
        <w:rPr>
          <w:sz w:val="22"/>
          <w:szCs w:val="22"/>
        </w:rPr>
        <w:t xml:space="preserve">the </w:t>
      </w:r>
      <w:r w:rsidRPr="001442A3">
        <w:rPr>
          <w:sz w:val="22"/>
          <w:szCs w:val="22"/>
        </w:rPr>
        <w:t xml:space="preserve">OCPP </w:t>
      </w:r>
      <w:r w:rsidR="00852C8A">
        <w:rPr>
          <w:sz w:val="22"/>
          <w:szCs w:val="22"/>
        </w:rPr>
        <w:t>Senior Management Board</w:t>
      </w:r>
      <w:r w:rsidRPr="001442A3" w:rsidR="00852C8A">
        <w:rPr>
          <w:sz w:val="22"/>
          <w:szCs w:val="22"/>
        </w:rPr>
        <w:t xml:space="preserve"> </w:t>
      </w:r>
      <w:r w:rsidRPr="001442A3">
        <w:rPr>
          <w:sz w:val="22"/>
          <w:szCs w:val="22"/>
        </w:rPr>
        <w:t xml:space="preserve">at </w:t>
      </w:r>
      <w:r w:rsidRPr="07F258A5" w:rsidR="4F7460A0">
        <w:rPr>
          <w:sz w:val="22"/>
          <w:szCs w:val="22"/>
        </w:rPr>
        <w:t xml:space="preserve">the </w:t>
      </w:r>
      <w:r w:rsidRPr="07F258A5">
        <w:rPr>
          <w:sz w:val="22"/>
          <w:szCs w:val="22"/>
        </w:rPr>
        <w:t>December</w:t>
      </w:r>
      <w:r w:rsidRPr="001442A3">
        <w:rPr>
          <w:sz w:val="22"/>
          <w:szCs w:val="22"/>
        </w:rPr>
        <w:t xml:space="preserve"> 2023 board and </w:t>
      </w:r>
      <w:r w:rsidRPr="3F4D6336" w:rsidR="0CCA16F7">
        <w:rPr>
          <w:sz w:val="22"/>
          <w:szCs w:val="22"/>
        </w:rPr>
        <w:t xml:space="preserve">an </w:t>
      </w:r>
      <w:r w:rsidRPr="3F4D6336">
        <w:rPr>
          <w:sz w:val="22"/>
          <w:szCs w:val="22"/>
        </w:rPr>
        <w:t>interim</w:t>
      </w:r>
      <w:r w:rsidRPr="001442A3">
        <w:rPr>
          <w:sz w:val="22"/>
          <w:szCs w:val="22"/>
        </w:rPr>
        <w:t xml:space="preserve"> evaluation of the programme completed in September 2024. Plans are in place to deliver a learning and knowledge exchange plan and an end of programme evaluation. In January 2023 a case study evaluation of FOA was also completed by NIRAS.</w:t>
      </w:r>
      <w:r w:rsidR="00D019FB">
        <w:rPr>
          <w:sz w:val="22"/>
          <w:szCs w:val="22"/>
        </w:rPr>
        <w:t xml:space="preserve"> </w:t>
      </w:r>
    </w:p>
    <w:p w:rsidR="00A628F3" w:rsidP="002F23E9" w:rsidRDefault="00A628F3" w14:paraId="362C8DB3" w14:textId="77777777">
      <w:pPr>
        <w:rPr>
          <w:sz w:val="22"/>
          <w:szCs w:val="22"/>
        </w:rPr>
      </w:pPr>
    </w:p>
    <w:p w:rsidRPr="001442A3" w:rsidR="001442A3" w:rsidP="002F23E9" w:rsidRDefault="00D019FB" w14:paraId="4333BABF" w14:textId="2442B6CF">
      <w:pPr>
        <w:rPr>
          <w:sz w:val="22"/>
          <w:szCs w:val="22"/>
        </w:rPr>
      </w:pPr>
      <w:r w:rsidRPr="0A617D0D">
        <w:rPr>
          <w:sz w:val="22"/>
          <w:szCs w:val="22"/>
        </w:rPr>
        <w:t xml:space="preserve">The revised </w:t>
      </w:r>
      <w:r w:rsidRPr="0A617D0D" w:rsidR="001F7343">
        <w:rPr>
          <w:sz w:val="22"/>
          <w:szCs w:val="22"/>
        </w:rPr>
        <w:t>MEL framework better articulates the brea</w:t>
      </w:r>
      <w:r w:rsidRPr="0A617D0D" w:rsidR="506B3C00">
        <w:rPr>
          <w:sz w:val="22"/>
          <w:szCs w:val="22"/>
        </w:rPr>
        <w:t>d</w:t>
      </w:r>
      <w:r w:rsidRPr="0A617D0D" w:rsidR="001F7343">
        <w:rPr>
          <w:sz w:val="22"/>
          <w:szCs w:val="22"/>
        </w:rPr>
        <w:t>th of work delivered under the OCPP</w:t>
      </w:r>
      <w:r w:rsidRPr="0A617D0D" w:rsidR="00C65FC4">
        <w:rPr>
          <w:sz w:val="22"/>
          <w:szCs w:val="22"/>
        </w:rPr>
        <w:t xml:space="preserve">, </w:t>
      </w:r>
      <w:r w:rsidRPr="0A617D0D" w:rsidR="00190BEA">
        <w:rPr>
          <w:sz w:val="22"/>
          <w:szCs w:val="22"/>
        </w:rPr>
        <w:t>better integrates poverty and GESI</w:t>
      </w:r>
      <w:r w:rsidRPr="0A617D0D" w:rsidR="00DD6778">
        <w:rPr>
          <w:sz w:val="22"/>
          <w:szCs w:val="22"/>
        </w:rPr>
        <w:t xml:space="preserve">, </w:t>
      </w:r>
      <w:r w:rsidRPr="0A617D0D" w:rsidR="00DE477C">
        <w:rPr>
          <w:sz w:val="22"/>
          <w:szCs w:val="22"/>
        </w:rPr>
        <w:t xml:space="preserve">has ensured alignment with BPF fund MEL and ICF reporting </w:t>
      </w:r>
      <w:r w:rsidRPr="0A617D0D" w:rsidR="002D594D">
        <w:rPr>
          <w:sz w:val="22"/>
          <w:szCs w:val="22"/>
        </w:rPr>
        <w:t xml:space="preserve">and </w:t>
      </w:r>
      <w:r w:rsidRPr="0A617D0D" w:rsidR="005D6843">
        <w:rPr>
          <w:sz w:val="22"/>
          <w:szCs w:val="22"/>
        </w:rPr>
        <w:t xml:space="preserve">has improved monitoring </w:t>
      </w:r>
      <w:r w:rsidRPr="0A617D0D" w:rsidR="000A48A9">
        <w:rPr>
          <w:sz w:val="22"/>
          <w:szCs w:val="22"/>
        </w:rPr>
        <w:t>for the programme</w:t>
      </w:r>
      <w:r w:rsidRPr="0A617D0D" w:rsidR="00DE477C">
        <w:rPr>
          <w:sz w:val="22"/>
          <w:szCs w:val="22"/>
        </w:rPr>
        <w:t>.</w:t>
      </w:r>
      <w:r w:rsidRPr="0A617D0D" w:rsidR="000A48A9">
        <w:rPr>
          <w:sz w:val="22"/>
          <w:szCs w:val="22"/>
        </w:rPr>
        <w:t xml:space="preserve"> </w:t>
      </w:r>
      <w:r w:rsidRPr="0A617D0D" w:rsidR="00DE477C">
        <w:rPr>
          <w:sz w:val="22"/>
          <w:szCs w:val="22"/>
        </w:rPr>
        <w:t>H</w:t>
      </w:r>
      <w:r w:rsidRPr="0A617D0D" w:rsidR="000A48A9">
        <w:rPr>
          <w:sz w:val="22"/>
          <w:szCs w:val="22"/>
        </w:rPr>
        <w:t xml:space="preserve">owever, </w:t>
      </w:r>
      <w:r w:rsidRPr="0A617D0D" w:rsidR="007C74C8">
        <w:rPr>
          <w:sz w:val="22"/>
          <w:szCs w:val="22"/>
        </w:rPr>
        <w:t xml:space="preserve">as expected for any new framework, </w:t>
      </w:r>
      <w:r w:rsidRPr="0A617D0D" w:rsidR="000A48A9">
        <w:rPr>
          <w:sz w:val="22"/>
          <w:szCs w:val="22"/>
        </w:rPr>
        <w:t xml:space="preserve">there is still </w:t>
      </w:r>
      <w:r w:rsidRPr="0A617D0D" w:rsidR="000E7834">
        <w:rPr>
          <w:sz w:val="22"/>
          <w:szCs w:val="22"/>
        </w:rPr>
        <w:t xml:space="preserve">work required to further </w:t>
      </w:r>
      <w:r w:rsidRPr="0A617D0D" w:rsidR="00510B4A">
        <w:rPr>
          <w:sz w:val="22"/>
          <w:szCs w:val="22"/>
        </w:rPr>
        <w:t>refine the ToC and logframe</w:t>
      </w:r>
      <w:r w:rsidRPr="0A617D0D" w:rsidR="00C65FC4">
        <w:rPr>
          <w:sz w:val="22"/>
          <w:szCs w:val="22"/>
        </w:rPr>
        <w:t xml:space="preserve"> </w:t>
      </w:r>
      <w:r w:rsidRPr="0A617D0D" w:rsidR="00407CBB">
        <w:rPr>
          <w:sz w:val="22"/>
          <w:szCs w:val="22"/>
        </w:rPr>
        <w:t xml:space="preserve">to address </w:t>
      </w:r>
      <w:r w:rsidRPr="0A617D0D" w:rsidR="00BF62CD">
        <w:rPr>
          <w:sz w:val="22"/>
          <w:szCs w:val="22"/>
        </w:rPr>
        <w:t>fee</w:t>
      </w:r>
      <w:r w:rsidRPr="0A617D0D" w:rsidR="00246E4B">
        <w:rPr>
          <w:sz w:val="22"/>
          <w:szCs w:val="22"/>
        </w:rPr>
        <w:t xml:space="preserve">dback and learning from this </w:t>
      </w:r>
      <w:r w:rsidR="00C14357">
        <w:rPr>
          <w:sz w:val="22"/>
          <w:szCs w:val="22"/>
        </w:rPr>
        <w:t>annual review</w:t>
      </w:r>
      <w:r w:rsidRPr="0A617D0D" w:rsidR="00246E4B">
        <w:rPr>
          <w:sz w:val="22"/>
          <w:szCs w:val="22"/>
        </w:rPr>
        <w:t xml:space="preserve"> period.</w:t>
      </w:r>
      <w:r w:rsidRPr="0A617D0D" w:rsidR="003A6414">
        <w:rPr>
          <w:sz w:val="22"/>
          <w:szCs w:val="22"/>
        </w:rPr>
        <w:t xml:space="preserve"> Though MEL capacity and </w:t>
      </w:r>
      <w:r w:rsidRPr="0A617D0D" w:rsidR="007A44A1">
        <w:rPr>
          <w:sz w:val="22"/>
          <w:szCs w:val="22"/>
        </w:rPr>
        <w:t>capability</w:t>
      </w:r>
      <w:r w:rsidRPr="0A617D0D" w:rsidR="003A6414">
        <w:rPr>
          <w:sz w:val="22"/>
          <w:szCs w:val="22"/>
        </w:rPr>
        <w:t xml:space="preserve"> has improved, </w:t>
      </w:r>
      <w:r w:rsidRPr="0A617D0D" w:rsidR="00CD1CA9">
        <w:rPr>
          <w:sz w:val="22"/>
          <w:szCs w:val="22"/>
        </w:rPr>
        <w:t xml:space="preserve">ALB partners </w:t>
      </w:r>
      <w:r w:rsidRPr="0A617D0D" w:rsidR="00624D13">
        <w:rPr>
          <w:sz w:val="22"/>
          <w:szCs w:val="22"/>
        </w:rPr>
        <w:t>in particular still</w:t>
      </w:r>
      <w:r w:rsidRPr="0A617D0D" w:rsidR="002E3BB9">
        <w:rPr>
          <w:sz w:val="22"/>
          <w:szCs w:val="22"/>
        </w:rPr>
        <w:t xml:space="preserve"> need to </w:t>
      </w:r>
      <w:r w:rsidRPr="0A617D0D" w:rsidR="00A44A54">
        <w:rPr>
          <w:sz w:val="22"/>
          <w:szCs w:val="22"/>
        </w:rPr>
        <w:t xml:space="preserve">improve </w:t>
      </w:r>
      <w:r w:rsidRPr="0A617D0D" w:rsidR="004D1805">
        <w:rPr>
          <w:sz w:val="22"/>
          <w:szCs w:val="22"/>
        </w:rPr>
        <w:t xml:space="preserve">as outlined in </w:t>
      </w:r>
      <w:r w:rsidRPr="0A617D0D" w:rsidR="00194579">
        <w:rPr>
          <w:sz w:val="22"/>
          <w:szCs w:val="22"/>
        </w:rPr>
        <w:t xml:space="preserve">lesson 6 in </w:t>
      </w:r>
      <w:r w:rsidRPr="0A617D0D" w:rsidR="006E74C0">
        <w:rPr>
          <w:sz w:val="22"/>
          <w:szCs w:val="22"/>
        </w:rPr>
        <w:t>S</w:t>
      </w:r>
      <w:r w:rsidRPr="0A617D0D" w:rsidR="00194579">
        <w:rPr>
          <w:sz w:val="22"/>
          <w:szCs w:val="22"/>
        </w:rPr>
        <w:t xml:space="preserve">ection </w:t>
      </w:r>
      <w:r w:rsidRPr="0A617D0D" w:rsidR="007A44A1">
        <w:rPr>
          <w:sz w:val="22"/>
          <w:szCs w:val="22"/>
        </w:rPr>
        <w:t>A3.</w:t>
      </w:r>
    </w:p>
    <w:p w:rsidR="001442A3" w:rsidP="00697C35" w:rsidRDefault="001442A3" w14:paraId="4854511C" w14:textId="77777777">
      <w:pPr>
        <w:rPr>
          <w:sz w:val="22"/>
          <w:szCs w:val="22"/>
        </w:rPr>
      </w:pPr>
    </w:p>
    <w:p w:rsidRPr="00697C35" w:rsidR="00697C35" w:rsidP="00697C35" w:rsidRDefault="00697C35" w14:paraId="320B0E07" w14:textId="39BAA4E2">
      <w:pPr>
        <w:rPr>
          <w:sz w:val="22"/>
          <w:szCs w:val="22"/>
        </w:rPr>
      </w:pPr>
      <w:r w:rsidRPr="00347EB1">
        <w:rPr>
          <w:b/>
          <w:bCs/>
          <w:sz w:val="22"/>
          <w:szCs w:val="22"/>
        </w:rPr>
        <w:t>Recommendation 2: Gender Equality and Social Inclusion and Sexual Exploitation, Abuse and Sexual Harassment Safeguarding</w:t>
      </w:r>
      <w:r w:rsidRPr="00697C35">
        <w:rPr>
          <w:sz w:val="22"/>
          <w:szCs w:val="22"/>
        </w:rPr>
        <w:t xml:space="preserve">. </w:t>
      </w:r>
    </w:p>
    <w:p w:rsidRPr="00697C35" w:rsidR="00697C35" w:rsidP="00697C35" w:rsidRDefault="00697C35" w14:paraId="6D25FA35" w14:textId="77777777">
      <w:pPr>
        <w:rPr>
          <w:sz w:val="22"/>
          <w:szCs w:val="22"/>
        </w:rPr>
      </w:pPr>
      <w:r w:rsidRPr="00697C35">
        <w:rPr>
          <w:sz w:val="22"/>
          <w:szCs w:val="22"/>
        </w:rPr>
        <w:t> </w:t>
      </w:r>
    </w:p>
    <w:p w:rsidRPr="00314975" w:rsidR="00314975" w:rsidP="000B2B40" w:rsidRDefault="00697C35" w14:paraId="7DCEF886" w14:textId="2D1DA0B5">
      <w:pPr>
        <w:rPr>
          <w:sz w:val="22"/>
          <w:szCs w:val="22"/>
        </w:rPr>
      </w:pPr>
      <w:r w:rsidRPr="00697C35">
        <w:rPr>
          <w:sz w:val="22"/>
          <w:szCs w:val="22"/>
        </w:rPr>
        <w:t>The programme should meet the minimum standards (GESI sensitive) and test and strengthen compliance with the International Development Act (2002) including the International Development (Gender Equality) Act 2014, as well as the Public Sector Equality Duty (Equality Act 2010) by the end of 2025</w:t>
      </w:r>
      <w:r w:rsidR="00314975">
        <w:rPr>
          <w:sz w:val="22"/>
          <w:szCs w:val="22"/>
        </w:rPr>
        <w:t xml:space="preserve">. </w:t>
      </w:r>
    </w:p>
    <w:p w:rsidRPr="00697C35" w:rsidR="00697C35" w:rsidP="00697C35" w:rsidRDefault="00697C35" w14:paraId="4D201110" w14:textId="7D09DBE4">
      <w:pPr>
        <w:rPr>
          <w:sz w:val="22"/>
          <w:szCs w:val="22"/>
        </w:rPr>
      </w:pPr>
    </w:p>
    <w:p w:rsidR="00697C35" w:rsidP="00697C35" w:rsidRDefault="00697C35" w14:paraId="623B8381" w14:textId="77777777">
      <w:pPr>
        <w:rPr>
          <w:b/>
          <w:bCs/>
          <w:i/>
          <w:iCs/>
          <w:sz w:val="22"/>
          <w:szCs w:val="22"/>
        </w:rPr>
      </w:pPr>
      <w:r w:rsidRPr="00347EB1">
        <w:rPr>
          <w:b/>
          <w:bCs/>
          <w:i/>
          <w:iCs/>
          <w:sz w:val="22"/>
          <w:szCs w:val="22"/>
        </w:rPr>
        <w:t>Progress:</w:t>
      </w:r>
    </w:p>
    <w:p w:rsidRPr="001E1EF0" w:rsidR="001E1EF0" w:rsidP="00697C35" w:rsidRDefault="001E1EF0" w14:paraId="67102FD3" w14:textId="78463866">
      <w:pPr>
        <w:rPr>
          <w:sz w:val="22"/>
          <w:szCs w:val="22"/>
        </w:rPr>
      </w:pPr>
      <w:r w:rsidRPr="001E1EF0">
        <w:rPr>
          <w:i/>
          <w:iCs/>
          <w:sz w:val="22"/>
          <w:szCs w:val="22"/>
        </w:rPr>
        <w:t>(</w:t>
      </w:r>
      <w:r w:rsidR="009601F0">
        <w:rPr>
          <w:i/>
          <w:iCs/>
          <w:sz w:val="22"/>
          <w:szCs w:val="22"/>
        </w:rPr>
        <w:t>P</w:t>
      </w:r>
      <w:r w:rsidRPr="001E1EF0">
        <w:rPr>
          <w:i/>
          <w:iCs/>
          <w:sz w:val="22"/>
          <w:szCs w:val="22"/>
        </w:rPr>
        <w:t xml:space="preserve">artially met) </w:t>
      </w:r>
    </w:p>
    <w:p w:rsidR="001E1EF0" w:rsidP="001E1EF0" w:rsidRDefault="00697C35" w14:paraId="33311E63" w14:textId="77777777">
      <w:pPr>
        <w:rPr>
          <w:b/>
          <w:bCs/>
          <w:sz w:val="22"/>
          <w:szCs w:val="22"/>
        </w:rPr>
      </w:pPr>
      <w:r w:rsidRPr="00347EB1">
        <w:rPr>
          <w:b/>
          <w:bCs/>
          <w:sz w:val="22"/>
          <w:szCs w:val="22"/>
        </w:rPr>
        <w:t> </w:t>
      </w:r>
    </w:p>
    <w:p w:rsidR="00697C35" w:rsidP="001E1EF0" w:rsidRDefault="006400C6" w14:paraId="0B314FA7" w14:textId="7F41C107">
      <w:pPr>
        <w:rPr>
          <w:sz w:val="22"/>
          <w:szCs w:val="22"/>
        </w:rPr>
      </w:pPr>
      <w:r w:rsidRPr="2C6B85DE">
        <w:rPr>
          <w:sz w:val="22"/>
          <w:szCs w:val="22"/>
        </w:rPr>
        <w:t xml:space="preserve">The </w:t>
      </w:r>
      <w:r w:rsidRPr="2C6B85DE" w:rsidR="00697C35">
        <w:rPr>
          <w:sz w:val="22"/>
          <w:szCs w:val="22"/>
        </w:rPr>
        <w:t xml:space="preserve">OCPP’s initial GESI status was assessed under ODA hub guidance in February 2024, identifying the programme as GESI unaware. Clear ambitions were set to achieve GESI-sensitive status (the minimum standard) by December 2025. A GESI action plan was </w:t>
      </w:r>
      <w:r w:rsidRPr="2C6B85DE" w:rsidR="00486538">
        <w:rPr>
          <w:sz w:val="22"/>
          <w:szCs w:val="22"/>
        </w:rPr>
        <w:t>in pace</w:t>
      </w:r>
      <w:r w:rsidRPr="2C6B85DE" w:rsidR="00697C35">
        <w:rPr>
          <w:sz w:val="22"/>
          <w:szCs w:val="22"/>
        </w:rPr>
        <w:t xml:space="preserve"> by the end of Q1 FY24/25, outlining a roadmap with specific measures to achieve the ambition.</w:t>
      </w:r>
      <w:r w:rsidRPr="2C6B85DE" w:rsidR="00486538">
        <w:rPr>
          <w:sz w:val="22"/>
          <w:szCs w:val="22"/>
        </w:rPr>
        <w:t xml:space="preserve"> This has been further refined </w:t>
      </w:r>
      <w:r w:rsidRPr="2C6B85DE" w:rsidR="003F4861">
        <w:rPr>
          <w:sz w:val="22"/>
          <w:szCs w:val="22"/>
        </w:rPr>
        <w:t>throughout the reporting period.</w:t>
      </w:r>
      <w:r w:rsidRPr="2C6B85DE" w:rsidR="00D040DB">
        <w:rPr>
          <w:sz w:val="22"/>
          <w:szCs w:val="22"/>
        </w:rPr>
        <w:t xml:space="preserve"> We are working closely with delivery partners </w:t>
      </w:r>
      <w:r w:rsidRPr="2C6B85DE" w:rsidR="00A746A1">
        <w:rPr>
          <w:sz w:val="22"/>
          <w:szCs w:val="22"/>
        </w:rPr>
        <w:t>to drive progress</w:t>
      </w:r>
      <w:r w:rsidRPr="2C6B85DE" w:rsidR="00BA3EFF">
        <w:rPr>
          <w:sz w:val="22"/>
          <w:szCs w:val="22"/>
        </w:rPr>
        <w:t xml:space="preserve"> and expect </w:t>
      </w:r>
      <w:r w:rsidRPr="2C6B85DE" w:rsidR="00653AE2">
        <w:rPr>
          <w:sz w:val="22"/>
          <w:szCs w:val="22"/>
        </w:rPr>
        <w:t xml:space="preserve">progress towards GESI sensitive to be made </w:t>
      </w:r>
      <w:r w:rsidRPr="2C6B85DE" w:rsidR="004F742A">
        <w:rPr>
          <w:sz w:val="22"/>
          <w:szCs w:val="22"/>
        </w:rPr>
        <w:t xml:space="preserve">in time for reporting into the next </w:t>
      </w:r>
      <w:r w:rsidRPr="2C6B85DE" w:rsidR="00C14357">
        <w:rPr>
          <w:sz w:val="22"/>
          <w:szCs w:val="22"/>
        </w:rPr>
        <w:t>annual review</w:t>
      </w:r>
      <w:r w:rsidRPr="2C6B85DE" w:rsidR="00465CD5">
        <w:rPr>
          <w:sz w:val="22"/>
          <w:szCs w:val="22"/>
        </w:rPr>
        <w:t>,</w:t>
      </w:r>
      <w:r w:rsidRPr="2C6B85DE" w:rsidR="004629ED">
        <w:rPr>
          <w:sz w:val="22"/>
          <w:szCs w:val="22"/>
        </w:rPr>
        <w:t xml:space="preserve"> ahead of our December 2025 deadline</w:t>
      </w:r>
      <w:r w:rsidRPr="2C6B85DE" w:rsidR="004F742A">
        <w:rPr>
          <w:sz w:val="22"/>
          <w:szCs w:val="22"/>
        </w:rPr>
        <w:t>.</w:t>
      </w:r>
    </w:p>
    <w:p w:rsidRPr="001E1EF0" w:rsidR="00E924B3" w:rsidP="001E1EF0" w:rsidRDefault="00E924B3" w14:paraId="102437DE" w14:textId="77777777">
      <w:pPr>
        <w:rPr>
          <w:b/>
          <w:bCs/>
          <w:sz w:val="22"/>
          <w:szCs w:val="22"/>
        </w:rPr>
      </w:pPr>
    </w:p>
    <w:p w:rsidR="00697C35" w:rsidP="00E924B3" w:rsidRDefault="00697C35" w14:paraId="7DC960B4" w14:textId="695DF333">
      <w:pPr>
        <w:rPr>
          <w:sz w:val="22"/>
          <w:szCs w:val="22"/>
        </w:rPr>
      </w:pPr>
      <w:r w:rsidRPr="1FB22237">
        <w:rPr>
          <w:sz w:val="22"/>
          <w:szCs w:val="22"/>
        </w:rPr>
        <w:t>GESI has been embedded into the updated MEL framework, allowing for continuous monitoring of progress</w:t>
      </w:r>
      <w:r w:rsidRPr="1FB22237" w:rsidR="676412FF">
        <w:rPr>
          <w:sz w:val="22"/>
          <w:szCs w:val="22"/>
        </w:rPr>
        <w:t xml:space="preserve"> moving forward</w:t>
      </w:r>
      <w:r w:rsidRPr="1FB22237" w:rsidR="3271AF01">
        <w:rPr>
          <w:sz w:val="22"/>
          <w:szCs w:val="22"/>
        </w:rPr>
        <w:t>.</w:t>
      </w:r>
      <w:r w:rsidRPr="1FB22237" w:rsidR="00D07573">
        <w:rPr>
          <w:sz w:val="22"/>
          <w:szCs w:val="22"/>
        </w:rPr>
        <w:t xml:space="preserve"> </w:t>
      </w:r>
      <w:r w:rsidRPr="1FB22237">
        <w:rPr>
          <w:sz w:val="22"/>
          <w:szCs w:val="22"/>
        </w:rPr>
        <w:t xml:space="preserve">Data disaggregation by gender has been integrated </w:t>
      </w:r>
      <w:r w:rsidRPr="1FB22237" w:rsidR="694D3E29">
        <w:rPr>
          <w:sz w:val="22"/>
          <w:szCs w:val="22"/>
        </w:rPr>
        <w:t xml:space="preserve">in some </w:t>
      </w:r>
      <w:r w:rsidRPr="1FB22237" w:rsidR="08EA3865">
        <w:rPr>
          <w:sz w:val="22"/>
          <w:szCs w:val="22"/>
        </w:rPr>
        <w:t>outcome</w:t>
      </w:r>
      <w:r w:rsidRPr="1FB22237" w:rsidR="1CBD0D76">
        <w:rPr>
          <w:sz w:val="22"/>
          <w:szCs w:val="22"/>
        </w:rPr>
        <w:t xml:space="preserve"> </w:t>
      </w:r>
      <w:r w:rsidRPr="1FB22237" w:rsidR="00101E14">
        <w:rPr>
          <w:sz w:val="22"/>
          <w:szCs w:val="22"/>
        </w:rPr>
        <w:t>indicators,</w:t>
      </w:r>
      <w:r w:rsidRPr="1FB22237">
        <w:rPr>
          <w:sz w:val="22"/>
          <w:szCs w:val="22"/>
        </w:rPr>
        <w:t xml:space="preserve"> </w:t>
      </w:r>
      <w:r w:rsidRPr="1FB22237" w:rsidR="00D07573">
        <w:rPr>
          <w:sz w:val="22"/>
          <w:szCs w:val="22"/>
        </w:rPr>
        <w:t xml:space="preserve">however further </w:t>
      </w:r>
      <w:r w:rsidRPr="1FB22237" w:rsidR="6AD02B8B">
        <w:rPr>
          <w:sz w:val="22"/>
          <w:szCs w:val="22"/>
        </w:rPr>
        <w:t xml:space="preserve">efforts are </w:t>
      </w:r>
      <w:r w:rsidRPr="1FB22237" w:rsidR="00331B5C">
        <w:rPr>
          <w:sz w:val="22"/>
          <w:szCs w:val="22"/>
        </w:rPr>
        <w:t>needed</w:t>
      </w:r>
      <w:r w:rsidRPr="1FB22237" w:rsidR="6AD02B8B">
        <w:rPr>
          <w:sz w:val="22"/>
          <w:szCs w:val="22"/>
        </w:rPr>
        <w:t xml:space="preserve"> to </w:t>
      </w:r>
      <w:r w:rsidRPr="1FB22237" w:rsidR="006C7F9C">
        <w:rPr>
          <w:sz w:val="22"/>
          <w:szCs w:val="22"/>
        </w:rPr>
        <w:t>disaggregate</w:t>
      </w:r>
      <w:r w:rsidRPr="1FB22237" w:rsidR="6AC778AD">
        <w:rPr>
          <w:sz w:val="22"/>
          <w:szCs w:val="22"/>
        </w:rPr>
        <w:t xml:space="preserve"> all </w:t>
      </w:r>
      <w:r w:rsidRPr="1FB22237" w:rsidR="076FF136">
        <w:rPr>
          <w:sz w:val="22"/>
          <w:szCs w:val="22"/>
        </w:rPr>
        <w:t>i</w:t>
      </w:r>
      <w:r w:rsidRPr="1FB22237" w:rsidR="6AC778AD">
        <w:rPr>
          <w:sz w:val="22"/>
          <w:szCs w:val="22"/>
        </w:rPr>
        <w:t xml:space="preserve">ndicators </w:t>
      </w:r>
      <w:r w:rsidRPr="1FB22237" w:rsidR="36306719">
        <w:rPr>
          <w:sz w:val="22"/>
          <w:szCs w:val="22"/>
        </w:rPr>
        <w:t>and</w:t>
      </w:r>
      <w:r w:rsidRPr="1FB22237" w:rsidR="00DF715D">
        <w:rPr>
          <w:sz w:val="22"/>
          <w:szCs w:val="22"/>
        </w:rPr>
        <w:t xml:space="preserve"> ensure </w:t>
      </w:r>
      <w:r w:rsidRPr="1FB22237" w:rsidR="1A8B1411">
        <w:rPr>
          <w:sz w:val="22"/>
          <w:szCs w:val="22"/>
        </w:rPr>
        <w:t xml:space="preserve">full </w:t>
      </w:r>
      <w:r w:rsidRPr="1FB22237" w:rsidR="00DF715D">
        <w:rPr>
          <w:sz w:val="22"/>
          <w:szCs w:val="22"/>
        </w:rPr>
        <w:t xml:space="preserve">alignment </w:t>
      </w:r>
      <w:r w:rsidRPr="1FB22237">
        <w:rPr>
          <w:sz w:val="22"/>
          <w:szCs w:val="22"/>
        </w:rPr>
        <w:t>with the Inclusive Data Charter</w:t>
      </w:r>
      <w:r w:rsidRPr="1FB22237" w:rsidR="00DF715D">
        <w:rPr>
          <w:sz w:val="22"/>
          <w:szCs w:val="22"/>
        </w:rPr>
        <w:t>.</w:t>
      </w:r>
      <w:r w:rsidR="005123E7">
        <w:rPr>
          <w:sz w:val="22"/>
          <w:szCs w:val="22"/>
        </w:rPr>
        <w:t xml:space="preserve"> Gender disaggregation will be amended to Sex disaggregation in future reporting cycles.</w:t>
      </w:r>
    </w:p>
    <w:p w:rsidR="00DF715D" w:rsidP="00DF715D" w:rsidRDefault="00DF715D" w14:paraId="3F1752B8" w14:textId="77777777">
      <w:pPr>
        <w:rPr>
          <w:sz w:val="22"/>
          <w:szCs w:val="22"/>
        </w:rPr>
      </w:pPr>
    </w:p>
    <w:p w:rsidRPr="00697C35" w:rsidR="00697C35" w:rsidP="00DF715D" w:rsidRDefault="00697C35" w14:paraId="318FCB95" w14:textId="38D65808">
      <w:pPr>
        <w:rPr>
          <w:sz w:val="22"/>
          <w:szCs w:val="22"/>
        </w:rPr>
      </w:pPr>
      <w:r w:rsidRPr="00697C35">
        <w:rPr>
          <w:sz w:val="22"/>
          <w:szCs w:val="22"/>
        </w:rPr>
        <w:t>As Tier 1 ALB partner, Cefas has hired a dedicated social science specialist in Q4 FY23/24 to begin scoping opportunities for GESI analysis across the portfolio to inform future OCPP programming, ensuring that gender and social inclusion are adequately addressed in future phases.</w:t>
      </w:r>
    </w:p>
    <w:p w:rsidR="009B21AD" w:rsidP="009B21AD" w:rsidRDefault="009B21AD" w14:paraId="064915B9" w14:textId="77777777">
      <w:pPr>
        <w:rPr>
          <w:sz w:val="22"/>
          <w:szCs w:val="22"/>
        </w:rPr>
      </w:pPr>
    </w:p>
    <w:p w:rsidRPr="00697C35" w:rsidR="00697C35" w:rsidP="009B21AD" w:rsidRDefault="00697C35" w14:paraId="7481E612" w14:textId="10C8E89B">
      <w:pPr>
        <w:rPr>
          <w:sz w:val="22"/>
          <w:szCs w:val="22"/>
        </w:rPr>
      </w:pPr>
      <w:r w:rsidRPr="1FB22237">
        <w:rPr>
          <w:sz w:val="22"/>
          <w:szCs w:val="22"/>
        </w:rPr>
        <w:t>The updated MoU between Cefas and Defra, and MoU between Cefas and Tier 2 partners JNCC and MMO, reflect HMG’s safeguarding standards</w:t>
      </w:r>
      <w:r w:rsidR="00A62BFF">
        <w:rPr>
          <w:sz w:val="22"/>
          <w:szCs w:val="22"/>
        </w:rPr>
        <w:t xml:space="preserve"> though this is yet to me signed by MMO.</w:t>
      </w:r>
      <w:r w:rsidRPr="1FB22237">
        <w:rPr>
          <w:sz w:val="22"/>
          <w:szCs w:val="22"/>
        </w:rPr>
        <w:t xml:space="preserve"> Additionally, grant agreements with GOAP and FOA incorporate these standards. </w:t>
      </w:r>
    </w:p>
    <w:p w:rsidR="00171297" w:rsidP="00171297" w:rsidRDefault="00171297" w14:paraId="5B2EDF59" w14:textId="77777777">
      <w:pPr>
        <w:rPr>
          <w:sz w:val="22"/>
          <w:szCs w:val="22"/>
        </w:rPr>
      </w:pPr>
    </w:p>
    <w:p w:rsidR="00697C35" w:rsidP="00171297" w:rsidRDefault="00697C35" w14:paraId="366443AA" w14:textId="7728385E">
      <w:pPr>
        <w:rPr>
          <w:sz w:val="22"/>
          <w:szCs w:val="22"/>
        </w:rPr>
      </w:pPr>
      <w:r w:rsidRPr="3DA5E116">
        <w:rPr>
          <w:sz w:val="22"/>
          <w:szCs w:val="22"/>
        </w:rPr>
        <w:t>A SEAH risk assessment was completed in August 2024 for all ALB delivery partners, FOA, GOAP, and the Defra programme team. This assessment provided insights into the current safeguarding status of each delivery partner and identified risk mitigation steps to ensure robust protection against SEAH risks.</w:t>
      </w:r>
    </w:p>
    <w:p w:rsidRPr="00697C35" w:rsidR="002E4138" w:rsidP="00171297" w:rsidRDefault="002E4138" w14:paraId="041F6DD1" w14:textId="77777777">
      <w:pPr>
        <w:rPr>
          <w:sz w:val="22"/>
          <w:szCs w:val="22"/>
        </w:rPr>
      </w:pPr>
    </w:p>
    <w:p w:rsidRPr="00697C35" w:rsidR="00697C35" w:rsidP="00201AAA" w:rsidRDefault="00697C35" w14:paraId="186B7A3E" w14:textId="77777777">
      <w:pPr>
        <w:rPr>
          <w:sz w:val="22"/>
          <w:szCs w:val="22"/>
        </w:rPr>
      </w:pPr>
    </w:p>
    <w:p w:rsidRPr="00347EB1" w:rsidR="00201AAA" w:rsidP="00201AAA" w:rsidRDefault="00201AAA" w14:paraId="4523DC8D" w14:textId="77777777">
      <w:pPr>
        <w:rPr>
          <w:b/>
          <w:bCs/>
          <w:sz w:val="22"/>
          <w:szCs w:val="22"/>
        </w:rPr>
      </w:pPr>
      <w:r w:rsidRPr="00347EB1">
        <w:rPr>
          <w:b/>
          <w:bCs/>
          <w:sz w:val="22"/>
          <w:szCs w:val="22"/>
        </w:rPr>
        <w:t>Recommendation 3: OCPP Governance</w:t>
      </w:r>
    </w:p>
    <w:p w:rsidRPr="00347EB1" w:rsidR="00201AAA" w:rsidP="00201AAA" w:rsidRDefault="00201AAA" w14:paraId="0BD0D95A" w14:textId="77777777">
      <w:pPr>
        <w:rPr>
          <w:b/>
          <w:bCs/>
          <w:sz w:val="22"/>
          <w:szCs w:val="22"/>
        </w:rPr>
      </w:pPr>
      <w:r w:rsidRPr="00347EB1">
        <w:rPr>
          <w:b/>
          <w:bCs/>
          <w:sz w:val="22"/>
          <w:szCs w:val="22"/>
        </w:rPr>
        <w:t> </w:t>
      </w:r>
    </w:p>
    <w:p w:rsidRPr="00C1795B" w:rsidR="00C1795B" w:rsidP="00C1795B" w:rsidRDefault="00201AAA" w14:paraId="75CC8C75" w14:textId="416E7B64">
      <w:pPr>
        <w:rPr>
          <w:sz w:val="22"/>
        </w:rPr>
      </w:pPr>
      <w:r w:rsidRPr="00201AAA">
        <w:rPr>
          <w:sz w:val="22"/>
        </w:rPr>
        <w:t xml:space="preserve">The OCPP governance structure needs to be strengthened to establish a new ALB Tier 1 partner who is more accountable for the governance and coordination of the remaining ALB delivery partners, whilst ensuring overall accountability and oversight remain with the programme SRO and </w:t>
      </w:r>
      <w:r w:rsidR="00C0723E">
        <w:rPr>
          <w:sz w:val="22"/>
        </w:rPr>
        <w:t>Programme Reporting Officer (</w:t>
      </w:r>
      <w:r w:rsidRPr="00201AAA">
        <w:rPr>
          <w:sz w:val="22"/>
        </w:rPr>
        <w:t>PRO</w:t>
      </w:r>
      <w:r w:rsidR="00C0723E">
        <w:rPr>
          <w:sz w:val="22"/>
        </w:rPr>
        <w:t>)</w:t>
      </w:r>
      <w:r w:rsidRPr="00201AAA">
        <w:rPr>
          <w:sz w:val="22"/>
        </w:rPr>
        <w:t>.</w:t>
      </w:r>
      <w:r w:rsidR="00C1795B">
        <w:rPr>
          <w:sz w:val="22"/>
        </w:rPr>
        <w:t xml:space="preserve"> T</w:t>
      </w:r>
      <w:r w:rsidRPr="00C1795B" w:rsidR="00C1795B">
        <w:rPr>
          <w:sz w:val="22"/>
        </w:rPr>
        <w:t>he following</w:t>
      </w:r>
      <w:r w:rsidR="000F1DCB">
        <w:rPr>
          <w:sz w:val="22"/>
        </w:rPr>
        <w:t xml:space="preserve"> </w:t>
      </w:r>
      <w:r w:rsidRPr="00C1795B" w:rsidR="00C1795B">
        <w:rPr>
          <w:sz w:val="22"/>
        </w:rPr>
        <w:t>should be actioned by the end of 2023. </w:t>
      </w:r>
    </w:p>
    <w:p w:rsidRPr="00C1795B" w:rsidR="00C1795B" w:rsidP="00C1795B" w:rsidRDefault="00C1795B" w14:paraId="43354A8E" w14:textId="77777777">
      <w:pPr>
        <w:rPr>
          <w:sz w:val="22"/>
        </w:rPr>
      </w:pPr>
      <w:r w:rsidRPr="00C1795B">
        <w:rPr>
          <w:sz w:val="22"/>
        </w:rPr>
        <w:t> </w:t>
      </w:r>
    </w:p>
    <w:p w:rsidRPr="00347EB1" w:rsidR="00201AAA" w:rsidP="00201AAA" w:rsidRDefault="00201AAA" w14:paraId="1C68E9CF" w14:textId="77777777">
      <w:pPr>
        <w:rPr>
          <w:b/>
          <w:i/>
          <w:sz w:val="22"/>
        </w:rPr>
      </w:pPr>
      <w:r w:rsidRPr="00347EB1">
        <w:rPr>
          <w:b/>
          <w:bCs/>
          <w:i/>
          <w:sz w:val="22"/>
          <w:szCs w:val="22"/>
        </w:rPr>
        <w:t>Progress:</w:t>
      </w:r>
    </w:p>
    <w:p w:rsidRPr="009601F0" w:rsidR="009601F0" w:rsidP="00201AAA" w:rsidRDefault="009601F0" w14:paraId="77F3877F" w14:textId="357C54FF">
      <w:pPr>
        <w:rPr>
          <w:i/>
          <w:sz w:val="22"/>
        </w:rPr>
      </w:pPr>
      <w:r w:rsidRPr="009601F0">
        <w:rPr>
          <w:i/>
          <w:sz w:val="22"/>
          <w:szCs w:val="22"/>
        </w:rPr>
        <w:t>(Complete)</w:t>
      </w:r>
    </w:p>
    <w:p w:rsidR="009601F0" w:rsidP="009601F0" w:rsidRDefault="00201AAA" w14:paraId="7FDE6E3B" w14:textId="77777777">
      <w:pPr>
        <w:rPr>
          <w:sz w:val="22"/>
        </w:rPr>
      </w:pPr>
      <w:r w:rsidRPr="00201AAA">
        <w:rPr>
          <w:sz w:val="22"/>
        </w:rPr>
        <w:t> </w:t>
      </w:r>
    </w:p>
    <w:p w:rsidRPr="00201AAA" w:rsidR="00201AAA" w:rsidP="009601F0" w:rsidRDefault="00201AAA" w14:paraId="1337CAF1" w14:textId="242EC598">
      <w:pPr>
        <w:rPr>
          <w:sz w:val="22"/>
        </w:rPr>
      </w:pPr>
      <w:r w:rsidRPr="00201AAA">
        <w:rPr>
          <w:sz w:val="22"/>
        </w:rPr>
        <w:t>To streamline governance and coordination, a Tier 1 MoU was signed between Defra and Cefas in October 2023, formalising the new partnership structure. Additionally, Cefas signed MoUs with JNCC and MMO, in October 2023, establishing a clear Tier 1 and Tier 2 governance framework.</w:t>
      </w:r>
    </w:p>
    <w:p w:rsidR="00CC6937" w:rsidP="00CC6937" w:rsidRDefault="00CC6937" w14:paraId="585C189D" w14:textId="77777777">
      <w:pPr>
        <w:rPr>
          <w:sz w:val="22"/>
        </w:rPr>
      </w:pPr>
    </w:p>
    <w:p w:rsidRPr="00201AAA" w:rsidR="00201AAA" w:rsidP="00CC6937" w:rsidRDefault="00201AAA" w14:paraId="5E713C9E" w14:textId="0040FDFA">
      <w:pPr>
        <w:rPr>
          <w:sz w:val="22"/>
        </w:rPr>
      </w:pPr>
      <w:r w:rsidRPr="00201AAA">
        <w:rPr>
          <w:sz w:val="22"/>
        </w:rPr>
        <w:t>The Senior Management Board’s Terms of Reference (ToR) were revised to ensure the board effectively fulfils its strategic function. The revised ToR was shared with the Board in June 2024 and finalised with minor amendments. As part of the updates to the ToR, new members were added, including the BPF Deputy Director and Tier 1 delivery partner representatives from NIRAS, GOAP, and FOA. A Defra Social Development Adviser was also appointed as a new advisor to the board.</w:t>
      </w:r>
    </w:p>
    <w:p w:rsidR="00E431DA" w:rsidP="00E431DA" w:rsidRDefault="00E431DA" w14:paraId="680C292D" w14:textId="77777777">
      <w:pPr>
        <w:rPr>
          <w:sz w:val="22"/>
        </w:rPr>
      </w:pPr>
    </w:p>
    <w:p w:rsidRPr="00201AAA" w:rsidR="00201AAA" w:rsidP="00E431DA" w:rsidRDefault="00201AAA" w14:paraId="392F54A9" w14:textId="0EFDDAA9">
      <w:pPr>
        <w:rPr>
          <w:sz w:val="22"/>
          <w:szCs w:val="22"/>
        </w:rPr>
      </w:pPr>
      <w:r w:rsidRPr="7B9AAA94">
        <w:rPr>
          <w:sz w:val="22"/>
          <w:szCs w:val="22"/>
        </w:rPr>
        <w:t xml:space="preserve">In response to recommendations from the previous </w:t>
      </w:r>
      <w:r w:rsidR="00C14357">
        <w:rPr>
          <w:sz w:val="22"/>
          <w:szCs w:val="22"/>
        </w:rPr>
        <w:t>annual review</w:t>
      </w:r>
      <w:r w:rsidRPr="7B9AAA94">
        <w:rPr>
          <w:sz w:val="22"/>
          <w:szCs w:val="22"/>
        </w:rPr>
        <w:t xml:space="preserve"> regarding financial visibility and oversight and the BPF ICAI review, Defra Commercial c</w:t>
      </w:r>
      <w:r w:rsidRPr="7B9AAA94" w:rsidR="001F5B72">
        <w:rPr>
          <w:sz w:val="22"/>
          <w:szCs w:val="22"/>
        </w:rPr>
        <w:t>ompleted</w:t>
      </w:r>
      <w:r w:rsidRPr="7B9AAA94">
        <w:rPr>
          <w:sz w:val="22"/>
          <w:szCs w:val="22"/>
        </w:rPr>
        <w:t xml:space="preserve"> a full review of ALB overheads under </w:t>
      </w:r>
      <w:r w:rsidRPr="7B9AAA94" w:rsidR="006400C6">
        <w:rPr>
          <w:sz w:val="22"/>
          <w:szCs w:val="22"/>
        </w:rPr>
        <w:t xml:space="preserve">the </w:t>
      </w:r>
      <w:r w:rsidRPr="7B9AAA94">
        <w:rPr>
          <w:sz w:val="22"/>
          <w:szCs w:val="22"/>
        </w:rPr>
        <w:t>OCPP</w:t>
      </w:r>
      <w:r w:rsidRPr="7B9AAA94" w:rsidR="001F5B72">
        <w:rPr>
          <w:sz w:val="22"/>
          <w:szCs w:val="22"/>
        </w:rPr>
        <w:t xml:space="preserve"> in September 2024</w:t>
      </w:r>
      <w:r w:rsidRPr="7B9AAA94">
        <w:rPr>
          <w:sz w:val="22"/>
          <w:szCs w:val="22"/>
        </w:rPr>
        <w:t xml:space="preserve">. The review identified challenges in assessing </w:t>
      </w:r>
      <w:r w:rsidRPr="7B9AAA94" w:rsidR="009F3B31">
        <w:rPr>
          <w:sz w:val="22"/>
          <w:szCs w:val="22"/>
        </w:rPr>
        <w:t xml:space="preserve">ALB costs </w:t>
      </w:r>
      <w:r w:rsidRPr="7B9AAA94" w:rsidR="0D988FAE">
        <w:rPr>
          <w:sz w:val="22"/>
          <w:szCs w:val="22"/>
        </w:rPr>
        <w:t xml:space="preserve">and value for money </w:t>
      </w:r>
      <w:r w:rsidRPr="7B9AAA94">
        <w:rPr>
          <w:sz w:val="22"/>
          <w:szCs w:val="22"/>
        </w:rPr>
        <w:t xml:space="preserve">due to a lack of transparency in financial reporting to date. However, the findings indicated that, when benchmarked against external market standards, ALBs appear to offer cost-effective solutions, despite higher overhead costs compared to core Defra. This outcome has </w:t>
      </w:r>
      <w:r w:rsidRPr="7B9AAA94" w:rsidR="002B0192">
        <w:rPr>
          <w:sz w:val="22"/>
          <w:szCs w:val="22"/>
        </w:rPr>
        <w:t>afford</w:t>
      </w:r>
      <w:r w:rsidRPr="7B9AAA94">
        <w:rPr>
          <w:sz w:val="22"/>
          <w:szCs w:val="22"/>
        </w:rPr>
        <w:t xml:space="preserve">ed the </w:t>
      </w:r>
      <w:r w:rsidRPr="7B9AAA94" w:rsidR="002B0192">
        <w:rPr>
          <w:sz w:val="22"/>
          <w:szCs w:val="22"/>
        </w:rPr>
        <w:t xml:space="preserve">Defra </w:t>
      </w:r>
      <w:r w:rsidRPr="7B9AAA94">
        <w:rPr>
          <w:sz w:val="22"/>
          <w:szCs w:val="22"/>
        </w:rPr>
        <w:t>programme team confidence in the delivery costs associated with the programme</w:t>
      </w:r>
      <w:r w:rsidRPr="7B9AAA94" w:rsidR="0C9AC9C0">
        <w:rPr>
          <w:sz w:val="22"/>
          <w:szCs w:val="22"/>
        </w:rPr>
        <w:t>.</w:t>
      </w:r>
    </w:p>
    <w:p w:rsidR="00201AAA" w:rsidP="006F3AE7" w:rsidRDefault="00201AAA" w14:paraId="0419B631" w14:textId="77777777">
      <w:pPr>
        <w:rPr>
          <w:sz w:val="20"/>
          <w:szCs w:val="22"/>
        </w:rPr>
      </w:pPr>
    </w:p>
    <w:p w:rsidR="00E75614" w:rsidP="006F3AE7" w:rsidRDefault="00E75614" w14:paraId="6B57292A" w14:textId="77777777">
      <w:pPr>
        <w:rPr>
          <w:sz w:val="20"/>
          <w:szCs w:val="22"/>
        </w:rPr>
      </w:pPr>
    </w:p>
    <w:p w:rsidRPr="00F70DBE" w:rsidR="006F3AE7" w:rsidP="006F3AE7" w:rsidRDefault="006F3AE7" w14:paraId="272C4998" w14:textId="59E87B67">
      <w:pPr>
        <w:pBdr>
          <w:top w:val="single" w:color="auto" w:sz="4" w:space="1"/>
          <w:left w:val="single" w:color="auto" w:sz="4" w:space="4"/>
          <w:bottom w:val="single" w:color="auto" w:sz="4" w:space="1"/>
          <w:right w:val="single" w:color="auto" w:sz="4" w:space="4"/>
        </w:pBdr>
        <w:shd w:val="clear" w:color="auto" w:fill="D9E2F3" w:themeFill="accent1" w:themeFillTint="33"/>
        <w:rPr>
          <w:rFonts w:cs="Arial"/>
          <w:bCs/>
          <w:sz w:val="20"/>
          <w:szCs w:val="20"/>
        </w:rPr>
      </w:pPr>
      <w:r>
        <w:rPr>
          <w:rFonts w:cs="Arial"/>
          <w:b/>
          <w:bCs/>
          <w:sz w:val="28"/>
          <w:szCs w:val="22"/>
        </w:rPr>
        <w:t>D</w:t>
      </w:r>
      <w:r w:rsidRPr="00F70DBE">
        <w:rPr>
          <w:rFonts w:cs="Arial"/>
          <w:b/>
          <w:bCs/>
          <w:sz w:val="28"/>
          <w:szCs w:val="22"/>
        </w:rPr>
        <w:t>: RISK</w:t>
      </w:r>
    </w:p>
    <w:p w:rsidR="006F3AE7" w:rsidP="006F3AE7" w:rsidRDefault="006F3AE7" w14:paraId="778B24D0" w14:textId="77777777">
      <w:pPr>
        <w:rPr>
          <w:b/>
          <w:bCs/>
          <w:sz w:val="22"/>
          <w:szCs w:val="22"/>
        </w:rPr>
      </w:pPr>
    </w:p>
    <w:p w:rsidR="006F3AE7" w:rsidP="006F3AE7" w:rsidRDefault="006F3AE7" w14:paraId="274110C9" w14:textId="31589ED2">
      <w:pPr>
        <w:rPr>
          <w:rFonts w:cs="Arial"/>
          <w:sz w:val="20"/>
          <w:szCs w:val="20"/>
        </w:rPr>
      </w:pPr>
      <w:r w:rsidRPr="0FDC525B">
        <w:rPr>
          <w:b/>
          <w:bCs/>
          <w:sz w:val="22"/>
          <w:szCs w:val="22"/>
        </w:rPr>
        <w:t xml:space="preserve">Overview of </w:t>
      </w:r>
      <w:r w:rsidRPr="0FDC525B" w:rsidR="00CB4A3C">
        <w:rPr>
          <w:b/>
          <w:bCs/>
          <w:sz w:val="22"/>
          <w:szCs w:val="22"/>
        </w:rPr>
        <w:t>risk management</w:t>
      </w:r>
    </w:p>
    <w:p w:rsidR="006F3AE7" w:rsidP="006F3AE7" w:rsidRDefault="006F3AE7" w14:paraId="062DABA4" w14:textId="77777777">
      <w:pPr>
        <w:rPr>
          <w:rFonts w:cs="Arial"/>
          <w:i/>
          <w:sz w:val="20"/>
          <w:szCs w:val="20"/>
        </w:rPr>
      </w:pPr>
    </w:p>
    <w:p w:rsidR="2D72F0A5" w:rsidP="2D72F0A5" w:rsidRDefault="2D72F0A5" w14:paraId="07B3E8FC" w14:textId="69D7652F">
      <w:pPr>
        <w:spacing w:before="40" w:after="40"/>
        <w:rPr>
          <w:rFonts w:cs="Arial"/>
          <w:sz w:val="20"/>
          <w:szCs w:val="20"/>
        </w:rPr>
      </w:pPr>
    </w:p>
    <w:p w:rsidRPr="005D01EE" w:rsidR="60ABD9C6" w:rsidP="271136AF" w:rsidRDefault="5D94E08E" w14:paraId="40429605" w14:textId="3C2F0DEB">
      <w:pPr>
        <w:spacing w:after="160" w:line="276" w:lineRule="auto"/>
        <w:rPr>
          <w:rFonts w:eastAsia="Aptos" w:cs="Arial"/>
          <w:sz w:val="22"/>
          <w:szCs w:val="22"/>
        </w:rPr>
      </w:pPr>
      <w:r w:rsidRPr="1FB22237">
        <w:rPr>
          <w:rFonts w:eastAsia="Aptos" w:cs="Arial"/>
          <w:sz w:val="22"/>
          <w:szCs w:val="22"/>
        </w:rPr>
        <w:t xml:space="preserve">The overall risk rating for </w:t>
      </w:r>
      <w:r w:rsidRPr="1FB22237" w:rsidR="006400C6">
        <w:rPr>
          <w:rFonts w:eastAsia="Aptos" w:cs="Arial"/>
          <w:sz w:val="22"/>
          <w:szCs w:val="22"/>
        </w:rPr>
        <w:t xml:space="preserve">the </w:t>
      </w:r>
      <w:r w:rsidRPr="1FB22237">
        <w:rPr>
          <w:rFonts w:eastAsia="Aptos" w:cs="Arial"/>
          <w:sz w:val="22"/>
          <w:szCs w:val="22"/>
        </w:rPr>
        <w:t xml:space="preserve">OCPP is </w:t>
      </w:r>
      <w:r w:rsidRPr="1FB22237" w:rsidR="565DD2DC">
        <w:rPr>
          <w:rFonts w:eastAsia="Aptos" w:cs="Arial"/>
          <w:b/>
          <w:bCs/>
          <w:sz w:val="22"/>
          <w:szCs w:val="22"/>
        </w:rPr>
        <w:t>High</w:t>
      </w:r>
      <w:r w:rsidRPr="1FB22237">
        <w:rPr>
          <w:rFonts w:eastAsia="Aptos" w:cs="Arial"/>
          <w:sz w:val="22"/>
          <w:szCs w:val="22"/>
        </w:rPr>
        <w:t>. Numerous</w:t>
      </w:r>
      <w:r w:rsidRPr="1FB22237" w:rsidR="44FA420F">
        <w:rPr>
          <w:rFonts w:eastAsia="Aptos" w:cs="Arial"/>
          <w:sz w:val="22"/>
          <w:szCs w:val="22"/>
        </w:rPr>
        <w:t xml:space="preserve"> </w:t>
      </w:r>
      <w:r w:rsidRPr="1FB22237" w:rsidR="233E5291">
        <w:rPr>
          <w:rFonts w:eastAsia="Aptos" w:cs="Arial"/>
          <w:sz w:val="22"/>
          <w:szCs w:val="22"/>
        </w:rPr>
        <w:t>challenges</w:t>
      </w:r>
      <w:r w:rsidRPr="1FB22237" w:rsidR="34B13184">
        <w:rPr>
          <w:rFonts w:eastAsia="Aptos" w:cs="Arial"/>
          <w:sz w:val="22"/>
          <w:szCs w:val="22"/>
        </w:rPr>
        <w:t xml:space="preserve"> have, threaten to have,</w:t>
      </w:r>
      <w:r w:rsidRPr="1FB22237" w:rsidR="58021CB6">
        <w:rPr>
          <w:rFonts w:eastAsia="Aptos" w:cs="Arial"/>
          <w:sz w:val="22"/>
          <w:szCs w:val="22"/>
        </w:rPr>
        <w:t xml:space="preserve"> or are currently</w:t>
      </w:r>
      <w:r w:rsidRPr="1FB22237" w:rsidR="5C03C2C3">
        <w:rPr>
          <w:rFonts w:eastAsia="Aptos" w:cs="Arial"/>
          <w:sz w:val="22"/>
          <w:szCs w:val="22"/>
        </w:rPr>
        <w:t xml:space="preserve"> impact</w:t>
      </w:r>
      <w:r w:rsidRPr="1FB22237" w:rsidR="5282973A">
        <w:rPr>
          <w:rFonts w:eastAsia="Aptos" w:cs="Arial"/>
          <w:sz w:val="22"/>
          <w:szCs w:val="22"/>
        </w:rPr>
        <w:t>ing</w:t>
      </w:r>
      <w:r w:rsidRPr="1FB22237" w:rsidR="2E8AB1F2">
        <w:rPr>
          <w:rFonts w:eastAsia="Aptos" w:cs="Arial"/>
          <w:sz w:val="22"/>
          <w:szCs w:val="22"/>
        </w:rPr>
        <w:t xml:space="preserve"> upon</w:t>
      </w:r>
      <w:r w:rsidRPr="1FB22237" w:rsidR="7EDE6FEA">
        <w:rPr>
          <w:rFonts w:eastAsia="Aptos" w:cs="Arial"/>
          <w:sz w:val="22"/>
          <w:szCs w:val="22"/>
        </w:rPr>
        <w:t xml:space="preserve"> operations and delivery of the programme</w:t>
      </w:r>
      <w:r w:rsidRPr="1FB22237" w:rsidR="4B4113A6">
        <w:rPr>
          <w:rFonts w:eastAsia="Aptos" w:cs="Arial"/>
          <w:sz w:val="22"/>
          <w:szCs w:val="22"/>
        </w:rPr>
        <w:t>.</w:t>
      </w:r>
      <w:r w:rsidRPr="1FB22237" w:rsidR="5AAF34E9">
        <w:rPr>
          <w:rFonts w:eastAsia="Aptos" w:cs="Arial"/>
          <w:sz w:val="22"/>
          <w:szCs w:val="22"/>
        </w:rPr>
        <w:t xml:space="preserve"> </w:t>
      </w:r>
      <w:r w:rsidRPr="1FB22237" w:rsidR="6133BD6C">
        <w:rPr>
          <w:rFonts w:eastAsia="Aptos" w:cs="Arial"/>
          <w:sz w:val="22"/>
          <w:szCs w:val="22"/>
        </w:rPr>
        <w:t>There are multiple risks</w:t>
      </w:r>
      <w:r w:rsidRPr="1FB22237" w:rsidR="007879E5">
        <w:rPr>
          <w:rFonts w:eastAsia="Aptos" w:cs="Arial"/>
          <w:sz w:val="22"/>
          <w:szCs w:val="22"/>
        </w:rPr>
        <w:t xml:space="preserve"> </w:t>
      </w:r>
      <w:r w:rsidRPr="1FB22237" w:rsidR="001915D2">
        <w:rPr>
          <w:rFonts w:eastAsia="Aptos" w:cs="Arial"/>
          <w:sz w:val="22"/>
          <w:szCs w:val="22"/>
        </w:rPr>
        <w:t>which have</w:t>
      </w:r>
      <w:r w:rsidRPr="1FB22237" w:rsidR="07199393">
        <w:rPr>
          <w:rFonts w:eastAsia="Aptos" w:cs="Arial"/>
          <w:sz w:val="22"/>
          <w:szCs w:val="22"/>
        </w:rPr>
        <w:t xml:space="preserve"> </w:t>
      </w:r>
      <w:r w:rsidRPr="1FB22237" w:rsidR="4CF17961">
        <w:rPr>
          <w:rFonts w:eastAsia="Aptos" w:cs="Arial"/>
          <w:sz w:val="22"/>
          <w:szCs w:val="22"/>
        </w:rPr>
        <w:t>exceed</w:t>
      </w:r>
      <w:r w:rsidRPr="1FB22237" w:rsidR="5E8979F4">
        <w:rPr>
          <w:rFonts w:eastAsia="Aptos" w:cs="Arial"/>
          <w:sz w:val="22"/>
          <w:szCs w:val="22"/>
        </w:rPr>
        <w:t>ed</w:t>
      </w:r>
      <w:r w:rsidRPr="1FB22237" w:rsidR="4CF17961">
        <w:rPr>
          <w:rFonts w:eastAsia="Aptos" w:cs="Arial"/>
          <w:sz w:val="22"/>
          <w:szCs w:val="22"/>
        </w:rPr>
        <w:t xml:space="preserve"> </w:t>
      </w:r>
      <w:r w:rsidRPr="1FB22237" w:rsidR="5DBA2BF3">
        <w:rPr>
          <w:rFonts w:eastAsia="Aptos" w:cs="Arial"/>
          <w:sz w:val="22"/>
          <w:szCs w:val="22"/>
        </w:rPr>
        <w:t>the programme risk appetite</w:t>
      </w:r>
      <w:r w:rsidRPr="1FB22237" w:rsidR="79A9BA34">
        <w:rPr>
          <w:rFonts w:eastAsia="Aptos" w:cs="Arial"/>
          <w:sz w:val="22"/>
          <w:szCs w:val="22"/>
        </w:rPr>
        <w:t xml:space="preserve"> and have been </w:t>
      </w:r>
      <w:r w:rsidRPr="1FB22237" w:rsidR="7EA3B9B4">
        <w:rPr>
          <w:rFonts w:eastAsia="Aptos" w:cs="Arial"/>
          <w:sz w:val="22"/>
          <w:szCs w:val="22"/>
        </w:rPr>
        <w:t>escalated</w:t>
      </w:r>
      <w:r w:rsidRPr="1FB22237" w:rsidR="79A9BA34">
        <w:rPr>
          <w:rFonts w:eastAsia="Aptos" w:cs="Arial"/>
          <w:sz w:val="22"/>
          <w:szCs w:val="22"/>
        </w:rPr>
        <w:t xml:space="preserve"> to the programme SRO</w:t>
      </w:r>
      <w:r w:rsidRPr="1FB22237" w:rsidR="73421B39">
        <w:rPr>
          <w:rFonts w:eastAsia="Aptos" w:cs="Arial"/>
          <w:sz w:val="22"/>
          <w:szCs w:val="22"/>
        </w:rPr>
        <w:t xml:space="preserve"> and </w:t>
      </w:r>
      <w:r w:rsidRPr="1FB22237" w:rsidR="79A9BA34">
        <w:rPr>
          <w:rFonts w:eastAsia="Aptos" w:cs="Arial"/>
          <w:sz w:val="22"/>
          <w:szCs w:val="22"/>
        </w:rPr>
        <w:t>S</w:t>
      </w:r>
      <w:r w:rsidRPr="1FB22237" w:rsidR="00557A61">
        <w:rPr>
          <w:rFonts w:eastAsia="Aptos" w:cs="Arial"/>
          <w:sz w:val="22"/>
          <w:szCs w:val="22"/>
        </w:rPr>
        <w:t xml:space="preserve">enior </w:t>
      </w:r>
      <w:r w:rsidRPr="1FB22237" w:rsidR="79A9BA34">
        <w:rPr>
          <w:rFonts w:eastAsia="Aptos" w:cs="Arial"/>
          <w:sz w:val="22"/>
          <w:szCs w:val="22"/>
        </w:rPr>
        <w:t>M</w:t>
      </w:r>
      <w:r w:rsidRPr="1FB22237" w:rsidR="00557A61">
        <w:rPr>
          <w:rFonts w:eastAsia="Aptos" w:cs="Arial"/>
          <w:sz w:val="22"/>
          <w:szCs w:val="22"/>
        </w:rPr>
        <w:t xml:space="preserve">anagement </w:t>
      </w:r>
      <w:r w:rsidRPr="1FB22237" w:rsidR="79A9BA34">
        <w:rPr>
          <w:rFonts w:eastAsia="Aptos" w:cs="Arial"/>
          <w:sz w:val="22"/>
          <w:szCs w:val="22"/>
        </w:rPr>
        <w:t>B</w:t>
      </w:r>
      <w:r w:rsidRPr="1FB22237" w:rsidR="00557A61">
        <w:rPr>
          <w:rFonts w:eastAsia="Aptos" w:cs="Arial"/>
          <w:sz w:val="22"/>
          <w:szCs w:val="22"/>
        </w:rPr>
        <w:t>oard</w:t>
      </w:r>
      <w:r w:rsidRPr="1FB22237" w:rsidR="74FA3D3A">
        <w:rPr>
          <w:rFonts w:eastAsia="Aptos" w:cs="Arial"/>
          <w:sz w:val="22"/>
          <w:szCs w:val="22"/>
        </w:rPr>
        <w:t xml:space="preserve"> a</w:t>
      </w:r>
      <w:r w:rsidRPr="1FB22237" w:rsidR="73421B39">
        <w:rPr>
          <w:rFonts w:eastAsia="Aptos" w:cs="Arial"/>
          <w:sz w:val="22"/>
          <w:szCs w:val="22"/>
        </w:rPr>
        <w:t>nd into BPF escalation routes</w:t>
      </w:r>
      <w:r w:rsidRPr="1FB22237" w:rsidR="7EDE6FEA">
        <w:rPr>
          <w:rFonts w:eastAsia="Aptos" w:cs="Arial"/>
          <w:sz w:val="22"/>
          <w:szCs w:val="22"/>
        </w:rPr>
        <w:t xml:space="preserve">. </w:t>
      </w:r>
      <w:r w:rsidRPr="1FB22237" w:rsidR="28E88768">
        <w:rPr>
          <w:rFonts w:eastAsia="Aptos" w:cs="Arial"/>
          <w:sz w:val="22"/>
          <w:szCs w:val="22"/>
        </w:rPr>
        <w:t xml:space="preserve">All identified risks </w:t>
      </w:r>
      <w:r w:rsidRPr="1FB22237" w:rsidR="6001AC66">
        <w:rPr>
          <w:rFonts w:eastAsia="Aptos" w:cs="Arial"/>
          <w:sz w:val="22"/>
          <w:szCs w:val="22"/>
        </w:rPr>
        <w:t xml:space="preserve">and issues </w:t>
      </w:r>
      <w:r w:rsidRPr="1FB22237" w:rsidR="28E88768">
        <w:rPr>
          <w:rFonts w:eastAsia="Aptos" w:cs="Arial"/>
          <w:sz w:val="22"/>
          <w:szCs w:val="22"/>
        </w:rPr>
        <w:t>have mitigation measures in place and a named owner</w:t>
      </w:r>
      <w:r w:rsidRPr="1FB22237" w:rsidR="7117C5F7">
        <w:rPr>
          <w:rFonts w:eastAsia="Aptos" w:cs="Arial"/>
          <w:sz w:val="22"/>
          <w:szCs w:val="22"/>
        </w:rPr>
        <w:t xml:space="preserve"> </w:t>
      </w:r>
      <w:r w:rsidRPr="1FB22237" w:rsidR="28E88768">
        <w:rPr>
          <w:rFonts w:eastAsia="Aptos" w:cs="Arial"/>
          <w:sz w:val="22"/>
          <w:szCs w:val="22"/>
        </w:rPr>
        <w:t>and are monitored regularly</w:t>
      </w:r>
      <w:r w:rsidRPr="1FB22237" w:rsidR="6001AC66">
        <w:rPr>
          <w:rFonts w:eastAsia="Aptos" w:cs="Arial"/>
          <w:sz w:val="22"/>
          <w:szCs w:val="22"/>
        </w:rPr>
        <w:t>.</w:t>
      </w:r>
      <w:r w:rsidRPr="1FB22237" w:rsidR="28E88768">
        <w:rPr>
          <w:rFonts w:eastAsia="Aptos" w:cs="Arial"/>
          <w:sz w:val="22"/>
          <w:szCs w:val="22"/>
        </w:rPr>
        <w:t xml:space="preserve"> </w:t>
      </w:r>
    </w:p>
    <w:p w:rsidRPr="00AD7D21" w:rsidR="4CA4170F" w:rsidP="2D72F0A5" w:rsidRDefault="4CA4170F" w14:paraId="23E6846E" w14:textId="69C1D1B1">
      <w:pPr>
        <w:spacing w:after="160" w:line="276" w:lineRule="auto"/>
        <w:rPr>
          <w:rFonts w:cs="Arial"/>
          <w:sz w:val="22"/>
          <w:szCs w:val="22"/>
        </w:rPr>
      </w:pPr>
      <w:r w:rsidRPr="6BB2EF5C">
        <w:rPr>
          <w:rFonts w:eastAsia="Aptos" w:cs="Arial"/>
          <w:sz w:val="22"/>
          <w:szCs w:val="22"/>
        </w:rPr>
        <w:t xml:space="preserve">Throughout </w:t>
      </w:r>
      <w:r w:rsidR="00961DD8">
        <w:rPr>
          <w:rFonts w:eastAsia="Aptos" w:cs="Arial"/>
          <w:sz w:val="22"/>
          <w:szCs w:val="22"/>
        </w:rPr>
        <w:t>year three</w:t>
      </w:r>
      <w:r w:rsidRPr="6BB2EF5C">
        <w:rPr>
          <w:rFonts w:eastAsia="Aptos" w:cs="Arial"/>
          <w:sz w:val="22"/>
          <w:szCs w:val="22"/>
        </w:rPr>
        <w:t xml:space="preserve">, programme risks and issues have been recorded and monitored </w:t>
      </w:r>
      <w:r w:rsidRPr="6BB2EF5C" w:rsidR="4773DA63">
        <w:rPr>
          <w:rFonts w:eastAsia="Aptos" w:cs="Arial"/>
          <w:sz w:val="22"/>
          <w:szCs w:val="22"/>
        </w:rPr>
        <w:t xml:space="preserve">through </w:t>
      </w:r>
      <w:r w:rsidRPr="6BB2EF5C" w:rsidR="7F6A1A5C">
        <w:rPr>
          <w:rFonts w:eastAsia="Aptos" w:cs="Arial"/>
          <w:sz w:val="22"/>
          <w:szCs w:val="22"/>
        </w:rPr>
        <w:t>the OCPP RAID log.</w:t>
      </w:r>
      <w:r w:rsidR="00F65045">
        <w:rPr>
          <w:rFonts w:eastAsia="Aptos" w:cs="Arial"/>
          <w:sz w:val="22"/>
          <w:szCs w:val="22"/>
        </w:rPr>
        <w:t xml:space="preserve"> </w:t>
      </w:r>
      <w:r w:rsidR="00C058B4">
        <w:rPr>
          <w:rFonts w:eastAsia="Aptos" w:cs="Arial"/>
          <w:sz w:val="22"/>
          <w:szCs w:val="22"/>
        </w:rPr>
        <w:t xml:space="preserve">For the bilateral component of the programme, </w:t>
      </w:r>
      <w:r w:rsidRPr="005D01EE">
        <w:rPr>
          <w:rFonts w:eastAsia="Aptos" w:cs="Arial"/>
          <w:sz w:val="22"/>
          <w:szCs w:val="22"/>
        </w:rPr>
        <w:t xml:space="preserve">ALBs and Defra </w:t>
      </w:r>
      <w:r w:rsidRPr="005D01EE" w:rsidR="1BBFDBEA">
        <w:rPr>
          <w:rFonts w:eastAsia="Aptos" w:cs="Arial"/>
          <w:sz w:val="22"/>
          <w:szCs w:val="22"/>
        </w:rPr>
        <w:t>have maintained</w:t>
      </w:r>
      <w:r w:rsidRPr="005D01EE">
        <w:rPr>
          <w:rFonts w:eastAsia="Aptos" w:cs="Arial"/>
          <w:sz w:val="22"/>
          <w:szCs w:val="22"/>
        </w:rPr>
        <w:t xml:space="preserve"> separate RAID logs</w:t>
      </w:r>
      <w:r w:rsidRPr="005D01EE" w:rsidR="3F4B347E">
        <w:rPr>
          <w:rFonts w:eastAsia="Aptos" w:cs="Arial"/>
          <w:sz w:val="22"/>
          <w:szCs w:val="22"/>
        </w:rPr>
        <w:t xml:space="preserve">. </w:t>
      </w:r>
      <w:r w:rsidRPr="005D01EE">
        <w:rPr>
          <w:rFonts w:eastAsia="Aptos" w:cs="Arial"/>
          <w:sz w:val="22"/>
          <w:szCs w:val="22"/>
        </w:rPr>
        <w:t xml:space="preserve">During </w:t>
      </w:r>
      <w:r w:rsidR="00961DD8">
        <w:rPr>
          <w:rFonts w:eastAsia="Aptos" w:cs="Arial"/>
          <w:sz w:val="22"/>
          <w:szCs w:val="22"/>
        </w:rPr>
        <w:t>y</w:t>
      </w:r>
      <w:r w:rsidRPr="005D01EE">
        <w:rPr>
          <w:rFonts w:eastAsia="Aptos" w:cs="Arial"/>
          <w:sz w:val="22"/>
          <w:szCs w:val="22"/>
        </w:rPr>
        <w:t xml:space="preserve">ear </w:t>
      </w:r>
      <w:r w:rsidR="00961DD8">
        <w:rPr>
          <w:rFonts w:eastAsia="Aptos" w:cs="Arial"/>
          <w:sz w:val="22"/>
          <w:szCs w:val="22"/>
        </w:rPr>
        <w:t>three</w:t>
      </w:r>
      <w:r w:rsidRPr="005D01EE">
        <w:rPr>
          <w:rFonts w:eastAsia="Aptos" w:cs="Arial"/>
          <w:sz w:val="22"/>
          <w:szCs w:val="22"/>
        </w:rPr>
        <w:t>, risks and issues have been raised either on an ad hoc basis (via email or during country</w:t>
      </w:r>
      <w:r w:rsidRPr="00AD7D21">
        <w:rPr>
          <w:rFonts w:eastAsia="Aptos" w:cs="Arial"/>
          <w:sz w:val="22"/>
          <w:szCs w:val="22"/>
        </w:rPr>
        <w:t>-specific cross ALB and Defra meeting), or during fortnightly cross-theme country partnership meetings. A quarterly Programme Management Board remains the formal board for highly scored, prevalent risks to be escalated to the Defra programme management team. Those highly scored risk</w:t>
      </w:r>
      <w:r w:rsidR="00EC427F">
        <w:rPr>
          <w:rFonts w:eastAsia="Aptos" w:cs="Arial"/>
          <w:sz w:val="22"/>
          <w:szCs w:val="22"/>
        </w:rPr>
        <w:t>s</w:t>
      </w:r>
      <w:r w:rsidRPr="00AD7D21">
        <w:rPr>
          <w:rFonts w:eastAsia="Aptos" w:cs="Arial"/>
          <w:sz w:val="22"/>
          <w:szCs w:val="22"/>
        </w:rPr>
        <w:t xml:space="preserve"> that remain unresolved are then escalated to the Senior Management Board</w:t>
      </w:r>
      <w:r w:rsidRPr="0BCC3D53" w:rsidR="3A215312">
        <w:rPr>
          <w:rFonts w:eastAsia="Aptos" w:cs="Arial"/>
          <w:sz w:val="22"/>
          <w:szCs w:val="22"/>
        </w:rPr>
        <w:t>.</w:t>
      </w:r>
    </w:p>
    <w:p w:rsidRPr="00AD7D21" w:rsidR="4CA4170F" w:rsidP="6601E529" w:rsidRDefault="4CA4170F" w14:paraId="1953587F" w14:textId="7A5C3261">
      <w:pPr>
        <w:spacing w:after="160" w:line="276" w:lineRule="auto"/>
        <w:rPr>
          <w:rFonts w:eastAsia="Aptos" w:cs="Arial"/>
          <w:sz w:val="22"/>
          <w:szCs w:val="22"/>
        </w:rPr>
      </w:pPr>
      <w:r w:rsidRPr="1FB22237">
        <w:rPr>
          <w:rFonts w:eastAsia="Aptos" w:cs="Arial"/>
          <w:sz w:val="22"/>
          <w:szCs w:val="22"/>
        </w:rPr>
        <w:t>The ALB RAID log has been successfully kept up to date, with the three delivery</w:t>
      </w:r>
      <w:r w:rsidRPr="1FB22237" w:rsidR="00D804C5">
        <w:rPr>
          <w:rFonts w:eastAsia="Aptos" w:cs="Arial"/>
          <w:sz w:val="22"/>
          <w:szCs w:val="22"/>
        </w:rPr>
        <w:t xml:space="preserve"> partners</w:t>
      </w:r>
      <w:r w:rsidRPr="1FB22237">
        <w:rPr>
          <w:rFonts w:eastAsia="Aptos" w:cs="Arial"/>
          <w:sz w:val="22"/>
          <w:szCs w:val="22"/>
        </w:rPr>
        <w:t xml:space="preserve"> pooling resource and feeding in, capturing risks and issues occurring within each country partnership, and those more high-level programme-wide risks specific to the ALBs activities.</w:t>
      </w:r>
      <w:r w:rsidRPr="1FB22237" w:rsidR="00477B37">
        <w:rPr>
          <w:rFonts w:eastAsia="Aptos" w:cs="Arial"/>
          <w:sz w:val="22"/>
          <w:szCs w:val="22"/>
        </w:rPr>
        <w:t xml:space="preserve"> </w:t>
      </w:r>
      <w:r w:rsidRPr="1FB22237" w:rsidR="00BD7EA6">
        <w:rPr>
          <w:rFonts w:eastAsia="Aptos" w:cs="Arial"/>
          <w:sz w:val="22"/>
          <w:szCs w:val="22"/>
        </w:rPr>
        <w:t>T</w:t>
      </w:r>
      <w:r w:rsidRPr="1FB22237" w:rsidR="7571F6B2">
        <w:rPr>
          <w:rFonts w:eastAsia="Aptos" w:cs="Arial"/>
          <w:sz w:val="22"/>
          <w:szCs w:val="22"/>
        </w:rPr>
        <w:t xml:space="preserve">he OCPP Defra RAID log has been streamlined, all existing risks accounted for, mitigated risks closed, and irrelevant legacy information discarded. </w:t>
      </w:r>
      <w:r w:rsidRPr="1FB22237" w:rsidR="0106E6D6">
        <w:rPr>
          <w:rFonts w:eastAsia="Aptos" w:cs="Arial"/>
          <w:sz w:val="22"/>
          <w:szCs w:val="22"/>
        </w:rPr>
        <w:t>A</w:t>
      </w:r>
      <w:r w:rsidRPr="1FB22237" w:rsidR="0A48CACA">
        <w:rPr>
          <w:rFonts w:eastAsia="Aptos" w:cs="Arial"/>
          <w:sz w:val="22"/>
          <w:szCs w:val="22"/>
        </w:rPr>
        <w:t xml:space="preserve"> monthly RAID review</w:t>
      </w:r>
      <w:r w:rsidRPr="1FB22237" w:rsidR="4D36F66B">
        <w:rPr>
          <w:rFonts w:eastAsia="Aptos" w:cs="Arial"/>
          <w:sz w:val="22"/>
          <w:szCs w:val="22"/>
        </w:rPr>
        <w:t xml:space="preserve"> is now undertaken</w:t>
      </w:r>
      <w:r w:rsidRPr="1FB22237" w:rsidR="0A48CACA">
        <w:rPr>
          <w:rFonts w:eastAsia="Aptos" w:cs="Arial"/>
          <w:sz w:val="22"/>
          <w:szCs w:val="22"/>
        </w:rPr>
        <w:t xml:space="preserve"> involving Defra OCPP team members</w:t>
      </w:r>
      <w:r w:rsidRPr="1FB22237" w:rsidR="75383C36">
        <w:rPr>
          <w:rFonts w:eastAsia="Aptos" w:cs="Arial"/>
          <w:sz w:val="22"/>
          <w:szCs w:val="22"/>
        </w:rPr>
        <w:t>. The RAID log has been brought into alignment with ODA Hub and BPF-level risk and issue reporting</w:t>
      </w:r>
      <w:r w:rsidRPr="1FB22237" w:rsidR="68A6490B">
        <w:rPr>
          <w:rFonts w:eastAsia="Aptos" w:cs="Arial"/>
          <w:sz w:val="22"/>
          <w:szCs w:val="22"/>
        </w:rPr>
        <w:t>,</w:t>
      </w:r>
      <w:r w:rsidRPr="1FB22237" w:rsidR="25FD0A58">
        <w:rPr>
          <w:rFonts w:eastAsia="Aptos" w:cs="Arial"/>
          <w:sz w:val="22"/>
          <w:szCs w:val="22"/>
        </w:rPr>
        <w:t xml:space="preserve"> providing greater clarity of the risk management process</w:t>
      </w:r>
      <w:r w:rsidRPr="1FB22237" w:rsidR="00BA7BC4">
        <w:rPr>
          <w:rFonts w:eastAsia="Aptos" w:cs="Arial"/>
          <w:sz w:val="22"/>
          <w:szCs w:val="22"/>
        </w:rPr>
        <w:t>.</w:t>
      </w:r>
      <w:r w:rsidRPr="1FB22237" w:rsidR="28F52C57">
        <w:rPr>
          <w:rFonts w:eastAsia="Aptos" w:cs="Arial"/>
          <w:sz w:val="22"/>
          <w:szCs w:val="22"/>
        </w:rPr>
        <w:t xml:space="preserve"> </w:t>
      </w:r>
      <w:r w:rsidRPr="1FB22237" w:rsidR="006400C6">
        <w:rPr>
          <w:rFonts w:eastAsia="Aptos" w:cs="Arial"/>
          <w:sz w:val="22"/>
          <w:szCs w:val="22"/>
        </w:rPr>
        <w:t xml:space="preserve">The </w:t>
      </w:r>
      <w:r w:rsidRPr="1FB22237" w:rsidR="28F52C57">
        <w:rPr>
          <w:rFonts w:eastAsia="Aptos" w:cs="Arial"/>
          <w:sz w:val="22"/>
          <w:szCs w:val="22"/>
        </w:rPr>
        <w:t xml:space="preserve">OCPP is </w:t>
      </w:r>
      <w:r w:rsidRPr="1FB22237" w:rsidR="7821A35A">
        <w:rPr>
          <w:rFonts w:eastAsia="Aptos" w:cs="Arial"/>
          <w:sz w:val="22"/>
          <w:szCs w:val="22"/>
        </w:rPr>
        <w:t xml:space="preserve">in the </w:t>
      </w:r>
      <w:r w:rsidRPr="1FB22237" w:rsidR="11FA61B1">
        <w:rPr>
          <w:rFonts w:eastAsia="Aptos" w:cs="Arial"/>
          <w:sz w:val="22"/>
          <w:szCs w:val="22"/>
        </w:rPr>
        <w:t>process</w:t>
      </w:r>
      <w:r w:rsidRPr="1FB22237" w:rsidR="7821A35A">
        <w:rPr>
          <w:rFonts w:eastAsia="Aptos" w:cs="Arial"/>
          <w:sz w:val="22"/>
          <w:szCs w:val="22"/>
        </w:rPr>
        <w:t xml:space="preserve"> of</w:t>
      </w:r>
      <w:r w:rsidRPr="1FB22237" w:rsidR="28F52C57">
        <w:rPr>
          <w:rFonts w:eastAsia="Aptos" w:cs="Arial"/>
          <w:sz w:val="22"/>
          <w:szCs w:val="22"/>
        </w:rPr>
        <w:t xml:space="preserve"> integrati</w:t>
      </w:r>
      <w:r w:rsidRPr="1FB22237" w:rsidR="47DC94F7">
        <w:rPr>
          <w:rFonts w:eastAsia="Aptos" w:cs="Arial"/>
          <w:sz w:val="22"/>
          <w:szCs w:val="22"/>
        </w:rPr>
        <w:t>ng a SEAH risk register into the main project risk register.</w:t>
      </w:r>
    </w:p>
    <w:p w:rsidRPr="00AA3E62" w:rsidR="5E58AD04" w:rsidP="00AA3E62" w:rsidRDefault="1F3AEBFB" w14:paraId="7BA3FC2C" w14:textId="61F61B65">
      <w:pPr>
        <w:rPr>
          <w:rFonts w:eastAsia="Arial"/>
          <w:sz w:val="22"/>
          <w:szCs w:val="22"/>
        </w:rPr>
      </w:pPr>
      <w:r w:rsidRPr="2C6B85DE">
        <w:rPr>
          <w:rFonts w:eastAsia="Arial"/>
          <w:sz w:val="22"/>
          <w:szCs w:val="22"/>
        </w:rPr>
        <w:t>A</w:t>
      </w:r>
      <w:r w:rsidRPr="2C6B85DE" w:rsidR="00C85EFF">
        <w:rPr>
          <w:rFonts w:eastAsia="Arial"/>
          <w:sz w:val="22"/>
          <w:szCs w:val="22"/>
        </w:rPr>
        <w:t xml:space="preserve"> lack of </w:t>
      </w:r>
      <w:r w:rsidRPr="2C6B85DE" w:rsidR="5E58AD04">
        <w:rPr>
          <w:rFonts w:eastAsia="Arial"/>
          <w:sz w:val="22"/>
          <w:szCs w:val="22"/>
        </w:rPr>
        <w:t xml:space="preserve">explicit regular </w:t>
      </w:r>
      <w:r w:rsidRPr="2C6B85DE" w:rsidR="000144E5">
        <w:rPr>
          <w:rFonts w:eastAsia="Arial"/>
          <w:sz w:val="22"/>
          <w:szCs w:val="22"/>
        </w:rPr>
        <w:t xml:space="preserve">risks and issues </w:t>
      </w:r>
      <w:r w:rsidRPr="2C6B85DE" w:rsidR="5E58AD04">
        <w:rPr>
          <w:rFonts w:eastAsia="Arial"/>
          <w:sz w:val="22"/>
          <w:szCs w:val="22"/>
        </w:rPr>
        <w:t xml:space="preserve">forum between Defra and </w:t>
      </w:r>
      <w:r w:rsidRPr="2C6B85DE" w:rsidR="00022C52">
        <w:rPr>
          <w:rFonts w:eastAsia="Arial"/>
          <w:sz w:val="22"/>
          <w:szCs w:val="22"/>
        </w:rPr>
        <w:t>delivery partners</w:t>
      </w:r>
      <w:r w:rsidRPr="2C6B85DE" w:rsidR="5E58AD04">
        <w:rPr>
          <w:rFonts w:eastAsia="Arial"/>
          <w:sz w:val="22"/>
          <w:szCs w:val="22"/>
        </w:rPr>
        <w:t xml:space="preserve">, combined with independent RAID logs across </w:t>
      </w:r>
      <w:r w:rsidRPr="2C6B85DE" w:rsidR="006400C6">
        <w:rPr>
          <w:rFonts w:eastAsia="Arial"/>
          <w:sz w:val="22"/>
          <w:szCs w:val="22"/>
        </w:rPr>
        <w:t xml:space="preserve">the </w:t>
      </w:r>
      <w:r w:rsidRPr="2C6B85DE" w:rsidR="5E58AD04">
        <w:rPr>
          <w:rFonts w:eastAsia="Arial"/>
          <w:sz w:val="22"/>
          <w:szCs w:val="22"/>
        </w:rPr>
        <w:t xml:space="preserve">OCPP in </w:t>
      </w:r>
      <w:r w:rsidRPr="2C6B85DE" w:rsidR="002D0298">
        <w:rPr>
          <w:rFonts w:eastAsia="Arial"/>
          <w:sz w:val="22"/>
          <w:szCs w:val="22"/>
        </w:rPr>
        <w:t>year three</w:t>
      </w:r>
      <w:r w:rsidRPr="2C6B85DE" w:rsidR="00465CD5">
        <w:rPr>
          <w:rFonts w:eastAsia="Arial"/>
          <w:sz w:val="22"/>
          <w:szCs w:val="22"/>
        </w:rPr>
        <w:t xml:space="preserve"> </w:t>
      </w:r>
      <w:r w:rsidRPr="2C6B85DE" w:rsidR="5E58AD04">
        <w:rPr>
          <w:rFonts w:eastAsia="Arial"/>
          <w:sz w:val="22"/>
          <w:szCs w:val="22"/>
        </w:rPr>
        <w:t xml:space="preserve">has itself been identified as a risk. </w:t>
      </w:r>
      <w:r w:rsidRPr="2C6B85DE" w:rsidR="06B017DC">
        <w:rPr>
          <w:rFonts w:eastAsia="Arial"/>
          <w:sz w:val="22"/>
          <w:szCs w:val="22"/>
        </w:rPr>
        <w:t xml:space="preserve">The lack of a regular </w:t>
      </w:r>
      <w:r w:rsidRPr="2C6B85DE" w:rsidR="00105B9B">
        <w:rPr>
          <w:rFonts w:eastAsia="Arial"/>
          <w:sz w:val="22"/>
          <w:szCs w:val="22"/>
        </w:rPr>
        <w:t xml:space="preserve">and explicit </w:t>
      </w:r>
      <w:r w:rsidRPr="2C6B85DE" w:rsidR="06B017DC">
        <w:rPr>
          <w:rFonts w:eastAsia="Arial"/>
          <w:sz w:val="22"/>
          <w:szCs w:val="22"/>
        </w:rPr>
        <w:t>forum</w:t>
      </w:r>
      <w:r w:rsidRPr="2C6B85DE" w:rsidR="00105B9B">
        <w:rPr>
          <w:rFonts w:eastAsia="Arial"/>
          <w:sz w:val="22"/>
          <w:szCs w:val="22"/>
        </w:rPr>
        <w:t>,</w:t>
      </w:r>
      <w:r w:rsidRPr="2C6B85DE" w:rsidR="00080E09">
        <w:rPr>
          <w:rFonts w:eastAsia="Arial"/>
          <w:sz w:val="22"/>
          <w:szCs w:val="22"/>
        </w:rPr>
        <w:t xml:space="preserve"> </w:t>
      </w:r>
      <w:r w:rsidRPr="2C6B85DE" w:rsidR="00E96EEA">
        <w:rPr>
          <w:rFonts w:eastAsia="Arial"/>
          <w:sz w:val="22"/>
          <w:szCs w:val="22"/>
        </w:rPr>
        <w:t>excluding</w:t>
      </w:r>
      <w:r w:rsidRPr="2C6B85DE" w:rsidR="00FA7FBA">
        <w:rPr>
          <w:rFonts w:eastAsia="Arial"/>
          <w:sz w:val="22"/>
          <w:szCs w:val="22"/>
        </w:rPr>
        <w:t xml:space="preserve"> the</w:t>
      </w:r>
      <w:r w:rsidRPr="2C6B85DE" w:rsidR="00822A46">
        <w:rPr>
          <w:rFonts w:eastAsia="Arial"/>
          <w:sz w:val="22"/>
          <w:szCs w:val="22"/>
        </w:rPr>
        <w:t xml:space="preserve"> quarterly </w:t>
      </w:r>
      <w:r w:rsidRPr="2C6B85DE" w:rsidR="00080E09">
        <w:rPr>
          <w:rFonts w:eastAsia="Arial"/>
          <w:sz w:val="22"/>
          <w:szCs w:val="22"/>
        </w:rPr>
        <w:t>P</w:t>
      </w:r>
      <w:r w:rsidRPr="2C6B85DE" w:rsidR="00822A46">
        <w:rPr>
          <w:rFonts w:eastAsia="Arial"/>
          <w:sz w:val="22"/>
          <w:szCs w:val="22"/>
        </w:rPr>
        <w:t xml:space="preserve">rogramme </w:t>
      </w:r>
      <w:r w:rsidRPr="2C6B85DE" w:rsidR="00080E09">
        <w:rPr>
          <w:rFonts w:eastAsia="Arial"/>
          <w:sz w:val="22"/>
          <w:szCs w:val="22"/>
        </w:rPr>
        <w:t>M</w:t>
      </w:r>
      <w:r w:rsidRPr="2C6B85DE" w:rsidR="00822A46">
        <w:rPr>
          <w:rFonts w:eastAsia="Arial"/>
          <w:sz w:val="22"/>
          <w:szCs w:val="22"/>
        </w:rPr>
        <w:t xml:space="preserve">anagement </w:t>
      </w:r>
      <w:r w:rsidRPr="2C6B85DE" w:rsidR="00080E09">
        <w:rPr>
          <w:rFonts w:eastAsia="Arial"/>
          <w:sz w:val="22"/>
          <w:szCs w:val="22"/>
        </w:rPr>
        <w:t>Bo</w:t>
      </w:r>
      <w:r w:rsidRPr="2C6B85DE" w:rsidR="00822A46">
        <w:rPr>
          <w:rFonts w:eastAsia="Arial"/>
          <w:sz w:val="22"/>
          <w:szCs w:val="22"/>
        </w:rPr>
        <w:t>ard</w:t>
      </w:r>
      <w:r w:rsidRPr="2C6B85DE" w:rsidR="007148C2">
        <w:rPr>
          <w:rFonts w:eastAsia="Arial"/>
          <w:sz w:val="22"/>
          <w:szCs w:val="22"/>
        </w:rPr>
        <w:t xml:space="preserve"> for ALBs</w:t>
      </w:r>
      <w:r w:rsidRPr="2C6B85DE" w:rsidR="005A5391">
        <w:rPr>
          <w:rFonts w:eastAsia="Arial"/>
          <w:sz w:val="22"/>
          <w:szCs w:val="22"/>
        </w:rPr>
        <w:t xml:space="preserve"> and progress updates from GOAP and FOA</w:t>
      </w:r>
      <w:r w:rsidRPr="2C6B85DE" w:rsidR="005F77C9">
        <w:rPr>
          <w:rFonts w:eastAsia="Arial"/>
          <w:sz w:val="22"/>
          <w:szCs w:val="22"/>
        </w:rPr>
        <w:t xml:space="preserve">, </w:t>
      </w:r>
      <w:r w:rsidRPr="2C6B85DE" w:rsidR="459874C0">
        <w:rPr>
          <w:rFonts w:eastAsia="Arial"/>
          <w:sz w:val="22"/>
          <w:szCs w:val="22"/>
        </w:rPr>
        <w:t xml:space="preserve">means </w:t>
      </w:r>
      <w:r w:rsidRPr="2C6B85DE" w:rsidR="005A5391">
        <w:rPr>
          <w:rFonts w:eastAsia="Arial"/>
          <w:sz w:val="22"/>
          <w:szCs w:val="22"/>
        </w:rPr>
        <w:t>delivery partners</w:t>
      </w:r>
      <w:r w:rsidRPr="2C6B85DE" w:rsidR="06B017DC">
        <w:rPr>
          <w:rFonts w:eastAsia="Arial"/>
          <w:sz w:val="22"/>
          <w:szCs w:val="22"/>
        </w:rPr>
        <w:t xml:space="preserve"> and Defra </w:t>
      </w:r>
      <w:r w:rsidRPr="2C6B85DE" w:rsidR="7F484635">
        <w:rPr>
          <w:rFonts w:eastAsia="Arial"/>
          <w:sz w:val="22"/>
          <w:szCs w:val="22"/>
        </w:rPr>
        <w:t>do not</w:t>
      </w:r>
      <w:r w:rsidRPr="2C6B85DE" w:rsidR="06B017DC">
        <w:rPr>
          <w:rFonts w:eastAsia="Arial"/>
          <w:sz w:val="22"/>
          <w:szCs w:val="22"/>
        </w:rPr>
        <w:t xml:space="preserve"> have a </w:t>
      </w:r>
      <w:r w:rsidRPr="2C6B85DE" w:rsidR="533F06D1">
        <w:rPr>
          <w:rFonts w:eastAsia="Arial"/>
          <w:sz w:val="22"/>
          <w:szCs w:val="22"/>
        </w:rPr>
        <w:t xml:space="preserve">dedicated </w:t>
      </w:r>
      <w:r w:rsidRPr="2C6B85DE" w:rsidR="00CD50C3">
        <w:rPr>
          <w:rFonts w:eastAsia="Arial"/>
          <w:sz w:val="22"/>
          <w:szCs w:val="22"/>
        </w:rPr>
        <w:t xml:space="preserve">regular </w:t>
      </w:r>
      <w:r w:rsidRPr="2C6B85DE" w:rsidR="06B017DC">
        <w:rPr>
          <w:rFonts w:eastAsia="Arial"/>
          <w:sz w:val="22"/>
          <w:szCs w:val="22"/>
        </w:rPr>
        <w:t xml:space="preserve">session </w:t>
      </w:r>
      <w:r w:rsidRPr="2C6B85DE" w:rsidR="45139752">
        <w:rPr>
          <w:rFonts w:eastAsia="Arial"/>
          <w:sz w:val="22"/>
          <w:szCs w:val="22"/>
        </w:rPr>
        <w:t>focussed on</w:t>
      </w:r>
      <w:r w:rsidRPr="2C6B85DE" w:rsidR="06B017DC">
        <w:rPr>
          <w:rFonts w:eastAsia="Arial"/>
          <w:sz w:val="22"/>
          <w:szCs w:val="22"/>
        </w:rPr>
        <w:t xml:space="preserve"> risk management</w:t>
      </w:r>
      <w:r w:rsidRPr="2C6B85DE" w:rsidR="4B430FAD">
        <w:rPr>
          <w:rFonts w:eastAsia="Arial"/>
          <w:sz w:val="22"/>
          <w:szCs w:val="22"/>
        </w:rPr>
        <w:t xml:space="preserve">, potentially missing the opportunity to raise </w:t>
      </w:r>
      <w:r w:rsidRPr="2C6B85DE" w:rsidR="1B089FFF">
        <w:rPr>
          <w:rFonts w:eastAsia="Arial"/>
          <w:sz w:val="22"/>
          <w:szCs w:val="22"/>
        </w:rPr>
        <w:t>and manage risks</w:t>
      </w:r>
      <w:r w:rsidRPr="2C6B85DE" w:rsidR="004F0668">
        <w:rPr>
          <w:rFonts w:eastAsia="Arial"/>
          <w:sz w:val="22"/>
          <w:szCs w:val="22"/>
        </w:rPr>
        <w:t>.</w:t>
      </w:r>
      <w:r w:rsidRPr="2C6B85DE" w:rsidR="00D63365">
        <w:rPr>
          <w:rFonts w:eastAsia="Arial"/>
          <w:sz w:val="22"/>
          <w:szCs w:val="22"/>
        </w:rPr>
        <w:t xml:space="preserve"> </w:t>
      </w:r>
      <w:r w:rsidRPr="2C6B85DE" w:rsidR="3D810C6E">
        <w:rPr>
          <w:rFonts w:eastAsia="Arial"/>
          <w:sz w:val="22"/>
          <w:szCs w:val="22"/>
        </w:rPr>
        <w:t>A renewal of a monthly RAID meeting</w:t>
      </w:r>
      <w:r w:rsidRPr="2C6B85DE" w:rsidR="005A5391">
        <w:rPr>
          <w:rFonts w:eastAsia="Arial"/>
          <w:sz w:val="22"/>
          <w:szCs w:val="22"/>
        </w:rPr>
        <w:t>s</w:t>
      </w:r>
      <w:r w:rsidRPr="2C6B85DE" w:rsidR="3D810C6E">
        <w:rPr>
          <w:rFonts w:eastAsia="Arial"/>
          <w:sz w:val="22"/>
          <w:szCs w:val="22"/>
        </w:rPr>
        <w:t xml:space="preserve"> between </w:t>
      </w:r>
      <w:r w:rsidRPr="2C6B85DE" w:rsidR="005A5391">
        <w:rPr>
          <w:rFonts w:eastAsia="Arial"/>
          <w:sz w:val="22"/>
          <w:szCs w:val="22"/>
        </w:rPr>
        <w:t>delivery partners</w:t>
      </w:r>
      <w:r w:rsidRPr="2C6B85DE" w:rsidR="4CB141CF">
        <w:rPr>
          <w:rFonts w:eastAsia="Arial"/>
          <w:sz w:val="22"/>
          <w:szCs w:val="22"/>
        </w:rPr>
        <w:t xml:space="preserve"> and Defra </w:t>
      </w:r>
      <w:r w:rsidRPr="2C6B85DE" w:rsidR="009500AD">
        <w:rPr>
          <w:rFonts w:eastAsia="Arial"/>
          <w:sz w:val="22"/>
          <w:szCs w:val="22"/>
        </w:rPr>
        <w:t xml:space="preserve">will be implemented </w:t>
      </w:r>
      <w:r w:rsidRPr="2C6B85DE" w:rsidR="00BE7E47">
        <w:rPr>
          <w:rFonts w:eastAsia="Arial"/>
          <w:sz w:val="22"/>
          <w:szCs w:val="22"/>
        </w:rPr>
        <w:t>immediately</w:t>
      </w:r>
      <w:r w:rsidRPr="2C6B85DE" w:rsidR="4CB141CF">
        <w:rPr>
          <w:rFonts w:eastAsia="Arial"/>
          <w:sz w:val="22"/>
          <w:szCs w:val="22"/>
        </w:rPr>
        <w:t>.</w:t>
      </w:r>
      <w:r w:rsidRPr="2C6B85DE" w:rsidR="00D63365">
        <w:rPr>
          <w:rFonts w:eastAsia="Arial"/>
          <w:sz w:val="22"/>
          <w:szCs w:val="22"/>
        </w:rPr>
        <w:t xml:space="preserve"> </w:t>
      </w:r>
      <w:r w:rsidRPr="2C6B85DE" w:rsidR="0C2551F2">
        <w:rPr>
          <w:rFonts w:eastAsia="Arial"/>
          <w:sz w:val="22"/>
          <w:szCs w:val="22"/>
        </w:rPr>
        <w:t>Despite improvement</w:t>
      </w:r>
      <w:r w:rsidRPr="2C6B85DE" w:rsidR="00536E22">
        <w:rPr>
          <w:rFonts w:eastAsia="Arial"/>
          <w:sz w:val="22"/>
          <w:szCs w:val="22"/>
        </w:rPr>
        <w:t>s</w:t>
      </w:r>
      <w:r w:rsidRPr="2C6B85DE" w:rsidR="0C2551F2">
        <w:rPr>
          <w:rFonts w:eastAsia="Arial"/>
          <w:sz w:val="22"/>
          <w:szCs w:val="22"/>
        </w:rPr>
        <w:t xml:space="preserve"> already taken, we are keen to find ways to further improve risk manag</w:t>
      </w:r>
      <w:r w:rsidRPr="2C6B85DE" w:rsidR="37C777D9">
        <w:rPr>
          <w:rFonts w:eastAsia="Arial"/>
          <w:sz w:val="22"/>
          <w:szCs w:val="22"/>
        </w:rPr>
        <w:t>ement.</w:t>
      </w:r>
    </w:p>
    <w:p w:rsidRPr="00003D77" w:rsidR="3B253BAB" w:rsidRDefault="3B253BAB" w14:paraId="3765B963" w14:textId="77777777">
      <w:pPr>
        <w:rPr>
          <w:rFonts w:eastAsia="Arial" w:cs="Arial"/>
          <w:color w:val="000000" w:themeColor="text1"/>
          <w:sz w:val="22"/>
          <w:szCs w:val="22"/>
        </w:rPr>
      </w:pPr>
    </w:p>
    <w:p w:rsidRPr="00AD7D21" w:rsidR="4CA4170F" w:rsidP="2D72F0A5" w:rsidRDefault="4CA4170F" w14:paraId="58082229" w14:textId="4866AB3F">
      <w:pPr>
        <w:spacing w:after="160" w:line="276" w:lineRule="auto"/>
        <w:rPr>
          <w:rFonts w:cs="Arial"/>
          <w:sz w:val="22"/>
          <w:szCs w:val="22"/>
        </w:rPr>
      </w:pPr>
      <w:r w:rsidRPr="1FB22237">
        <w:rPr>
          <w:rFonts w:eastAsia="Aptos" w:cs="Arial"/>
          <w:sz w:val="22"/>
          <w:szCs w:val="22"/>
        </w:rPr>
        <w:t xml:space="preserve">Risks are also recorded for </w:t>
      </w:r>
      <w:r w:rsidRPr="1FB22237" w:rsidR="006400C6">
        <w:rPr>
          <w:rFonts w:eastAsia="Aptos" w:cs="Arial"/>
          <w:sz w:val="22"/>
          <w:szCs w:val="22"/>
        </w:rPr>
        <w:t>the</w:t>
      </w:r>
      <w:r w:rsidRPr="1FB22237">
        <w:rPr>
          <w:rFonts w:eastAsia="Aptos" w:cs="Arial"/>
          <w:sz w:val="22"/>
          <w:szCs w:val="22"/>
        </w:rPr>
        <w:t xml:space="preserve"> OCPP’s strategic partners, GOAP and FOA. Defra have requested that both organisations raise risks and issues in quarterly formal check-ins. FOA and GOAP have also previously raised risks and issues on an ad hoc basis. These are recorded on respective RAID logs for both projects. </w:t>
      </w:r>
    </w:p>
    <w:p w:rsidRPr="00AD7D21" w:rsidR="4CA4170F" w:rsidP="2D72F0A5" w:rsidRDefault="4CA4170F" w14:paraId="17C8F418" w14:textId="3367969A">
      <w:pPr>
        <w:spacing w:after="160" w:line="276" w:lineRule="auto"/>
        <w:rPr>
          <w:rFonts w:cs="Arial"/>
          <w:sz w:val="22"/>
          <w:szCs w:val="22"/>
        </w:rPr>
      </w:pPr>
      <w:r w:rsidRPr="0311883B">
        <w:rPr>
          <w:rFonts w:eastAsia="Aptos" w:cs="Arial"/>
          <w:sz w:val="22"/>
          <w:szCs w:val="22"/>
        </w:rPr>
        <w:t>The process for</w:t>
      </w:r>
      <w:r w:rsidRPr="0311883B" w:rsidR="75F8372E">
        <w:rPr>
          <w:rFonts w:eastAsia="Aptos" w:cs="Arial"/>
          <w:sz w:val="22"/>
          <w:szCs w:val="22"/>
        </w:rPr>
        <w:t xml:space="preserve"> GOAP and FOA</w:t>
      </w:r>
      <w:r w:rsidRPr="0311883B">
        <w:rPr>
          <w:rFonts w:eastAsia="Aptos" w:cs="Arial"/>
          <w:sz w:val="22"/>
          <w:szCs w:val="22"/>
        </w:rPr>
        <w:t xml:space="preserve"> raising risks and issues remains relatively informal; this could lead to inadequate risk management. As such, both organisations </w:t>
      </w:r>
      <w:r w:rsidR="0008774C">
        <w:rPr>
          <w:rFonts w:eastAsia="Aptos" w:cs="Arial"/>
          <w:sz w:val="22"/>
          <w:szCs w:val="22"/>
        </w:rPr>
        <w:t>are being</w:t>
      </w:r>
      <w:r w:rsidRPr="0311883B">
        <w:rPr>
          <w:rFonts w:eastAsia="Aptos" w:cs="Arial"/>
          <w:sz w:val="22"/>
          <w:szCs w:val="22"/>
        </w:rPr>
        <w:t xml:space="preserve"> consulted on the formalising of the reporting process for </w:t>
      </w:r>
      <w:r w:rsidR="002D0298">
        <w:rPr>
          <w:rFonts w:eastAsia="Aptos" w:cs="Arial"/>
          <w:sz w:val="22"/>
          <w:szCs w:val="22"/>
        </w:rPr>
        <w:t>y</w:t>
      </w:r>
      <w:r w:rsidRPr="0311883B">
        <w:rPr>
          <w:rFonts w:eastAsia="Aptos" w:cs="Arial"/>
          <w:sz w:val="22"/>
          <w:szCs w:val="22"/>
        </w:rPr>
        <w:t xml:space="preserve">ear </w:t>
      </w:r>
      <w:r w:rsidR="002D0298">
        <w:rPr>
          <w:rFonts w:eastAsia="Aptos" w:cs="Arial"/>
          <w:sz w:val="22"/>
          <w:szCs w:val="22"/>
        </w:rPr>
        <w:t>four</w:t>
      </w:r>
      <w:r w:rsidRPr="0311883B">
        <w:rPr>
          <w:rFonts w:eastAsia="Aptos" w:cs="Arial"/>
          <w:sz w:val="22"/>
          <w:szCs w:val="22"/>
        </w:rPr>
        <w:t xml:space="preserve"> and onwards. </w:t>
      </w:r>
      <w:r w:rsidR="006B4200">
        <w:rPr>
          <w:rFonts w:eastAsia="Aptos" w:cs="Arial"/>
          <w:sz w:val="22"/>
          <w:szCs w:val="22"/>
        </w:rPr>
        <w:t>The p</w:t>
      </w:r>
      <w:r w:rsidRPr="0311883B">
        <w:rPr>
          <w:rFonts w:eastAsia="Aptos" w:cs="Arial"/>
          <w:sz w:val="22"/>
          <w:szCs w:val="22"/>
        </w:rPr>
        <w:t xml:space="preserve">roposed reporting configuration </w:t>
      </w:r>
      <w:r w:rsidR="006B4200">
        <w:rPr>
          <w:rFonts w:eastAsia="Aptos" w:cs="Arial"/>
          <w:sz w:val="22"/>
          <w:szCs w:val="22"/>
        </w:rPr>
        <w:t>is</w:t>
      </w:r>
      <w:r w:rsidRPr="0311883B">
        <w:rPr>
          <w:rFonts w:eastAsia="Aptos" w:cs="Arial"/>
          <w:sz w:val="22"/>
          <w:szCs w:val="22"/>
        </w:rPr>
        <w:t>:</w:t>
      </w:r>
    </w:p>
    <w:p w:rsidRPr="00AD7D21" w:rsidR="4CA4170F" w:rsidP="00A554C7" w:rsidRDefault="4CA4170F" w14:paraId="73700FA2" w14:textId="4B390E78">
      <w:pPr>
        <w:pStyle w:val="ListParagraph"/>
        <w:numPr>
          <w:ilvl w:val="0"/>
          <w:numId w:val="1"/>
        </w:numPr>
        <w:spacing w:after="0" w:line="276" w:lineRule="auto"/>
        <w:ind w:left="1080"/>
        <w:rPr>
          <w:rFonts w:eastAsia="Aptos" w:cs="Arial"/>
          <w:sz w:val="22"/>
          <w:szCs w:val="22"/>
        </w:rPr>
      </w:pPr>
      <w:r w:rsidRPr="12A97B3E">
        <w:rPr>
          <w:rFonts w:eastAsia="Aptos" w:cs="Arial"/>
          <w:sz w:val="22"/>
          <w:szCs w:val="22"/>
        </w:rPr>
        <w:t xml:space="preserve">Request a </w:t>
      </w:r>
      <w:r w:rsidRPr="12A97B3E" w:rsidR="2129237A">
        <w:rPr>
          <w:rFonts w:eastAsia="Aptos" w:cs="Arial"/>
          <w:sz w:val="22"/>
          <w:szCs w:val="22"/>
        </w:rPr>
        <w:t xml:space="preserve">monthly </w:t>
      </w:r>
      <w:r w:rsidRPr="12A97B3E">
        <w:rPr>
          <w:rFonts w:eastAsia="Aptos" w:cs="Arial"/>
          <w:sz w:val="22"/>
          <w:szCs w:val="22"/>
        </w:rPr>
        <w:t>RAID refresh from both organisations via email</w:t>
      </w:r>
      <w:r w:rsidRPr="12A97B3E" w:rsidR="00673671">
        <w:rPr>
          <w:rFonts w:eastAsia="Aptos" w:cs="Arial"/>
          <w:sz w:val="22"/>
          <w:szCs w:val="22"/>
        </w:rPr>
        <w:t>.</w:t>
      </w:r>
    </w:p>
    <w:p w:rsidRPr="00AD7D21" w:rsidR="4CA4170F" w:rsidP="00A554C7" w:rsidRDefault="4CA4170F" w14:paraId="57FA28D0" w14:textId="3ADD0319">
      <w:pPr>
        <w:pStyle w:val="ListParagraph"/>
        <w:numPr>
          <w:ilvl w:val="0"/>
          <w:numId w:val="1"/>
        </w:numPr>
        <w:spacing w:after="0" w:line="276" w:lineRule="auto"/>
        <w:ind w:left="1080"/>
        <w:rPr>
          <w:rFonts w:eastAsia="Aptos" w:cs="Arial"/>
          <w:sz w:val="22"/>
          <w:szCs w:val="22"/>
        </w:rPr>
      </w:pPr>
      <w:r w:rsidRPr="00AD7D21">
        <w:rPr>
          <w:rFonts w:eastAsia="Aptos" w:cs="Arial"/>
          <w:sz w:val="22"/>
          <w:szCs w:val="22"/>
        </w:rPr>
        <w:t>Formally implement RAID log reviews as an agenda item within quarterly formal check-ins currently held with both organisations.</w:t>
      </w:r>
    </w:p>
    <w:p w:rsidR="00776C8B" w:rsidP="00A554C7" w:rsidRDefault="34294A1F" w14:paraId="45A913B6" w14:textId="6EFDC04D">
      <w:pPr>
        <w:pStyle w:val="ListParagraph"/>
        <w:numPr>
          <w:ilvl w:val="0"/>
          <w:numId w:val="1"/>
        </w:numPr>
        <w:spacing w:after="0" w:line="276" w:lineRule="auto"/>
        <w:ind w:left="1080"/>
        <w:rPr>
          <w:rFonts w:eastAsia="Aptos" w:cs="Arial"/>
          <w:sz w:val="22"/>
          <w:szCs w:val="22"/>
        </w:rPr>
      </w:pPr>
      <w:r w:rsidRPr="150DE688">
        <w:rPr>
          <w:rFonts w:eastAsia="Aptos" w:cs="Arial"/>
          <w:sz w:val="22"/>
          <w:szCs w:val="22"/>
        </w:rPr>
        <w:t xml:space="preserve">(if option b proves to be insufficient or impractical) </w:t>
      </w:r>
      <w:r w:rsidRPr="150DE688" w:rsidR="2129237A">
        <w:rPr>
          <w:rFonts w:eastAsia="Aptos" w:cs="Arial"/>
          <w:sz w:val="22"/>
          <w:szCs w:val="22"/>
        </w:rPr>
        <w:t xml:space="preserve">Host monthly/quarterly risk and issue reviews to update </w:t>
      </w:r>
      <w:r w:rsidRPr="150DE688" w:rsidR="00F24053">
        <w:rPr>
          <w:rFonts w:eastAsia="Aptos" w:cs="Arial"/>
          <w:sz w:val="22"/>
          <w:szCs w:val="22"/>
        </w:rPr>
        <w:t>existing and</w:t>
      </w:r>
      <w:r w:rsidRPr="150DE688" w:rsidR="2129237A">
        <w:rPr>
          <w:rFonts w:eastAsia="Aptos" w:cs="Arial"/>
          <w:sz w:val="22"/>
          <w:szCs w:val="22"/>
        </w:rPr>
        <w:t xml:space="preserve"> raise new risks and issues.</w:t>
      </w:r>
    </w:p>
    <w:p w:rsidRPr="00776C8B" w:rsidR="00776C8B" w:rsidP="0198092E" w:rsidRDefault="00776C8B" w14:paraId="56A6C855" w14:textId="77777777">
      <w:pPr>
        <w:spacing w:line="276" w:lineRule="auto"/>
        <w:rPr>
          <w:rFonts w:eastAsia="Aptos" w:cs="Arial"/>
          <w:sz w:val="22"/>
          <w:szCs w:val="22"/>
        </w:rPr>
      </w:pPr>
    </w:p>
    <w:p w:rsidRPr="00AD7D21" w:rsidR="4CA4170F" w:rsidP="2D72F0A5" w:rsidRDefault="4CA4170F" w14:paraId="753CEEC8" w14:textId="31F2154A">
      <w:pPr>
        <w:spacing w:after="160" w:line="276" w:lineRule="auto"/>
        <w:rPr>
          <w:rFonts w:eastAsia="Aptos" w:cs="Arial"/>
          <w:sz w:val="22"/>
          <w:szCs w:val="22"/>
        </w:rPr>
      </w:pPr>
      <w:r w:rsidRPr="1FB22237">
        <w:rPr>
          <w:rFonts w:eastAsia="Aptos" w:cs="Arial"/>
          <w:sz w:val="22"/>
          <w:szCs w:val="22"/>
        </w:rPr>
        <w:t xml:space="preserve">The programme </w:t>
      </w:r>
      <w:r w:rsidRPr="1FB22237" w:rsidR="001C6CE3">
        <w:rPr>
          <w:rFonts w:eastAsia="Aptos" w:cs="Arial"/>
          <w:sz w:val="22"/>
          <w:szCs w:val="22"/>
        </w:rPr>
        <w:t>would</w:t>
      </w:r>
      <w:r w:rsidRPr="1FB22237">
        <w:rPr>
          <w:rFonts w:eastAsia="Aptos" w:cs="Arial"/>
          <w:sz w:val="22"/>
          <w:szCs w:val="22"/>
        </w:rPr>
        <w:t xml:space="preserve"> benefit from the mapping of assumptions and dependencies</w:t>
      </w:r>
      <w:r w:rsidRPr="1FB22237" w:rsidR="00BD0FDB">
        <w:rPr>
          <w:rFonts w:eastAsia="Aptos" w:cs="Arial"/>
          <w:sz w:val="22"/>
          <w:szCs w:val="22"/>
        </w:rPr>
        <w:t xml:space="preserve"> as this is currently no</w:t>
      </w:r>
      <w:r w:rsidRPr="1FB22237" w:rsidR="0053414D">
        <w:rPr>
          <w:rFonts w:eastAsia="Aptos" w:cs="Arial"/>
          <w:sz w:val="22"/>
          <w:szCs w:val="22"/>
        </w:rPr>
        <w:t>t</w:t>
      </w:r>
      <w:r w:rsidRPr="1FB22237" w:rsidR="00BD0FDB">
        <w:rPr>
          <w:rFonts w:eastAsia="Aptos" w:cs="Arial"/>
          <w:sz w:val="22"/>
          <w:szCs w:val="22"/>
        </w:rPr>
        <w:t xml:space="preserve"> recorded formall</w:t>
      </w:r>
      <w:r w:rsidRPr="1FB22237" w:rsidR="000634AE">
        <w:rPr>
          <w:rFonts w:eastAsia="Aptos" w:cs="Arial"/>
          <w:sz w:val="22"/>
          <w:szCs w:val="22"/>
        </w:rPr>
        <w:t>y</w:t>
      </w:r>
      <w:r w:rsidRPr="1FB22237" w:rsidR="008E3B2F">
        <w:rPr>
          <w:rFonts w:eastAsia="Aptos" w:cs="Arial"/>
          <w:sz w:val="22"/>
          <w:szCs w:val="22"/>
        </w:rPr>
        <w:t>, this</w:t>
      </w:r>
      <w:r w:rsidRPr="1FB22237" w:rsidR="0054096B">
        <w:rPr>
          <w:rFonts w:eastAsia="Aptos" w:cs="Arial"/>
          <w:sz w:val="22"/>
          <w:szCs w:val="22"/>
        </w:rPr>
        <w:t xml:space="preserve"> will be implemented durin</w:t>
      </w:r>
      <w:r w:rsidRPr="1FB22237" w:rsidR="008D3BAC">
        <w:rPr>
          <w:rFonts w:eastAsia="Aptos" w:cs="Arial"/>
          <w:sz w:val="22"/>
          <w:szCs w:val="22"/>
        </w:rPr>
        <w:t xml:space="preserve">g the </w:t>
      </w:r>
      <w:r w:rsidRPr="1FB22237" w:rsidR="40D33B4C">
        <w:rPr>
          <w:rFonts w:eastAsia="Aptos" w:cs="Arial"/>
          <w:sz w:val="22"/>
          <w:szCs w:val="22"/>
        </w:rPr>
        <w:t xml:space="preserve">ongoing </w:t>
      </w:r>
      <w:r w:rsidRPr="1FB22237" w:rsidR="000634AE">
        <w:rPr>
          <w:rFonts w:eastAsia="Aptos" w:cs="Arial"/>
          <w:sz w:val="22"/>
          <w:szCs w:val="22"/>
        </w:rPr>
        <w:t>review of risk management processes for the programme</w:t>
      </w:r>
      <w:r w:rsidRPr="1FB22237" w:rsidR="598D3093">
        <w:rPr>
          <w:rFonts w:eastAsia="Aptos" w:cs="Arial"/>
          <w:sz w:val="22"/>
          <w:szCs w:val="22"/>
        </w:rPr>
        <w:t>.</w:t>
      </w:r>
    </w:p>
    <w:p w:rsidRPr="00AD7D21" w:rsidR="4CA4170F" w:rsidP="2D72F0A5" w:rsidRDefault="4CA4170F" w14:paraId="5AB7E54B" w14:textId="1F8242A8">
      <w:pPr>
        <w:spacing w:after="160" w:line="276" w:lineRule="auto"/>
        <w:rPr>
          <w:rFonts w:eastAsia="Aptos" w:cs="Arial"/>
          <w:sz w:val="22"/>
          <w:szCs w:val="22"/>
        </w:rPr>
      </w:pPr>
      <w:r w:rsidRPr="00AD7D21">
        <w:rPr>
          <w:rFonts w:eastAsia="Aptos" w:cs="Arial"/>
          <w:sz w:val="22"/>
          <w:szCs w:val="22"/>
        </w:rPr>
        <w:t xml:space="preserve">Considering key risk areas, concerns have been raised regarding </w:t>
      </w:r>
      <w:r w:rsidR="006400C6">
        <w:rPr>
          <w:rFonts w:eastAsia="Aptos" w:cs="Arial"/>
          <w:sz w:val="22"/>
          <w:szCs w:val="22"/>
        </w:rPr>
        <w:t xml:space="preserve">the </w:t>
      </w:r>
      <w:r w:rsidRPr="00AD7D21">
        <w:rPr>
          <w:rFonts w:eastAsia="Aptos" w:cs="Arial"/>
          <w:sz w:val="22"/>
          <w:szCs w:val="22"/>
        </w:rPr>
        <w:t xml:space="preserve">OCPP’s capacity to </w:t>
      </w:r>
      <w:r w:rsidR="002B5A2E">
        <w:rPr>
          <w:rFonts w:eastAsia="Aptos" w:cs="Arial"/>
          <w:sz w:val="22"/>
          <w:szCs w:val="22"/>
        </w:rPr>
        <w:t xml:space="preserve">demonstrate a coherent </w:t>
      </w:r>
      <w:r w:rsidR="00E95A07">
        <w:rPr>
          <w:rFonts w:eastAsia="Aptos" w:cs="Arial"/>
          <w:sz w:val="22"/>
          <w:szCs w:val="22"/>
        </w:rPr>
        <w:t xml:space="preserve">narrative </w:t>
      </w:r>
      <w:r w:rsidR="00D96694">
        <w:rPr>
          <w:rFonts w:eastAsia="Aptos" w:cs="Arial"/>
          <w:sz w:val="22"/>
          <w:szCs w:val="22"/>
        </w:rPr>
        <w:t>of</w:t>
      </w:r>
      <w:r w:rsidR="00E95A07">
        <w:rPr>
          <w:rFonts w:eastAsia="Aptos" w:cs="Arial"/>
          <w:sz w:val="22"/>
          <w:szCs w:val="22"/>
        </w:rPr>
        <w:t xml:space="preserve"> the link between programme activities and</w:t>
      </w:r>
      <w:r w:rsidRPr="00AD7D21" w:rsidR="002B5A2E">
        <w:rPr>
          <w:rFonts w:eastAsia="Aptos" w:cs="Arial"/>
          <w:sz w:val="22"/>
          <w:szCs w:val="22"/>
        </w:rPr>
        <w:t xml:space="preserve"> </w:t>
      </w:r>
      <w:r w:rsidRPr="00AD7D21">
        <w:rPr>
          <w:rFonts w:eastAsia="Aptos" w:cs="Arial"/>
          <w:sz w:val="22"/>
          <w:szCs w:val="22"/>
        </w:rPr>
        <w:t>poverty alleviation</w:t>
      </w:r>
      <w:r w:rsidR="00E95A07">
        <w:rPr>
          <w:rFonts w:eastAsia="Aptos" w:cs="Arial"/>
          <w:sz w:val="22"/>
          <w:szCs w:val="22"/>
        </w:rPr>
        <w:t>.</w:t>
      </w:r>
      <w:r w:rsidR="00025A35">
        <w:rPr>
          <w:rFonts w:eastAsia="Aptos" w:cs="Arial"/>
          <w:sz w:val="22"/>
          <w:szCs w:val="22"/>
        </w:rPr>
        <w:t xml:space="preserve"> </w:t>
      </w:r>
      <w:r w:rsidRPr="00AD7D21">
        <w:rPr>
          <w:rFonts w:eastAsia="Aptos" w:cs="Arial"/>
          <w:sz w:val="22"/>
          <w:szCs w:val="22"/>
        </w:rPr>
        <w:t>In response, reviews of the ToC and Logframe have been undertaken, to ensure a renewed focus and alignment to poverty alleviation through livelihoods</w:t>
      </w:r>
      <w:r w:rsidR="00994254">
        <w:rPr>
          <w:rFonts w:eastAsia="Aptos" w:cs="Arial"/>
          <w:sz w:val="22"/>
          <w:szCs w:val="22"/>
        </w:rPr>
        <w:t xml:space="preserve"> and will be </w:t>
      </w:r>
      <w:r w:rsidR="00840FD9">
        <w:rPr>
          <w:rFonts w:eastAsia="Aptos" w:cs="Arial"/>
          <w:sz w:val="22"/>
          <w:szCs w:val="22"/>
        </w:rPr>
        <w:t>reviewed again to further improve alignment</w:t>
      </w:r>
      <w:r w:rsidRPr="00AD7D21">
        <w:rPr>
          <w:rFonts w:eastAsia="Aptos" w:cs="Arial"/>
          <w:sz w:val="22"/>
          <w:szCs w:val="22"/>
        </w:rPr>
        <w:t>.</w:t>
      </w:r>
      <w:r w:rsidR="008D7F51">
        <w:rPr>
          <w:rFonts w:eastAsia="Aptos" w:cs="Arial"/>
          <w:sz w:val="22"/>
          <w:szCs w:val="22"/>
        </w:rPr>
        <w:t xml:space="preserve"> </w:t>
      </w:r>
      <w:r w:rsidRPr="00AD7D21">
        <w:rPr>
          <w:rFonts w:eastAsia="Aptos" w:cs="Arial"/>
          <w:sz w:val="22"/>
          <w:szCs w:val="22"/>
        </w:rPr>
        <w:t>NIRAS’ mid-term evaluation has provided lessons learnt</w:t>
      </w:r>
      <w:r w:rsidR="00550480">
        <w:rPr>
          <w:rFonts w:eastAsia="Aptos" w:cs="Arial"/>
          <w:sz w:val="22"/>
          <w:szCs w:val="22"/>
        </w:rPr>
        <w:t xml:space="preserve"> and recommendations</w:t>
      </w:r>
      <w:r w:rsidRPr="00AD7D21">
        <w:rPr>
          <w:rFonts w:eastAsia="Aptos" w:cs="Arial"/>
          <w:sz w:val="22"/>
          <w:szCs w:val="22"/>
        </w:rPr>
        <w:t xml:space="preserve"> to ensure poverty alleviation is more appropriately considered</w:t>
      </w:r>
      <w:r w:rsidR="00840FD9">
        <w:rPr>
          <w:rFonts w:eastAsia="Aptos" w:cs="Arial"/>
          <w:sz w:val="22"/>
          <w:szCs w:val="22"/>
        </w:rPr>
        <w:t xml:space="preserve">, </w:t>
      </w:r>
      <w:r w:rsidR="004D4BC8">
        <w:rPr>
          <w:rFonts w:eastAsia="Aptos" w:cs="Arial"/>
          <w:sz w:val="22"/>
          <w:szCs w:val="22"/>
        </w:rPr>
        <w:t>these</w:t>
      </w:r>
      <w:r w:rsidR="00840FD9">
        <w:rPr>
          <w:rFonts w:eastAsia="Aptos" w:cs="Arial"/>
          <w:sz w:val="22"/>
          <w:szCs w:val="22"/>
        </w:rPr>
        <w:t xml:space="preserve"> </w:t>
      </w:r>
      <w:r w:rsidRPr="3300D4F0" w:rsidR="00916834">
        <w:rPr>
          <w:rFonts w:eastAsia="Aptos" w:cs="Arial"/>
          <w:sz w:val="22"/>
          <w:szCs w:val="22"/>
        </w:rPr>
        <w:t>are</w:t>
      </w:r>
      <w:r w:rsidR="00840FD9">
        <w:rPr>
          <w:rFonts w:eastAsia="Aptos" w:cs="Arial"/>
          <w:sz w:val="22"/>
          <w:szCs w:val="22"/>
        </w:rPr>
        <w:t xml:space="preserve"> fully </w:t>
      </w:r>
      <w:r w:rsidR="00B32455">
        <w:rPr>
          <w:rFonts w:eastAsia="Aptos" w:cs="Arial"/>
          <w:sz w:val="22"/>
          <w:szCs w:val="22"/>
        </w:rPr>
        <w:t xml:space="preserve">considered </w:t>
      </w:r>
      <w:r w:rsidR="004D4BC8">
        <w:rPr>
          <w:rFonts w:eastAsia="Aptos" w:cs="Arial"/>
          <w:sz w:val="22"/>
          <w:szCs w:val="22"/>
        </w:rPr>
        <w:t>within this review</w:t>
      </w:r>
      <w:r w:rsidRPr="00AD7D21">
        <w:rPr>
          <w:rFonts w:eastAsia="Aptos" w:cs="Arial"/>
          <w:sz w:val="22"/>
          <w:szCs w:val="22"/>
        </w:rPr>
        <w:t xml:space="preserve">. </w:t>
      </w:r>
    </w:p>
    <w:p w:rsidRPr="00AD7D21" w:rsidR="4CA4170F" w:rsidP="2D72F0A5" w:rsidRDefault="00B353D7" w14:paraId="3A442851" w14:textId="565919C2">
      <w:pPr>
        <w:spacing w:after="160" w:line="276" w:lineRule="auto"/>
        <w:rPr>
          <w:rFonts w:eastAsia="Aptos" w:cs="Arial"/>
          <w:sz w:val="22"/>
          <w:szCs w:val="22"/>
        </w:rPr>
      </w:pPr>
      <w:r>
        <w:rPr>
          <w:rFonts w:eastAsia="Aptos" w:cs="Arial"/>
          <w:sz w:val="22"/>
          <w:szCs w:val="22"/>
        </w:rPr>
        <w:t xml:space="preserve">The OCPP team have identified </w:t>
      </w:r>
      <w:r w:rsidR="007A394F">
        <w:rPr>
          <w:rFonts w:eastAsia="Aptos" w:cs="Arial"/>
          <w:sz w:val="22"/>
          <w:szCs w:val="22"/>
        </w:rPr>
        <w:t xml:space="preserve">a risk </w:t>
      </w:r>
      <w:r w:rsidRPr="00AD7D21" w:rsidR="4CA4170F">
        <w:rPr>
          <w:rFonts w:eastAsia="Aptos" w:cs="Arial"/>
          <w:sz w:val="22"/>
          <w:szCs w:val="22"/>
        </w:rPr>
        <w:t xml:space="preserve">which </w:t>
      </w:r>
      <w:r w:rsidRPr="20AE175B" w:rsidR="4CA4170F">
        <w:rPr>
          <w:rFonts w:eastAsia="Aptos" w:cs="Arial"/>
          <w:sz w:val="22"/>
          <w:szCs w:val="22"/>
        </w:rPr>
        <w:t>relate</w:t>
      </w:r>
      <w:r w:rsidRPr="20AE175B" w:rsidR="00604BFF">
        <w:rPr>
          <w:rFonts w:eastAsia="Aptos" w:cs="Arial"/>
          <w:sz w:val="22"/>
          <w:szCs w:val="22"/>
        </w:rPr>
        <w:t>s</w:t>
      </w:r>
      <w:r w:rsidRPr="00AD7D21" w:rsidR="4CA4170F">
        <w:rPr>
          <w:rFonts w:eastAsia="Aptos" w:cs="Arial"/>
          <w:sz w:val="22"/>
          <w:szCs w:val="22"/>
        </w:rPr>
        <w:t xml:space="preserve"> to safeguarding complaints not being handled appropriately </w:t>
      </w:r>
      <w:r w:rsidR="00F856D4">
        <w:rPr>
          <w:rFonts w:eastAsia="Aptos" w:cs="Arial"/>
          <w:sz w:val="22"/>
          <w:szCs w:val="22"/>
        </w:rPr>
        <w:t xml:space="preserve">for the ALB component of the programme </w:t>
      </w:r>
      <w:r w:rsidRPr="00AD7D21" w:rsidR="4CA4170F">
        <w:rPr>
          <w:rFonts w:eastAsia="Aptos" w:cs="Arial"/>
          <w:sz w:val="22"/>
          <w:szCs w:val="22"/>
        </w:rPr>
        <w:t xml:space="preserve">due to </w:t>
      </w:r>
      <w:r w:rsidR="006400C6">
        <w:rPr>
          <w:rFonts w:eastAsia="Aptos" w:cs="Arial"/>
          <w:sz w:val="22"/>
          <w:szCs w:val="22"/>
        </w:rPr>
        <w:t xml:space="preserve">the </w:t>
      </w:r>
      <w:r w:rsidRPr="00AD7D21" w:rsidR="4CA4170F">
        <w:rPr>
          <w:rFonts w:eastAsia="Aptos" w:cs="Arial"/>
          <w:sz w:val="22"/>
          <w:szCs w:val="22"/>
        </w:rPr>
        <w:t xml:space="preserve">OCPP Tier 1 delivery partner Cefas lacking an explicit policy </w:t>
      </w:r>
      <w:r w:rsidR="007A394F">
        <w:rPr>
          <w:rFonts w:eastAsia="Aptos" w:cs="Arial"/>
          <w:sz w:val="22"/>
          <w:szCs w:val="22"/>
        </w:rPr>
        <w:t xml:space="preserve">for </w:t>
      </w:r>
      <w:r w:rsidRPr="00AD7D21" w:rsidR="4CA4170F">
        <w:rPr>
          <w:rFonts w:eastAsia="Aptos" w:cs="Arial"/>
          <w:sz w:val="22"/>
          <w:szCs w:val="22"/>
        </w:rPr>
        <w:t>safeguarding complaints. In response to this Cefas have been commissioned to implement new processes and training to address this gap</w:t>
      </w:r>
      <w:r w:rsidR="00420DEF">
        <w:rPr>
          <w:rFonts w:eastAsia="Aptos" w:cs="Arial"/>
          <w:sz w:val="22"/>
          <w:szCs w:val="22"/>
        </w:rPr>
        <w:t xml:space="preserve"> and </w:t>
      </w:r>
      <w:r w:rsidR="00874CA2">
        <w:rPr>
          <w:rFonts w:eastAsia="Aptos" w:cs="Arial"/>
          <w:sz w:val="22"/>
          <w:szCs w:val="22"/>
        </w:rPr>
        <w:t>appointed a safeguarding lead</w:t>
      </w:r>
      <w:r w:rsidRPr="00AD7D21" w:rsidR="4CA4170F">
        <w:rPr>
          <w:rFonts w:eastAsia="Aptos" w:cs="Arial"/>
          <w:sz w:val="22"/>
          <w:szCs w:val="22"/>
        </w:rPr>
        <w:t xml:space="preserve">. </w:t>
      </w:r>
      <w:r w:rsidR="00B53A40">
        <w:rPr>
          <w:rFonts w:eastAsia="Aptos" w:cs="Arial"/>
          <w:sz w:val="22"/>
          <w:szCs w:val="22"/>
        </w:rPr>
        <w:t xml:space="preserve">The </w:t>
      </w:r>
      <w:r w:rsidRPr="00AD7D21" w:rsidR="4CA4170F">
        <w:rPr>
          <w:rFonts w:eastAsia="Aptos" w:cs="Arial"/>
          <w:sz w:val="22"/>
          <w:szCs w:val="22"/>
        </w:rPr>
        <w:t>OCPP</w:t>
      </w:r>
      <w:r w:rsidR="00B53A40">
        <w:rPr>
          <w:rFonts w:eastAsia="Aptos" w:cs="Arial"/>
          <w:sz w:val="22"/>
          <w:szCs w:val="22"/>
        </w:rPr>
        <w:t xml:space="preserve"> programme team </w:t>
      </w:r>
      <w:r w:rsidDel="00FC2E0A" w:rsidR="00B53A40">
        <w:rPr>
          <w:rFonts w:eastAsia="Aptos" w:cs="Arial"/>
          <w:sz w:val="22"/>
          <w:szCs w:val="22"/>
        </w:rPr>
        <w:t>have</w:t>
      </w:r>
      <w:r w:rsidR="00FC2E0A">
        <w:rPr>
          <w:rFonts w:eastAsia="Aptos" w:cs="Arial"/>
          <w:sz w:val="22"/>
          <w:szCs w:val="22"/>
        </w:rPr>
        <w:t xml:space="preserve"> </w:t>
      </w:r>
      <w:r w:rsidRPr="00AD7D21" w:rsidR="00FC2E0A">
        <w:rPr>
          <w:rFonts w:eastAsia="Aptos" w:cs="Arial"/>
          <w:sz w:val="22"/>
          <w:szCs w:val="22"/>
        </w:rPr>
        <w:t>undertaken</w:t>
      </w:r>
      <w:r w:rsidR="00874CA2">
        <w:rPr>
          <w:rFonts w:eastAsia="Aptos" w:cs="Arial"/>
          <w:sz w:val="22"/>
          <w:szCs w:val="22"/>
        </w:rPr>
        <w:t xml:space="preserve"> a </w:t>
      </w:r>
      <w:r w:rsidRPr="00AD7D21" w:rsidR="4CA4170F">
        <w:rPr>
          <w:rFonts w:eastAsia="Aptos" w:cs="Arial"/>
          <w:sz w:val="22"/>
          <w:szCs w:val="22"/>
        </w:rPr>
        <w:t xml:space="preserve">review of </w:t>
      </w:r>
      <w:r w:rsidR="00874CA2">
        <w:rPr>
          <w:rFonts w:eastAsia="Aptos" w:cs="Arial"/>
          <w:sz w:val="22"/>
          <w:szCs w:val="22"/>
        </w:rPr>
        <w:t xml:space="preserve">SEAH </w:t>
      </w:r>
      <w:r w:rsidRPr="0CC97ABA" w:rsidR="00874CA2">
        <w:rPr>
          <w:rFonts w:eastAsia="Aptos" w:cs="Arial"/>
          <w:sz w:val="22"/>
          <w:szCs w:val="22"/>
        </w:rPr>
        <w:t>S</w:t>
      </w:r>
      <w:r w:rsidRPr="0CC97ABA" w:rsidR="4CA4170F">
        <w:rPr>
          <w:rFonts w:eastAsia="Aptos" w:cs="Arial"/>
          <w:sz w:val="22"/>
          <w:szCs w:val="22"/>
        </w:rPr>
        <w:t>afeguarding</w:t>
      </w:r>
      <w:r w:rsidRPr="00AD7D21" w:rsidR="4CA4170F">
        <w:rPr>
          <w:rFonts w:eastAsia="Aptos" w:cs="Arial"/>
          <w:sz w:val="22"/>
          <w:szCs w:val="22"/>
        </w:rPr>
        <w:t xml:space="preserve"> </w:t>
      </w:r>
      <w:r w:rsidR="00874CA2">
        <w:rPr>
          <w:rFonts w:eastAsia="Aptos" w:cs="Arial"/>
          <w:sz w:val="22"/>
          <w:szCs w:val="22"/>
        </w:rPr>
        <w:t>risks for the programme</w:t>
      </w:r>
      <w:r w:rsidR="00016CD2">
        <w:rPr>
          <w:rFonts w:eastAsia="Aptos" w:cs="Arial"/>
          <w:sz w:val="22"/>
          <w:szCs w:val="22"/>
        </w:rPr>
        <w:t xml:space="preserve"> and support is being provided </w:t>
      </w:r>
      <w:r w:rsidR="00C641DC">
        <w:rPr>
          <w:rFonts w:eastAsia="Aptos" w:cs="Arial"/>
          <w:sz w:val="22"/>
          <w:szCs w:val="22"/>
        </w:rPr>
        <w:t xml:space="preserve">by the ODA hub to </w:t>
      </w:r>
      <w:r w:rsidR="00D30163">
        <w:rPr>
          <w:rFonts w:eastAsia="Aptos" w:cs="Arial"/>
          <w:sz w:val="22"/>
          <w:szCs w:val="22"/>
        </w:rPr>
        <w:t xml:space="preserve">address ALB </w:t>
      </w:r>
      <w:r w:rsidR="00173486">
        <w:rPr>
          <w:rFonts w:eastAsia="Aptos" w:cs="Arial"/>
          <w:sz w:val="22"/>
          <w:szCs w:val="22"/>
        </w:rPr>
        <w:t xml:space="preserve">organisational </w:t>
      </w:r>
      <w:r w:rsidR="00A14FDE">
        <w:rPr>
          <w:rFonts w:eastAsia="Aptos" w:cs="Arial"/>
          <w:sz w:val="22"/>
          <w:szCs w:val="22"/>
        </w:rPr>
        <w:t>safeguarding risks</w:t>
      </w:r>
      <w:r w:rsidR="003740A6">
        <w:rPr>
          <w:rFonts w:eastAsia="Aptos" w:cs="Arial"/>
          <w:sz w:val="22"/>
          <w:szCs w:val="22"/>
        </w:rPr>
        <w:t>.</w:t>
      </w:r>
      <w:r w:rsidR="00A14FDE">
        <w:rPr>
          <w:rFonts w:eastAsia="Aptos" w:cs="Arial"/>
          <w:sz w:val="22"/>
          <w:szCs w:val="22"/>
        </w:rPr>
        <w:t xml:space="preserve"> </w:t>
      </w:r>
      <w:r w:rsidR="00874CA2">
        <w:rPr>
          <w:rFonts w:eastAsia="Aptos" w:cs="Arial"/>
          <w:sz w:val="22"/>
          <w:szCs w:val="22"/>
        </w:rPr>
        <w:t xml:space="preserve"> </w:t>
      </w:r>
    </w:p>
    <w:p w:rsidR="23825536" w:rsidP="486B3DD8" w:rsidRDefault="019D8BB0" w14:paraId="63716643" w14:textId="1BA21EF5">
      <w:pPr>
        <w:spacing w:after="160" w:line="276" w:lineRule="auto"/>
        <w:rPr>
          <w:rFonts w:eastAsia="Aptos" w:cs="Arial"/>
          <w:sz w:val="22"/>
          <w:szCs w:val="22"/>
        </w:rPr>
      </w:pPr>
      <w:r w:rsidRPr="2E36CB9F">
        <w:rPr>
          <w:rFonts w:eastAsia="Aptos" w:cs="Arial"/>
          <w:sz w:val="22"/>
          <w:szCs w:val="22"/>
        </w:rPr>
        <w:t xml:space="preserve">No fiduciary risks were present during Y3 of the programme. </w:t>
      </w:r>
      <w:r w:rsidRPr="486B3DD8" w:rsidR="23825536">
        <w:rPr>
          <w:rFonts w:eastAsia="Aptos" w:cs="Arial"/>
          <w:sz w:val="22"/>
          <w:szCs w:val="22"/>
        </w:rPr>
        <w:t xml:space="preserve">Fiduciary risks </w:t>
      </w:r>
      <w:r w:rsidRPr="486B3DD8" w:rsidR="009C2D60">
        <w:rPr>
          <w:rFonts w:eastAsia="Aptos" w:cs="Arial"/>
          <w:sz w:val="22"/>
          <w:szCs w:val="22"/>
        </w:rPr>
        <w:t>always retain a low-risk threshold</w:t>
      </w:r>
      <w:r w:rsidRPr="486B3DD8" w:rsidR="23825536">
        <w:rPr>
          <w:rFonts w:eastAsia="Aptos" w:cs="Arial"/>
          <w:sz w:val="22"/>
          <w:szCs w:val="22"/>
        </w:rPr>
        <w:t xml:space="preserve">, owing to the requirement for ODA programme to use public funds transparently. Defra’s three lines of defence system </w:t>
      </w:r>
      <w:r w:rsidRPr="52C40AD0" w:rsidR="23825536">
        <w:rPr>
          <w:rFonts w:eastAsia="Aptos" w:cs="Arial"/>
          <w:sz w:val="22"/>
          <w:szCs w:val="22"/>
        </w:rPr>
        <w:t>is</w:t>
      </w:r>
      <w:r w:rsidRPr="486B3DD8" w:rsidR="23825536">
        <w:rPr>
          <w:rFonts w:eastAsia="Aptos" w:cs="Arial"/>
          <w:sz w:val="22"/>
          <w:szCs w:val="22"/>
        </w:rPr>
        <w:t xml:space="preserve"> </w:t>
      </w:r>
      <w:r w:rsidRPr="5B16D991" w:rsidR="23825536">
        <w:rPr>
          <w:rFonts w:eastAsia="Aptos" w:cs="Arial"/>
          <w:sz w:val="22"/>
          <w:szCs w:val="22"/>
        </w:rPr>
        <w:t>used</w:t>
      </w:r>
      <w:r w:rsidRPr="486B3DD8" w:rsidR="23825536">
        <w:rPr>
          <w:rFonts w:eastAsia="Aptos" w:cs="Arial"/>
          <w:sz w:val="22"/>
          <w:szCs w:val="22"/>
        </w:rPr>
        <w:t xml:space="preserve"> to provide assurance control </w:t>
      </w:r>
      <w:r w:rsidRPr="1A898240" w:rsidR="23825536">
        <w:rPr>
          <w:rFonts w:eastAsia="Aptos" w:cs="Arial"/>
          <w:sz w:val="22"/>
          <w:szCs w:val="22"/>
        </w:rPr>
        <w:t>against</w:t>
      </w:r>
      <w:r w:rsidRPr="486B3DD8" w:rsidR="23825536">
        <w:rPr>
          <w:rFonts w:eastAsia="Aptos" w:cs="Arial"/>
          <w:sz w:val="22"/>
          <w:szCs w:val="22"/>
        </w:rPr>
        <w:t xml:space="preserve"> fiduciary risk – front-line teams </w:t>
      </w:r>
      <w:r w:rsidRPr="1A898240" w:rsidR="23825536">
        <w:rPr>
          <w:rFonts w:eastAsia="Aptos" w:cs="Arial"/>
          <w:sz w:val="22"/>
          <w:szCs w:val="22"/>
        </w:rPr>
        <w:t>are</w:t>
      </w:r>
      <w:r w:rsidRPr="486B3DD8" w:rsidR="23825536">
        <w:rPr>
          <w:rFonts w:eastAsia="Aptos" w:cs="Arial"/>
          <w:sz w:val="22"/>
          <w:szCs w:val="22"/>
        </w:rPr>
        <w:t xml:space="preserve"> briefed on the realised and potential impacts of the </w:t>
      </w:r>
      <w:r w:rsidRPr="739309AE" w:rsidR="04ABEC93">
        <w:rPr>
          <w:rFonts w:eastAsia="Aptos" w:cs="Arial"/>
          <w:sz w:val="22"/>
          <w:szCs w:val="22"/>
        </w:rPr>
        <w:t>any risk</w:t>
      </w:r>
      <w:r w:rsidRPr="486B3DD8" w:rsidR="23825536">
        <w:rPr>
          <w:rFonts w:eastAsia="Aptos" w:cs="Arial"/>
          <w:sz w:val="22"/>
          <w:szCs w:val="22"/>
        </w:rPr>
        <w:t xml:space="preserve">; </w:t>
      </w:r>
      <w:r w:rsidRPr="2D718A5D" w:rsidR="04E3635F">
        <w:rPr>
          <w:rFonts w:eastAsia="Aptos" w:cs="Arial"/>
          <w:sz w:val="22"/>
          <w:szCs w:val="22"/>
        </w:rPr>
        <w:t>such</w:t>
      </w:r>
      <w:r w:rsidRPr="486B3DD8" w:rsidR="23825536">
        <w:rPr>
          <w:rFonts w:eastAsia="Aptos" w:cs="Arial"/>
          <w:sz w:val="22"/>
          <w:szCs w:val="22"/>
        </w:rPr>
        <w:t xml:space="preserve"> </w:t>
      </w:r>
      <w:r w:rsidRPr="490C4B2B" w:rsidR="23825536">
        <w:rPr>
          <w:rFonts w:eastAsia="Aptos" w:cs="Arial"/>
          <w:sz w:val="22"/>
          <w:szCs w:val="22"/>
        </w:rPr>
        <w:t>risk</w:t>
      </w:r>
      <w:r w:rsidRPr="490C4B2B" w:rsidR="57690DDA">
        <w:rPr>
          <w:rFonts w:eastAsia="Aptos" w:cs="Arial"/>
          <w:sz w:val="22"/>
          <w:szCs w:val="22"/>
        </w:rPr>
        <w:t>s</w:t>
      </w:r>
      <w:r w:rsidRPr="490C4B2B" w:rsidR="23825536">
        <w:rPr>
          <w:rFonts w:eastAsia="Aptos" w:cs="Arial"/>
          <w:sz w:val="22"/>
          <w:szCs w:val="22"/>
        </w:rPr>
        <w:t xml:space="preserve"> </w:t>
      </w:r>
      <w:r w:rsidRPr="490C4B2B" w:rsidR="69E534D3">
        <w:rPr>
          <w:rFonts w:eastAsia="Aptos" w:cs="Arial"/>
          <w:sz w:val="22"/>
          <w:szCs w:val="22"/>
        </w:rPr>
        <w:t>are then</w:t>
      </w:r>
      <w:r w:rsidRPr="486B3DD8" w:rsidR="23825536">
        <w:rPr>
          <w:rFonts w:eastAsia="Aptos" w:cs="Arial"/>
          <w:sz w:val="22"/>
          <w:szCs w:val="22"/>
        </w:rPr>
        <w:t xml:space="preserve"> escalated to Defra’s ODA Hub to provide sight of the risk and issue.</w:t>
      </w:r>
    </w:p>
    <w:p w:rsidR="70BFEF18" w:rsidP="70BFEF18" w:rsidRDefault="4D1D0254" w14:paraId="53B9BD44" w14:textId="502B72E7">
      <w:pPr>
        <w:spacing w:after="160" w:line="276" w:lineRule="auto"/>
        <w:rPr>
          <w:rFonts w:eastAsia="Arial" w:cs="Arial"/>
          <w:sz w:val="22"/>
          <w:szCs w:val="22"/>
        </w:rPr>
      </w:pPr>
      <w:r w:rsidRPr="1FB22237">
        <w:rPr>
          <w:rFonts w:eastAsia="Aptos" w:cs="Arial"/>
          <w:sz w:val="22"/>
          <w:szCs w:val="22"/>
        </w:rPr>
        <w:t xml:space="preserve">Previously, the OCPP Y2 </w:t>
      </w:r>
      <w:r w:rsidR="00C14357">
        <w:rPr>
          <w:rFonts w:eastAsia="Aptos" w:cs="Arial"/>
          <w:sz w:val="22"/>
          <w:szCs w:val="22"/>
        </w:rPr>
        <w:t>annual review</w:t>
      </w:r>
      <w:r w:rsidRPr="1FB22237">
        <w:rPr>
          <w:rFonts w:eastAsia="Aptos" w:cs="Arial"/>
          <w:sz w:val="22"/>
          <w:szCs w:val="22"/>
        </w:rPr>
        <w:t xml:space="preserve"> expressed intent to monitor and track risk appetite. This has been partially implemented previously through a more focussed approach on setting target RAG ratings for </w:t>
      </w:r>
      <w:r w:rsidRPr="1FB22237" w:rsidR="00101E14">
        <w:rPr>
          <w:rFonts w:eastAsia="Aptos" w:cs="Arial"/>
          <w:sz w:val="22"/>
          <w:szCs w:val="22"/>
        </w:rPr>
        <w:t>risks and</w:t>
      </w:r>
      <w:r w:rsidRPr="1FB22237">
        <w:rPr>
          <w:rFonts w:eastAsia="Aptos" w:cs="Arial"/>
          <w:sz w:val="22"/>
          <w:szCs w:val="22"/>
        </w:rPr>
        <w:t xml:space="preserve"> documenting the mitigating actions the programme should/must take to achieve those target RAG rating. </w:t>
      </w:r>
      <w:r w:rsidRPr="1FB22237" w:rsidR="33C1E707">
        <w:rPr>
          <w:rFonts w:eastAsia="Aptos" w:cs="Arial"/>
          <w:sz w:val="22"/>
          <w:szCs w:val="22"/>
        </w:rPr>
        <w:t xml:space="preserve">In </w:t>
      </w:r>
      <w:r w:rsidR="00B431D1">
        <w:rPr>
          <w:rFonts w:eastAsia="Aptos" w:cs="Arial"/>
          <w:sz w:val="22"/>
          <w:szCs w:val="22"/>
        </w:rPr>
        <w:t>year three</w:t>
      </w:r>
      <w:r w:rsidRPr="1FB22237" w:rsidR="33C1E707">
        <w:rPr>
          <w:rFonts w:eastAsia="Aptos" w:cs="Arial"/>
          <w:sz w:val="22"/>
          <w:szCs w:val="22"/>
        </w:rPr>
        <w:t xml:space="preserve">, risk appetite has fully considered, and risk thresholds implemented for </w:t>
      </w:r>
      <w:r w:rsidRPr="1FB22237" w:rsidR="393A7079">
        <w:rPr>
          <w:rFonts w:eastAsia="Aptos" w:cs="Arial"/>
          <w:sz w:val="22"/>
          <w:szCs w:val="22"/>
        </w:rPr>
        <w:t xml:space="preserve">the various risk categories within the programme. </w:t>
      </w:r>
      <w:r w:rsidRPr="1FB22237" w:rsidR="00C576CE">
        <w:rPr>
          <w:rFonts w:eastAsia="Aptos" w:cs="Arial"/>
          <w:sz w:val="22"/>
          <w:szCs w:val="22"/>
        </w:rPr>
        <w:t xml:space="preserve">Programme </w:t>
      </w:r>
      <w:r w:rsidRPr="1FB22237" w:rsidR="5A4F91A3">
        <w:rPr>
          <w:rFonts w:eastAsia="Aptos" w:cs="Arial"/>
          <w:sz w:val="22"/>
          <w:szCs w:val="22"/>
        </w:rPr>
        <w:t xml:space="preserve">risks that exceed the risk appetite will be elevated to </w:t>
      </w:r>
      <w:r w:rsidRPr="1FB22237" w:rsidR="29A8B701">
        <w:rPr>
          <w:rFonts w:eastAsia="Aptos" w:cs="Arial"/>
          <w:sz w:val="22"/>
          <w:szCs w:val="22"/>
        </w:rPr>
        <w:t xml:space="preserve">the programmes </w:t>
      </w:r>
      <w:r w:rsidRPr="1FB22237" w:rsidR="5A4F91A3">
        <w:rPr>
          <w:rFonts w:eastAsia="Aptos" w:cs="Arial"/>
          <w:sz w:val="22"/>
          <w:szCs w:val="22"/>
        </w:rPr>
        <w:t>SRO</w:t>
      </w:r>
      <w:r w:rsidRPr="1FB22237" w:rsidR="68587FF0">
        <w:rPr>
          <w:rFonts w:eastAsia="Aptos" w:cs="Arial"/>
          <w:sz w:val="22"/>
          <w:szCs w:val="22"/>
        </w:rPr>
        <w:t xml:space="preserve"> </w:t>
      </w:r>
      <w:r w:rsidRPr="1FB22237" w:rsidR="5A4F91A3">
        <w:rPr>
          <w:rFonts w:eastAsia="Aptos" w:cs="Arial"/>
          <w:sz w:val="22"/>
          <w:szCs w:val="22"/>
        </w:rPr>
        <w:t>and considered for further escalation where appropriate</w:t>
      </w:r>
      <w:r w:rsidRPr="1FB22237" w:rsidR="259CBC8B">
        <w:rPr>
          <w:rFonts w:eastAsia="Aptos" w:cs="Arial"/>
          <w:sz w:val="22"/>
          <w:szCs w:val="22"/>
        </w:rPr>
        <w:t>.</w:t>
      </w:r>
      <w:r w:rsidRPr="1FB22237" w:rsidR="49C8012C">
        <w:rPr>
          <w:rFonts w:eastAsia="Arial" w:cs="Arial"/>
          <w:sz w:val="22"/>
          <w:szCs w:val="22"/>
        </w:rPr>
        <w:t xml:space="preserve"> </w:t>
      </w:r>
      <w:r w:rsidRPr="1FB22237" w:rsidR="009A411E">
        <w:rPr>
          <w:rFonts w:eastAsia="Arial" w:cs="Arial"/>
          <w:sz w:val="22"/>
          <w:szCs w:val="22"/>
        </w:rPr>
        <w:t>At the time of writing, f</w:t>
      </w:r>
      <w:r w:rsidRPr="1FB22237" w:rsidR="49C8012C">
        <w:rPr>
          <w:rFonts w:eastAsia="Arial" w:cs="Arial"/>
          <w:sz w:val="22"/>
          <w:szCs w:val="22"/>
        </w:rPr>
        <w:t>inal risk appetites are subject SRO approval</w:t>
      </w:r>
      <w:r w:rsidRPr="1FB22237" w:rsidR="00531324">
        <w:rPr>
          <w:rFonts w:eastAsia="Arial" w:cs="Arial"/>
          <w:sz w:val="22"/>
          <w:szCs w:val="22"/>
        </w:rPr>
        <w:t>.</w:t>
      </w:r>
    </w:p>
    <w:p w:rsidR="61F2F612" w:rsidP="61F2F612" w:rsidRDefault="61F2F612" w14:paraId="1E86D8AC" w14:textId="0DBBAFF7">
      <w:pPr>
        <w:spacing w:after="160" w:line="276" w:lineRule="auto"/>
        <w:rPr>
          <w:rFonts w:eastAsia="Aptos" w:cs="Arial"/>
          <w:sz w:val="22"/>
          <w:szCs w:val="22"/>
        </w:rPr>
      </w:pPr>
    </w:p>
    <w:p w:rsidR="147A4FE7" w:rsidP="70BFEF18" w:rsidRDefault="4F1DD029" w14:paraId="625BC4B1" w14:textId="2B93020C">
      <w:pPr>
        <w:spacing w:after="160" w:line="276" w:lineRule="auto"/>
        <w:rPr>
          <w:rFonts w:eastAsia="Arial" w:cs="Arial"/>
          <w:b/>
          <w:sz w:val="22"/>
          <w:szCs w:val="22"/>
        </w:rPr>
      </w:pPr>
      <w:r w:rsidRPr="5267C3BC">
        <w:rPr>
          <w:rFonts w:eastAsia="Arial" w:cs="Arial"/>
          <w:b/>
          <w:bCs/>
          <w:sz w:val="22"/>
          <w:szCs w:val="22"/>
        </w:rPr>
        <w:t xml:space="preserve">Year </w:t>
      </w:r>
      <w:r w:rsidR="00B431D1">
        <w:rPr>
          <w:rFonts w:eastAsia="Arial" w:cs="Arial"/>
          <w:b/>
          <w:bCs/>
          <w:sz w:val="22"/>
          <w:szCs w:val="22"/>
        </w:rPr>
        <w:t>three</w:t>
      </w:r>
      <w:r w:rsidRPr="5267C3BC">
        <w:rPr>
          <w:rFonts w:eastAsia="Arial" w:cs="Arial"/>
          <w:b/>
          <w:bCs/>
          <w:sz w:val="22"/>
          <w:szCs w:val="22"/>
        </w:rPr>
        <w:t xml:space="preserve"> Key OCPP Risks</w:t>
      </w:r>
    </w:p>
    <w:tbl>
      <w:tblPr>
        <w:tblW w:w="9141"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370"/>
        <w:gridCol w:w="1050"/>
        <w:gridCol w:w="3420"/>
        <w:gridCol w:w="1035"/>
        <w:gridCol w:w="1266"/>
      </w:tblGrid>
      <w:tr w:rsidR="005B4B21" w:rsidTr="284A7271" w14:paraId="38C402A4" w14:textId="1D20C15E">
        <w:trPr>
          <w:trHeight w:val="390"/>
        </w:trPr>
        <w:tc>
          <w:tcPr>
            <w:tcW w:w="2370" w:type="dxa"/>
            <w:tcBorders>
              <w:top w:val="single" w:color="auto" w:sz="8" w:space="0"/>
              <w:left w:val="single" w:color="auto" w:sz="8" w:space="0"/>
              <w:bottom w:val="single" w:color="auto" w:sz="8" w:space="0"/>
              <w:right w:val="single" w:color="auto" w:sz="8" w:space="0"/>
            </w:tcBorders>
            <w:shd w:val="clear" w:color="auto" w:fill="D9E2F3" w:themeFill="accent1" w:themeFillTint="33"/>
          </w:tcPr>
          <w:p w:rsidR="51BB0A43" w:rsidP="51BB0A43" w:rsidRDefault="51BB0A43" w14:paraId="080D5B53" w14:textId="07D83F89">
            <w:pPr>
              <w:spacing w:after="160" w:line="276" w:lineRule="auto"/>
              <w:rPr>
                <w:rFonts w:ascii="Aptos" w:hAnsi="Aptos" w:eastAsia="Aptos" w:cs="Aptos"/>
                <w:b/>
                <w:color w:val="000000" w:themeColor="text1"/>
                <w:sz w:val="20"/>
                <w:szCs w:val="20"/>
              </w:rPr>
            </w:pPr>
            <w:r w:rsidRPr="59FED68F">
              <w:rPr>
                <w:rFonts w:ascii="Aptos" w:hAnsi="Aptos" w:eastAsia="Aptos" w:cs="Aptos"/>
                <w:b/>
                <w:color w:val="000000" w:themeColor="text1"/>
                <w:sz w:val="20"/>
                <w:szCs w:val="20"/>
              </w:rPr>
              <w:t xml:space="preserve">Risk Description </w:t>
            </w:r>
          </w:p>
        </w:tc>
        <w:tc>
          <w:tcPr>
            <w:tcW w:w="1050" w:type="dxa"/>
            <w:tcBorders>
              <w:top w:val="single" w:color="auto" w:sz="8" w:space="0"/>
              <w:left w:val="single" w:color="auto" w:sz="8" w:space="0"/>
              <w:bottom w:val="single" w:color="auto" w:sz="8" w:space="0"/>
              <w:right w:val="single" w:color="auto" w:sz="8" w:space="0"/>
            </w:tcBorders>
            <w:shd w:val="clear" w:color="auto" w:fill="D9E2F3" w:themeFill="accent1" w:themeFillTint="33"/>
          </w:tcPr>
          <w:p w:rsidR="51BB0A43" w:rsidP="51BB0A43" w:rsidRDefault="51BB0A43" w14:paraId="3F5A52FF" w14:textId="567E2EB2">
            <w:pPr>
              <w:spacing w:after="160" w:line="276" w:lineRule="auto"/>
              <w:rPr>
                <w:rFonts w:ascii="Aptos" w:hAnsi="Aptos" w:eastAsia="Aptos" w:cs="Aptos"/>
                <w:b/>
                <w:color w:val="000000" w:themeColor="text1"/>
                <w:sz w:val="20"/>
                <w:szCs w:val="20"/>
              </w:rPr>
            </w:pPr>
            <w:r w:rsidRPr="59FED68F">
              <w:rPr>
                <w:rFonts w:ascii="Aptos" w:hAnsi="Aptos" w:eastAsia="Aptos" w:cs="Aptos"/>
                <w:b/>
                <w:color w:val="000000" w:themeColor="text1"/>
                <w:sz w:val="20"/>
                <w:szCs w:val="20"/>
              </w:rPr>
              <w:t xml:space="preserve">Inherent Risk </w:t>
            </w:r>
          </w:p>
        </w:tc>
        <w:tc>
          <w:tcPr>
            <w:tcW w:w="3420" w:type="dxa"/>
            <w:tcBorders>
              <w:top w:val="single" w:color="auto" w:sz="8" w:space="0"/>
              <w:left w:val="single" w:color="auto" w:sz="8" w:space="0"/>
              <w:bottom w:val="single" w:color="auto" w:sz="8" w:space="0"/>
              <w:right w:val="single" w:color="auto" w:sz="8" w:space="0"/>
            </w:tcBorders>
            <w:shd w:val="clear" w:color="auto" w:fill="D9E2F3" w:themeFill="accent1" w:themeFillTint="33"/>
          </w:tcPr>
          <w:p w:rsidR="51BB0A43" w:rsidP="51BB0A43" w:rsidRDefault="51BB0A43" w14:paraId="2502DB90" w14:textId="7937C1B6">
            <w:pPr>
              <w:spacing w:after="160" w:line="276" w:lineRule="auto"/>
              <w:rPr>
                <w:rFonts w:ascii="Aptos" w:hAnsi="Aptos" w:eastAsia="Aptos" w:cs="Aptos"/>
                <w:b/>
                <w:color w:val="000000" w:themeColor="text1"/>
                <w:sz w:val="20"/>
                <w:szCs w:val="20"/>
              </w:rPr>
            </w:pPr>
            <w:r w:rsidRPr="59FED68F">
              <w:rPr>
                <w:rFonts w:ascii="Aptos" w:hAnsi="Aptos" w:eastAsia="Aptos" w:cs="Aptos"/>
                <w:b/>
                <w:color w:val="000000" w:themeColor="text1"/>
                <w:sz w:val="20"/>
                <w:szCs w:val="20"/>
              </w:rPr>
              <w:t xml:space="preserve">Mitigation actions </w:t>
            </w:r>
          </w:p>
        </w:tc>
        <w:tc>
          <w:tcPr>
            <w:tcW w:w="1035" w:type="dxa"/>
            <w:tcBorders>
              <w:top w:val="single" w:color="auto" w:sz="8" w:space="0"/>
              <w:left w:val="single" w:color="auto" w:sz="8" w:space="0"/>
              <w:bottom w:val="single" w:color="auto" w:sz="8" w:space="0"/>
              <w:right w:val="single" w:color="auto" w:sz="8" w:space="0"/>
            </w:tcBorders>
            <w:shd w:val="clear" w:color="auto" w:fill="D9E2F3" w:themeFill="accent1" w:themeFillTint="33"/>
          </w:tcPr>
          <w:p w:rsidR="51BB0A43" w:rsidP="51BB0A43" w:rsidRDefault="51BB0A43" w14:paraId="119FAC6F" w14:textId="5FD75A9A">
            <w:pPr>
              <w:spacing w:after="160" w:line="276" w:lineRule="auto"/>
              <w:rPr>
                <w:rFonts w:ascii="Aptos" w:hAnsi="Aptos" w:eastAsia="Aptos" w:cs="Aptos"/>
                <w:b/>
                <w:color w:val="000000" w:themeColor="text1"/>
                <w:sz w:val="20"/>
                <w:szCs w:val="20"/>
              </w:rPr>
            </w:pPr>
            <w:r w:rsidRPr="59FED68F">
              <w:rPr>
                <w:rFonts w:ascii="Aptos" w:hAnsi="Aptos" w:eastAsia="Aptos" w:cs="Aptos"/>
                <w:b/>
                <w:color w:val="000000" w:themeColor="text1"/>
                <w:sz w:val="20"/>
                <w:szCs w:val="20"/>
              </w:rPr>
              <w:t xml:space="preserve">Residual Risk </w:t>
            </w:r>
          </w:p>
        </w:tc>
        <w:tc>
          <w:tcPr>
            <w:tcW w:w="1266" w:type="dxa"/>
            <w:tcBorders>
              <w:top w:val="single" w:color="auto" w:sz="8" w:space="0"/>
              <w:left w:val="single" w:color="auto" w:sz="8" w:space="0"/>
              <w:bottom w:val="single" w:color="auto" w:sz="8" w:space="0"/>
              <w:right w:val="single" w:color="auto" w:sz="8" w:space="0"/>
            </w:tcBorders>
            <w:shd w:val="clear" w:color="auto" w:fill="D9E2F3" w:themeFill="accent1" w:themeFillTint="33"/>
          </w:tcPr>
          <w:p w:rsidR="5B2ABB7B" w:rsidP="5B2ABB7B" w:rsidRDefault="31A1DFDC" w14:paraId="04A2CFF2" w14:textId="676A4B30">
            <w:pPr>
              <w:spacing w:line="276" w:lineRule="auto"/>
              <w:rPr>
                <w:rFonts w:ascii="Aptos" w:hAnsi="Aptos" w:eastAsia="Aptos" w:cs="Aptos"/>
                <w:b/>
                <w:bCs/>
                <w:color w:val="000000" w:themeColor="text1"/>
                <w:sz w:val="20"/>
                <w:szCs w:val="20"/>
              </w:rPr>
            </w:pPr>
            <w:r w:rsidRPr="33BF6EB1">
              <w:rPr>
                <w:rFonts w:ascii="Aptos" w:hAnsi="Aptos" w:eastAsia="Aptos" w:cs="Aptos"/>
                <w:b/>
                <w:bCs/>
                <w:color w:val="000000" w:themeColor="text1"/>
                <w:sz w:val="20"/>
                <w:szCs w:val="20"/>
              </w:rPr>
              <w:t xml:space="preserve">Risk </w:t>
            </w:r>
            <w:r w:rsidRPr="207A0F80">
              <w:rPr>
                <w:rFonts w:ascii="Aptos" w:hAnsi="Aptos" w:eastAsia="Aptos" w:cs="Aptos"/>
                <w:b/>
                <w:bCs/>
                <w:color w:val="000000" w:themeColor="text1"/>
                <w:sz w:val="20"/>
                <w:szCs w:val="20"/>
              </w:rPr>
              <w:t>Appetite</w:t>
            </w:r>
            <w:r w:rsidRPr="41B9F801" w:rsidR="6167D761">
              <w:rPr>
                <w:rFonts w:ascii="Aptos" w:hAnsi="Aptos" w:eastAsia="Aptos" w:cs="Aptos"/>
                <w:b/>
                <w:bCs/>
                <w:color w:val="000000" w:themeColor="text1"/>
                <w:sz w:val="20"/>
                <w:szCs w:val="20"/>
              </w:rPr>
              <w:t xml:space="preserve"> </w:t>
            </w:r>
            <w:r w:rsidRPr="558354BD" w:rsidR="6167D761">
              <w:rPr>
                <w:rFonts w:ascii="Aptos" w:hAnsi="Aptos" w:eastAsia="Aptos" w:cs="Aptos"/>
                <w:b/>
                <w:bCs/>
                <w:color w:val="000000" w:themeColor="text1"/>
                <w:sz w:val="20"/>
                <w:szCs w:val="20"/>
              </w:rPr>
              <w:t>&amp; Target</w:t>
            </w:r>
            <w:r w:rsidRPr="22CC3754" w:rsidR="6167D761">
              <w:rPr>
                <w:rFonts w:ascii="Aptos" w:hAnsi="Aptos" w:eastAsia="Aptos" w:cs="Aptos"/>
                <w:b/>
                <w:bCs/>
                <w:color w:val="000000" w:themeColor="text1"/>
                <w:sz w:val="20"/>
                <w:szCs w:val="20"/>
              </w:rPr>
              <w:t xml:space="preserve"> RAG</w:t>
            </w:r>
          </w:p>
        </w:tc>
      </w:tr>
      <w:tr w:rsidR="005B4B21" w:rsidTr="284A7271" w14:paraId="56C807DF" w14:textId="6C2A8230">
        <w:trPr>
          <w:trHeight w:val="930"/>
        </w:trPr>
        <w:tc>
          <w:tcPr>
            <w:tcW w:w="2370" w:type="dxa"/>
            <w:tcBorders>
              <w:top w:val="single" w:color="auto" w:sz="8" w:space="0"/>
              <w:left w:val="single" w:color="auto" w:sz="8" w:space="0"/>
              <w:bottom w:val="single" w:color="auto" w:sz="8" w:space="0"/>
              <w:right w:val="single" w:color="auto" w:sz="8" w:space="0"/>
            </w:tcBorders>
          </w:tcPr>
          <w:p w:rsidR="51BB0A43" w:rsidP="51BB0A43" w:rsidRDefault="51BB0A43" w14:paraId="1EDA874D" w14:textId="7543FB5B">
            <w:pPr>
              <w:spacing w:after="160" w:line="276" w:lineRule="auto"/>
              <w:rPr>
                <w:rFonts w:ascii="Aptos" w:hAnsi="Aptos" w:eastAsia="Aptos" w:cs="Aptos"/>
                <w:sz w:val="20"/>
                <w:szCs w:val="20"/>
              </w:rPr>
            </w:pPr>
            <w:r w:rsidRPr="4E4C6B48">
              <w:rPr>
                <w:rFonts w:ascii="Aptos" w:hAnsi="Aptos" w:eastAsia="Aptos" w:cs="Aptos"/>
                <w:sz w:val="20"/>
                <w:szCs w:val="20"/>
              </w:rPr>
              <w:t xml:space="preserve">ODA requirements - poverty reduction: uncertainty around evidence provided by </w:t>
            </w:r>
            <w:r w:rsidRPr="660B9116" w:rsidR="004E41FA">
              <w:rPr>
                <w:rFonts w:ascii="Aptos" w:hAnsi="Aptos" w:eastAsia="Aptos" w:cs="Aptos"/>
                <w:sz w:val="20"/>
                <w:szCs w:val="20"/>
              </w:rPr>
              <w:t xml:space="preserve">programme </w:t>
            </w:r>
            <w:r w:rsidR="004E41FA">
              <w:rPr>
                <w:rFonts w:ascii="Aptos" w:hAnsi="Aptos" w:eastAsia="Aptos" w:cs="Aptos"/>
                <w:sz w:val="20"/>
                <w:szCs w:val="20"/>
              </w:rPr>
              <w:t xml:space="preserve">monitoring and </w:t>
            </w:r>
            <w:r w:rsidR="008101FF">
              <w:rPr>
                <w:rFonts w:ascii="Aptos" w:hAnsi="Aptos" w:eastAsia="Aptos" w:cs="Aptos"/>
                <w:sz w:val="20"/>
                <w:szCs w:val="20"/>
              </w:rPr>
              <w:t>evaluation</w:t>
            </w:r>
            <w:r w:rsidRPr="4E4C6B48" w:rsidDel="00293175">
              <w:rPr>
                <w:rFonts w:ascii="Aptos" w:hAnsi="Aptos" w:eastAsia="Aptos" w:cs="Aptos"/>
                <w:sz w:val="20"/>
                <w:szCs w:val="20"/>
              </w:rPr>
              <w:t xml:space="preserve"> </w:t>
            </w:r>
            <w:r w:rsidRPr="4E4C6B48">
              <w:rPr>
                <w:rFonts w:ascii="Aptos" w:hAnsi="Aptos" w:eastAsia="Aptos" w:cs="Aptos"/>
                <w:sz w:val="20"/>
                <w:szCs w:val="20"/>
              </w:rPr>
              <w:t xml:space="preserve">that </w:t>
            </w:r>
            <w:r w:rsidR="006400C6">
              <w:rPr>
                <w:rFonts w:ascii="Aptos" w:hAnsi="Aptos" w:eastAsia="Aptos" w:cs="Aptos"/>
                <w:sz w:val="20"/>
                <w:szCs w:val="20"/>
              </w:rPr>
              <w:t xml:space="preserve">the </w:t>
            </w:r>
            <w:r w:rsidRPr="4E4C6B48">
              <w:rPr>
                <w:rFonts w:ascii="Aptos" w:hAnsi="Aptos" w:eastAsia="Aptos" w:cs="Aptos"/>
                <w:sz w:val="20"/>
                <w:szCs w:val="20"/>
              </w:rPr>
              <w:t>OCPP is adequately resulting in poverty reduction</w:t>
            </w:r>
          </w:p>
        </w:tc>
        <w:tc>
          <w:tcPr>
            <w:tcW w:w="1050" w:type="dxa"/>
            <w:tcBorders>
              <w:top w:val="single" w:color="auto" w:sz="8" w:space="0"/>
              <w:left w:val="single" w:color="auto" w:sz="8" w:space="0"/>
              <w:bottom w:val="single" w:color="auto" w:sz="8" w:space="0"/>
              <w:right w:val="single" w:color="auto" w:sz="8" w:space="0"/>
            </w:tcBorders>
            <w:shd w:val="clear" w:color="auto" w:fill="FF0000"/>
          </w:tcPr>
          <w:p w:rsidR="51BB0A43" w:rsidP="51BB0A43" w:rsidRDefault="51BB0A43" w14:paraId="2C57D0B8" w14:textId="796B842C">
            <w:pPr>
              <w:spacing w:after="160" w:line="276" w:lineRule="auto"/>
              <w:jc w:val="center"/>
              <w:rPr>
                <w:rFonts w:ascii="Aptos" w:hAnsi="Aptos" w:eastAsia="Aptos" w:cs="Aptos"/>
                <w:color w:val="000000" w:themeColor="text1"/>
                <w:sz w:val="20"/>
                <w:szCs w:val="20"/>
              </w:rPr>
            </w:pPr>
            <w:r w:rsidRPr="4E4C6B48">
              <w:rPr>
                <w:rFonts w:ascii="Aptos" w:hAnsi="Aptos" w:eastAsia="Aptos" w:cs="Aptos"/>
                <w:color w:val="000000" w:themeColor="text1"/>
                <w:sz w:val="20"/>
                <w:szCs w:val="20"/>
              </w:rPr>
              <w:t>High</w:t>
            </w:r>
          </w:p>
        </w:tc>
        <w:tc>
          <w:tcPr>
            <w:tcW w:w="3420" w:type="dxa"/>
            <w:tcBorders>
              <w:top w:val="single" w:color="auto" w:sz="8" w:space="0"/>
              <w:left w:val="single" w:color="auto" w:sz="8" w:space="0"/>
              <w:bottom w:val="single" w:color="auto" w:sz="8" w:space="0"/>
              <w:right w:val="single" w:color="auto" w:sz="8" w:space="0"/>
            </w:tcBorders>
          </w:tcPr>
          <w:p w:rsidR="51BB0A43" w:rsidP="51BB0A43" w:rsidRDefault="51BB0A43" w14:paraId="56D3553E" w14:textId="087F18F0">
            <w:pPr>
              <w:spacing w:after="160" w:line="276" w:lineRule="auto"/>
              <w:rPr>
                <w:rFonts w:ascii="Aptos" w:hAnsi="Aptos" w:eastAsia="Aptos" w:cs="Aptos"/>
                <w:sz w:val="20"/>
                <w:szCs w:val="20"/>
              </w:rPr>
            </w:pPr>
            <w:r w:rsidRPr="4E4C6B48">
              <w:rPr>
                <w:rFonts w:ascii="Aptos" w:hAnsi="Aptos" w:eastAsia="Aptos" w:cs="Aptos"/>
                <w:sz w:val="20"/>
                <w:szCs w:val="20"/>
              </w:rPr>
              <w:t xml:space="preserve">External consultant NIRAS mid-term evaluation findings inform strategy going forward to align </w:t>
            </w:r>
            <w:r w:rsidR="006400C6">
              <w:rPr>
                <w:rFonts w:ascii="Aptos" w:hAnsi="Aptos" w:eastAsia="Aptos" w:cs="Aptos"/>
                <w:sz w:val="20"/>
                <w:szCs w:val="20"/>
              </w:rPr>
              <w:t xml:space="preserve">the </w:t>
            </w:r>
            <w:r w:rsidRPr="4E4C6B48">
              <w:rPr>
                <w:rFonts w:ascii="Aptos" w:hAnsi="Aptos" w:eastAsia="Aptos" w:cs="Aptos"/>
                <w:sz w:val="20"/>
                <w:szCs w:val="20"/>
              </w:rPr>
              <w:t xml:space="preserve">OCPP to poverty reduction requirements. A review of OCPP Logframe and ToC </w:t>
            </w:r>
            <w:r w:rsidR="004A621C">
              <w:rPr>
                <w:rFonts w:ascii="Aptos" w:hAnsi="Aptos" w:eastAsia="Aptos" w:cs="Aptos"/>
                <w:sz w:val="20"/>
                <w:szCs w:val="20"/>
              </w:rPr>
              <w:t xml:space="preserve">has been </w:t>
            </w:r>
            <w:r w:rsidRPr="4E4C6B48">
              <w:rPr>
                <w:rFonts w:ascii="Aptos" w:hAnsi="Aptos" w:eastAsia="Aptos" w:cs="Aptos"/>
                <w:sz w:val="20"/>
                <w:szCs w:val="20"/>
              </w:rPr>
              <w:t>completed to consider livelihoods to bring programme into alignment with poverty reduction requirements</w:t>
            </w:r>
            <w:r w:rsidR="004A621C">
              <w:rPr>
                <w:rFonts w:ascii="Aptos" w:hAnsi="Aptos" w:eastAsia="Aptos" w:cs="Aptos"/>
                <w:sz w:val="20"/>
                <w:szCs w:val="20"/>
              </w:rPr>
              <w:t>, further refinements expected</w:t>
            </w:r>
            <w:r w:rsidRPr="4E4C6B48">
              <w:rPr>
                <w:rFonts w:ascii="Aptos" w:hAnsi="Aptos" w:eastAsia="Aptos" w:cs="Aptos"/>
                <w:sz w:val="20"/>
                <w:szCs w:val="20"/>
              </w:rPr>
              <w:t xml:space="preserve">. </w:t>
            </w:r>
            <w:r w:rsidR="006400C6">
              <w:rPr>
                <w:rFonts w:ascii="Aptos" w:hAnsi="Aptos" w:eastAsia="Aptos" w:cs="Aptos"/>
                <w:sz w:val="20"/>
                <w:szCs w:val="20"/>
              </w:rPr>
              <w:t xml:space="preserve">The </w:t>
            </w:r>
            <w:r w:rsidRPr="4E4C6B48">
              <w:rPr>
                <w:rFonts w:ascii="Aptos" w:hAnsi="Aptos" w:eastAsia="Aptos" w:cs="Aptos"/>
                <w:sz w:val="20"/>
                <w:szCs w:val="20"/>
              </w:rPr>
              <w:t>OCPP Poverty Narrative distributed by Cefas, illustrating and reinforcing links between sustainable ocean management and poverty reduction.</w:t>
            </w:r>
          </w:p>
        </w:tc>
        <w:tc>
          <w:tcPr>
            <w:tcW w:w="1035" w:type="dxa"/>
            <w:tcBorders>
              <w:top w:val="single" w:color="auto" w:sz="8" w:space="0"/>
              <w:left w:val="single" w:color="auto" w:sz="8" w:space="0"/>
              <w:bottom w:val="single" w:color="auto" w:sz="8" w:space="0"/>
              <w:right w:val="single" w:color="auto" w:sz="8" w:space="0"/>
            </w:tcBorders>
            <w:shd w:val="clear" w:color="auto" w:fill="FF0000"/>
          </w:tcPr>
          <w:p w:rsidR="57DAB54E" w:rsidP="20D82D6A" w:rsidRDefault="51BB0A43" w14:paraId="0915AC62" w14:textId="0F1CD754">
            <w:pPr>
              <w:spacing w:after="160" w:line="276" w:lineRule="auto"/>
              <w:jc w:val="center"/>
              <w:rPr>
                <w:rFonts w:ascii="Aptos" w:hAnsi="Aptos" w:eastAsia="Aptos" w:cs="Aptos"/>
                <w:color w:val="000000" w:themeColor="text1"/>
                <w:sz w:val="20"/>
                <w:szCs w:val="20"/>
              </w:rPr>
            </w:pPr>
            <w:r w:rsidRPr="51BB0A43">
              <w:rPr>
                <w:rFonts w:ascii="Aptos" w:hAnsi="Aptos" w:eastAsia="Aptos" w:cs="Aptos"/>
                <w:color w:val="000000" w:themeColor="text1"/>
              </w:rPr>
              <w:t xml:space="preserve"> </w:t>
            </w:r>
            <w:r w:rsidRPr="20D82D6A">
              <w:rPr>
                <w:rFonts w:ascii="Aptos" w:hAnsi="Aptos" w:eastAsia="Aptos" w:cs="Aptos"/>
                <w:color w:val="000000" w:themeColor="text1"/>
                <w:sz w:val="20"/>
                <w:szCs w:val="20"/>
              </w:rPr>
              <w:t>High</w:t>
            </w:r>
          </w:p>
          <w:p w:rsidR="51BB0A43" w:rsidP="51BB0A43" w:rsidRDefault="51BB0A43" w14:paraId="6428A6B0" w14:textId="0D9D034C">
            <w:pPr>
              <w:spacing w:after="160" w:line="276" w:lineRule="auto"/>
              <w:rPr>
                <w:rFonts w:ascii="Aptos" w:hAnsi="Aptos" w:eastAsia="Aptos" w:cs="Aptos"/>
                <w:color w:val="000000" w:themeColor="text1"/>
              </w:rPr>
            </w:pPr>
          </w:p>
        </w:tc>
        <w:tc>
          <w:tcPr>
            <w:tcW w:w="1266" w:type="dxa"/>
            <w:tcBorders>
              <w:top w:val="single" w:color="auto" w:sz="8" w:space="0"/>
              <w:left w:val="single" w:color="auto" w:sz="8" w:space="0"/>
              <w:bottom w:val="single" w:color="auto" w:sz="8" w:space="0"/>
              <w:right w:val="single" w:color="auto" w:sz="8" w:space="0"/>
            </w:tcBorders>
            <w:shd w:val="clear" w:color="auto" w:fill="FFC000" w:themeFill="accent4"/>
          </w:tcPr>
          <w:p w:rsidRPr="54B8A0D7" w:rsidR="5B2ABB7B" w:rsidP="5B2ABB7B" w:rsidRDefault="4988A397" w14:paraId="6DFFDD85" w14:textId="57121143">
            <w:pPr>
              <w:spacing w:line="276" w:lineRule="auto"/>
              <w:jc w:val="center"/>
              <w:rPr>
                <w:rFonts w:ascii="Aptos" w:hAnsi="Aptos" w:eastAsia="Aptos" w:cs="Aptos"/>
                <w:color w:val="000000" w:themeColor="text1"/>
                <w:sz w:val="20"/>
                <w:szCs w:val="20"/>
              </w:rPr>
            </w:pPr>
            <w:r w:rsidRPr="5E70F93A">
              <w:rPr>
                <w:rFonts w:ascii="Aptos" w:hAnsi="Aptos" w:eastAsia="Aptos" w:cs="Aptos"/>
                <w:color w:val="000000" w:themeColor="text1"/>
                <w:sz w:val="20"/>
                <w:szCs w:val="20"/>
              </w:rPr>
              <w:t>Open</w:t>
            </w:r>
          </w:p>
        </w:tc>
      </w:tr>
      <w:tr w:rsidR="005B4B21" w:rsidTr="284A7271" w14:paraId="71500D3E" w14:textId="37EC192B">
        <w:trPr>
          <w:trHeight w:val="930"/>
        </w:trPr>
        <w:tc>
          <w:tcPr>
            <w:tcW w:w="2370" w:type="dxa"/>
            <w:tcBorders>
              <w:top w:val="single" w:color="auto" w:sz="8" w:space="0"/>
              <w:left w:val="single" w:color="auto" w:sz="8" w:space="0"/>
              <w:bottom w:val="single" w:color="auto" w:sz="8" w:space="0"/>
              <w:right w:val="single" w:color="auto" w:sz="8" w:space="0"/>
            </w:tcBorders>
          </w:tcPr>
          <w:p w:rsidR="51BB0A43" w:rsidP="51BB0A43" w:rsidRDefault="51BB0A43" w14:paraId="0A11E18E" w14:textId="484AE0E8">
            <w:pPr>
              <w:spacing w:after="160" w:line="276" w:lineRule="auto"/>
              <w:rPr>
                <w:rFonts w:ascii="Aptos" w:hAnsi="Aptos" w:eastAsia="Aptos" w:cs="Aptos"/>
                <w:sz w:val="20"/>
                <w:szCs w:val="20"/>
              </w:rPr>
            </w:pPr>
            <w:r w:rsidRPr="4E4C6B48">
              <w:rPr>
                <w:rFonts w:ascii="Aptos" w:hAnsi="Aptos" w:eastAsia="Aptos" w:cs="Aptos"/>
                <w:sz w:val="20"/>
                <w:szCs w:val="20"/>
              </w:rPr>
              <w:t xml:space="preserve">Multiple RAID logs across the programme: the RAID process is currently fragmented across Defra and </w:t>
            </w:r>
            <w:r w:rsidR="00D03353">
              <w:rPr>
                <w:rFonts w:ascii="Aptos" w:hAnsi="Aptos" w:eastAsia="Aptos" w:cs="Aptos"/>
                <w:sz w:val="20"/>
                <w:szCs w:val="20"/>
              </w:rPr>
              <w:t>d</w:t>
            </w:r>
            <w:r w:rsidR="00D804C5">
              <w:rPr>
                <w:rFonts w:ascii="Aptos" w:hAnsi="Aptos" w:eastAsia="Aptos" w:cs="Aptos"/>
                <w:sz w:val="20"/>
                <w:szCs w:val="20"/>
              </w:rPr>
              <w:t>elivery partners</w:t>
            </w:r>
            <w:r w:rsidRPr="4E4C6B48">
              <w:rPr>
                <w:rFonts w:ascii="Aptos" w:hAnsi="Aptos" w:eastAsia="Aptos" w:cs="Aptos"/>
                <w:sz w:val="20"/>
                <w:szCs w:val="20"/>
              </w:rPr>
              <w:t>, and lacks an explicit forum to raise risks and issues and establish responsibility, leading to a lack of coherence cross-programme</w:t>
            </w:r>
          </w:p>
        </w:tc>
        <w:tc>
          <w:tcPr>
            <w:tcW w:w="1050" w:type="dxa"/>
            <w:tcBorders>
              <w:top w:val="single" w:color="auto" w:sz="8" w:space="0"/>
              <w:left w:val="single" w:color="auto" w:sz="8" w:space="0"/>
              <w:bottom w:val="single" w:color="auto" w:sz="8" w:space="0"/>
              <w:right w:val="single" w:color="auto" w:sz="8" w:space="0"/>
            </w:tcBorders>
            <w:shd w:val="clear" w:color="auto" w:fill="FF0000"/>
          </w:tcPr>
          <w:p w:rsidR="57DAB54E" w:rsidP="0EF47C4D" w:rsidRDefault="33304073" w14:paraId="47F9E672" w14:textId="796B842C">
            <w:pPr>
              <w:spacing w:after="160" w:line="276" w:lineRule="auto"/>
              <w:jc w:val="center"/>
              <w:rPr>
                <w:rFonts w:ascii="Aptos" w:hAnsi="Aptos" w:eastAsia="Aptos" w:cs="Aptos"/>
                <w:color w:val="000000" w:themeColor="text1"/>
                <w:sz w:val="20"/>
                <w:szCs w:val="20"/>
              </w:rPr>
            </w:pPr>
            <w:r w:rsidRPr="0EF47C4D">
              <w:rPr>
                <w:rFonts w:ascii="Aptos" w:hAnsi="Aptos" w:eastAsia="Aptos" w:cs="Aptos"/>
                <w:color w:val="000000" w:themeColor="text1"/>
                <w:sz w:val="20"/>
                <w:szCs w:val="20"/>
              </w:rPr>
              <w:t>High</w:t>
            </w:r>
          </w:p>
          <w:p w:rsidR="51BB0A43" w:rsidP="51BB0A43" w:rsidRDefault="51BB0A43" w14:paraId="1FBF0CB9" w14:textId="3392D3D3">
            <w:pPr>
              <w:spacing w:after="160" w:line="276" w:lineRule="auto"/>
              <w:jc w:val="center"/>
              <w:rPr>
                <w:rFonts w:ascii="Aptos" w:hAnsi="Aptos" w:eastAsia="Aptos" w:cs="Aptos"/>
                <w:sz w:val="20"/>
                <w:szCs w:val="20"/>
              </w:rPr>
            </w:pPr>
            <w:r w:rsidRPr="4E4C6B48">
              <w:rPr>
                <w:rFonts w:ascii="Aptos" w:hAnsi="Aptos" w:eastAsia="Aptos" w:cs="Aptos"/>
                <w:sz w:val="20"/>
                <w:szCs w:val="20"/>
              </w:rPr>
              <w:t xml:space="preserve"> </w:t>
            </w:r>
          </w:p>
        </w:tc>
        <w:tc>
          <w:tcPr>
            <w:tcW w:w="3420" w:type="dxa"/>
            <w:tcBorders>
              <w:top w:val="single" w:color="auto" w:sz="8" w:space="0"/>
              <w:left w:val="single" w:color="auto" w:sz="8" w:space="0"/>
              <w:bottom w:val="single" w:color="auto" w:sz="8" w:space="0"/>
              <w:right w:val="single" w:color="auto" w:sz="8" w:space="0"/>
            </w:tcBorders>
          </w:tcPr>
          <w:p w:rsidR="51BB0A43" w:rsidP="51BB0A43" w:rsidRDefault="51BB0A43" w14:paraId="59F18E18" w14:textId="5A0C4883">
            <w:pPr>
              <w:spacing w:after="160" w:line="276" w:lineRule="auto"/>
              <w:rPr>
                <w:rFonts w:ascii="Aptos" w:hAnsi="Aptos" w:eastAsia="Aptos" w:cs="Aptos"/>
                <w:sz w:val="20"/>
                <w:szCs w:val="20"/>
              </w:rPr>
            </w:pPr>
            <w:r w:rsidRPr="4E4C6B48">
              <w:rPr>
                <w:rFonts w:ascii="Aptos" w:hAnsi="Aptos" w:eastAsia="Aptos" w:cs="Aptos"/>
                <w:sz w:val="20"/>
                <w:szCs w:val="20"/>
              </w:rPr>
              <w:t xml:space="preserve">Discussions underway between </w:t>
            </w:r>
            <w:r w:rsidR="006400C6">
              <w:rPr>
                <w:rFonts w:ascii="Aptos" w:hAnsi="Aptos" w:eastAsia="Aptos" w:cs="Aptos"/>
                <w:sz w:val="20"/>
                <w:szCs w:val="20"/>
              </w:rPr>
              <w:t xml:space="preserve">the </w:t>
            </w:r>
            <w:r w:rsidRPr="4E4C6B48">
              <w:rPr>
                <w:rFonts w:ascii="Aptos" w:hAnsi="Aptos" w:eastAsia="Aptos" w:cs="Aptos"/>
                <w:sz w:val="20"/>
                <w:szCs w:val="20"/>
              </w:rPr>
              <w:t xml:space="preserve">OCPP and its </w:t>
            </w:r>
            <w:r w:rsidR="00D03353">
              <w:rPr>
                <w:rFonts w:ascii="Aptos" w:hAnsi="Aptos" w:eastAsia="Aptos" w:cs="Aptos"/>
                <w:sz w:val="20"/>
                <w:szCs w:val="20"/>
              </w:rPr>
              <w:t>d</w:t>
            </w:r>
            <w:r w:rsidR="00D804C5">
              <w:rPr>
                <w:rFonts w:ascii="Aptos" w:hAnsi="Aptos" w:eastAsia="Aptos" w:cs="Aptos"/>
                <w:sz w:val="20"/>
                <w:szCs w:val="20"/>
              </w:rPr>
              <w:t>elivery partners</w:t>
            </w:r>
            <w:r w:rsidRPr="4E4C6B48">
              <w:rPr>
                <w:rFonts w:ascii="Aptos" w:hAnsi="Aptos" w:eastAsia="Aptos" w:cs="Aptos"/>
                <w:sz w:val="20"/>
                <w:szCs w:val="20"/>
              </w:rPr>
              <w:t xml:space="preserve"> on best practice for reporting and managing risks and issues going forward. A visualisation of the risk management process and RAID log has been produced to illustrate the ideal reporting structure of issues and risks.</w:t>
            </w:r>
          </w:p>
        </w:tc>
        <w:tc>
          <w:tcPr>
            <w:tcW w:w="1035" w:type="dxa"/>
            <w:tcBorders>
              <w:top w:val="single" w:color="auto" w:sz="8" w:space="0"/>
              <w:left w:val="single" w:color="auto" w:sz="8" w:space="0"/>
              <w:bottom w:val="single" w:color="auto" w:sz="8" w:space="0"/>
              <w:right w:val="single" w:color="auto" w:sz="8" w:space="0"/>
            </w:tcBorders>
            <w:shd w:val="clear" w:color="auto" w:fill="FF0000"/>
          </w:tcPr>
          <w:p w:rsidR="57DAB54E" w:rsidP="0EF47C4D" w:rsidRDefault="57DAB54E" w14:paraId="3583D159" w14:textId="714AFD57">
            <w:pPr>
              <w:spacing w:after="160" w:line="276" w:lineRule="auto"/>
              <w:jc w:val="center"/>
              <w:rPr>
                <w:rFonts w:ascii="Aptos" w:hAnsi="Aptos" w:eastAsia="Aptos" w:cs="Aptos"/>
                <w:color w:val="000000" w:themeColor="text1"/>
                <w:sz w:val="20"/>
                <w:szCs w:val="20"/>
              </w:rPr>
            </w:pPr>
            <w:r w:rsidRPr="0EF47C4D">
              <w:rPr>
                <w:rFonts w:ascii="Aptos" w:hAnsi="Aptos" w:eastAsia="Aptos" w:cs="Aptos"/>
              </w:rPr>
              <w:t xml:space="preserve"> </w:t>
            </w:r>
            <w:r w:rsidRPr="0EF47C4D" w:rsidR="25C5A799">
              <w:rPr>
                <w:rFonts w:ascii="Aptos" w:hAnsi="Aptos" w:eastAsia="Aptos" w:cs="Aptos"/>
                <w:color w:val="000000" w:themeColor="text1"/>
                <w:sz w:val="20"/>
                <w:szCs w:val="20"/>
              </w:rPr>
              <w:t>High</w:t>
            </w:r>
          </w:p>
          <w:p w:rsidR="51BB0A43" w:rsidP="51BB0A43" w:rsidRDefault="51BB0A43" w14:paraId="6AEA33E6" w14:textId="0C6B3B1B">
            <w:pPr>
              <w:spacing w:after="160" w:line="276" w:lineRule="auto"/>
              <w:rPr>
                <w:rFonts w:ascii="Aptos" w:hAnsi="Aptos" w:eastAsia="Aptos" w:cs="Aptos"/>
              </w:rPr>
            </w:pPr>
          </w:p>
        </w:tc>
        <w:tc>
          <w:tcPr>
            <w:tcW w:w="1266" w:type="dxa"/>
            <w:tcBorders>
              <w:top w:val="single" w:color="auto" w:sz="8" w:space="0"/>
              <w:left w:val="single" w:color="auto" w:sz="8" w:space="0"/>
              <w:bottom w:val="single" w:color="auto" w:sz="8" w:space="0"/>
              <w:right w:val="single" w:color="auto" w:sz="8" w:space="0"/>
            </w:tcBorders>
            <w:shd w:val="clear" w:color="auto" w:fill="70AD47" w:themeFill="accent6"/>
          </w:tcPr>
          <w:p w:rsidRPr="54B8A0D7" w:rsidR="5B2ABB7B" w:rsidP="5B2ABB7B" w:rsidRDefault="01016E99" w14:paraId="013B1C15" w14:textId="1C44038E">
            <w:pPr>
              <w:spacing w:line="276" w:lineRule="auto"/>
              <w:jc w:val="center"/>
              <w:rPr>
                <w:rFonts w:ascii="Aptos" w:hAnsi="Aptos" w:eastAsia="Aptos" w:cs="Aptos"/>
                <w:sz w:val="20"/>
                <w:szCs w:val="20"/>
              </w:rPr>
            </w:pPr>
            <w:r w:rsidRPr="54B8A0D7">
              <w:rPr>
                <w:rFonts w:ascii="Aptos" w:hAnsi="Aptos" w:eastAsia="Aptos" w:cs="Aptos"/>
                <w:sz w:val="20"/>
                <w:szCs w:val="20"/>
              </w:rPr>
              <w:t>Cautious</w:t>
            </w:r>
          </w:p>
        </w:tc>
      </w:tr>
      <w:tr w:rsidR="00AA0589" w:rsidTr="284A7271" w14:paraId="1386A869" w14:textId="0E25A55B">
        <w:trPr>
          <w:trHeight w:val="930"/>
        </w:trPr>
        <w:tc>
          <w:tcPr>
            <w:tcW w:w="2370" w:type="dxa"/>
            <w:tcBorders>
              <w:top w:val="single" w:color="auto" w:sz="8" w:space="0"/>
              <w:left w:val="single" w:color="auto" w:sz="8" w:space="0"/>
              <w:bottom w:val="single" w:color="auto" w:sz="8" w:space="0"/>
              <w:right w:val="single" w:color="auto" w:sz="8" w:space="0"/>
            </w:tcBorders>
          </w:tcPr>
          <w:p w:rsidR="51BB0A43" w:rsidP="51BB0A43" w:rsidRDefault="51BB0A43" w14:paraId="337D4737" w14:textId="7FBEC5C4">
            <w:pPr>
              <w:spacing w:after="160" w:line="276" w:lineRule="auto"/>
              <w:rPr>
                <w:rFonts w:ascii="Aptos" w:hAnsi="Aptos" w:eastAsia="Aptos" w:cs="Aptos"/>
                <w:sz w:val="20"/>
                <w:szCs w:val="20"/>
              </w:rPr>
            </w:pPr>
            <w:r w:rsidRPr="4E4C6B48">
              <w:rPr>
                <w:rFonts w:ascii="Aptos" w:hAnsi="Aptos" w:eastAsia="Aptos" w:cs="Aptos"/>
                <w:sz w:val="20"/>
                <w:szCs w:val="20"/>
              </w:rPr>
              <w:t>Changes to ALB delivery recommended by ICAI’s 2023 BPF review may not be realised by end of OCPP programming</w:t>
            </w:r>
          </w:p>
        </w:tc>
        <w:tc>
          <w:tcPr>
            <w:tcW w:w="1050" w:type="dxa"/>
            <w:tcBorders>
              <w:top w:val="single" w:color="auto" w:sz="8" w:space="0"/>
              <w:left w:val="single" w:color="auto" w:sz="8" w:space="0"/>
              <w:bottom w:val="single" w:color="auto" w:sz="8" w:space="0"/>
              <w:right w:val="single" w:color="auto" w:sz="8" w:space="0"/>
            </w:tcBorders>
            <w:shd w:val="clear" w:color="auto" w:fill="FF0000"/>
          </w:tcPr>
          <w:p w:rsidR="57DAB54E" w:rsidP="0EF47C4D" w:rsidRDefault="57DAB54E" w14:paraId="6D241C0F" w14:textId="77B90484">
            <w:pPr>
              <w:spacing w:after="160" w:line="276" w:lineRule="auto"/>
              <w:jc w:val="center"/>
              <w:rPr>
                <w:rFonts w:ascii="Aptos" w:hAnsi="Aptos" w:eastAsia="Aptos" w:cs="Aptos"/>
                <w:color w:val="000000" w:themeColor="text1"/>
                <w:sz w:val="20"/>
                <w:szCs w:val="20"/>
              </w:rPr>
            </w:pPr>
            <w:r w:rsidRPr="0EF47C4D">
              <w:rPr>
                <w:rFonts w:ascii="Aptos" w:hAnsi="Aptos" w:eastAsia="Aptos" w:cs="Aptos"/>
                <w:sz w:val="20"/>
                <w:szCs w:val="20"/>
              </w:rPr>
              <w:t xml:space="preserve"> </w:t>
            </w:r>
            <w:r w:rsidRPr="0EF47C4D" w:rsidR="3556C1B4">
              <w:rPr>
                <w:rFonts w:ascii="Aptos" w:hAnsi="Aptos" w:eastAsia="Aptos" w:cs="Aptos"/>
                <w:color w:val="000000" w:themeColor="text1"/>
                <w:sz w:val="20"/>
                <w:szCs w:val="20"/>
              </w:rPr>
              <w:t>High</w:t>
            </w:r>
          </w:p>
          <w:p w:rsidR="51BB0A43" w:rsidP="51BB0A43" w:rsidRDefault="51BB0A43" w14:paraId="63FEED41" w14:textId="758C8D15">
            <w:pPr>
              <w:spacing w:after="160" w:line="276" w:lineRule="auto"/>
              <w:jc w:val="center"/>
              <w:rPr>
                <w:rFonts w:ascii="Aptos" w:hAnsi="Aptos" w:eastAsia="Aptos" w:cs="Aptos"/>
                <w:sz w:val="20"/>
                <w:szCs w:val="20"/>
              </w:rPr>
            </w:pPr>
          </w:p>
        </w:tc>
        <w:tc>
          <w:tcPr>
            <w:tcW w:w="3420" w:type="dxa"/>
            <w:tcBorders>
              <w:top w:val="single" w:color="auto" w:sz="8" w:space="0"/>
              <w:left w:val="single" w:color="auto" w:sz="8" w:space="0"/>
              <w:bottom w:val="single" w:color="auto" w:sz="8" w:space="0"/>
              <w:right w:val="single" w:color="auto" w:sz="8" w:space="0"/>
            </w:tcBorders>
          </w:tcPr>
          <w:p w:rsidR="51BB0A43" w:rsidP="51BB0A43" w:rsidRDefault="51BB0A43" w14:paraId="62E9E38E" w14:textId="513BA612">
            <w:pPr>
              <w:spacing w:after="160" w:line="276" w:lineRule="auto"/>
              <w:rPr>
                <w:rFonts w:ascii="Aptos" w:hAnsi="Aptos" w:eastAsia="Aptos" w:cs="Aptos"/>
                <w:sz w:val="20"/>
                <w:szCs w:val="20"/>
              </w:rPr>
            </w:pPr>
            <w:r w:rsidRPr="4E4C6B48">
              <w:rPr>
                <w:rFonts w:ascii="Aptos" w:hAnsi="Aptos" w:eastAsia="Aptos" w:cs="Aptos"/>
                <w:sz w:val="20"/>
                <w:szCs w:val="20"/>
              </w:rPr>
              <w:t>In May 2024,</w:t>
            </w:r>
            <w:r w:rsidRPr="4E4C6B48" w:rsidDel="008F0534">
              <w:rPr>
                <w:rFonts w:ascii="Aptos" w:hAnsi="Aptos" w:eastAsia="Aptos" w:cs="Aptos"/>
                <w:sz w:val="20"/>
                <w:szCs w:val="20"/>
              </w:rPr>
              <w:t xml:space="preserve"> </w:t>
            </w:r>
            <w:r w:rsidR="008F0534">
              <w:rPr>
                <w:rFonts w:ascii="Aptos" w:hAnsi="Aptos" w:eastAsia="Aptos" w:cs="Aptos"/>
                <w:sz w:val="20"/>
                <w:szCs w:val="20"/>
              </w:rPr>
              <w:t>BPF</w:t>
            </w:r>
            <w:r w:rsidRPr="4E4C6B48" w:rsidR="008F0534">
              <w:rPr>
                <w:rFonts w:ascii="Aptos" w:hAnsi="Aptos" w:eastAsia="Aptos" w:cs="Aptos"/>
                <w:sz w:val="20"/>
                <w:szCs w:val="20"/>
              </w:rPr>
              <w:t xml:space="preserve"> </w:t>
            </w:r>
            <w:r w:rsidRPr="4E4C6B48">
              <w:rPr>
                <w:rFonts w:ascii="Aptos" w:hAnsi="Aptos" w:eastAsia="Aptos" w:cs="Aptos"/>
                <w:sz w:val="20"/>
                <w:szCs w:val="20"/>
              </w:rPr>
              <w:t xml:space="preserve">recruited resources devoted to addressing ICAI recommendations. A </w:t>
            </w:r>
            <w:r w:rsidR="008B1AF3">
              <w:rPr>
                <w:rFonts w:ascii="Aptos" w:hAnsi="Aptos" w:eastAsia="Aptos" w:cs="Aptos"/>
                <w:sz w:val="20"/>
                <w:szCs w:val="20"/>
              </w:rPr>
              <w:t xml:space="preserve">BPF portfolio </w:t>
            </w:r>
            <w:r w:rsidRPr="4E4C6B48">
              <w:rPr>
                <w:rFonts w:ascii="Aptos" w:hAnsi="Aptos" w:eastAsia="Aptos" w:cs="Aptos"/>
                <w:sz w:val="20"/>
                <w:szCs w:val="20"/>
              </w:rPr>
              <w:t>management plan has been produced planning how recommendations will be addressed</w:t>
            </w:r>
            <w:r w:rsidR="008B1AF3">
              <w:rPr>
                <w:rFonts w:ascii="Aptos" w:hAnsi="Aptos" w:eastAsia="Aptos" w:cs="Aptos"/>
                <w:sz w:val="20"/>
                <w:szCs w:val="20"/>
              </w:rPr>
              <w:t xml:space="preserve"> across programmes</w:t>
            </w:r>
            <w:r w:rsidRPr="4E4C6B48">
              <w:rPr>
                <w:rFonts w:ascii="Aptos" w:hAnsi="Aptos" w:eastAsia="Aptos" w:cs="Aptos"/>
                <w:sz w:val="20"/>
                <w:szCs w:val="20"/>
              </w:rPr>
              <w:t xml:space="preserve">. Regular updates on ICAI compliance to be provided by </w:t>
            </w:r>
            <w:r w:rsidR="006400C6">
              <w:rPr>
                <w:rFonts w:ascii="Aptos" w:hAnsi="Aptos" w:eastAsia="Aptos" w:cs="Aptos"/>
                <w:sz w:val="20"/>
                <w:szCs w:val="20"/>
              </w:rPr>
              <w:t xml:space="preserve">the </w:t>
            </w:r>
            <w:r w:rsidRPr="4E4C6B48">
              <w:rPr>
                <w:rFonts w:ascii="Aptos" w:hAnsi="Aptos" w:eastAsia="Aptos" w:cs="Aptos"/>
                <w:sz w:val="20"/>
                <w:szCs w:val="20"/>
              </w:rPr>
              <w:t>OCPP. A commercial review of ALB overhead spend has been complete</w:t>
            </w:r>
            <w:r w:rsidRPr="2DD86F1D" w:rsidR="44576BDE">
              <w:rPr>
                <w:rFonts w:ascii="Aptos" w:hAnsi="Aptos" w:eastAsia="Aptos" w:cs="Aptos"/>
                <w:sz w:val="20"/>
                <w:szCs w:val="20"/>
              </w:rPr>
              <w:t>.</w:t>
            </w:r>
            <w:r w:rsidRPr="4E4C6B48">
              <w:rPr>
                <w:rFonts w:ascii="Aptos" w:hAnsi="Aptos" w:eastAsia="Aptos" w:cs="Aptos"/>
                <w:sz w:val="20"/>
                <w:szCs w:val="20"/>
              </w:rPr>
              <w:t xml:space="preserve"> Plans for next ICAI audit in progress through on going meetings</w:t>
            </w:r>
          </w:p>
        </w:tc>
        <w:tc>
          <w:tcPr>
            <w:tcW w:w="1035" w:type="dxa"/>
            <w:tcBorders>
              <w:top w:val="single" w:color="auto" w:sz="8" w:space="0"/>
              <w:left w:val="single" w:color="auto" w:sz="8" w:space="0"/>
              <w:bottom w:val="single" w:color="auto" w:sz="8" w:space="0"/>
              <w:right w:val="single" w:color="auto" w:sz="8" w:space="0"/>
            </w:tcBorders>
            <w:shd w:val="clear" w:color="auto" w:fill="FFC000" w:themeFill="accent4"/>
          </w:tcPr>
          <w:p w:rsidR="51BB0A43" w:rsidP="51BB0A43" w:rsidRDefault="3855C4F2" w14:paraId="37E90BF0" w14:textId="71F7DF5D">
            <w:pPr>
              <w:spacing w:after="160" w:line="276" w:lineRule="auto"/>
              <w:rPr>
                <w:rFonts w:ascii="Aptos" w:hAnsi="Aptos" w:eastAsia="Aptos" w:cs="Aptos"/>
                <w:sz w:val="18"/>
                <w:szCs w:val="18"/>
              </w:rPr>
            </w:pPr>
            <w:r w:rsidRPr="284A7271">
              <w:rPr>
                <w:rFonts w:ascii="Aptos" w:hAnsi="Aptos" w:eastAsia="Aptos" w:cs="Aptos"/>
                <w:sz w:val="20"/>
                <w:szCs w:val="20"/>
              </w:rPr>
              <w:t>Medium</w:t>
            </w:r>
          </w:p>
        </w:tc>
        <w:tc>
          <w:tcPr>
            <w:tcW w:w="1266" w:type="dxa"/>
            <w:tcBorders>
              <w:top w:val="single" w:color="auto" w:sz="8" w:space="0"/>
              <w:left w:val="single" w:color="auto" w:sz="8" w:space="0"/>
              <w:bottom w:val="single" w:color="auto" w:sz="8" w:space="0"/>
              <w:right w:val="single" w:color="auto" w:sz="8" w:space="0"/>
            </w:tcBorders>
            <w:shd w:val="clear" w:color="auto" w:fill="70AD47" w:themeFill="accent6"/>
          </w:tcPr>
          <w:p w:rsidR="5B2ABB7B" w:rsidP="1CA0E3E0" w:rsidRDefault="6B7C45F0" w14:paraId="72EE0F8E" w14:textId="0A617C8B">
            <w:pPr>
              <w:spacing w:line="276" w:lineRule="auto"/>
              <w:jc w:val="center"/>
              <w:rPr>
                <w:rFonts w:ascii="Aptos" w:hAnsi="Aptos" w:eastAsia="Aptos" w:cs="Aptos"/>
                <w:sz w:val="20"/>
                <w:szCs w:val="20"/>
              </w:rPr>
            </w:pPr>
            <w:r w:rsidRPr="58783F71">
              <w:rPr>
                <w:rFonts w:ascii="Aptos" w:hAnsi="Aptos" w:eastAsia="Aptos" w:cs="Aptos"/>
                <w:sz w:val="20"/>
                <w:szCs w:val="20"/>
              </w:rPr>
              <w:t>Cautious</w:t>
            </w:r>
          </w:p>
        </w:tc>
      </w:tr>
      <w:tr w:rsidR="00E5644D" w:rsidTr="284A7271" w14:paraId="52D83A31" w14:textId="3BE67F43">
        <w:trPr>
          <w:trHeight w:val="930"/>
        </w:trPr>
        <w:tc>
          <w:tcPr>
            <w:tcW w:w="2370" w:type="dxa"/>
            <w:tcBorders>
              <w:top w:val="single" w:color="auto" w:sz="8" w:space="0"/>
              <w:left w:val="single" w:color="auto" w:sz="8" w:space="0"/>
              <w:bottom w:val="single" w:color="auto" w:sz="8" w:space="0"/>
              <w:right w:val="single" w:color="auto" w:sz="8" w:space="0"/>
            </w:tcBorders>
          </w:tcPr>
          <w:p w:rsidR="51BB0A43" w:rsidP="51BB0A43" w:rsidRDefault="51BB0A43" w14:paraId="5088F254" w14:textId="2E945033">
            <w:pPr>
              <w:spacing w:after="160" w:line="276" w:lineRule="auto"/>
              <w:rPr>
                <w:rFonts w:ascii="Aptos" w:hAnsi="Aptos" w:eastAsia="Aptos" w:cs="Aptos"/>
                <w:sz w:val="20"/>
                <w:szCs w:val="20"/>
              </w:rPr>
            </w:pPr>
            <w:r w:rsidRPr="4E4C6B48">
              <w:rPr>
                <w:rFonts w:ascii="Aptos" w:hAnsi="Aptos" w:eastAsia="Aptos" w:cs="Aptos"/>
                <w:sz w:val="20"/>
                <w:szCs w:val="20"/>
              </w:rPr>
              <w:t xml:space="preserve">Safeguarding complaints will not be handled appropriately </w:t>
            </w:r>
            <w:r w:rsidR="00B21895">
              <w:rPr>
                <w:rFonts w:ascii="Aptos" w:hAnsi="Aptos" w:eastAsia="Aptos" w:cs="Aptos"/>
                <w:sz w:val="20"/>
                <w:szCs w:val="20"/>
              </w:rPr>
              <w:t xml:space="preserve">by ALBs </w:t>
            </w:r>
            <w:r w:rsidRPr="4E4C6B48">
              <w:rPr>
                <w:rFonts w:ascii="Aptos" w:hAnsi="Aptos" w:eastAsia="Aptos" w:cs="Aptos"/>
                <w:sz w:val="20"/>
                <w:szCs w:val="20"/>
              </w:rPr>
              <w:t xml:space="preserve">due to lack of explicit policy </w:t>
            </w:r>
          </w:p>
        </w:tc>
        <w:tc>
          <w:tcPr>
            <w:tcW w:w="1050" w:type="dxa"/>
            <w:tcBorders>
              <w:top w:val="single" w:color="auto" w:sz="8" w:space="0"/>
              <w:left w:val="single" w:color="auto" w:sz="8" w:space="0"/>
              <w:bottom w:val="single" w:color="auto" w:sz="8" w:space="0"/>
              <w:right w:val="single" w:color="auto" w:sz="8" w:space="0"/>
            </w:tcBorders>
            <w:shd w:val="clear" w:color="auto" w:fill="FF0000"/>
          </w:tcPr>
          <w:p w:rsidR="57DAB54E" w:rsidP="20CE69EF" w:rsidRDefault="57DAB54E" w14:paraId="731C078E" w14:textId="53603DD7">
            <w:pPr>
              <w:spacing w:after="160" w:line="276" w:lineRule="auto"/>
              <w:jc w:val="center"/>
              <w:rPr>
                <w:rFonts w:ascii="Aptos" w:hAnsi="Aptos" w:eastAsia="Aptos" w:cs="Aptos"/>
                <w:color w:val="000000" w:themeColor="text1"/>
                <w:sz w:val="20"/>
                <w:szCs w:val="20"/>
              </w:rPr>
            </w:pPr>
            <w:r w:rsidRPr="20CE69EF">
              <w:rPr>
                <w:rFonts w:ascii="Aptos" w:hAnsi="Aptos" w:eastAsia="Aptos" w:cs="Aptos"/>
                <w:sz w:val="20"/>
                <w:szCs w:val="20"/>
              </w:rPr>
              <w:t xml:space="preserve"> </w:t>
            </w:r>
            <w:r w:rsidRPr="20CE69EF" w:rsidR="513E8D02">
              <w:rPr>
                <w:rFonts w:ascii="Aptos" w:hAnsi="Aptos" w:eastAsia="Aptos" w:cs="Aptos"/>
                <w:color w:val="000000" w:themeColor="text1"/>
                <w:sz w:val="20"/>
                <w:szCs w:val="20"/>
              </w:rPr>
              <w:t>High</w:t>
            </w:r>
          </w:p>
          <w:p w:rsidR="51BB0A43" w:rsidP="51BB0A43" w:rsidRDefault="51BB0A43" w14:paraId="10622B31" w14:textId="6C84D1CF">
            <w:pPr>
              <w:spacing w:after="160" w:line="276" w:lineRule="auto"/>
              <w:jc w:val="center"/>
              <w:rPr>
                <w:rFonts w:ascii="Aptos" w:hAnsi="Aptos" w:eastAsia="Aptos" w:cs="Aptos"/>
                <w:sz w:val="20"/>
                <w:szCs w:val="20"/>
              </w:rPr>
            </w:pPr>
          </w:p>
        </w:tc>
        <w:tc>
          <w:tcPr>
            <w:tcW w:w="3420" w:type="dxa"/>
            <w:tcBorders>
              <w:top w:val="single" w:color="auto" w:sz="8" w:space="0"/>
              <w:left w:val="single" w:color="auto" w:sz="8" w:space="0"/>
              <w:bottom w:val="single" w:color="auto" w:sz="8" w:space="0"/>
              <w:right w:val="single" w:color="auto" w:sz="8" w:space="0"/>
            </w:tcBorders>
          </w:tcPr>
          <w:p w:rsidR="51BB0A43" w:rsidP="51BB0A43" w:rsidRDefault="51BB0A43" w14:paraId="5350C97F" w14:textId="72C2F1F2">
            <w:pPr>
              <w:spacing w:after="160" w:line="276" w:lineRule="auto"/>
              <w:rPr>
                <w:rFonts w:ascii="Aptos" w:hAnsi="Aptos" w:eastAsia="Aptos" w:cs="Aptos"/>
                <w:sz w:val="20"/>
                <w:szCs w:val="20"/>
              </w:rPr>
            </w:pPr>
            <w:r w:rsidRPr="4E4C6B48">
              <w:rPr>
                <w:rFonts w:ascii="Aptos" w:hAnsi="Aptos" w:eastAsia="Aptos" w:cs="Aptos"/>
                <w:sz w:val="20"/>
                <w:szCs w:val="20"/>
              </w:rPr>
              <w:t>Safeguarding language has been included in partnership MoU and will inform Cefas</w:t>
            </w:r>
            <w:r w:rsidR="00101E14">
              <w:rPr>
                <w:rFonts w:ascii="Aptos" w:hAnsi="Aptos" w:eastAsia="Aptos" w:cs="Aptos"/>
                <w:sz w:val="20"/>
                <w:szCs w:val="20"/>
              </w:rPr>
              <w:t>’s</w:t>
            </w:r>
            <w:r w:rsidRPr="4E4C6B48">
              <w:rPr>
                <w:rFonts w:ascii="Aptos" w:hAnsi="Aptos" w:eastAsia="Aptos" w:cs="Aptos"/>
                <w:sz w:val="20"/>
                <w:szCs w:val="20"/>
              </w:rPr>
              <w:t xml:space="preserve"> organisational policy. ALBs have been tasked to implement processes and training for employees to address safeguarding gap. ALBs have completed an assessment on safeguarding status. </w:t>
            </w:r>
            <w:r w:rsidR="003D7069">
              <w:rPr>
                <w:rFonts w:ascii="Aptos" w:hAnsi="Aptos" w:eastAsia="Aptos" w:cs="Aptos"/>
                <w:sz w:val="20"/>
                <w:szCs w:val="20"/>
              </w:rPr>
              <w:t xml:space="preserve">The ODA Hub </w:t>
            </w:r>
            <w:r w:rsidRPr="6383B914" w:rsidR="61D6176B">
              <w:rPr>
                <w:rFonts w:ascii="Aptos" w:hAnsi="Aptos" w:eastAsia="Aptos" w:cs="Aptos"/>
                <w:sz w:val="20"/>
                <w:szCs w:val="20"/>
              </w:rPr>
              <w:t>is</w:t>
            </w:r>
            <w:r w:rsidRPr="4E4C6B48">
              <w:rPr>
                <w:rFonts w:ascii="Aptos" w:hAnsi="Aptos" w:eastAsia="Aptos" w:cs="Aptos"/>
                <w:sz w:val="20"/>
                <w:szCs w:val="20"/>
              </w:rPr>
              <w:t xml:space="preserve"> undertaking a review of Safeguarding </w:t>
            </w:r>
            <w:r w:rsidRPr="2DD86F1D" w:rsidR="44576BDE">
              <w:rPr>
                <w:rFonts w:ascii="Aptos" w:hAnsi="Aptos" w:eastAsia="Aptos" w:cs="Aptos"/>
                <w:sz w:val="20"/>
                <w:szCs w:val="20"/>
              </w:rPr>
              <w:t>across</w:t>
            </w:r>
            <w:r w:rsidRPr="2DD86F1D" w:rsidR="2958BB62">
              <w:rPr>
                <w:rFonts w:ascii="Aptos" w:hAnsi="Aptos" w:eastAsia="Aptos" w:cs="Aptos"/>
                <w:sz w:val="20"/>
                <w:szCs w:val="20"/>
              </w:rPr>
              <w:t xml:space="preserve"> </w:t>
            </w:r>
            <w:r w:rsidRPr="2DD86F1D" w:rsidR="16FD7264">
              <w:rPr>
                <w:rFonts w:ascii="Aptos" w:hAnsi="Aptos" w:eastAsia="Aptos" w:cs="Aptos"/>
                <w:sz w:val="20"/>
                <w:szCs w:val="20"/>
              </w:rPr>
              <w:t>Defra</w:t>
            </w:r>
            <w:r w:rsidR="003D7069">
              <w:rPr>
                <w:rFonts w:ascii="Aptos" w:hAnsi="Aptos" w:eastAsia="Aptos" w:cs="Aptos"/>
                <w:sz w:val="20"/>
                <w:szCs w:val="20"/>
              </w:rPr>
              <w:t xml:space="preserve"> ODA programmes </w:t>
            </w:r>
            <w:r w:rsidRPr="4E4C6B48">
              <w:rPr>
                <w:rFonts w:ascii="Aptos" w:hAnsi="Aptos" w:eastAsia="Aptos" w:cs="Aptos"/>
                <w:sz w:val="20"/>
                <w:szCs w:val="20"/>
              </w:rPr>
              <w:t>to identify gaps. Safeguarding issues have been signposted through ongoing work between ODA Hub and the ALBs.</w:t>
            </w:r>
          </w:p>
        </w:tc>
        <w:tc>
          <w:tcPr>
            <w:tcW w:w="1035" w:type="dxa"/>
            <w:tcBorders>
              <w:top w:val="single" w:color="auto" w:sz="8" w:space="0"/>
              <w:left w:val="single" w:color="auto" w:sz="8" w:space="0"/>
              <w:bottom w:val="single" w:color="auto" w:sz="8" w:space="0"/>
              <w:right w:val="single" w:color="auto" w:sz="8" w:space="0"/>
            </w:tcBorders>
            <w:shd w:val="clear" w:color="auto" w:fill="FFC000" w:themeFill="accent4"/>
          </w:tcPr>
          <w:p w:rsidR="51BB0A43" w:rsidP="284A7271" w:rsidRDefault="57DAB54E" w14:paraId="3EE99DE2" w14:textId="262C358B">
            <w:pPr>
              <w:spacing w:after="160" w:line="276" w:lineRule="auto"/>
              <w:rPr>
                <w:rFonts w:ascii="Aptos" w:hAnsi="Aptos" w:eastAsia="Aptos" w:cs="Aptos"/>
                <w:sz w:val="20"/>
                <w:szCs w:val="20"/>
              </w:rPr>
            </w:pPr>
            <w:r w:rsidRPr="284A7271">
              <w:rPr>
                <w:rFonts w:ascii="Aptos" w:hAnsi="Aptos" w:eastAsia="Aptos" w:cs="Aptos"/>
                <w:sz w:val="20"/>
                <w:szCs w:val="20"/>
              </w:rPr>
              <w:t xml:space="preserve"> </w:t>
            </w:r>
            <w:r w:rsidRPr="284A7271" w:rsidR="42D5E4FC">
              <w:rPr>
                <w:rFonts w:ascii="Aptos" w:hAnsi="Aptos" w:eastAsia="Aptos" w:cs="Aptos"/>
                <w:sz w:val="20"/>
                <w:szCs w:val="20"/>
              </w:rPr>
              <w:t xml:space="preserve"> </w:t>
            </w:r>
            <w:r w:rsidRPr="284A7271" w:rsidR="7EE068D9">
              <w:rPr>
                <w:rFonts w:ascii="Aptos" w:hAnsi="Aptos" w:eastAsia="Aptos" w:cs="Aptos"/>
                <w:sz w:val="20"/>
                <w:szCs w:val="20"/>
              </w:rPr>
              <w:t>Medium</w:t>
            </w:r>
          </w:p>
        </w:tc>
        <w:tc>
          <w:tcPr>
            <w:tcW w:w="1266" w:type="dxa"/>
            <w:tcBorders>
              <w:top w:val="single" w:color="auto" w:sz="8" w:space="0"/>
              <w:left w:val="single" w:color="auto" w:sz="8" w:space="0"/>
              <w:bottom w:val="single" w:color="auto" w:sz="8" w:space="0"/>
              <w:right w:val="single" w:color="auto" w:sz="8" w:space="0"/>
            </w:tcBorders>
            <w:shd w:val="clear" w:color="auto" w:fill="70AD47" w:themeFill="accent6"/>
          </w:tcPr>
          <w:p w:rsidR="5B2ABB7B" w:rsidP="1CA0E3E0" w:rsidRDefault="1B2563FB" w14:paraId="24F996D4" w14:textId="0F9DAC3A">
            <w:pPr>
              <w:spacing w:line="276" w:lineRule="auto"/>
              <w:jc w:val="center"/>
              <w:rPr>
                <w:rFonts w:ascii="Aptos" w:hAnsi="Aptos" w:eastAsia="Aptos" w:cs="Aptos"/>
                <w:sz w:val="20"/>
                <w:szCs w:val="20"/>
              </w:rPr>
            </w:pPr>
            <w:r w:rsidRPr="1CA0E3E0">
              <w:rPr>
                <w:rFonts w:ascii="Aptos" w:hAnsi="Aptos" w:eastAsia="Aptos" w:cs="Aptos"/>
                <w:sz w:val="20"/>
                <w:szCs w:val="20"/>
              </w:rPr>
              <w:t>Minimalist</w:t>
            </w:r>
          </w:p>
        </w:tc>
      </w:tr>
    </w:tbl>
    <w:p w:rsidR="57DAB54E" w:rsidP="06CC32A4" w:rsidRDefault="57DAB54E" w14:paraId="05CD7C11" w14:textId="32C23F0E">
      <w:pPr>
        <w:spacing w:after="160" w:line="276" w:lineRule="auto"/>
        <w:rPr>
          <w:rFonts w:eastAsia="Arial" w:cs="Arial"/>
          <w:b/>
          <w:bCs/>
          <w:sz w:val="22"/>
          <w:szCs w:val="22"/>
        </w:rPr>
      </w:pPr>
    </w:p>
    <w:p w:rsidR="1F27D3F2" w:rsidP="1F27D3F2" w:rsidRDefault="2E30769A" w14:paraId="28AAE8DA" w14:textId="4170C838">
      <w:pPr>
        <w:spacing w:after="160" w:line="276" w:lineRule="auto"/>
        <w:rPr>
          <w:rFonts w:eastAsia="Arial" w:cs="Arial"/>
          <w:b/>
          <w:sz w:val="22"/>
          <w:szCs w:val="22"/>
        </w:rPr>
      </w:pPr>
      <w:r w:rsidRPr="06CC32A4">
        <w:rPr>
          <w:rFonts w:eastAsia="Arial" w:cs="Arial"/>
          <w:b/>
          <w:bCs/>
          <w:sz w:val="22"/>
          <w:szCs w:val="22"/>
        </w:rPr>
        <w:t xml:space="preserve">Year </w:t>
      </w:r>
      <w:r w:rsidR="00B431D1">
        <w:rPr>
          <w:rFonts w:eastAsia="Arial" w:cs="Arial"/>
          <w:b/>
          <w:bCs/>
          <w:sz w:val="22"/>
          <w:szCs w:val="22"/>
        </w:rPr>
        <w:t>three</w:t>
      </w:r>
      <w:r w:rsidRPr="06CC32A4">
        <w:rPr>
          <w:rFonts w:eastAsia="Arial" w:cs="Arial"/>
          <w:b/>
          <w:bCs/>
          <w:sz w:val="22"/>
          <w:szCs w:val="22"/>
        </w:rPr>
        <w:t xml:space="preserve"> Key OCPP </w:t>
      </w:r>
      <w:r w:rsidRPr="7C32370F">
        <w:rPr>
          <w:rFonts w:eastAsia="Arial" w:cs="Arial"/>
          <w:b/>
          <w:bCs/>
          <w:sz w:val="22"/>
          <w:szCs w:val="22"/>
        </w:rPr>
        <w:t>Issues</w:t>
      </w:r>
    </w:p>
    <w:tbl>
      <w:tblPr>
        <w:tblStyle w:val="TableGrid"/>
        <w:tblW w:w="9244" w:type="dxa"/>
        <w:tblInd w:w="135" w:type="dxa"/>
        <w:tblLayout w:type="fixed"/>
        <w:tblLook w:val="04A0" w:firstRow="1" w:lastRow="0" w:firstColumn="1" w:lastColumn="0" w:noHBand="0" w:noVBand="1"/>
      </w:tblPr>
      <w:tblGrid>
        <w:gridCol w:w="2254"/>
        <w:gridCol w:w="900"/>
        <w:gridCol w:w="1005"/>
        <w:gridCol w:w="5085"/>
      </w:tblGrid>
      <w:tr w:rsidR="007609ED" w:rsidTr="1A460D94" w14:paraId="30655B83" w14:textId="77777777">
        <w:trPr>
          <w:trHeight w:val="300"/>
        </w:trPr>
        <w:tc>
          <w:tcPr>
            <w:tcW w:w="2254" w:type="dxa"/>
            <w:tcBorders>
              <w:top w:val="single" w:color="auto" w:sz="8" w:space="0"/>
              <w:left w:val="single" w:color="auto" w:sz="8" w:space="0"/>
              <w:bottom w:val="single" w:color="auto" w:sz="8" w:space="0"/>
              <w:right w:val="single" w:color="auto" w:sz="8" w:space="0"/>
            </w:tcBorders>
            <w:shd w:val="clear" w:color="auto" w:fill="DAE9F7"/>
            <w:tcMar>
              <w:left w:w="108" w:type="dxa"/>
              <w:right w:w="108" w:type="dxa"/>
            </w:tcMar>
          </w:tcPr>
          <w:p w:rsidR="74DD2874" w:rsidP="74DD2874" w:rsidRDefault="74DD2874" w14:paraId="4C23A49C" w14:textId="3E4F7718">
            <w:pPr>
              <w:rPr>
                <w:rFonts w:ascii="Aptos" w:hAnsi="Aptos" w:eastAsia="Aptos" w:cs="Aptos"/>
                <w:b/>
                <w:color w:val="000000" w:themeColor="text1"/>
                <w:sz w:val="20"/>
                <w:szCs w:val="20"/>
              </w:rPr>
            </w:pPr>
            <w:r w:rsidRPr="6390688F">
              <w:rPr>
                <w:rFonts w:ascii="Aptos" w:hAnsi="Aptos" w:eastAsia="Aptos" w:cs="Aptos"/>
                <w:b/>
                <w:color w:val="000000" w:themeColor="text1"/>
                <w:sz w:val="20"/>
                <w:szCs w:val="20"/>
              </w:rPr>
              <w:t>Issue Description</w:t>
            </w:r>
          </w:p>
        </w:tc>
        <w:tc>
          <w:tcPr>
            <w:tcW w:w="900" w:type="dxa"/>
            <w:tcBorders>
              <w:top w:val="single" w:color="auto" w:sz="8" w:space="0"/>
              <w:left w:val="single" w:color="auto" w:sz="8" w:space="0"/>
              <w:bottom w:val="single" w:color="auto" w:sz="8" w:space="0"/>
              <w:right w:val="single" w:color="auto" w:sz="8" w:space="0"/>
            </w:tcBorders>
            <w:shd w:val="clear" w:color="auto" w:fill="DAE9F7"/>
            <w:tcMar>
              <w:left w:w="108" w:type="dxa"/>
              <w:right w:w="108" w:type="dxa"/>
            </w:tcMar>
          </w:tcPr>
          <w:p w:rsidR="74DD2874" w:rsidP="74DD2874" w:rsidRDefault="74DD2874" w14:paraId="2A5FED54" w14:textId="139A2585">
            <w:pPr>
              <w:rPr>
                <w:rFonts w:ascii="Aptos" w:hAnsi="Aptos" w:eastAsia="Aptos" w:cs="Aptos"/>
                <w:b/>
                <w:color w:val="000000" w:themeColor="text1"/>
                <w:sz w:val="20"/>
                <w:szCs w:val="20"/>
              </w:rPr>
            </w:pPr>
            <w:r w:rsidRPr="6390688F">
              <w:rPr>
                <w:rFonts w:ascii="Aptos" w:hAnsi="Aptos" w:eastAsia="Aptos" w:cs="Aptos"/>
                <w:b/>
                <w:color w:val="000000" w:themeColor="text1"/>
                <w:sz w:val="20"/>
                <w:szCs w:val="20"/>
              </w:rPr>
              <w:t>Priority</w:t>
            </w:r>
          </w:p>
        </w:tc>
        <w:tc>
          <w:tcPr>
            <w:tcW w:w="1005" w:type="dxa"/>
            <w:tcBorders>
              <w:top w:val="single" w:color="auto" w:sz="8" w:space="0"/>
              <w:left w:val="single" w:color="auto" w:sz="8" w:space="0"/>
              <w:bottom w:val="single" w:color="auto" w:sz="8" w:space="0"/>
              <w:right w:val="single" w:color="auto" w:sz="8" w:space="0"/>
            </w:tcBorders>
            <w:shd w:val="clear" w:color="auto" w:fill="DAE9F7"/>
            <w:tcMar>
              <w:left w:w="108" w:type="dxa"/>
              <w:right w:w="108" w:type="dxa"/>
            </w:tcMar>
          </w:tcPr>
          <w:p w:rsidR="74DD2874" w:rsidP="74DD2874" w:rsidRDefault="74DD2874" w14:paraId="6F5241DF" w14:textId="343CE821">
            <w:pPr>
              <w:rPr>
                <w:rFonts w:ascii="Aptos" w:hAnsi="Aptos" w:eastAsia="Aptos" w:cs="Aptos"/>
                <w:b/>
                <w:color w:val="000000" w:themeColor="text1"/>
                <w:sz w:val="20"/>
                <w:szCs w:val="20"/>
              </w:rPr>
            </w:pPr>
            <w:r w:rsidRPr="6390688F">
              <w:rPr>
                <w:rFonts w:ascii="Aptos" w:hAnsi="Aptos" w:eastAsia="Aptos" w:cs="Aptos"/>
                <w:b/>
                <w:color w:val="000000" w:themeColor="text1"/>
                <w:sz w:val="20"/>
                <w:szCs w:val="20"/>
              </w:rPr>
              <w:t>Severity</w:t>
            </w:r>
          </w:p>
        </w:tc>
        <w:tc>
          <w:tcPr>
            <w:tcW w:w="5085" w:type="dxa"/>
            <w:tcBorders>
              <w:top w:val="single" w:color="auto" w:sz="8" w:space="0"/>
              <w:left w:val="single" w:color="auto" w:sz="8" w:space="0"/>
              <w:bottom w:val="single" w:color="auto" w:sz="8" w:space="0"/>
              <w:right w:val="single" w:color="auto" w:sz="8" w:space="0"/>
            </w:tcBorders>
            <w:shd w:val="clear" w:color="auto" w:fill="DAE9F7"/>
            <w:tcMar>
              <w:left w:w="108" w:type="dxa"/>
              <w:right w:w="108" w:type="dxa"/>
            </w:tcMar>
          </w:tcPr>
          <w:p w:rsidR="74DD2874" w:rsidP="74DD2874" w:rsidRDefault="74DD2874" w14:paraId="4FAD84B1" w14:textId="1BA5B7A0">
            <w:pPr>
              <w:rPr>
                <w:rFonts w:ascii="Aptos" w:hAnsi="Aptos" w:eastAsia="Aptos" w:cs="Aptos"/>
                <w:b/>
                <w:color w:val="000000" w:themeColor="text1"/>
                <w:sz w:val="20"/>
                <w:szCs w:val="20"/>
              </w:rPr>
            </w:pPr>
            <w:r w:rsidRPr="6390688F">
              <w:rPr>
                <w:rFonts w:ascii="Aptos" w:hAnsi="Aptos" w:eastAsia="Aptos" w:cs="Aptos"/>
                <w:b/>
                <w:color w:val="000000" w:themeColor="text1"/>
                <w:sz w:val="20"/>
                <w:szCs w:val="20"/>
              </w:rPr>
              <w:t>Mitigating Action</w:t>
            </w:r>
          </w:p>
        </w:tc>
      </w:tr>
      <w:tr w:rsidR="008751CB" w:rsidTr="1A460D94" w14:paraId="634FB9A5" w14:textId="77777777">
        <w:trPr>
          <w:trHeight w:val="300"/>
        </w:trPr>
        <w:tc>
          <w:tcPr>
            <w:tcW w:w="2254" w:type="dxa"/>
            <w:tcBorders>
              <w:top w:val="single" w:color="auto" w:sz="8" w:space="0"/>
              <w:left w:val="single" w:color="auto" w:sz="8" w:space="0"/>
              <w:bottom w:val="single" w:color="auto" w:sz="8" w:space="0"/>
              <w:right w:val="single" w:color="auto" w:sz="8" w:space="0"/>
            </w:tcBorders>
            <w:tcMar>
              <w:left w:w="108" w:type="dxa"/>
              <w:right w:w="108" w:type="dxa"/>
            </w:tcMar>
          </w:tcPr>
          <w:p w:rsidR="74DD2874" w:rsidP="74DD2874" w:rsidRDefault="74DD2874" w14:paraId="1FFD64D0" w14:textId="1051FF5E">
            <w:pPr>
              <w:rPr>
                <w:rFonts w:ascii="Aptos" w:hAnsi="Aptos" w:eastAsia="Aptos" w:cs="Aptos"/>
                <w:sz w:val="20"/>
                <w:szCs w:val="20"/>
              </w:rPr>
            </w:pPr>
            <w:r w:rsidRPr="787AE66B">
              <w:rPr>
                <w:rFonts w:ascii="Aptos" w:hAnsi="Aptos" w:eastAsia="Aptos" w:cs="Aptos"/>
                <w:sz w:val="20"/>
                <w:szCs w:val="20"/>
              </w:rPr>
              <w:t xml:space="preserve">Lack of GESI analysis for </w:t>
            </w:r>
            <w:r w:rsidR="006400C6">
              <w:rPr>
                <w:rFonts w:ascii="Aptos" w:hAnsi="Aptos" w:eastAsia="Aptos" w:cs="Aptos"/>
                <w:sz w:val="20"/>
                <w:szCs w:val="20"/>
              </w:rPr>
              <w:t xml:space="preserve">the </w:t>
            </w:r>
            <w:r w:rsidRPr="787AE66B">
              <w:rPr>
                <w:rFonts w:ascii="Aptos" w:hAnsi="Aptos" w:eastAsia="Aptos" w:cs="Aptos"/>
                <w:sz w:val="20"/>
                <w:szCs w:val="20"/>
              </w:rPr>
              <w:t>OCPP. ODA Hub found OCPP to be “GESI unaware”, similar findings by ICAI.</w:t>
            </w:r>
          </w:p>
        </w:tc>
        <w:tc>
          <w:tcPr>
            <w:tcW w:w="900" w:type="dxa"/>
            <w:tcBorders>
              <w:top w:val="single" w:color="auto" w:sz="8" w:space="0"/>
              <w:left w:val="single" w:color="auto" w:sz="8" w:space="0"/>
              <w:bottom w:val="single" w:color="auto" w:sz="8" w:space="0"/>
              <w:right w:val="single" w:color="auto" w:sz="8" w:space="0"/>
            </w:tcBorders>
            <w:shd w:val="clear" w:color="auto" w:fill="FF0000"/>
            <w:tcMar>
              <w:left w:w="108" w:type="dxa"/>
              <w:right w:w="108" w:type="dxa"/>
            </w:tcMar>
          </w:tcPr>
          <w:p w:rsidR="74DD2874" w:rsidP="74DD2874" w:rsidRDefault="74DD2874" w14:paraId="44CB5AAD" w14:textId="6FFBDD13">
            <w:pPr>
              <w:rPr>
                <w:rFonts w:ascii="Aptos" w:hAnsi="Aptos" w:eastAsia="Aptos" w:cs="Aptos"/>
                <w:color w:val="000000" w:themeColor="text1"/>
                <w:sz w:val="20"/>
                <w:szCs w:val="20"/>
              </w:rPr>
            </w:pPr>
            <w:r w:rsidRPr="787AE66B">
              <w:rPr>
                <w:rFonts w:ascii="Aptos" w:hAnsi="Aptos" w:eastAsia="Aptos" w:cs="Aptos"/>
                <w:color w:val="000000" w:themeColor="text1"/>
                <w:sz w:val="20"/>
                <w:szCs w:val="20"/>
              </w:rPr>
              <w:t>High</w:t>
            </w:r>
          </w:p>
        </w:tc>
        <w:tc>
          <w:tcPr>
            <w:tcW w:w="1005" w:type="dxa"/>
            <w:tcBorders>
              <w:top w:val="single" w:color="auto" w:sz="8" w:space="0"/>
              <w:left w:val="single" w:color="auto" w:sz="8" w:space="0"/>
              <w:bottom w:val="single" w:color="auto" w:sz="8" w:space="0"/>
              <w:right w:val="single" w:color="auto" w:sz="8" w:space="0"/>
            </w:tcBorders>
            <w:shd w:val="clear" w:color="auto" w:fill="FFC000" w:themeFill="accent4"/>
            <w:tcMar>
              <w:left w:w="108" w:type="dxa"/>
              <w:right w:w="108" w:type="dxa"/>
            </w:tcMar>
          </w:tcPr>
          <w:p w:rsidR="74DD2874" w:rsidP="74DD2874" w:rsidRDefault="74DD2874" w14:paraId="5EC6B6A4" w14:textId="7674209B">
            <w:pPr>
              <w:rPr>
                <w:rFonts w:ascii="Aptos" w:hAnsi="Aptos" w:eastAsia="Aptos" w:cs="Aptos"/>
                <w:color w:val="000000" w:themeColor="text1"/>
                <w:sz w:val="20"/>
                <w:szCs w:val="20"/>
              </w:rPr>
            </w:pPr>
            <w:r w:rsidRPr="787AE66B">
              <w:rPr>
                <w:rFonts w:ascii="Aptos" w:hAnsi="Aptos" w:eastAsia="Aptos" w:cs="Aptos"/>
                <w:color w:val="000000" w:themeColor="text1"/>
                <w:sz w:val="20"/>
                <w:szCs w:val="20"/>
              </w:rPr>
              <w:t>Medium</w:t>
            </w:r>
          </w:p>
        </w:tc>
        <w:tc>
          <w:tcPr>
            <w:tcW w:w="5085" w:type="dxa"/>
            <w:tcBorders>
              <w:top w:val="single" w:color="auto" w:sz="8" w:space="0"/>
              <w:left w:val="single" w:color="auto" w:sz="8" w:space="0"/>
              <w:bottom w:val="single" w:color="auto" w:sz="8" w:space="0"/>
              <w:right w:val="single" w:color="auto" w:sz="8" w:space="0"/>
            </w:tcBorders>
            <w:tcMar>
              <w:left w:w="108" w:type="dxa"/>
              <w:right w:w="108" w:type="dxa"/>
            </w:tcMar>
          </w:tcPr>
          <w:p w:rsidR="74DD2874" w:rsidP="74DD2874" w:rsidRDefault="74DD2874" w14:paraId="0AA0CCA6" w14:textId="32838081">
            <w:pPr>
              <w:rPr>
                <w:rFonts w:ascii="Aptos" w:hAnsi="Aptos" w:eastAsia="Aptos" w:cs="Aptos"/>
                <w:sz w:val="20"/>
                <w:szCs w:val="20"/>
              </w:rPr>
            </w:pPr>
            <w:r w:rsidRPr="787AE66B">
              <w:rPr>
                <w:rFonts w:ascii="Aptos" w:hAnsi="Aptos" w:eastAsia="Aptos" w:cs="Aptos"/>
                <w:sz w:val="20"/>
                <w:szCs w:val="20"/>
              </w:rPr>
              <w:t xml:space="preserve">Independent MEL evaluator NIRAS recruited. </w:t>
            </w:r>
            <w:r w:rsidRPr="724093CC" w:rsidR="0AF38B91">
              <w:rPr>
                <w:rFonts w:ascii="Aptos" w:hAnsi="Aptos" w:eastAsia="Aptos" w:cs="Aptos"/>
                <w:sz w:val="20"/>
                <w:szCs w:val="20"/>
              </w:rPr>
              <w:t>Cefas</w:t>
            </w:r>
            <w:r w:rsidR="006B20EE">
              <w:rPr>
                <w:rFonts w:ascii="Aptos" w:hAnsi="Aptos" w:eastAsia="Aptos" w:cs="Aptos"/>
                <w:sz w:val="20"/>
                <w:szCs w:val="20"/>
              </w:rPr>
              <w:t xml:space="preserve"> have recruited a social scientist to lead on GESI across ALB partners</w:t>
            </w:r>
            <w:r w:rsidR="00395E29">
              <w:rPr>
                <w:rFonts w:ascii="Aptos" w:hAnsi="Aptos" w:eastAsia="Aptos" w:cs="Aptos"/>
                <w:sz w:val="20"/>
                <w:szCs w:val="20"/>
              </w:rPr>
              <w:t xml:space="preserve"> and has started working to ensure </w:t>
            </w:r>
            <w:r w:rsidR="00327EFE">
              <w:rPr>
                <w:rFonts w:ascii="Aptos" w:hAnsi="Aptos" w:eastAsia="Aptos" w:cs="Aptos"/>
                <w:sz w:val="20"/>
                <w:szCs w:val="20"/>
              </w:rPr>
              <w:t xml:space="preserve">GESI is embedded across delivery. </w:t>
            </w:r>
            <w:r w:rsidR="00E36F1B">
              <w:rPr>
                <w:rFonts w:ascii="Aptos" w:hAnsi="Aptos" w:eastAsia="Aptos" w:cs="Aptos"/>
                <w:sz w:val="20"/>
                <w:szCs w:val="20"/>
              </w:rPr>
              <w:t xml:space="preserve">Defra programme team </w:t>
            </w:r>
            <w:r w:rsidR="000A74F2">
              <w:rPr>
                <w:rFonts w:ascii="Aptos" w:hAnsi="Aptos" w:eastAsia="Aptos" w:cs="Aptos"/>
                <w:sz w:val="20"/>
                <w:szCs w:val="20"/>
              </w:rPr>
              <w:t xml:space="preserve">seeking to contract additional GESI expertise to support coordination of GESI across programme </w:t>
            </w:r>
            <w:r w:rsidR="00170811">
              <w:rPr>
                <w:rFonts w:ascii="Aptos" w:hAnsi="Aptos" w:eastAsia="Aptos" w:cs="Aptos"/>
                <w:sz w:val="20"/>
                <w:szCs w:val="20"/>
              </w:rPr>
              <w:t>d</w:t>
            </w:r>
            <w:r w:rsidR="00D804C5">
              <w:rPr>
                <w:rFonts w:ascii="Aptos" w:hAnsi="Aptos" w:eastAsia="Aptos" w:cs="Aptos"/>
                <w:sz w:val="20"/>
                <w:szCs w:val="20"/>
              </w:rPr>
              <w:t xml:space="preserve">elivery </w:t>
            </w:r>
            <w:r w:rsidR="00170811">
              <w:rPr>
                <w:rFonts w:ascii="Aptos" w:hAnsi="Aptos" w:eastAsia="Aptos" w:cs="Aptos"/>
                <w:sz w:val="20"/>
                <w:szCs w:val="20"/>
              </w:rPr>
              <w:t>partners.</w:t>
            </w:r>
          </w:p>
        </w:tc>
      </w:tr>
      <w:tr w:rsidR="008751CB" w:rsidTr="1A460D94" w14:paraId="1AEF8B94" w14:textId="77777777">
        <w:trPr>
          <w:trHeight w:val="300"/>
        </w:trPr>
        <w:tc>
          <w:tcPr>
            <w:tcW w:w="2254" w:type="dxa"/>
            <w:tcBorders>
              <w:top w:val="single" w:color="auto" w:sz="8" w:space="0"/>
              <w:left w:val="single" w:color="auto" w:sz="8" w:space="0"/>
              <w:bottom w:val="single" w:color="auto" w:sz="8" w:space="0"/>
              <w:right w:val="single" w:color="auto" w:sz="8" w:space="0"/>
            </w:tcBorders>
            <w:tcMar>
              <w:left w:w="108" w:type="dxa"/>
              <w:right w:w="108" w:type="dxa"/>
            </w:tcMar>
          </w:tcPr>
          <w:p w:rsidR="74DD2874" w:rsidP="74DD2874" w:rsidRDefault="74DD2874" w14:paraId="14AE724C" w14:textId="619A54B0">
            <w:pPr>
              <w:rPr>
                <w:rFonts w:ascii="Aptos" w:hAnsi="Aptos" w:eastAsia="Aptos" w:cs="Aptos"/>
                <w:sz w:val="20"/>
                <w:szCs w:val="20"/>
              </w:rPr>
            </w:pPr>
            <w:r w:rsidRPr="787AE66B">
              <w:rPr>
                <w:rFonts w:ascii="Aptos" w:hAnsi="Aptos" w:eastAsia="Aptos" w:cs="Aptos"/>
                <w:sz w:val="20"/>
                <w:szCs w:val="20"/>
              </w:rPr>
              <w:t>Lack of Political Economy analysis has led to limited knowledge of the PE situation in individual partnerships.</w:t>
            </w:r>
          </w:p>
        </w:tc>
        <w:tc>
          <w:tcPr>
            <w:tcW w:w="900" w:type="dxa"/>
            <w:tcBorders>
              <w:top w:val="single" w:color="auto" w:sz="8" w:space="0"/>
              <w:left w:val="single" w:color="auto" w:sz="8" w:space="0"/>
              <w:bottom w:val="single" w:color="auto" w:sz="8" w:space="0"/>
              <w:right w:val="single" w:color="auto" w:sz="8" w:space="0"/>
            </w:tcBorders>
            <w:shd w:val="clear" w:color="auto" w:fill="FF0000"/>
            <w:tcMar>
              <w:left w:w="108" w:type="dxa"/>
              <w:right w:w="108" w:type="dxa"/>
            </w:tcMar>
          </w:tcPr>
          <w:p w:rsidR="74DD2874" w:rsidP="74DD2874" w:rsidRDefault="74DD2874" w14:paraId="68A5EA38" w14:textId="5A60475E">
            <w:pPr>
              <w:rPr>
                <w:rFonts w:ascii="Aptos" w:hAnsi="Aptos" w:eastAsia="Aptos" w:cs="Aptos"/>
                <w:color w:val="000000" w:themeColor="text1"/>
                <w:sz w:val="20"/>
                <w:szCs w:val="20"/>
              </w:rPr>
            </w:pPr>
            <w:r w:rsidRPr="787AE66B">
              <w:rPr>
                <w:rFonts w:ascii="Aptos" w:hAnsi="Aptos" w:eastAsia="Aptos" w:cs="Aptos"/>
                <w:color w:val="000000" w:themeColor="text1"/>
                <w:sz w:val="20"/>
                <w:szCs w:val="20"/>
              </w:rPr>
              <w:t>High</w:t>
            </w:r>
          </w:p>
        </w:tc>
        <w:tc>
          <w:tcPr>
            <w:tcW w:w="1005" w:type="dxa"/>
            <w:tcBorders>
              <w:top w:val="single" w:color="auto" w:sz="8" w:space="0"/>
              <w:left w:val="single" w:color="auto" w:sz="8" w:space="0"/>
              <w:bottom w:val="single" w:color="auto" w:sz="8" w:space="0"/>
              <w:right w:val="single" w:color="auto" w:sz="8" w:space="0"/>
            </w:tcBorders>
            <w:shd w:val="clear" w:color="auto" w:fill="FF0000"/>
            <w:tcMar>
              <w:left w:w="108" w:type="dxa"/>
              <w:right w:w="108" w:type="dxa"/>
            </w:tcMar>
          </w:tcPr>
          <w:p w:rsidR="74DD2874" w:rsidP="74DD2874" w:rsidRDefault="74DD2874" w14:paraId="1FD76280" w14:textId="003B2ED3">
            <w:pPr>
              <w:rPr>
                <w:rFonts w:ascii="Aptos" w:hAnsi="Aptos" w:eastAsia="Aptos" w:cs="Aptos"/>
                <w:color w:val="000000" w:themeColor="text1"/>
                <w:sz w:val="20"/>
                <w:szCs w:val="20"/>
              </w:rPr>
            </w:pPr>
            <w:r w:rsidRPr="787AE66B">
              <w:rPr>
                <w:rFonts w:ascii="Aptos" w:hAnsi="Aptos" w:eastAsia="Aptos" w:cs="Aptos"/>
                <w:color w:val="000000" w:themeColor="text1"/>
                <w:sz w:val="20"/>
                <w:szCs w:val="20"/>
              </w:rPr>
              <w:t>High</w:t>
            </w:r>
          </w:p>
        </w:tc>
        <w:tc>
          <w:tcPr>
            <w:tcW w:w="5085" w:type="dxa"/>
            <w:tcBorders>
              <w:top w:val="single" w:color="auto" w:sz="8" w:space="0"/>
              <w:left w:val="single" w:color="auto" w:sz="8" w:space="0"/>
              <w:bottom w:val="single" w:color="auto" w:sz="8" w:space="0"/>
              <w:right w:val="single" w:color="auto" w:sz="8" w:space="0"/>
            </w:tcBorders>
            <w:tcMar>
              <w:left w:w="108" w:type="dxa"/>
              <w:right w:w="108" w:type="dxa"/>
            </w:tcMar>
          </w:tcPr>
          <w:p w:rsidR="74DD2874" w:rsidP="74DD2874" w:rsidRDefault="00853DD0" w14:paraId="09691445" w14:textId="77B6B253">
            <w:pPr>
              <w:rPr>
                <w:rFonts w:ascii="Aptos" w:hAnsi="Aptos" w:eastAsia="Aptos" w:cs="Aptos"/>
                <w:sz w:val="20"/>
                <w:szCs w:val="20"/>
              </w:rPr>
            </w:pPr>
            <w:r w:rsidRPr="13CF5ED8">
              <w:rPr>
                <w:rFonts w:ascii="Aptos" w:hAnsi="Aptos" w:eastAsia="Aptos" w:cs="Aptos"/>
                <w:sz w:val="20"/>
                <w:szCs w:val="20"/>
              </w:rPr>
              <w:t xml:space="preserve">Recommendation to address included within this </w:t>
            </w:r>
            <w:r w:rsidR="00C14357">
              <w:rPr>
                <w:rFonts w:ascii="Aptos" w:hAnsi="Aptos" w:eastAsia="Aptos" w:cs="Aptos"/>
                <w:sz w:val="20"/>
                <w:szCs w:val="20"/>
              </w:rPr>
              <w:t>annual review</w:t>
            </w:r>
            <w:r w:rsidRPr="13CF5ED8">
              <w:rPr>
                <w:rFonts w:ascii="Aptos" w:hAnsi="Aptos" w:eastAsia="Aptos" w:cs="Aptos"/>
                <w:sz w:val="20"/>
                <w:szCs w:val="20"/>
              </w:rPr>
              <w:t xml:space="preserve">. </w:t>
            </w:r>
            <w:r w:rsidR="00560681">
              <w:rPr>
                <w:rFonts w:ascii="Aptos" w:hAnsi="Aptos" w:eastAsia="Aptos" w:cs="Aptos"/>
                <w:sz w:val="20"/>
                <w:szCs w:val="20"/>
              </w:rPr>
              <w:t xml:space="preserve">Cefas to ensure </w:t>
            </w:r>
            <w:r w:rsidR="00B12094">
              <w:rPr>
                <w:rFonts w:ascii="Aptos" w:hAnsi="Aptos" w:eastAsia="Aptos" w:cs="Aptos"/>
                <w:sz w:val="20"/>
                <w:szCs w:val="20"/>
              </w:rPr>
              <w:t>adequate PE analysis across bilateral partnerships.</w:t>
            </w:r>
            <w:r w:rsidRPr="787AE66B" w:rsidR="74DD2874">
              <w:rPr>
                <w:rFonts w:ascii="Aptos" w:hAnsi="Aptos" w:eastAsia="Aptos" w:cs="Aptos"/>
                <w:sz w:val="20"/>
                <w:szCs w:val="20"/>
              </w:rPr>
              <w:t xml:space="preserve"> </w:t>
            </w:r>
          </w:p>
        </w:tc>
      </w:tr>
      <w:tr w:rsidR="008751CB" w:rsidTr="1A460D94" w14:paraId="5F3892D7" w14:textId="77777777">
        <w:trPr>
          <w:trHeight w:val="300"/>
        </w:trPr>
        <w:tc>
          <w:tcPr>
            <w:tcW w:w="2254" w:type="dxa"/>
            <w:tcBorders>
              <w:top w:val="single" w:color="auto" w:sz="8" w:space="0"/>
              <w:left w:val="single" w:color="auto" w:sz="8" w:space="0"/>
              <w:bottom w:val="single" w:color="auto" w:sz="8" w:space="0"/>
              <w:right w:val="single" w:color="auto" w:sz="8" w:space="0"/>
            </w:tcBorders>
            <w:tcMar>
              <w:left w:w="108" w:type="dxa"/>
              <w:right w:w="108" w:type="dxa"/>
            </w:tcMar>
          </w:tcPr>
          <w:p w:rsidR="74DD2874" w:rsidP="74DD2874" w:rsidRDefault="74DD2874" w14:paraId="2BB03D6F" w14:textId="44EB386E">
            <w:pPr>
              <w:rPr>
                <w:rFonts w:ascii="Aptos" w:hAnsi="Aptos" w:eastAsia="Aptos" w:cs="Aptos"/>
                <w:sz w:val="20"/>
                <w:szCs w:val="20"/>
              </w:rPr>
            </w:pPr>
            <w:r w:rsidRPr="787AE66B">
              <w:rPr>
                <w:rFonts w:ascii="Aptos" w:hAnsi="Aptos" w:eastAsia="Aptos" w:cs="Aptos"/>
                <w:sz w:val="20"/>
                <w:szCs w:val="20"/>
              </w:rPr>
              <w:t>Underdeveloped transition strategy</w:t>
            </w:r>
          </w:p>
        </w:tc>
        <w:tc>
          <w:tcPr>
            <w:tcW w:w="900" w:type="dxa"/>
            <w:tcBorders>
              <w:top w:val="single" w:color="auto" w:sz="8" w:space="0"/>
              <w:left w:val="single" w:color="auto" w:sz="8" w:space="0"/>
              <w:bottom w:val="single" w:color="auto" w:sz="8" w:space="0"/>
              <w:right w:val="single" w:color="auto" w:sz="8" w:space="0"/>
            </w:tcBorders>
            <w:shd w:val="clear" w:color="auto" w:fill="FF0000"/>
            <w:tcMar>
              <w:left w:w="108" w:type="dxa"/>
              <w:right w:w="108" w:type="dxa"/>
            </w:tcMar>
          </w:tcPr>
          <w:p w:rsidR="74DD2874" w:rsidP="74DD2874" w:rsidRDefault="74DD2874" w14:paraId="06E42A03" w14:textId="5014A681">
            <w:pPr>
              <w:rPr>
                <w:rFonts w:ascii="Aptos" w:hAnsi="Aptos" w:eastAsia="Aptos" w:cs="Aptos"/>
                <w:color w:val="000000" w:themeColor="text1"/>
                <w:sz w:val="20"/>
                <w:szCs w:val="20"/>
              </w:rPr>
            </w:pPr>
            <w:r w:rsidRPr="787AE66B">
              <w:rPr>
                <w:rFonts w:ascii="Aptos" w:hAnsi="Aptos" w:eastAsia="Aptos" w:cs="Aptos"/>
                <w:color w:val="000000" w:themeColor="text1"/>
                <w:sz w:val="20"/>
                <w:szCs w:val="20"/>
              </w:rPr>
              <w:t>High</w:t>
            </w:r>
          </w:p>
        </w:tc>
        <w:tc>
          <w:tcPr>
            <w:tcW w:w="1005" w:type="dxa"/>
            <w:tcBorders>
              <w:top w:val="single" w:color="auto" w:sz="8" w:space="0"/>
              <w:left w:val="single" w:color="auto" w:sz="8" w:space="0"/>
              <w:bottom w:val="single" w:color="auto" w:sz="8" w:space="0"/>
              <w:right w:val="single" w:color="auto" w:sz="8" w:space="0"/>
            </w:tcBorders>
            <w:shd w:val="clear" w:color="auto" w:fill="FF0000"/>
            <w:tcMar>
              <w:left w:w="108" w:type="dxa"/>
              <w:right w:w="108" w:type="dxa"/>
            </w:tcMar>
          </w:tcPr>
          <w:p w:rsidR="74DD2874" w:rsidP="74DD2874" w:rsidRDefault="74DD2874" w14:paraId="515A3909" w14:textId="08F0BBF8">
            <w:pPr>
              <w:rPr>
                <w:rFonts w:ascii="Aptos" w:hAnsi="Aptos" w:eastAsia="Aptos" w:cs="Aptos"/>
                <w:color w:val="000000" w:themeColor="text1"/>
                <w:sz w:val="20"/>
                <w:szCs w:val="20"/>
              </w:rPr>
            </w:pPr>
            <w:r w:rsidRPr="787AE66B">
              <w:rPr>
                <w:rFonts w:ascii="Aptos" w:hAnsi="Aptos" w:eastAsia="Aptos" w:cs="Aptos"/>
                <w:color w:val="000000" w:themeColor="text1"/>
                <w:sz w:val="20"/>
                <w:szCs w:val="20"/>
              </w:rPr>
              <w:t>High</w:t>
            </w:r>
          </w:p>
        </w:tc>
        <w:tc>
          <w:tcPr>
            <w:tcW w:w="5085" w:type="dxa"/>
            <w:tcBorders>
              <w:top w:val="single" w:color="auto" w:sz="8" w:space="0"/>
              <w:left w:val="single" w:color="auto" w:sz="8" w:space="0"/>
              <w:bottom w:val="single" w:color="auto" w:sz="8" w:space="0"/>
              <w:right w:val="single" w:color="auto" w:sz="8" w:space="0"/>
            </w:tcBorders>
            <w:tcMar>
              <w:left w:w="108" w:type="dxa"/>
              <w:right w:w="108" w:type="dxa"/>
            </w:tcMar>
          </w:tcPr>
          <w:p w:rsidR="74DD2874" w:rsidP="74DD2874" w:rsidRDefault="74DD2874" w14:paraId="300E4B5C" w14:textId="12471EEB">
            <w:pPr>
              <w:rPr>
                <w:rFonts w:ascii="Aptos" w:hAnsi="Aptos" w:eastAsia="Aptos" w:cs="Aptos"/>
                <w:sz w:val="20"/>
                <w:szCs w:val="20"/>
              </w:rPr>
            </w:pPr>
            <w:r w:rsidRPr="787AE66B">
              <w:rPr>
                <w:rFonts w:ascii="Aptos" w:hAnsi="Aptos" w:eastAsia="Aptos" w:cs="Aptos"/>
                <w:sz w:val="20"/>
                <w:szCs w:val="20"/>
              </w:rPr>
              <w:t xml:space="preserve">Independent MEL evaluator NIRAS has been </w:t>
            </w:r>
            <w:r w:rsidR="00CE4170">
              <w:rPr>
                <w:rFonts w:ascii="Aptos" w:hAnsi="Aptos" w:eastAsia="Aptos" w:cs="Aptos"/>
                <w:sz w:val="20"/>
                <w:szCs w:val="20"/>
              </w:rPr>
              <w:t xml:space="preserve">tasked with developing case studies of </w:t>
            </w:r>
            <w:r w:rsidR="003C5405">
              <w:rPr>
                <w:rFonts w:ascii="Aptos" w:hAnsi="Aptos" w:eastAsia="Aptos" w:cs="Aptos"/>
                <w:sz w:val="20"/>
                <w:szCs w:val="20"/>
              </w:rPr>
              <w:t>South Africa and India</w:t>
            </w:r>
            <w:r w:rsidR="00CE4170">
              <w:rPr>
                <w:rFonts w:ascii="Aptos" w:hAnsi="Aptos" w:eastAsia="Aptos" w:cs="Aptos"/>
                <w:sz w:val="20"/>
                <w:szCs w:val="20"/>
              </w:rPr>
              <w:t xml:space="preserve"> transition approaches to draw out lessons learned </w:t>
            </w:r>
            <w:r w:rsidR="000E66F1">
              <w:rPr>
                <w:rFonts w:ascii="Aptos" w:hAnsi="Aptos" w:eastAsia="Aptos" w:cs="Aptos"/>
                <w:sz w:val="20"/>
                <w:szCs w:val="20"/>
              </w:rPr>
              <w:t>and to develop a tool to aid future transition planning.</w:t>
            </w:r>
          </w:p>
        </w:tc>
      </w:tr>
    </w:tbl>
    <w:p w:rsidR="53BB50D0" w:rsidP="53BB50D0" w:rsidRDefault="53BB50D0" w14:paraId="1D9B4697" w14:textId="1BF9C491">
      <w:pPr>
        <w:spacing w:before="40" w:after="40"/>
        <w:rPr>
          <w:rFonts w:cs="Arial"/>
          <w:sz w:val="20"/>
          <w:szCs w:val="20"/>
        </w:rPr>
      </w:pPr>
    </w:p>
    <w:p w:rsidR="53BB50D0" w:rsidP="53BB50D0" w:rsidRDefault="53BB50D0" w14:paraId="0A91875B" w14:textId="1D585D58">
      <w:pPr>
        <w:spacing w:before="40" w:after="40"/>
        <w:rPr>
          <w:rFonts w:cs="Arial"/>
          <w:sz w:val="20"/>
          <w:szCs w:val="20"/>
        </w:rPr>
      </w:pPr>
    </w:p>
    <w:p w:rsidRPr="00F70DBE" w:rsidR="006F3AE7" w:rsidP="006F3AE7" w:rsidRDefault="006F3AE7" w14:paraId="4D45A1A1" w14:textId="77777777">
      <w:pPr>
        <w:spacing w:before="40" w:after="40"/>
        <w:rPr>
          <w:rFonts w:cs="Arial"/>
          <w:sz w:val="22"/>
          <w:szCs w:val="22"/>
        </w:rPr>
      </w:pPr>
    </w:p>
    <w:p w:rsidRPr="00F70DBE" w:rsidR="006F3AE7" w:rsidP="69AE3331" w:rsidRDefault="006F3AE7" w14:paraId="5381FC2A" w14:textId="2CD65B46">
      <w:pPr>
        <w:pBdr>
          <w:top w:val="single" w:color="auto" w:sz="4" w:space="1"/>
          <w:left w:val="single" w:color="auto" w:sz="4" w:space="4"/>
          <w:bottom w:val="single" w:color="auto" w:sz="4" w:space="1"/>
          <w:right w:val="single" w:color="auto" w:sz="4" w:space="4"/>
        </w:pBdr>
        <w:shd w:val="clear" w:color="auto" w:fill="D9E2F3" w:themeFill="accent1" w:themeFillTint="33"/>
        <w:rPr>
          <w:rFonts w:cs="Arial"/>
          <w:sz w:val="20"/>
          <w:szCs w:val="20"/>
        </w:rPr>
      </w:pPr>
      <w:r w:rsidRPr="69AE3331">
        <w:rPr>
          <w:b/>
          <w:bCs/>
          <w:sz w:val="28"/>
          <w:szCs w:val="28"/>
        </w:rPr>
        <w:t xml:space="preserve">E: PROGRAMME MANAGEMENT: </w:t>
      </w:r>
      <w:bookmarkStart w:name="_Hlk21353049" w:id="0"/>
      <w:r w:rsidRPr="69AE3331">
        <w:rPr>
          <w:b/>
          <w:bCs/>
          <w:sz w:val="28"/>
          <w:szCs w:val="28"/>
        </w:rPr>
        <w:t>DELIVERY, COMMERCIAL &amp; FINANCIAL PERFORMANCE</w:t>
      </w:r>
      <w:bookmarkEnd w:id="0"/>
    </w:p>
    <w:p w:rsidRPr="00F70DBE" w:rsidR="006F3AE7" w:rsidP="006F3AE7" w:rsidRDefault="006F3AE7" w14:paraId="3CB3AABA" w14:textId="77777777">
      <w:pPr>
        <w:rPr>
          <w:rFonts w:cs="Arial"/>
          <w:b/>
          <w:sz w:val="22"/>
          <w:szCs w:val="22"/>
        </w:rPr>
      </w:pPr>
    </w:p>
    <w:p w:rsidRPr="00F70DBE" w:rsidR="006F3AE7" w:rsidP="006F3AE7" w:rsidRDefault="006F3AE7" w14:paraId="53A988BF" w14:textId="3A1E6280">
      <w:pPr>
        <w:rPr>
          <w:rFonts w:cs="Arial"/>
          <w:b/>
          <w:bCs/>
          <w:sz w:val="22"/>
          <w:szCs w:val="22"/>
        </w:rPr>
      </w:pPr>
      <w:r w:rsidRPr="69AE3331">
        <w:rPr>
          <w:rFonts w:cs="Arial"/>
          <w:b/>
          <w:bCs/>
          <w:sz w:val="22"/>
          <w:szCs w:val="22"/>
        </w:rPr>
        <w:t xml:space="preserve">Summarise the performance of partners and </w:t>
      </w:r>
      <w:r w:rsidRPr="69AE3331" w:rsidR="002F305F">
        <w:rPr>
          <w:rFonts w:cs="Arial"/>
          <w:b/>
          <w:bCs/>
          <w:sz w:val="22"/>
          <w:szCs w:val="22"/>
        </w:rPr>
        <w:t>Defra</w:t>
      </w:r>
      <w:r w:rsidRPr="69AE3331">
        <w:rPr>
          <w:rFonts w:cs="Arial"/>
          <w:b/>
          <w:bCs/>
          <w:sz w:val="22"/>
          <w:szCs w:val="22"/>
        </w:rPr>
        <w:t>, notably on commercial and financial issues.</w:t>
      </w:r>
    </w:p>
    <w:p w:rsidR="00627D0A" w:rsidP="7AA2881C" w:rsidRDefault="00627D0A" w14:paraId="69879352" w14:textId="77777777">
      <w:pPr>
        <w:rPr>
          <w:rFonts w:eastAsia="Arial" w:cs="Arial"/>
          <w:sz w:val="22"/>
          <w:szCs w:val="22"/>
        </w:rPr>
      </w:pPr>
    </w:p>
    <w:p w:rsidRPr="00F87911" w:rsidR="0021705E" w:rsidP="7AA2881C" w:rsidRDefault="0021705E" w14:paraId="3C554097" w14:textId="194F465D">
      <w:pPr>
        <w:rPr>
          <w:rFonts w:eastAsia="Arial" w:cs="Arial"/>
          <w:b/>
          <w:bCs/>
          <w:sz w:val="22"/>
          <w:szCs w:val="22"/>
          <w:u w:val="single"/>
        </w:rPr>
      </w:pPr>
      <w:r w:rsidRPr="00F87911">
        <w:rPr>
          <w:rFonts w:eastAsia="Arial" w:cs="Arial"/>
          <w:b/>
          <w:bCs/>
          <w:sz w:val="22"/>
          <w:szCs w:val="22"/>
          <w:u w:val="single"/>
        </w:rPr>
        <w:t>Delivery Partners</w:t>
      </w:r>
    </w:p>
    <w:p w:rsidR="0021705E" w:rsidP="7AA2881C" w:rsidRDefault="0021705E" w14:paraId="47F1CBE2" w14:textId="77777777">
      <w:pPr>
        <w:rPr>
          <w:rFonts w:eastAsia="Arial" w:cs="Arial"/>
          <w:sz w:val="22"/>
          <w:szCs w:val="22"/>
        </w:rPr>
      </w:pPr>
    </w:p>
    <w:p w:rsidRPr="00F87911" w:rsidR="002A3C28" w:rsidP="7AA2881C" w:rsidRDefault="003D6D53" w14:paraId="76096B94" w14:textId="5A3E2A69">
      <w:pPr>
        <w:rPr>
          <w:rFonts w:eastAsia="Arial" w:cs="Arial"/>
          <w:i/>
          <w:iCs/>
          <w:sz w:val="22"/>
          <w:szCs w:val="22"/>
        </w:rPr>
      </w:pPr>
      <w:r w:rsidRPr="00F87911">
        <w:rPr>
          <w:rFonts w:eastAsia="Arial" w:cs="Arial"/>
          <w:i/>
          <w:iCs/>
          <w:sz w:val="22"/>
          <w:szCs w:val="22"/>
        </w:rPr>
        <w:t>Programme Management</w:t>
      </w:r>
      <w:r w:rsidRPr="00F87911" w:rsidR="00B669D2">
        <w:rPr>
          <w:rFonts w:eastAsia="Arial" w:cs="Arial"/>
          <w:i/>
          <w:iCs/>
          <w:sz w:val="22"/>
          <w:szCs w:val="22"/>
        </w:rPr>
        <w:t>:</w:t>
      </w:r>
    </w:p>
    <w:p w:rsidRPr="0033407B" w:rsidR="0033407B" w:rsidP="7AA2881C" w:rsidRDefault="0033407B" w14:paraId="1CFE4342" w14:textId="77777777">
      <w:pPr>
        <w:rPr>
          <w:rFonts w:eastAsia="Arial" w:cs="Arial"/>
          <w:sz w:val="22"/>
          <w:szCs w:val="22"/>
        </w:rPr>
      </w:pPr>
    </w:p>
    <w:p w:rsidR="0033407B" w:rsidP="7AA2881C" w:rsidRDefault="00AC0C5F" w14:paraId="45694338" w14:textId="65756204">
      <w:pPr>
        <w:rPr>
          <w:rFonts w:eastAsia="Arial" w:cs="Arial"/>
          <w:sz w:val="22"/>
          <w:szCs w:val="22"/>
        </w:rPr>
      </w:pPr>
      <w:r w:rsidRPr="00D33E77">
        <w:rPr>
          <w:rFonts w:eastAsia="Arial" w:cs="Arial"/>
          <w:sz w:val="22"/>
          <w:szCs w:val="22"/>
        </w:rPr>
        <w:t>Programme management</w:t>
      </w:r>
      <w:r w:rsidRPr="00D33E77" w:rsidR="0069350B">
        <w:rPr>
          <w:rFonts w:eastAsia="Arial" w:cs="Arial"/>
          <w:sz w:val="22"/>
          <w:szCs w:val="22"/>
        </w:rPr>
        <w:t xml:space="preserve"> </w:t>
      </w:r>
      <w:r w:rsidRPr="00D33E77" w:rsidR="00EF0DE4">
        <w:rPr>
          <w:rFonts w:eastAsia="Arial" w:cs="Arial"/>
          <w:sz w:val="22"/>
          <w:szCs w:val="22"/>
        </w:rPr>
        <w:t xml:space="preserve">across delivery partners for this </w:t>
      </w:r>
      <w:r w:rsidR="00C14357">
        <w:rPr>
          <w:rFonts w:eastAsia="Arial" w:cs="Arial"/>
          <w:sz w:val="22"/>
          <w:szCs w:val="22"/>
        </w:rPr>
        <w:t>annual review</w:t>
      </w:r>
      <w:r w:rsidRPr="00D33E77" w:rsidR="00EF0DE4">
        <w:rPr>
          <w:rFonts w:eastAsia="Arial" w:cs="Arial"/>
          <w:sz w:val="22"/>
          <w:szCs w:val="22"/>
        </w:rPr>
        <w:t xml:space="preserve"> period has been good</w:t>
      </w:r>
      <w:r w:rsidR="00D33E77">
        <w:rPr>
          <w:rFonts w:eastAsia="Arial" w:cs="Arial"/>
          <w:sz w:val="22"/>
          <w:szCs w:val="22"/>
        </w:rPr>
        <w:t xml:space="preserve">. </w:t>
      </w:r>
      <w:r w:rsidR="00925650">
        <w:rPr>
          <w:rFonts w:eastAsia="Arial" w:cs="Arial"/>
          <w:sz w:val="22"/>
          <w:szCs w:val="22"/>
        </w:rPr>
        <w:t xml:space="preserve">ALB partners </w:t>
      </w:r>
      <w:r w:rsidR="00650D89">
        <w:rPr>
          <w:rFonts w:eastAsia="Arial" w:cs="Arial"/>
          <w:sz w:val="22"/>
          <w:szCs w:val="22"/>
        </w:rPr>
        <w:t xml:space="preserve">have </w:t>
      </w:r>
      <w:r w:rsidR="00132558">
        <w:rPr>
          <w:rFonts w:eastAsia="Arial" w:cs="Arial"/>
          <w:sz w:val="22"/>
          <w:szCs w:val="22"/>
        </w:rPr>
        <w:t>ensure</w:t>
      </w:r>
      <w:r w:rsidR="00165715">
        <w:rPr>
          <w:rFonts w:eastAsia="Arial" w:cs="Arial"/>
          <w:sz w:val="22"/>
          <w:szCs w:val="22"/>
        </w:rPr>
        <w:t>d</w:t>
      </w:r>
      <w:r w:rsidR="00132558">
        <w:rPr>
          <w:rFonts w:eastAsia="Arial" w:cs="Arial"/>
          <w:sz w:val="22"/>
          <w:szCs w:val="22"/>
        </w:rPr>
        <w:t xml:space="preserve"> regular Programme Management Board</w:t>
      </w:r>
      <w:r w:rsidR="00165715">
        <w:rPr>
          <w:rFonts w:eastAsia="Arial" w:cs="Arial"/>
          <w:sz w:val="22"/>
          <w:szCs w:val="22"/>
        </w:rPr>
        <w:t xml:space="preserve">s </w:t>
      </w:r>
      <w:r w:rsidR="00ED2706">
        <w:rPr>
          <w:rFonts w:eastAsia="Arial" w:cs="Arial"/>
          <w:sz w:val="22"/>
          <w:szCs w:val="22"/>
        </w:rPr>
        <w:t xml:space="preserve">to </w:t>
      </w:r>
      <w:r w:rsidR="008F4470">
        <w:rPr>
          <w:rFonts w:eastAsia="Arial" w:cs="Arial"/>
          <w:sz w:val="22"/>
          <w:szCs w:val="22"/>
        </w:rPr>
        <w:t>provide</w:t>
      </w:r>
      <w:r w:rsidR="00375AEA">
        <w:rPr>
          <w:rFonts w:eastAsia="Arial" w:cs="Arial"/>
          <w:sz w:val="22"/>
          <w:szCs w:val="22"/>
        </w:rPr>
        <w:t xml:space="preserve"> </w:t>
      </w:r>
      <w:r w:rsidR="008F4470">
        <w:rPr>
          <w:rFonts w:eastAsia="Arial" w:cs="Arial"/>
          <w:sz w:val="22"/>
          <w:szCs w:val="22"/>
        </w:rPr>
        <w:t>programme updates. Senior Management Boards have also been hel</w:t>
      </w:r>
      <w:r w:rsidR="00477915">
        <w:rPr>
          <w:rFonts w:eastAsia="Arial" w:cs="Arial"/>
          <w:sz w:val="22"/>
          <w:szCs w:val="22"/>
        </w:rPr>
        <w:t>d regularly with attend</w:t>
      </w:r>
      <w:r w:rsidR="00375AEA">
        <w:rPr>
          <w:rFonts w:eastAsia="Arial" w:cs="Arial"/>
          <w:sz w:val="22"/>
          <w:szCs w:val="22"/>
        </w:rPr>
        <w:t xml:space="preserve">ance </w:t>
      </w:r>
      <w:r w:rsidR="00477915">
        <w:rPr>
          <w:rFonts w:eastAsia="Arial" w:cs="Arial"/>
          <w:sz w:val="22"/>
          <w:szCs w:val="22"/>
        </w:rPr>
        <w:t xml:space="preserve">across all </w:t>
      </w:r>
      <w:r w:rsidR="003677CF">
        <w:rPr>
          <w:rFonts w:eastAsia="Arial" w:cs="Arial"/>
          <w:sz w:val="22"/>
          <w:szCs w:val="22"/>
        </w:rPr>
        <w:t>d</w:t>
      </w:r>
      <w:r w:rsidR="00477915">
        <w:rPr>
          <w:rFonts w:eastAsia="Arial" w:cs="Arial"/>
          <w:sz w:val="22"/>
          <w:szCs w:val="22"/>
        </w:rPr>
        <w:t>elivery</w:t>
      </w:r>
      <w:r w:rsidR="00D804C5">
        <w:rPr>
          <w:rFonts w:eastAsia="Arial" w:cs="Arial"/>
          <w:sz w:val="22"/>
          <w:szCs w:val="22"/>
        </w:rPr>
        <w:t xml:space="preserve"> partners</w:t>
      </w:r>
      <w:r w:rsidR="0016580A">
        <w:rPr>
          <w:rFonts w:eastAsia="Arial" w:cs="Arial"/>
          <w:sz w:val="22"/>
          <w:szCs w:val="22"/>
        </w:rPr>
        <w:t xml:space="preserve">, </w:t>
      </w:r>
      <w:r w:rsidR="00A73665">
        <w:rPr>
          <w:rFonts w:eastAsia="Arial" w:cs="Arial"/>
          <w:sz w:val="22"/>
          <w:szCs w:val="22"/>
        </w:rPr>
        <w:t>FCDO</w:t>
      </w:r>
      <w:r w:rsidR="003A5B41">
        <w:rPr>
          <w:rFonts w:eastAsia="Arial" w:cs="Arial"/>
          <w:sz w:val="22"/>
          <w:szCs w:val="22"/>
        </w:rPr>
        <w:t>, BPF and ODA hub colleagues</w:t>
      </w:r>
      <w:r w:rsidR="00F62733">
        <w:rPr>
          <w:rFonts w:eastAsia="Arial" w:cs="Arial"/>
          <w:sz w:val="22"/>
          <w:szCs w:val="22"/>
        </w:rPr>
        <w:t xml:space="preserve">, </w:t>
      </w:r>
      <w:r w:rsidR="00E77E4F">
        <w:rPr>
          <w:rFonts w:eastAsia="Arial" w:cs="Arial"/>
          <w:sz w:val="22"/>
          <w:szCs w:val="22"/>
        </w:rPr>
        <w:t xml:space="preserve">ensuring </w:t>
      </w:r>
      <w:r w:rsidR="00EA6AD8">
        <w:rPr>
          <w:rFonts w:eastAsia="Arial" w:cs="Arial"/>
          <w:sz w:val="22"/>
          <w:szCs w:val="22"/>
        </w:rPr>
        <w:t xml:space="preserve">strategic oversight. </w:t>
      </w:r>
      <w:r w:rsidR="007D4A6B">
        <w:rPr>
          <w:rFonts w:eastAsia="Arial" w:cs="Arial"/>
          <w:sz w:val="22"/>
          <w:szCs w:val="22"/>
        </w:rPr>
        <w:t xml:space="preserve">Strategy days have also been </w:t>
      </w:r>
      <w:r w:rsidR="007C2C4B">
        <w:rPr>
          <w:rFonts w:eastAsia="Arial" w:cs="Arial"/>
          <w:sz w:val="22"/>
          <w:szCs w:val="22"/>
        </w:rPr>
        <w:t>utilised</w:t>
      </w:r>
      <w:r w:rsidR="007D4A6B">
        <w:rPr>
          <w:rFonts w:eastAsia="Arial" w:cs="Arial"/>
          <w:sz w:val="22"/>
          <w:szCs w:val="22"/>
        </w:rPr>
        <w:t xml:space="preserve"> to </w:t>
      </w:r>
      <w:r w:rsidR="00F62733">
        <w:rPr>
          <w:rFonts w:eastAsia="Arial" w:cs="Arial"/>
          <w:sz w:val="22"/>
          <w:szCs w:val="22"/>
        </w:rPr>
        <w:t>deep dive</w:t>
      </w:r>
      <w:r w:rsidR="007D4A6B">
        <w:rPr>
          <w:rFonts w:eastAsia="Arial" w:cs="Arial"/>
          <w:sz w:val="22"/>
          <w:szCs w:val="22"/>
        </w:rPr>
        <w:t xml:space="preserve"> into </w:t>
      </w:r>
      <w:r w:rsidR="00CC03E9">
        <w:rPr>
          <w:rFonts w:eastAsia="Arial" w:cs="Arial"/>
          <w:sz w:val="22"/>
          <w:szCs w:val="22"/>
        </w:rPr>
        <w:t xml:space="preserve">specific topics, risk and </w:t>
      </w:r>
      <w:r w:rsidR="007C2C4B">
        <w:rPr>
          <w:rFonts w:eastAsia="Arial" w:cs="Arial"/>
          <w:sz w:val="22"/>
          <w:szCs w:val="22"/>
        </w:rPr>
        <w:t>issue</w:t>
      </w:r>
      <w:r w:rsidR="00B66BC1">
        <w:rPr>
          <w:rFonts w:eastAsia="Arial" w:cs="Arial"/>
          <w:sz w:val="22"/>
          <w:szCs w:val="22"/>
        </w:rPr>
        <w:t xml:space="preserve">s. </w:t>
      </w:r>
      <w:r w:rsidR="00CE06FE">
        <w:rPr>
          <w:rFonts w:eastAsia="Arial" w:cs="Arial"/>
          <w:sz w:val="22"/>
          <w:szCs w:val="22"/>
        </w:rPr>
        <w:t>An area</w:t>
      </w:r>
      <w:r w:rsidR="00F62733">
        <w:rPr>
          <w:rFonts w:eastAsia="Arial" w:cs="Arial"/>
          <w:sz w:val="22"/>
          <w:szCs w:val="22"/>
        </w:rPr>
        <w:t xml:space="preserve"> </w:t>
      </w:r>
      <w:r w:rsidR="00CE06FE">
        <w:rPr>
          <w:rFonts w:eastAsia="Arial" w:cs="Arial"/>
          <w:sz w:val="22"/>
          <w:szCs w:val="22"/>
        </w:rPr>
        <w:t xml:space="preserve">for improvement </w:t>
      </w:r>
      <w:r w:rsidR="0005628E">
        <w:rPr>
          <w:rFonts w:eastAsia="Arial" w:cs="Arial"/>
          <w:sz w:val="22"/>
          <w:szCs w:val="22"/>
        </w:rPr>
        <w:t>is to ensure meeting notes and actions are capture</w:t>
      </w:r>
      <w:r w:rsidR="00F62733">
        <w:rPr>
          <w:rFonts w:eastAsia="Arial" w:cs="Arial"/>
          <w:sz w:val="22"/>
          <w:szCs w:val="22"/>
        </w:rPr>
        <w:t>d</w:t>
      </w:r>
      <w:r w:rsidR="0005628E">
        <w:rPr>
          <w:rFonts w:eastAsia="Arial" w:cs="Arial"/>
          <w:sz w:val="22"/>
          <w:szCs w:val="22"/>
        </w:rPr>
        <w:t xml:space="preserve"> accurately and distributed promptly and that </w:t>
      </w:r>
      <w:r w:rsidR="00F12E49">
        <w:rPr>
          <w:rFonts w:eastAsia="Arial" w:cs="Arial"/>
          <w:sz w:val="22"/>
          <w:szCs w:val="22"/>
        </w:rPr>
        <w:t xml:space="preserve">structures are in place to </w:t>
      </w:r>
      <w:r w:rsidR="00E12858">
        <w:rPr>
          <w:rFonts w:eastAsia="Arial" w:cs="Arial"/>
          <w:sz w:val="22"/>
          <w:szCs w:val="22"/>
        </w:rPr>
        <w:t xml:space="preserve">monitor progress of actions </w:t>
      </w:r>
      <w:r w:rsidR="004905EE">
        <w:rPr>
          <w:rFonts w:eastAsia="Arial" w:cs="Arial"/>
          <w:sz w:val="22"/>
          <w:szCs w:val="22"/>
        </w:rPr>
        <w:t xml:space="preserve">between </w:t>
      </w:r>
      <w:r w:rsidR="00743DE4">
        <w:rPr>
          <w:rFonts w:eastAsia="Arial" w:cs="Arial"/>
          <w:sz w:val="22"/>
          <w:szCs w:val="22"/>
        </w:rPr>
        <w:t xml:space="preserve">meetings </w:t>
      </w:r>
      <w:r w:rsidR="00E12858">
        <w:rPr>
          <w:rFonts w:eastAsia="Arial" w:cs="Arial"/>
          <w:sz w:val="22"/>
          <w:szCs w:val="22"/>
        </w:rPr>
        <w:t xml:space="preserve">and </w:t>
      </w:r>
      <w:r w:rsidR="00BF0DB2">
        <w:rPr>
          <w:rFonts w:eastAsia="Arial" w:cs="Arial"/>
          <w:sz w:val="22"/>
          <w:szCs w:val="22"/>
        </w:rPr>
        <w:t xml:space="preserve">escalate if required. </w:t>
      </w:r>
      <w:r w:rsidR="00E95245">
        <w:rPr>
          <w:rFonts w:eastAsia="Arial" w:cs="Arial"/>
          <w:sz w:val="22"/>
          <w:szCs w:val="22"/>
        </w:rPr>
        <w:t xml:space="preserve">ALB partners are very </w:t>
      </w:r>
      <w:r w:rsidR="00DF1CA5">
        <w:rPr>
          <w:rFonts w:eastAsia="Arial" w:cs="Arial"/>
          <w:sz w:val="22"/>
          <w:szCs w:val="22"/>
        </w:rPr>
        <w:t xml:space="preserve">engaged </w:t>
      </w:r>
      <w:r w:rsidR="0043357E">
        <w:rPr>
          <w:rFonts w:eastAsia="Arial" w:cs="Arial"/>
          <w:sz w:val="22"/>
          <w:szCs w:val="22"/>
        </w:rPr>
        <w:t xml:space="preserve">in programme management </w:t>
      </w:r>
      <w:r w:rsidR="00D92AC2">
        <w:rPr>
          <w:rFonts w:eastAsia="Arial" w:cs="Arial"/>
          <w:sz w:val="22"/>
          <w:szCs w:val="22"/>
        </w:rPr>
        <w:t xml:space="preserve">and </w:t>
      </w:r>
      <w:r w:rsidR="00B57CA1">
        <w:rPr>
          <w:rFonts w:eastAsia="Arial" w:cs="Arial"/>
          <w:sz w:val="22"/>
          <w:szCs w:val="22"/>
        </w:rPr>
        <w:t xml:space="preserve">respond swiftly to </w:t>
      </w:r>
      <w:r w:rsidR="00386F5D">
        <w:rPr>
          <w:rFonts w:eastAsia="Arial" w:cs="Arial"/>
          <w:sz w:val="22"/>
          <w:szCs w:val="22"/>
        </w:rPr>
        <w:t>questions and r</w:t>
      </w:r>
      <w:r w:rsidR="00AF1AF2">
        <w:rPr>
          <w:rFonts w:eastAsia="Arial" w:cs="Arial"/>
          <w:sz w:val="22"/>
          <w:szCs w:val="22"/>
        </w:rPr>
        <w:t>equest</w:t>
      </w:r>
      <w:r w:rsidR="005026AC">
        <w:rPr>
          <w:rFonts w:eastAsia="Arial" w:cs="Arial"/>
          <w:sz w:val="22"/>
          <w:szCs w:val="22"/>
        </w:rPr>
        <w:t>s.</w:t>
      </w:r>
      <w:r w:rsidR="00196D00">
        <w:rPr>
          <w:rFonts w:eastAsia="Arial" w:cs="Arial"/>
          <w:sz w:val="22"/>
          <w:szCs w:val="22"/>
        </w:rPr>
        <w:t xml:space="preserve"> GOAP and FOA </w:t>
      </w:r>
      <w:r w:rsidR="00D26E13">
        <w:rPr>
          <w:rFonts w:eastAsia="Arial" w:cs="Arial"/>
          <w:sz w:val="22"/>
          <w:szCs w:val="22"/>
        </w:rPr>
        <w:t>programme reporting is of a high standard</w:t>
      </w:r>
      <w:r w:rsidR="001038D2">
        <w:rPr>
          <w:rFonts w:eastAsia="Arial" w:cs="Arial"/>
          <w:sz w:val="22"/>
          <w:szCs w:val="22"/>
        </w:rPr>
        <w:t>, which regular informal and formal progress meetings to update on delivery, financials and risks and issues.</w:t>
      </w:r>
      <w:r w:rsidR="00115995">
        <w:rPr>
          <w:rFonts w:eastAsia="Arial" w:cs="Arial"/>
          <w:sz w:val="22"/>
          <w:szCs w:val="22"/>
        </w:rPr>
        <w:t xml:space="preserve"> They are </w:t>
      </w:r>
      <w:r w:rsidRPr="00115995" w:rsidR="00115995">
        <w:rPr>
          <w:rFonts w:eastAsia="Arial" w:cs="Arial"/>
          <w:sz w:val="22"/>
          <w:szCs w:val="22"/>
        </w:rPr>
        <w:t>responsive and adaptive to change</w:t>
      </w:r>
      <w:r w:rsidR="00115995">
        <w:rPr>
          <w:rFonts w:eastAsia="Arial" w:cs="Arial"/>
          <w:sz w:val="22"/>
          <w:szCs w:val="22"/>
        </w:rPr>
        <w:t>,</w:t>
      </w:r>
      <w:r w:rsidRPr="00115995" w:rsidR="00115995">
        <w:rPr>
          <w:rFonts w:eastAsia="Arial" w:cs="Arial"/>
          <w:sz w:val="22"/>
          <w:szCs w:val="22"/>
        </w:rPr>
        <w:t xml:space="preserve"> request</w:t>
      </w:r>
      <w:r w:rsidR="00115995">
        <w:rPr>
          <w:rFonts w:eastAsia="Arial" w:cs="Arial"/>
          <w:sz w:val="22"/>
          <w:szCs w:val="22"/>
        </w:rPr>
        <w:t>s</w:t>
      </w:r>
      <w:r w:rsidRPr="00115995" w:rsidR="00115995">
        <w:rPr>
          <w:rFonts w:eastAsia="Arial" w:cs="Arial"/>
          <w:sz w:val="22"/>
          <w:szCs w:val="22"/>
        </w:rPr>
        <w:t xml:space="preserve"> and steers. </w:t>
      </w:r>
      <w:r w:rsidR="005A043E">
        <w:rPr>
          <w:rFonts w:eastAsia="Arial" w:cs="Arial"/>
          <w:sz w:val="22"/>
          <w:szCs w:val="22"/>
        </w:rPr>
        <w:t>The interim e</w:t>
      </w:r>
      <w:r w:rsidRPr="00115995" w:rsidR="00115995">
        <w:rPr>
          <w:rFonts w:eastAsia="Arial" w:cs="Arial"/>
          <w:sz w:val="22"/>
          <w:szCs w:val="22"/>
        </w:rPr>
        <w:t xml:space="preserve">valuation </w:t>
      </w:r>
      <w:r w:rsidR="005A043E">
        <w:rPr>
          <w:rFonts w:eastAsia="Arial" w:cs="Arial"/>
          <w:sz w:val="22"/>
          <w:szCs w:val="22"/>
        </w:rPr>
        <w:t xml:space="preserve">has presented the programme’s strategic partners </w:t>
      </w:r>
      <w:r w:rsidRPr="00115995" w:rsidR="00115995">
        <w:rPr>
          <w:rFonts w:eastAsia="Arial" w:cs="Arial"/>
          <w:sz w:val="22"/>
          <w:szCs w:val="22"/>
        </w:rPr>
        <w:t>favourabl</w:t>
      </w:r>
      <w:r w:rsidR="005A043E">
        <w:rPr>
          <w:rFonts w:eastAsia="Arial" w:cs="Arial"/>
          <w:sz w:val="22"/>
          <w:szCs w:val="22"/>
        </w:rPr>
        <w:t>y.</w:t>
      </w:r>
    </w:p>
    <w:p w:rsidR="005026AC" w:rsidP="7AA2881C" w:rsidRDefault="005026AC" w14:paraId="0EC7B3F2" w14:textId="2A0671CE">
      <w:pPr>
        <w:rPr>
          <w:rFonts w:eastAsia="Arial" w:cs="Arial"/>
          <w:sz w:val="22"/>
          <w:szCs w:val="22"/>
        </w:rPr>
      </w:pPr>
    </w:p>
    <w:p w:rsidR="004E071C" w:rsidP="008E5612" w:rsidRDefault="00A07317" w14:paraId="5774E964" w14:textId="56BFD4AF">
      <w:pPr>
        <w:rPr>
          <w:rFonts w:cs="Segoe UI"/>
          <w:sz w:val="22"/>
          <w:szCs w:val="22"/>
        </w:rPr>
      </w:pPr>
      <w:r>
        <w:rPr>
          <w:rFonts w:cs="Segoe UI"/>
          <w:sz w:val="22"/>
          <w:szCs w:val="22"/>
        </w:rPr>
        <w:t xml:space="preserve">There have been some delays to delivery </w:t>
      </w:r>
      <w:r w:rsidR="004B61B4">
        <w:rPr>
          <w:rFonts w:cs="Segoe UI"/>
          <w:sz w:val="22"/>
          <w:szCs w:val="22"/>
        </w:rPr>
        <w:t>caused</w:t>
      </w:r>
      <w:r w:rsidR="001D67DB">
        <w:rPr>
          <w:rFonts w:cs="Segoe UI"/>
          <w:sz w:val="22"/>
          <w:szCs w:val="22"/>
        </w:rPr>
        <w:t xml:space="preserve"> in part by</w:t>
      </w:r>
      <w:r w:rsidR="004B61B4">
        <w:rPr>
          <w:rFonts w:cs="Segoe UI"/>
          <w:sz w:val="22"/>
          <w:szCs w:val="22"/>
        </w:rPr>
        <w:t xml:space="preserve"> </w:t>
      </w:r>
      <w:r w:rsidR="001D67DB">
        <w:rPr>
          <w:rFonts w:cs="Segoe UI"/>
          <w:sz w:val="22"/>
          <w:szCs w:val="22"/>
        </w:rPr>
        <w:t>lengthy</w:t>
      </w:r>
      <w:r w:rsidR="006C5EB3">
        <w:rPr>
          <w:rFonts w:cs="Segoe UI"/>
          <w:sz w:val="22"/>
          <w:szCs w:val="22"/>
        </w:rPr>
        <w:t xml:space="preserve"> D</w:t>
      </w:r>
      <w:r w:rsidR="00504351">
        <w:rPr>
          <w:rFonts w:cs="Segoe UI"/>
          <w:sz w:val="22"/>
          <w:szCs w:val="22"/>
        </w:rPr>
        <w:t xml:space="preserve">efra approvals (covered </w:t>
      </w:r>
      <w:r w:rsidR="006E74C0">
        <w:rPr>
          <w:rFonts w:cs="Segoe UI"/>
          <w:sz w:val="22"/>
          <w:szCs w:val="22"/>
        </w:rPr>
        <w:t>under</w:t>
      </w:r>
      <w:r w:rsidR="00504351">
        <w:rPr>
          <w:rFonts w:cs="Segoe UI"/>
          <w:sz w:val="22"/>
          <w:szCs w:val="22"/>
        </w:rPr>
        <w:t xml:space="preserve"> Defra </w:t>
      </w:r>
      <w:r w:rsidR="006E74C0">
        <w:rPr>
          <w:rFonts w:cs="Segoe UI"/>
          <w:sz w:val="22"/>
          <w:szCs w:val="22"/>
        </w:rPr>
        <w:t>heading below</w:t>
      </w:r>
      <w:r w:rsidR="00504351">
        <w:rPr>
          <w:rFonts w:cs="Segoe UI"/>
          <w:sz w:val="22"/>
          <w:szCs w:val="22"/>
        </w:rPr>
        <w:t>)</w:t>
      </w:r>
      <w:r w:rsidR="00821336">
        <w:rPr>
          <w:rFonts w:cs="Segoe UI"/>
          <w:sz w:val="22"/>
          <w:szCs w:val="22"/>
        </w:rPr>
        <w:t xml:space="preserve">, however, the interim evaluation has also found that </w:t>
      </w:r>
      <w:r w:rsidR="003D2D50">
        <w:rPr>
          <w:rFonts w:cs="Segoe UI"/>
          <w:sz w:val="22"/>
          <w:szCs w:val="22"/>
        </w:rPr>
        <w:t xml:space="preserve">ALB </w:t>
      </w:r>
      <w:r w:rsidRPr="00821336" w:rsidR="00821336">
        <w:rPr>
          <w:rFonts w:cs="Segoe UI"/>
          <w:sz w:val="22"/>
          <w:szCs w:val="22"/>
        </w:rPr>
        <w:t>annual work planning processes</w:t>
      </w:r>
      <w:r w:rsidR="00821336">
        <w:rPr>
          <w:rFonts w:cs="Segoe UI"/>
          <w:sz w:val="22"/>
          <w:szCs w:val="22"/>
        </w:rPr>
        <w:t xml:space="preserve"> have been </w:t>
      </w:r>
      <w:r w:rsidRPr="00821336" w:rsidR="00821336">
        <w:rPr>
          <w:rFonts w:cs="Segoe UI"/>
          <w:sz w:val="22"/>
          <w:szCs w:val="22"/>
        </w:rPr>
        <w:t xml:space="preserve">described </w:t>
      </w:r>
      <w:r w:rsidR="00821336">
        <w:rPr>
          <w:rFonts w:cs="Segoe UI"/>
          <w:sz w:val="22"/>
          <w:szCs w:val="22"/>
        </w:rPr>
        <w:t>by delivery team members a</w:t>
      </w:r>
      <w:r w:rsidRPr="00821336" w:rsidR="00821336">
        <w:rPr>
          <w:rFonts w:cs="Segoe UI"/>
          <w:sz w:val="22"/>
          <w:szCs w:val="22"/>
        </w:rPr>
        <w:t xml:space="preserve">s ‘reactive’ and activity-based, rather than ‘strategic’ </w:t>
      </w:r>
      <w:r w:rsidRPr="00552C2A" w:rsidR="003851B6">
        <w:rPr>
          <w:rFonts w:cs="Segoe UI"/>
          <w:sz w:val="22"/>
          <w:szCs w:val="22"/>
        </w:rPr>
        <w:t xml:space="preserve">in nature. According to ALB personnel surveyed, 40 percent of ALB personnel interviewed through this evaluation feel the annual work planning process has not been efficient to date. </w:t>
      </w:r>
      <w:r w:rsidR="0049107A">
        <w:rPr>
          <w:rFonts w:cs="Segoe UI"/>
          <w:sz w:val="22"/>
          <w:szCs w:val="22"/>
        </w:rPr>
        <w:t xml:space="preserve">To improve, </w:t>
      </w:r>
      <w:r w:rsidR="003D7AB0">
        <w:rPr>
          <w:rFonts w:cs="Segoe UI"/>
          <w:sz w:val="22"/>
          <w:szCs w:val="22"/>
        </w:rPr>
        <w:t>strategic planning processes</w:t>
      </w:r>
      <w:r w:rsidR="005970EB">
        <w:rPr>
          <w:rFonts w:cs="Segoe UI"/>
          <w:sz w:val="22"/>
          <w:szCs w:val="22"/>
        </w:rPr>
        <w:t xml:space="preserve"> need to better </w:t>
      </w:r>
      <w:r w:rsidR="00997F11">
        <w:rPr>
          <w:rFonts w:cs="Segoe UI"/>
          <w:sz w:val="22"/>
          <w:szCs w:val="22"/>
        </w:rPr>
        <w:t>integrate</w:t>
      </w:r>
      <w:r w:rsidR="005970EB">
        <w:rPr>
          <w:rFonts w:cs="Segoe UI"/>
          <w:sz w:val="22"/>
          <w:szCs w:val="22"/>
        </w:rPr>
        <w:t xml:space="preserve"> the </w:t>
      </w:r>
      <w:r w:rsidR="00997F11">
        <w:rPr>
          <w:rFonts w:cs="Segoe UI"/>
          <w:sz w:val="22"/>
          <w:szCs w:val="22"/>
        </w:rPr>
        <w:t>programme</w:t>
      </w:r>
      <w:r w:rsidR="005970EB">
        <w:rPr>
          <w:rFonts w:cs="Segoe UI"/>
          <w:sz w:val="22"/>
          <w:szCs w:val="22"/>
        </w:rPr>
        <w:t xml:space="preserve"> and country-level ToC </w:t>
      </w:r>
      <w:r w:rsidR="00067861">
        <w:rPr>
          <w:rFonts w:cs="Segoe UI"/>
          <w:sz w:val="22"/>
          <w:szCs w:val="22"/>
        </w:rPr>
        <w:t xml:space="preserve">to encourage </w:t>
      </w:r>
      <w:r w:rsidR="008C2F6D">
        <w:rPr>
          <w:rFonts w:cs="Segoe UI"/>
          <w:sz w:val="22"/>
          <w:szCs w:val="22"/>
        </w:rPr>
        <w:t>delivery of long-term change</w:t>
      </w:r>
      <w:r w:rsidR="00997F11">
        <w:rPr>
          <w:rFonts w:cs="Segoe UI"/>
          <w:sz w:val="22"/>
          <w:szCs w:val="22"/>
        </w:rPr>
        <w:t>.</w:t>
      </w:r>
      <w:r w:rsidR="00A97A53">
        <w:rPr>
          <w:rFonts w:cs="Segoe UI"/>
          <w:sz w:val="22"/>
          <w:szCs w:val="22"/>
        </w:rPr>
        <w:t xml:space="preserve"> GOAP and FOA </w:t>
      </w:r>
      <w:r w:rsidR="00630C21">
        <w:rPr>
          <w:rFonts w:cs="Segoe UI"/>
          <w:sz w:val="22"/>
          <w:szCs w:val="22"/>
        </w:rPr>
        <w:t>are very clear in their</w:t>
      </w:r>
      <w:r w:rsidR="00235E62">
        <w:rPr>
          <w:rFonts w:cs="Segoe UI"/>
          <w:sz w:val="22"/>
          <w:szCs w:val="22"/>
        </w:rPr>
        <w:t xml:space="preserve"> planning</w:t>
      </w:r>
      <w:r w:rsidR="000B7277">
        <w:rPr>
          <w:rFonts w:cs="Segoe UI"/>
          <w:sz w:val="22"/>
          <w:szCs w:val="22"/>
        </w:rPr>
        <w:t xml:space="preserve">, </w:t>
      </w:r>
      <w:r w:rsidR="00BB4D6F">
        <w:rPr>
          <w:rFonts w:cs="Segoe UI"/>
          <w:sz w:val="22"/>
          <w:szCs w:val="22"/>
        </w:rPr>
        <w:t>can articul</w:t>
      </w:r>
      <w:r w:rsidR="00311263">
        <w:rPr>
          <w:rFonts w:cs="Segoe UI"/>
          <w:sz w:val="22"/>
          <w:szCs w:val="22"/>
        </w:rPr>
        <w:t>ate t</w:t>
      </w:r>
      <w:r w:rsidR="00BB4D6F">
        <w:rPr>
          <w:rFonts w:cs="Segoe UI"/>
          <w:sz w:val="22"/>
          <w:szCs w:val="22"/>
        </w:rPr>
        <w:t xml:space="preserve">heir strategic impact </w:t>
      </w:r>
      <w:r w:rsidR="00987E98">
        <w:rPr>
          <w:rFonts w:cs="Segoe UI"/>
          <w:sz w:val="22"/>
          <w:szCs w:val="22"/>
        </w:rPr>
        <w:t xml:space="preserve">and provide </w:t>
      </w:r>
      <w:r w:rsidR="00311263">
        <w:rPr>
          <w:rFonts w:cs="Segoe UI"/>
          <w:sz w:val="22"/>
          <w:szCs w:val="22"/>
        </w:rPr>
        <w:t xml:space="preserve">a good level of detail regarding </w:t>
      </w:r>
      <w:r w:rsidR="00F4238F">
        <w:rPr>
          <w:rFonts w:cs="Segoe UI"/>
          <w:sz w:val="22"/>
          <w:szCs w:val="22"/>
        </w:rPr>
        <w:t>deliverables</w:t>
      </w:r>
      <w:r w:rsidR="00220259">
        <w:rPr>
          <w:rFonts w:cs="Segoe UI"/>
          <w:sz w:val="22"/>
          <w:szCs w:val="22"/>
        </w:rPr>
        <w:t>.</w:t>
      </w:r>
      <w:r w:rsidR="000326B6">
        <w:rPr>
          <w:rFonts w:cs="Segoe UI"/>
          <w:sz w:val="22"/>
          <w:szCs w:val="22"/>
        </w:rPr>
        <w:t xml:space="preserve"> </w:t>
      </w:r>
    </w:p>
    <w:p w:rsidR="004E071C" w:rsidP="008E5612" w:rsidRDefault="004E071C" w14:paraId="6B44C9F1" w14:textId="77777777">
      <w:pPr>
        <w:rPr>
          <w:rFonts w:cs="Segoe UI"/>
          <w:sz w:val="22"/>
          <w:szCs w:val="22"/>
        </w:rPr>
      </w:pPr>
    </w:p>
    <w:p w:rsidR="003851B6" w:rsidP="001D67DB" w:rsidRDefault="00CA41BD" w14:paraId="7332C216" w14:textId="3E3181D4">
      <w:pPr>
        <w:rPr>
          <w:rFonts w:cs="Segoe UI"/>
          <w:sz w:val="22"/>
          <w:szCs w:val="22"/>
        </w:rPr>
      </w:pPr>
      <w:r>
        <w:rPr>
          <w:rFonts w:cs="Segoe UI"/>
          <w:sz w:val="22"/>
          <w:szCs w:val="22"/>
        </w:rPr>
        <w:t>To further improve delays, t</w:t>
      </w:r>
      <w:r w:rsidRPr="00A75F5B" w:rsidR="00A75F5B">
        <w:rPr>
          <w:rFonts w:cs="Segoe UI"/>
          <w:sz w:val="22"/>
          <w:szCs w:val="22"/>
        </w:rPr>
        <w:t xml:space="preserve">he ALB delegated authority table should be reviewed to clarify roles and responsibilities. ALB programme leadership must </w:t>
      </w:r>
      <w:r w:rsidR="001D675B">
        <w:rPr>
          <w:rFonts w:cs="Segoe UI"/>
          <w:sz w:val="22"/>
          <w:szCs w:val="22"/>
        </w:rPr>
        <w:t xml:space="preserve">then </w:t>
      </w:r>
      <w:r w:rsidRPr="00A75F5B" w:rsidR="00A75F5B">
        <w:rPr>
          <w:rFonts w:cs="Segoe UI"/>
          <w:sz w:val="22"/>
          <w:szCs w:val="22"/>
        </w:rPr>
        <w:t>ensure that OCPP staff have a clear understanding of these roles. ALB partners should establish appropriate escalation routes for risks, issues, and approvals identified in country-level cross-theme meetings to Defra country leads, minimi</w:t>
      </w:r>
      <w:r w:rsidR="00A75F5B">
        <w:rPr>
          <w:rFonts w:cs="Segoe UI"/>
          <w:sz w:val="22"/>
          <w:szCs w:val="22"/>
        </w:rPr>
        <w:t>s</w:t>
      </w:r>
      <w:r w:rsidRPr="00A75F5B" w:rsidR="00A75F5B">
        <w:rPr>
          <w:rFonts w:cs="Segoe UI"/>
          <w:sz w:val="22"/>
          <w:szCs w:val="22"/>
        </w:rPr>
        <w:t>ing the need for Defra staff to attend these meetings. Cefas needs to ensure that messages from Defra are effectively communicated to the delivery teams, so they know who has the authority to make decisions.</w:t>
      </w:r>
    </w:p>
    <w:p w:rsidR="00A75F5B" w:rsidP="001D67DB" w:rsidRDefault="00A75F5B" w14:paraId="74962439" w14:textId="77777777">
      <w:pPr>
        <w:rPr>
          <w:rFonts w:eastAsia="Arial" w:cs="Arial"/>
          <w:sz w:val="22"/>
          <w:szCs w:val="22"/>
        </w:rPr>
      </w:pPr>
    </w:p>
    <w:p w:rsidR="00BF0DB2" w:rsidP="7AA2881C" w:rsidRDefault="00826A6B" w14:paraId="691A1FA3" w14:textId="05DD3A2A">
      <w:pPr>
        <w:rPr>
          <w:rFonts w:eastAsia="Arial" w:cs="Arial"/>
          <w:sz w:val="22"/>
          <w:szCs w:val="22"/>
        </w:rPr>
      </w:pPr>
      <w:r>
        <w:rPr>
          <w:rFonts w:eastAsia="Arial" w:cs="Arial"/>
          <w:sz w:val="22"/>
          <w:szCs w:val="22"/>
        </w:rPr>
        <w:t xml:space="preserve">The </w:t>
      </w:r>
      <w:r w:rsidR="005C2427">
        <w:rPr>
          <w:rFonts w:eastAsia="Arial" w:cs="Arial"/>
          <w:sz w:val="22"/>
          <w:szCs w:val="22"/>
        </w:rPr>
        <w:t xml:space="preserve">programme </w:t>
      </w:r>
      <w:r w:rsidR="00FF54CC">
        <w:rPr>
          <w:rFonts w:eastAsia="Arial" w:cs="Arial"/>
          <w:sz w:val="22"/>
          <w:szCs w:val="22"/>
        </w:rPr>
        <w:t xml:space="preserve">is still challenged by </w:t>
      </w:r>
      <w:r w:rsidR="00D43A8C">
        <w:rPr>
          <w:rFonts w:eastAsia="Arial" w:cs="Arial"/>
          <w:sz w:val="22"/>
          <w:szCs w:val="22"/>
        </w:rPr>
        <w:t xml:space="preserve">integration of GESI and poverty alleviation into </w:t>
      </w:r>
      <w:r w:rsidR="00303CB4">
        <w:rPr>
          <w:rFonts w:eastAsia="Arial" w:cs="Arial"/>
          <w:sz w:val="22"/>
          <w:szCs w:val="22"/>
        </w:rPr>
        <w:t xml:space="preserve">delivery. </w:t>
      </w:r>
      <w:r w:rsidR="005A0140">
        <w:rPr>
          <w:rFonts w:eastAsia="Arial" w:cs="Arial"/>
          <w:sz w:val="22"/>
          <w:szCs w:val="22"/>
        </w:rPr>
        <w:t xml:space="preserve">Cefas have hired a social scientist to </w:t>
      </w:r>
      <w:r w:rsidR="00F21E46">
        <w:rPr>
          <w:rFonts w:eastAsia="Arial" w:cs="Arial"/>
          <w:sz w:val="22"/>
          <w:szCs w:val="22"/>
        </w:rPr>
        <w:t xml:space="preserve">lead on embedding GESI throughout </w:t>
      </w:r>
      <w:r w:rsidR="00E50AE3">
        <w:rPr>
          <w:rFonts w:eastAsia="Arial" w:cs="Arial"/>
          <w:sz w:val="22"/>
          <w:szCs w:val="22"/>
        </w:rPr>
        <w:t xml:space="preserve">bilateral partnership </w:t>
      </w:r>
      <w:r w:rsidR="00F21E46">
        <w:rPr>
          <w:rFonts w:eastAsia="Arial" w:cs="Arial"/>
          <w:sz w:val="22"/>
          <w:szCs w:val="22"/>
        </w:rPr>
        <w:t xml:space="preserve">activity design </w:t>
      </w:r>
      <w:r w:rsidR="003026C7">
        <w:rPr>
          <w:rFonts w:eastAsia="Arial" w:cs="Arial"/>
          <w:sz w:val="22"/>
          <w:szCs w:val="22"/>
        </w:rPr>
        <w:t xml:space="preserve">and delivery </w:t>
      </w:r>
      <w:r w:rsidR="00E14636">
        <w:rPr>
          <w:rFonts w:eastAsia="Arial" w:cs="Arial"/>
          <w:sz w:val="22"/>
          <w:szCs w:val="22"/>
        </w:rPr>
        <w:t xml:space="preserve">and </w:t>
      </w:r>
      <w:r w:rsidR="007809E5">
        <w:rPr>
          <w:rFonts w:eastAsia="Arial" w:cs="Arial"/>
          <w:sz w:val="22"/>
          <w:szCs w:val="22"/>
        </w:rPr>
        <w:t>have</w:t>
      </w:r>
      <w:r w:rsidR="007907AA">
        <w:rPr>
          <w:rFonts w:eastAsia="Arial" w:cs="Arial"/>
          <w:sz w:val="22"/>
          <w:szCs w:val="22"/>
        </w:rPr>
        <w:t xml:space="preserve"> developed a paper </w:t>
      </w:r>
      <w:r w:rsidR="00F87911">
        <w:rPr>
          <w:rFonts w:eastAsia="Arial" w:cs="Arial"/>
          <w:sz w:val="22"/>
          <w:szCs w:val="22"/>
        </w:rPr>
        <w:t>articulating</w:t>
      </w:r>
      <w:r w:rsidR="007907AA">
        <w:rPr>
          <w:rFonts w:eastAsia="Arial" w:cs="Arial"/>
          <w:sz w:val="22"/>
          <w:szCs w:val="22"/>
        </w:rPr>
        <w:t xml:space="preserve"> the link between </w:t>
      </w:r>
      <w:r w:rsidR="006400C6">
        <w:rPr>
          <w:rFonts w:eastAsia="Arial" w:cs="Arial"/>
          <w:sz w:val="22"/>
          <w:szCs w:val="22"/>
        </w:rPr>
        <w:t xml:space="preserve">the </w:t>
      </w:r>
      <w:r w:rsidR="007907AA">
        <w:rPr>
          <w:rFonts w:eastAsia="Arial" w:cs="Arial"/>
          <w:sz w:val="22"/>
          <w:szCs w:val="22"/>
        </w:rPr>
        <w:t>OCPP delivery and poverty all</w:t>
      </w:r>
      <w:r w:rsidR="00D747A9">
        <w:rPr>
          <w:rFonts w:eastAsia="Arial" w:cs="Arial"/>
          <w:sz w:val="22"/>
          <w:szCs w:val="22"/>
        </w:rPr>
        <w:t xml:space="preserve">eviation. </w:t>
      </w:r>
      <w:r w:rsidR="00B40196">
        <w:rPr>
          <w:rFonts w:eastAsia="Arial" w:cs="Arial"/>
          <w:sz w:val="22"/>
          <w:szCs w:val="22"/>
        </w:rPr>
        <w:t>Further</w:t>
      </w:r>
      <w:r w:rsidR="00D65D93">
        <w:rPr>
          <w:rFonts w:eastAsia="Arial" w:cs="Arial"/>
          <w:sz w:val="22"/>
          <w:szCs w:val="22"/>
        </w:rPr>
        <w:t xml:space="preserve"> </w:t>
      </w:r>
      <w:r w:rsidR="00E22C80">
        <w:rPr>
          <w:rFonts w:eastAsia="Arial" w:cs="Arial"/>
          <w:sz w:val="22"/>
          <w:szCs w:val="22"/>
        </w:rPr>
        <w:t>D</w:t>
      </w:r>
      <w:r w:rsidR="00B40196">
        <w:rPr>
          <w:rFonts w:eastAsia="Arial" w:cs="Arial"/>
          <w:sz w:val="22"/>
          <w:szCs w:val="22"/>
        </w:rPr>
        <w:t xml:space="preserve">evelopment and MEL </w:t>
      </w:r>
      <w:r w:rsidR="00D65D93">
        <w:rPr>
          <w:rFonts w:eastAsia="Arial" w:cs="Arial"/>
          <w:sz w:val="22"/>
          <w:szCs w:val="22"/>
        </w:rPr>
        <w:t xml:space="preserve">capacity and </w:t>
      </w:r>
      <w:r w:rsidR="00B40196">
        <w:rPr>
          <w:rFonts w:eastAsia="Arial" w:cs="Arial"/>
          <w:sz w:val="22"/>
          <w:szCs w:val="22"/>
        </w:rPr>
        <w:t xml:space="preserve">capability </w:t>
      </w:r>
      <w:r w:rsidR="00D65D93">
        <w:rPr>
          <w:rFonts w:eastAsia="Arial" w:cs="Arial"/>
          <w:sz w:val="22"/>
          <w:szCs w:val="22"/>
        </w:rPr>
        <w:t>is required</w:t>
      </w:r>
      <w:r w:rsidR="00B40196">
        <w:rPr>
          <w:rFonts w:eastAsia="Arial" w:cs="Arial"/>
          <w:sz w:val="22"/>
          <w:szCs w:val="22"/>
        </w:rPr>
        <w:t xml:space="preserve"> by ALB partners to </w:t>
      </w:r>
      <w:r w:rsidR="00365AD3">
        <w:rPr>
          <w:rFonts w:eastAsia="Arial" w:cs="Arial"/>
          <w:sz w:val="22"/>
          <w:szCs w:val="22"/>
        </w:rPr>
        <w:t xml:space="preserve">address these issues. </w:t>
      </w:r>
    </w:p>
    <w:p w:rsidRPr="00F87911" w:rsidR="00EA6AD8" w:rsidP="7AA2881C" w:rsidRDefault="00EA6AD8" w14:paraId="3A98F5F6" w14:textId="77777777">
      <w:pPr>
        <w:rPr>
          <w:rFonts w:eastAsia="Arial" w:cs="Arial"/>
          <w:i/>
          <w:iCs/>
          <w:sz w:val="22"/>
          <w:szCs w:val="22"/>
        </w:rPr>
      </w:pPr>
    </w:p>
    <w:p w:rsidRPr="00F87911" w:rsidR="00633157" w:rsidP="004F2626" w:rsidRDefault="00633157" w14:paraId="3D2E585F" w14:textId="6B68DBB8">
      <w:pPr>
        <w:rPr>
          <w:rFonts w:eastAsia="Arial" w:cs="Arial"/>
          <w:i/>
          <w:iCs/>
          <w:sz w:val="22"/>
          <w:szCs w:val="22"/>
        </w:rPr>
      </w:pPr>
      <w:r w:rsidRPr="00F87911">
        <w:rPr>
          <w:rFonts w:eastAsia="Arial" w:cs="Arial"/>
          <w:i/>
          <w:iCs/>
          <w:sz w:val="22"/>
          <w:szCs w:val="22"/>
        </w:rPr>
        <w:t>Financial performance:</w:t>
      </w:r>
    </w:p>
    <w:p w:rsidR="00633157" w:rsidP="004F2626" w:rsidRDefault="00633157" w14:paraId="2205BF18" w14:textId="77777777">
      <w:pPr>
        <w:rPr>
          <w:rFonts w:eastAsia="Arial" w:cs="Arial"/>
          <w:sz w:val="22"/>
          <w:szCs w:val="22"/>
        </w:rPr>
      </w:pPr>
    </w:p>
    <w:p w:rsidRPr="00F87911" w:rsidR="000676D4" w:rsidP="00883209" w:rsidRDefault="00633157" w14:paraId="120F36A5" w14:textId="6DC953CE">
      <w:pPr>
        <w:rPr>
          <w:rFonts w:eastAsia="Arial" w:cs="Arial"/>
          <w:i/>
          <w:iCs/>
          <w:sz w:val="22"/>
          <w:szCs w:val="22"/>
        </w:rPr>
      </w:pPr>
      <w:r w:rsidRPr="00F87911">
        <w:rPr>
          <w:rFonts w:eastAsia="Arial" w:cs="Arial"/>
          <w:i/>
          <w:iCs/>
          <w:sz w:val="22"/>
          <w:szCs w:val="22"/>
        </w:rPr>
        <w:t>Arms-Length Bodies</w:t>
      </w:r>
    </w:p>
    <w:p w:rsidR="00C77E25" w:rsidP="00C77E25" w:rsidRDefault="00C77E25" w14:paraId="3079CD64" w14:textId="77777777">
      <w:pPr>
        <w:rPr>
          <w:rFonts w:eastAsia="Arial" w:cs="Arial"/>
          <w:sz w:val="22"/>
          <w:szCs w:val="22"/>
        </w:rPr>
      </w:pPr>
    </w:p>
    <w:p w:rsidRPr="00C77E25" w:rsidR="00C77E25" w:rsidP="00C77E25" w:rsidRDefault="00C77E25" w14:paraId="0D10B609" w14:textId="55AFBF7F">
      <w:pPr>
        <w:rPr>
          <w:rFonts w:eastAsia="Arial" w:cs="Arial"/>
          <w:sz w:val="22"/>
          <w:szCs w:val="22"/>
        </w:rPr>
      </w:pPr>
      <w:r w:rsidRPr="1FB22237">
        <w:rPr>
          <w:rFonts w:eastAsia="Arial" w:cs="Arial"/>
          <w:sz w:val="22"/>
          <w:szCs w:val="22"/>
        </w:rPr>
        <w:t xml:space="preserve">During </w:t>
      </w:r>
      <w:r w:rsidR="00B431D1">
        <w:rPr>
          <w:rFonts w:eastAsia="Arial" w:cs="Arial"/>
          <w:sz w:val="22"/>
          <w:szCs w:val="22"/>
        </w:rPr>
        <w:t>y</w:t>
      </w:r>
      <w:r w:rsidRPr="1FB22237">
        <w:rPr>
          <w:rFonts w:eastAsia="Arial" w:cs="Arial"/>
          <w:sz w:val="22"/>
          <w:szCs w:val="22"/>
        </w:rPr>
        <w:t xml:space="preserve">ear </w:t>
      </w:r>
      <w:r w:rsidR="008D5FE2">
        <w:rPr>
          <w:rFonts w:eastAsia="Arial" w:cs="Arial"/>
          <w:sz w:val="22"/>
          <w:szCs w:val="22"/>
        </w:rPr>
        <w:t>three</w:t>
      </w:r>
      <w:r w:rsidRPr="1FB22237">
        <w:rPr>
          <w:rFonts w:eastAsia="Arial" w:cs="Arial"/>
          <w:sz w:val="22"/>
          <w:szCs w:val="22"/>
        </w:rPr>
        <w:t xml:space="preserve">, </w:t>
      </w:r>
      <w:r w:rsidRPr="1FB22237" w:rsidR="006400C6">
        <w:rPr>
          <w:rFonts w:eastAsia="Arial" w:cs="Arial"/>
          <w:sz w:val="22"/>
          <w:szCs w:val="22"/>
        </w:rPr>
        <w:t>the</w:t>
      </w:r>
      <w:r w:rsidRPr="1FB22237">
        <w:rPr>
          <w:rFonts w:eastAsia="Arial" w:cs="Arial"/>
          <w:sz w:val="22"/>
          <w:szCs w:val="22"/>
        </w:rPr>
        <w:t xml:space="preserve"> OCPP's A</w:t>
      </w:r>
      <w:r w:rsidRPr="1FB22237" w:rsidR="007454AB">
        <w:rPr>
          <w:rFonts w:eastAsia="Arial" w:cs="Arial"/>
          <w:sz w:val="22"/>
          <w:szCs w:val="22"/>
        </w:rPr>
        <w:t>LB</w:t>
      </w:r>
      <w:r w:rsidRPr="1FB22237" w:rsidR="007F3E36">
        <w:rPr>
          <w:rFonts w:eastAsia="Arial" w:cs="Arial"/>
          <w:sz w:val="22"/>
          <w:szCs w:val="22"/>
        </w:rPr>
        <w:t xml:space="preserve"> delivery partner</w:t>
      </w:r>
      <w:r w:rsidRPr="1FB22237">
        <w:rPr>
          <w:rFonts w:eastAsia="Arial" w:cs="Arial"/>
          <w:sz w:val="22"/>
          <w:szCs w:val="22"/>
        </w:rPr>
        <w:t xml:space="preserve">s </w:t>
      </w:r>
      <w:r w:rsidRPr="1FB22237" w:rsidR="57596309">
        <w:rPr>
          <w:rFonts w:eastAsia="Arial" w:cs="Arial"/>
          <w:sz w:val="22"/>
          <w:szCs w:val="22"/>
        </w:rPr>
        <w:t>reported underspend to their planned budgets. Due to successful adaptive programming, this underspend was significantly lower than in previous years.</w:t>
      </w:r>
      <w:r w:rsidRPr="1FB22237" w:rsidR="00D362EF">
        <w:rPr>
          <w:rFonts w:eastAsia="Arial" w:cs="Arial"/>
          <w:sz w:val="22"/>
          <w:szCs w:val="22"/>
        </w:rPr>
        <w:t xml:space="preserve"> </w:t>
      </w:r>
      <w:r w:rsidRPr="1FB22237">
        <w:rPr>
          <w:rFonts w:eastAsia="Arial" w:cs="Arial"/>
          <w:sz w:val="22"/>
          <w:szCs w:val="22"/>
        </w:rPr>
        <w:t>Th</w:t>
      </w:r>
      <w:r w:rsidRPr="1FB22237" w:rsidR="008C1051">
        <w:rPr>
          <w:rFonts w:eastAsia="Arial" w:cs="Arial"/>
          <w:sz w:val="22"/>
          <w:szCs w:val="22"/>
        </w:rPr>
        <w:t>e</w:t>
      </w:r>
      <w:r w:rsidRPr="1FB22237">
        <w:rPr>
          <w:rFonts w:eastAsia="Arial" w:cs="Arial"/>
          <w:sz w:val="22"/>
          <w:szCs w:val="22"/>
        </w:rPr>
        <w:t xml:space="preserve"> underspend is attributed to the bilateral nature of the ALB delivery of </w:t>
      </w:r>
      <w:r w:rsidRPr="1FB22237" w:rsidR="006400C6">
        <w:rPr>
          <w:rFonts w:eastAsia="Arial" w:cs="Arial"/>
          <w:sz w:val="22"/>
          <w:szCs w:val="22"/>
        </w:rPr>
        <w:t xml:space="preserve">the </w:t>
      </w:r>
      <w:r w:rsidRPr="1FB22237" w:rsidR="00542968">
        <w:rPr>
          <w:rFonts w:eastAsia="Arial" w:cs="Arial"/>
          <w:sz w:val="22"/>
          <w:szCs w:val="22"/>
        </w:rPr>
        <w:t>OCPP</w:t>
      </w:r>
      <w:r w:rsidRPr="1FB22237">
        <w:rPr>
          <w:rFonts w:eastAsia="Arial" w:cs="Arial"/>
          <w:sz w:val="22"/>
          <w:szCs w:val="22"/>
        </w:rPr>
        <w:t xml:space="preserve">, which is </w:t>
      </w:r>
      <w:r w:rsidRPr="1FB22237" w:rsidR="0005176A">
        <w:rPr>
          <w:rFonts w:eastAsia="Arial" w:cs="Arial"/>
          <w:sz w:val="22"/>
          <w:szCs w:val="22"/>
        </w:rPr>
        <w:t>dependent on</w:t>
      </w:r>
      <w:r w:rsidRPr="1FB22237">
        <w:rPr>
          <w:rFonts w:eastAsia="Arial" w:cs="Arial"/>
          <w:sz w:val="22"/>
          <w:szCs w:val="22"/>
        </w:rPr>
        <w:t xml:space="preserve"> the capacity and commitment of partner countries</w:t>
      </w:r>
      <w:r w:rsidRPr="1FB22237" w:rsidR="00544605">
        <w:rPr>
          <w:rFonts w:eastAsia="Arial" w:cs="Arial"/>
          <w:sz w:val="22"/>
          <w:szCs w:val="22"/>
        </w:rPr>
        <w:t>.</w:t>
      </w:r>
      <w:r w:rsidRPr="1FB22237">
        <w:rPr>
          <w:rFonts w:eastAsia="Arial" w:cs="Arial"/>
          <w:sz w:val="22"/>
          <w:szCs w:val="22"/>
        </w:rPr>
        <w:t xml:space="preserve"> Lower-than-expected spend performance resulted from slow in-country engagement and the termination of certain activities based on strategic evaluation</w:t>
      </w:r>
      <w:r w:rsidRPr="1FB22237" w:rsidR="00BF5E71">
        <w:rPr>
          <w:rFonts w:eastAsia="Arial" w:cs="Arial"/>
          <w:sz w:val="22"/>
          <w:szCs w:val="22"/>
        </w:rPr>
        <w:t>s</w:t>
      </w:r>
      <w:r w:rsidRPr="1FB22237">
        <w:rPr>
          <w:rFonts w:eastAsia="Arial" w:cs="Arial"/>
          <w:sz w:val="22"/>
          <w:szCs w:val="22"/>
        </w:rPr>
        <w:t xml:space="preserve">. ALBs have reported spend to Defra on a quarterly basis, highlighting </w:t>
      </w:r>
      <w:r w:rsidRPr="1FB22237" w:rsidR="00072805">
        <w:rPr>
          <w:rFonts w:eastAsia="Arial" w:cs="Arial"/>
          <w:sz w:val="22"/>
          <w:szCs w:val="22"/>
        </w:rPr>
        <w:t>financial</w:t>
      </w:r>
      <w:r w:rsidRPr="1FB22237">
        <w:rPr>
          <w:rFonts w:eastAsia="Arial" w:cs="Arial"/>
          <w:sz w:val="22"/>
          <w:szCs w:val="22"/>
        </w:rPr>
        <w:t xml:space="preserve"> forecasts and risks</w:t>
      </w:r>
      <w:r w:rsidRPr="1FB22237" w:rsidR="00521DCF">
        <w:rPr>
          <w:rFonts w:eastAsia="Arial" w:cs="Arial"/>
          <w:sz w:val="22"/>
          <w:szCs w:val="22"/>
        </w:rPr>
        <w:t>,</w:t>
      </w:r>
      <w:r w:rsidRPr="1FB22237" w:rsidR="00C8383B">
        <w:rPr>
          <w:rFonts w:eastAsia="Arial" w:cs="Arial"/>
          <w:sz w:val="22"/>
          <w:szCs w:val="22"/>
        </w:rPr>
        <w:t xml:space="preserve"> and </w:t>
      </w:r>
      <w:r w:rsidRPr="1FB22237" w:rsidR="00D234BA">
        <w:rPr>
          <w:rFonts w:eastAsia="Arial" w:cs="Arial"/>
          <w:sz w:val="22"/>
          <w:szCs w:val="22"/>
        </w:rPr>
        <w:t>propos</w:t>
      </w:r>
      <w:r w:rsidRPr="1FB22237" w:rsidR="00072805">
        <w:rPr>
          <w:rFonts w:eastAsia="Arial" w:cs="Arial"/>
          <w:sz w:val="22"/>
          <w:szCs w:val="22"/>
        </w:rPr>
        <w:t>ed</w:t>
      </w:r>
      <w:r w:rsidRPr="1FB22237">
        <w:rPr>
          <w:rFonts w:eastAsia="Arial" w:cs="Arial"/>
          <w:sz w:val="22"/>
          <w:szCs w:val="22"/>
        </w:rPr>
        <w:t xml:space="preserve"> strategies </w:t>
      </w:r>
      <w:r w:rsidRPr="1FB22237" w:rsidR="009B6E7F">
        <w:rPr>
          <w:rFonts w:eastAsia="Arial" w:cs="Arial"/>
          <w:sz w:val="22"/>
          <w:szCs w:val="22"/>
        </w:rPr>
        <w:t>which have</w:t>
      </w:r>
      <w:r w:rsidRPr="1FB22237">
        <w:rPr>
          <w:rFonts w:eastAsia="Arial" w:cs="Arial"/>
          <w:sz w:val="22"/>
          <w:szCs w:val="22"/>
        </w:rPr>
        <w:t xml:space="preserve"> adjus</w:t>
      </w:r>
      <w:r w:rsidRPr="1FB22237" w:rsidR="009B6E7F">
        <w:rPr>
          <w:rFonts w:eastAsia="Arial" w:cs="Arial"/>
          <w:sz w:val="22"/>
          <w:szCs w:val="22"/>
        </w:rPr>
        <w:t>ted</w:t>
      </w:r>
      <w:r w:rsidRPr="1FB22237">
        <w:rPr>
          <w:rFonts w:eastAsia="Arial" w:cs="Arial"/>
          <w:sz w:val="22"/>
          <w:szCs w:val="22"/>
        </w:rPr>
        <w:t xml:space="preserve"> activities and reduce</w:t>
      </w:r>
      <w:r w:rsidRPr="1FB22237" w:rsidR="00557329">
        <w:rPr>
          <w:rFonts w:eastAsia="Arial" w:cs="Arial"/>
          <w:sz w:val="22"/>
          <w:szCs w:val="22"/>
        </w:rPr>
        <w:t>d</w:t>
      </w:r>
      <w:r w:rsidRPr="1FB22237">
        <w:rPr>
          <w:rFonts w:eastAsia="Arial" w:cs="Arial"/>
          <w:sz w:val="22"/>
          <w:szCs w:val="22"/>
        </w:rPr>
        <w:t xml:space="preserve"> underspend</w:t>
      </w:r>
      <w:r w:rsidRPr="1FB22237" w:rsidR="000065F1">
        <w:rPr>
          <w:rFonts w:eastAsia="Arial" w:cs="Arial"/>
          <w:sz w:val="22"/>
          <w:szCs w:val="22"/>
        </w:rPr>
        <w:t xml:space="preserve">. </w:t>
      </w:r>
    </w:p>
    <w:p w:rsidR="00C77E25" w:rsidP="00C77E25" w:rsidRDefault="00C77E25" w14:paraId="4DE3D432" w14:textId="77777777">
      <w:pPr>
        <w:rPr>
          <w:rFonts w:eastAsia="Arial" w:cs="Arial"/>
          <w:sz w:val="22"/>
          <w:szCs w:val="22"/>
        </w:rPr>
      </w:pPr>
    </w:p>
    <w:p w:rsidRPr="00C77E25" w:rsidR="00C77E25" w:rsidP="00C77E25" w:rsidRDefault="00C77E25" w14:paraId="552440D9" w14:textId="05D372C5">
      <w:pPr>
        <w:rPr>
          <w:rFonts w:eastAsia="Arial" w:cs="Arial"/>
          <w:sz w:val="22"/>
          <w:szCs w:val="22"/>
        </w:rPr>
      </w:pPr>
      <w:r w:rsidRPr="1FB22237">
        <w:rPr>
          <w:rFonts w:eastAsia="Arial" w:cs="Arial"/>
          <w:sz w:val="22"/>
          <w:szCs w:val="22"/>
        </w:rPr>
        <w:t>Financial transparency could be enhanced through better harmoni</w:t>
      </w:r>
      <w:r w:rsidR="00CB4090">
        <w:rPr>
          <w:rFonts w:eastAsia="Arial" w:cs="Arial"/>
          <w:sz w:val="22"/>
          <w:szCs w:val="22"/>
        </w:rPr>
        <w:t>s</w:t>
      </w:r>
      <w:r w:rsidRPr="1FB22237">
        <w:rPr>
          <w:rFonts w:eastAsia="Arial" w:cs="Arial"/>
          <w:sz w:val="22"/>
          <w:szCs w:val="22"/>
        </w:rPr>
        <w:t xml:space="preserve">ation between milestone reports and budget trackers. Currently, budget trackers focus on country-level expenditure, while milestone reports are based on logframe outputs across countries. </w:t>
      </w:r>
      <w:r w:rsidRPr="1FB22237" w:rsidR="42446469">
        <w:rPr>
          <w:rFonts w:eastAsia="Arial" w:cs="Arial"/>
          <w:sz w:val="22"/>
          <w:szCs w:val="22"/>
        </w:rPr>
        <w:t xml:space="preserve">An outcome of the ALB overhead review is </w:t>
      </w:r>
      <w:r w:rsidRPr="1FB22237" w:rsidR="42AF4296">
        <w:rPr>
          <w:rFonts w:eastAsia="Arial" w:cs="Arial"/>
          <w:sz w:val="22"/>
          <w:szCs w:val="22"/>
        </w:rPr>
        <w:t xml:space="preserve">ALB </w:t>
      </w:r>
      <w:r w:rsidRPr="1FB22237" w:rsidR="657CAF91">
        <w:rPr>
          <w:rFonts w:eastAsia="Arial" w:cs="Arial"/>
          <w:sz w:val="22"/>
          <w:szCs w:val="22"/>
        </w:rPr>
        <w:t>partners will</w:t>
      </w:r>
      <w:r w:rsidRPr="1FB22237" w:rsidR="42446469">
        <w:rPr>
          <w:rFonts w:eastAsia="Arial" w:cs="Arial"/>
          <w:sz w:val="22"/>
          <w:szCs w:val="22"/>
        </w:rPr>
        <w:t xml:space="preserve"> develop new</w:t>
      </w:r>
      <w:r w:rsidRPr="1FB22237" w:rsidR="066C68BA">
        <w:rPr>
          <w:rFonts w:eastAsia="Arial" w:cs="Arial"/>
          <w:sz w:val="22"/>
          <w:szCs w:val="22"/>
        </w:rPr>
        <w:t>,</w:t>
      </w:r>
      <w:r w:rsidRPr="1FB22237" w:rsidR="42446469">
        <w:rPr>
          <w:rFonts w:eastAsia="Arial" w:cs="Arial"/>
          <w:sz w:val="22"/>
          <w:szCs w:val="22"/>
        </w:rPr>
        <w:t xml:space="preserve"> aligned financial reporting </w:t>
      </w:r>
      <w:r w:rsidRPr="1FB22237" w:rsidR="43D961D1">
        <w:rPr>
          <w:rFonts w:eastAsia="Arial" w:cs="Arial"/>
          <w:sz w:val="22"/>
          <w:szCs w:val="22"/>
        </w:rPr>
        <w:t>framework</w:t>
      </w:r>
      <w:r w:rsidRPr="1FB22237" w:rsidR="42446469">
        <w:rPr>
          <w:rFonts w:eastAsia="Arial" w:cs="Arial"/>
          <w:sz w:val="22"/>
          <w:szCs w:val="22"/>
        </w:rPr>
        <w:t xml:space="preserve"> </w:t>
      </w:r>
      <w:r w:rsidRPr="1FB22237" w:rsidR="65FC01E4">
        <w:rPr>
          <w:rFonts w:eastAsia="Arial" w:cs="Arial"/>
          <w:sz w:val="22"/>
          <w:szCs w:val="22"/>
        </w:rPr>
        <w:t>that ensures consistency</w:t>
      </w:r>
      <w:r w:rsidRPr="1FB22237" w:rsidR="55505334">
        <w:rPr>
          <w:rFonts w:eastAsia="Arial" w:cs="Arial"/>
          <w:sz w:val="22"/>
          <w:szCs w:val="22"/>
        </w:rPr>
        <w:t xml:space="preserve"> across the delivery partners</w:t>
      </w:r>
      <w:r w:rsidRPr="1FB22237" w:rsidR="1B8E33BB">
        <w:rPr>
          <w:rFonts w:eastAsia="Arial" w:cs="Arial"/>
          <w:sz w:val="22"/>
          <w:szCs w:val="22"/>
        </w:rPr>
        <w:t>, enhancing</w:t>
      </w:r>
      <w:r w:rsidRPr="1FB22237" w:rsidR="00D75644">
        <w:rPr>
          <w:rFonts w:eastAsia="Arial" w:cs="Arial"/>
          <w:sz w:val="22"/>
          <w:szCs w:val="22"/>
        </w:rPr>
        <w:t xml:space="preserve"> </w:t>
      </w:r>
      <w:r w:rsidRPr="1FB22237">
        <w:rPr>
          <w:rFonts w:eastAsia="Arial" w:cs="Arial"/>
          <w:sz w:val="22"/>
          <w:szCs w:val="22"/>
        </w:rPr>
        <w:t>clarity and alignment</w:t>
      </w:r>
      <w:r w:rsidRPr="1FB22237" w:rsidR="7242F3AC">
        <w:rPr>
          <w:rFonts w:eastAsia="Arial" w:cs="Arial"/>
          <w:sz w:val="22"/>
          <w:szCs w:val="22"/>
        </w:rPr>
        <w:t xml:space="preserve"> for Defra</w:t>
      </w:r>
      <w:r w:rsidRPr="1FB22237">
        <w:rPr>
          <w:rFonts w:eastAsia="Arial" w:cs="Arial"/>
          <w:sz w:val="22"/>
          <w:szCs w:val="22"/>
        </w:rPr>
        <w:t>.</w:t>
      </w:r>
    </w:p>
    <w:p w:rsidR="00633157" w:rsidP="004F2626" w:rsidRDefault="00633157" w14:paraId="5F1DC08F" w14:textId="77777777">
      <w:pPr>
        <w:rPr>
          <w:rFonts w:eastAsia="Arial" w:cs="Arial"/>
          <w:sz w:val="22"/>
          <w:szCs w:val="22"/>
        </w:rPr>
      </w:pPr>
    </w:p>
    <w:p w:rsidRPr="00F87911" w:rsidR="004F2626" w:rsidP="004F2626" w:rsidRDefault="004F2626" w14:paraId="76964E65" w14:textId="38ED5A1D">
      <w:pPr>
        <w:rPr>
          <w:rFonts w:eastAsia="Arial" w:cs="Arial"/>
          <w:i/>
          <w:iCs/>
          <w:sz w:val="22"/>
          <w:szCs w:val="22"/>
        </w:rPr>
      </w:pPr>
      <w:r w:rsidRPr="00F87911">
        <w:rPr>
          <w:rFonts w:eastAsia="Arial" w:cs="Arial"/>
          <w:i/>
          <w:iCs/>
          <w:sz w:val="22"/>
          <w:szCs w:val="22"/>
        </w:rPr>
        <w:t>Friends of Ocean Action</w:t>
      </w:r>
    </w:p>
    <w:p w:rsidR="004459DC" w:rsidP="004F2626" w:rsidRDefault="004459DC" w14:paraId="17BD7C3E" w14:textId="77777777">
      <w:pPr>
        <w:rPr>
          <w:rFonts w:eastAsia="Arial" w:cs="Arial"/>
          <w:sz w:val="22"/>
          <w:szCs w:val="22"/>
        </w:rPr>
      </w:pPr>
    </w:p>
    <w:p w:rsidR="00F845DB" w:rsidP="00320772" w:rsidRDefault="6D098AF6" w14:paraId="64CC9B07" w14:textId="06E54C60">
      <w:pPr>
        <w:rPr>
          <w:rFonts w:eastAsia="Arial" w:cs="Arial"/>
          <w:sz w:val="22"/>
          <w:szCs w:val="22"/>
        </w:rPr>
      </w:pPr>
      <w:r w:rsidRPr="0F8533E4">
        <w:rPr>
          <w:rFonts w:eastAsia="Arial" w:cs="Arial"/>
          <w:sz w:val="22"/>
          <w:szCs w:val="22"/>
        </w:rPr>
        <w:t xml:space="preserve">During </w:t>
      </w:r>
      <w:r w:rsidR="008D5FE2">
        <w:rPr>
          <w:rFonts w:eastAsia="Arial" w:cs="Arial"/>
          <w:sz w:val="22"/>
          <w:szCs w:val="22"/>
        </w:rPr>
        <w:t>y</w:t>
      </w:r>
      <w:r w:rsidRPr="0F8533E4">
        <w:rPr>
          <w:rFonts w:eastAsia="Arial" w:cs="Arial"/>
          <w:sz w:val="22"/>
          <w:szCs w:val="22"/>
        </w:rPr>
        <w:t xml:space="preserve">ear </w:t>
      </w:r>
      <w:r w:rsidR="008D5FE2">
        <w:rPr>
          <w:rFonts w:eastAsia="Arial" w:cs="Arial"/>
          <w:sz w:val="22"/>
          <w:szCs w:val="22"/>
        </w:rPr>
        <w:t>three</w:t>
      </w:r>
      <w:r w:rsidRPr="0F8533E4">
        <w:rPr>
          <w:rFonts w:eastAsia="Arial" w:cs="Arial"/>
          <w:sz w:val="22"/>
          <w:szCs w:val="22"/>
        </w:rPr>
        <w:t>, FOA and Defra worked closely together to monitor spending risks and identify potential solutions. FOA provided Defra with spend updates through quarterly formal and informal check-ins throughout the year and milestone reports that aligned with budget categories with expenditure.</w:t>
      </w:r>
      <w:r w:rsidRPr="0F8533E4" w:rsidR="004F2626">
        <w:rPr>
          <w:rFonts w:eastAsia="Arial" w:cs="Arial"/>
          <w:sz w:val="22"/>
          <w:szCs w:val="22"/>
        </w:rPr>
        <w:t xml:space="preserve"> </w:t>
      </w:r>
      <w:r w:rsidRPr="0F8533E4" w:rsidR="64267650">
        <w:rPr>
          <w:rFonts w:eastAsia="Arial" w:cs="Arial"/>
          <w:sz w:val="22"/>
          <w:szCs w:val="22"/>
        </w:rPr>
        <w:t xml:space="preserve">FOA </w:t>
      </w:r>
      <w:r w:rsidRPr="0F8533E4" w:rsidR="3A17DA6B">
        <w:rPr>
          <w:rFonts w:eastAsia="Arial" w:cs="Arial"/>
          <w:sz w:val="22"/>
          <w:szCs w:val="22"/>
        </w:rPr>
        <w:t>reported a small underspend which was attributed</w:t>
      </w:r>
      <w:r w:rsidRPr="0F8533E4" w:rsidR="00320772">
        <w:rPr>
          <w:rFonts w:eastAsia="Arial" w:cs="Arial"/>
          <w:sz w:val="22"/>
          <w:szCs w:val="22"/>
        </w:rPr>
        <w:t xml:space="preserve"> to the Seafood Loss and Waste and Supply Chain Risk projects, where </w:t>
      </w:r>
      <w:r w:rsidRPr="0F8533E4" w:rsidR="00AB3430">
        <w:rPr>
          <w:rFonts w:eastAsia="Arial" w:cs="Arial"/>
          <w:sz w:val="22"/>
          <w:szCs w:val="22"/>
        </w:rPr>
        <w:t xml:space="preserve">there were reported </w:t>
      </w:r>
      <w:r w:rsidRPr="0F8533E4" w:rsidR="00320772">
        <w:rPr>
          <w:rFonts w:eastAsia="Arial" w:cs="Arial"/>
          <w:sz w:val="22"/>
          <w:szCs w:val="22"/>
        </w:rPr>
        <w:t>delays in subcontracting</w:t>
      </w:r>
      <w:r w:rsidRPr="0F8533E4" w:rsidR="00315188">
        <w:rPr>
          <w:rFonts w:eastAsia="Arial" w:cs="Arial"/>
          <w:sz w:val="22"/>
          <w:szCs w:val="22"/>
        </w:rPr>
        <w:t xml:space="preserve"> and r</w:t>
      </w:r>
      <w:r w:rsidRPr="0F8533E4" w:rsidR="00320772">
        <w:rPr>
          <w:rFonts w:eastAsia="Arial" w:cs="Arial"/>
          <w:sz w:val="22"/>
          <w:szCs w:val="22"/>
        </w:rPr>
        <w:t>educed travel expenses.</w:t>
      </w:r>
      <w:r w:rsidRPr="0F8533E4" w:rsidR="005F2892">
        <w:rPr>
          <w:rFonts w:eastAsia="Arial" w:cs="Arial"/>
          <w:sz w:val="22"/>
          <w:szCs w:val="22"/>
        </w:rPr>
        <w:t xml:space="preserve"> </w:t>
      </w:r>
    </w:p>
    <w:p w:rsidR="004F2626" w:rsidP="01B1EA26" w:rsidRDefault="004F2626" w14:paraId="3FF7366F" w14:textId="6CB1A3E4">
      <w:pPr>
        <w:rPr>
          <w:rFonts w:eastAsia="Arial" w:cs="Arial"/>
          <w:sz w:val="22"/>
          <w:szCs w:val="22"/>
        </w:rPr>
      </w:pPr>
    </w:p>
    <w:p w:rsidR="004F2626" w:rsidP="004F2626" w:rsidRDefault="00320772" w14:paraId="66BF1E5A" w14:textId="03F1CFBD">
      <w:pPr>
        <w:rPr>
          <w:rFonts w:eastAsia="Arial" w:cs="Arial"/>
          <w:sz w:val="22"/>
          <w:szCs w:val="22"/>
        </w:rPr>
      </w:pPr>
      <w:r w:rsidRPr="00320772">
        <w:rPr>
          <w:rFonts w:eastAsia="Arial" w:cs="Arial"/>
          <w:sz w:val="22"/>
          <w:szCs w:val="22"/>
        </w:rPr>
        <w:t>Due to delays in engagement with subcontracting and the opportunity to enhance project impact through participation in key international conferences, FOA was granted a one-month no-cost extension to ensure the completion of all final deliverables. During this extension, FOA repurposed project funds to reduce the overall underspend.</w:t>
      </w:r>
      <w:r w:rsidR="00385B62">
        <w:rPr>
          <w:rFonts w:eastAsia="Arial" w:cs="Arial"/>
          <w:sz w:val="22"/>
          <w:szCs w:val="22"/>
        </w:rPr>
        <w:t xml:space="preserve"> </w:t>
      </w:r>
      <w:r w:rsidRPr="00F42BCE" w:rsidR="00F42BCE">
        <w:rPr>
          <w:rFonts w:eastAsia="Arial" w:cs="Arial"/>
          <w:sz w:val="22"/>
          <w:szCs w:val="22"/>
        </w:rPr>
        <w:t xml:space="preserve">The outcomes of the </w:t>
      </w:r>
      <w:r w:rsidRPr="00971B24" w:rsidR="00971B24">
        <w:rPr>
          <w:rFonts w:eastAsia="Arial" w:cs="Arial"/>
          <w:sz w:val="22"/>
          <w:szCs w:val="22"/>
        </w:rPr>
        <w:t xml:space="preserve">no-cost extension </w:t>
      </w:r>
      <w:r w:rsidRPr="00F42BCE" w:rsidR="00F42BCE">
        <w:rPr>
          <w:rFonts w:eastAsia="Arial" w:cs="Arial"/>
          <w:sz w:val="22"/>
          <w:szCs w:val="22"/>
        </w:rPr>
        <w:t xml:space="preserve">were achieved outside the FY23/24 reporting period, as the extension </w:t>
      </w:r>
      <w:r w:rsidRPr="00971B24" w:rsidR="00971B24">
        <w:rPr>
          <w:rFonts w:eastAsia="Arial" w:cs="Arial"/>
          <w:sz w:val="22"/>
          <w:szCs w:val="22"/>
        </w:rPr>
        <w:t xml:space="preserve">occurred at the end of the financial year, and the final Q4 payment was not accrued to FY23/24 </w:t>
      </w:r>
      <w:r w:rsidRPr="00F42BCE" w:rsidR="00F42BCE">
        <w:rPr>
          <w:rFonts w:eastAsia="Arial" w:cs="Arial"/>
          <w:sz w:val="22"/>
          <w:szCs w:val="22"/>
        </w:rPr>
        <w:t>but</w:t>
      </w:r>
      <w:r w:rsidRPr="00971B24" w:rsidR="00971B24">
        <w:rPr>
          <w:rFonts w:eastAsia="Arial" w:cs="Arial"/>
          <w:sz w:val="22"/>
          <w:szCs w:val="22"/>
        </w:rPr>
        <w:t xml:space="preserve"> instead paid in FY24/25.</w:t>
      </w:r>
    </w:p>
    <w:p w:rsidR="004F2626" w:rsidP="004F2626" w:rsidRDefault="004F2626" w14:paraId="1DB80AB6" w14:textId="77777777">
      <w:pPr>
        <w:rPr>
          <w:rFonts w:eastAsia="Arial" w:cs="Arial"/>
          <w:sz w:val="22"/>
          <w:szCs w:val="22"/>
        </w:rPr>
      </w:pPr>
    </w:p>
    <w:p w:rsidRPr="00F87911" w:rsidR="00633157" w:rsidP="004F2626" w:rsidRDefault="004459DC" w14:paraId="10D37137" w14:textId="0B7B933C">
      <w:pPr>
        <w:rPr>
          <w:rFonts w:eastAsia="Arial" w:cs="Arial"/>
          <w:i/>
          <w:iCs/>
          <w:sz w:val="22"/>
          <w:szCs w:val="22"/>
        </w:rPr>
      </w:pPr>
      <w:r w:rsidRPr="00F87911">
        <w:rPr>
          <w:rFonts w:cs="Arial"/>
          <w:i/>
          <w:iCs/>
          <w:sz w:val="22"/>
          <w:szCs w:val="22"/>
        </w:rPr>
        <w:t>Global Ocean Accounts Partnership</w:t>
      </w:r>
    </w:p>
    <w:p w:rsidR="00633157" w:rsidP="004F2626" w:rsidRDefault="00633157" w14:paraId="291F0B46" w14:textId="77777777">
      <w:pPr>
        <w:rPr>
          <w:rFonts w:eastAsia="Arial" w:cs="Arial"/>
          <w:sz w:val="22"/>
          <w:szCs w:val="22"/>
        </w:rPr>
      </w:pPr>
    </w:p>
    <w:p w:rsidRPr="004F2626" w:rsidR="004F2626" w:rsidP="2750615F" w:rsidRDefault="00F010EF" w14:paraId="49C87747" w14:textId="28CAAEB1">
      <w:pPr>
        <w:rPr>
          <w:rFonts w:eastAsia="Arial" w:cs="Arial"/>
          <w:sz w:val="22"/>
          <w:szCs w:val="22"/>
        </w:rPr>
      </w:pPr>
      <w:r w:rsidRPr="3CA80587">
        <w:rPr>
          <w:rFonts w:eastAsia="Arial" w:cs="Arial"/>
          <w:sz w:val="22"/>
          <w:szCs w:val="22"/>
        </w:rPr>
        <w:t xml:space="preserve">During year </w:t>
      </w:r>
      <w:r w:rsidRPr="3CA80587" w:rsidR="008D5FE2">
        <w:rPr>
          <w:rFonts w:eastAsia="Arial" w:cs="Arial"/>
          <w:sz w:val="22"/>
          <w:szCs w:val="22"/>
        </w:rPr>
        <w:t>three</w:t>
      </w:r>
      <w:r w:rsidRPr="3CA80587">
        <w:rPr>
          <w:rFonts w:eastAsia="Arial" w:cs="Arial"/>
          <w:sz w:val="22"/>
          <w:szCs w:val="22"/>
        </w:rPr>
        <w:t>,</w:t>
      </w:r>
      <w:r w:rsidRPr="3CA80587" w:rsidR="47CD7D96">
        <w:rPr>
          <w:rFonts w:eastAsia="Arial" w:cs="Arial"/>
          <w:sz w:val="22"/>
          <w:szCs w:val="22"/>
        </w:rPr>
        <w:t xml:space="preserve"> </w:t>
      </w:r>
      <w:r w:rsidRPr="3CA80587" w:rsidR="00F40E2C">
        <w:rPr>
          <w:rFonts w:eastAsia="Arial" w:cs="Arial"/>
          <w:sz w:val="22"/>
          <w:szCs w:val="22"/>
        </w:rPr>
        <w:t>GOAP</w:t>
      </w:r>
      <w:r w:rsidRPr="3CA80587" w:rsidR="00972D42">
        <w:rPr>
          <w:rFonts w:eastAsia="Arial" w:cs="Arial"/>
          <w:sz w:val="22"/>
          <w:szCs w:val="22"/>
        </w:rPr>
        <w:t xml:space="preserve"> have </w:t>
      </w:r>
      <w:r w:rsidRPr="3CA80587" w:rsidR="00F40E2C">
        <w:rPr>
          <w:rFonts w:eastAsia="Arial" w:cs="Arial"/>
          <w:sz w:val="22"/>
          <w:szCs w:val="22"/>
        </w:rPr>
        <w:t>provided re</w:t>
      </w:r>
      <w:r w:rsidRPr="3CA80587" w:rsidR="00730A27">
        <w:rPr>
          <w:rFonts w:eastAsia="Arial" w:cs="Arial"/>
          <w:sz w:val="22"/>
          <w:szCs w:val="22"/>
        </w:rPr>
        <w:t xml:space="preserve">gular </w:t>
      </w:r>
      <w:r w:rsidRPr="3CA80587" w:rsidR="00972D42">
        <w:rPr>
          <w:rFonts w:eastAsia="Arial" w:cs="Arial"/>
          <w:sz w:val="22"/>
          <w:szCs w:val="22"/>
        </w:rPr>
        <w:t>updates</w:t>
      </w:r>
      <w:r w:rsidRPr="3CA80587" w:rsidR="00730A27">
        <w:rPr>
          <w:rFonts w:eastAsia="Arial" w:cs="Arial"/>
          <w:sz w:val="22"/>
          <w:szCs w:val="22"/>
        </w:rPr>
        <w:t xml:space="preserve"> at scheduled progress meetings </w:t>
      </w:r>
      <w:r w:rsidRPr="009F624B" w:rsidR="00730A27">
        <w:rPr>
          <w:rFonts w:eastAsia="Arial" w:cs="Arial"/>
          <w:sz w:val="22"/>
          <w:szCs w:val="22"/>
        </w:rPr>
        <w:t xml:space="preserve">and </w:t>
      </w:r>
      <w:r w:rsidRPr="009F624B" w:rsidR="007D4269">
        <w:rPr>
          <w:rFonts w:eastAsia="Arial" w:cs="Arial"/>
          <w:sz w:val="22"/>
          <w:szCs w:val="22"/>
        </w:rPr>
        <w:t>addressed comments and responded to clarifications from Defra</w:t>
      </w:r>
      <w:r w:rsidRPr="009F624B" w:rsidR="00B81715">
        <w:rPr>
          <w:rFonts w:eastAsia="Arial" w:cs="Arial"/>
          <w:sz w:val="22"/>
          <w:szCs w:val="22"/>
        </w:rPr>
        <w:t xml:space="preserve"> in a timely manner</w:t>
      </w:r>
      <w:r w:rsidRPr="009F624B" w:rsidR="007D4269">
        <w:rPr>
          <w:rFonts w:eastAsia="Arial" w:cs="Arial"/>
          <w:sz w:val="22"/>
          <w:szCs w:val="22"/>
        </w:rPr>
        <w:t xml:space="preserve">. </w:t>
      </w:r>
      <w:r w:rsidRPr="009F624B" w:rsidR="6486D0B6">
        <w:rPr>
          <w:rFonts w:eastAsia="Arial" w:cs="Arial"/>
          <w:sz w:val="22"/>
          <w:szCs w:val="22"/>
        </w:rPr>
        <w:t xml:space="preserve"> GOAP has fulfilled all reporting requirements</w:t>
      </w:r>
      <w:r w:rsidRPr="009F624B" w:rsidR="00C4403E">
        <w:rPr>
          <w:rFonts w:eastAsia="Arial" w:cs="Arial"/>
          <w:sz w:val="22"/>
          <w:szCs w:val="22"/>
        </w:rPr>
        <w:t xml:space="preserve"> including providing breakdown by expenditure category</w:t>
      </w:r>
      <w:r w:rsidRPr="009F624B" w:rsidR="6486D0B6">
        <w:rPr>
          <w:rFonts w:eastAsia="Arial" w:cs="Arial"/>
          <w:sz w:val="22"/>
          <w:szCs w:val="22"/>
        </w:rPr>
        <w:t>, but there is opportunity</w:t>
      </w:r>
      <w:r w:rsidRPr="009F624B" w:rsidR="28939500">
        <w:rPr>
          <w:rFonts w:eastAsia="Arial" w:cs="Arial"/>
          <w:sz w:val="22"/>
          <w:szCs w:val="22"/>
        </w:rPr>
        <w:t xml:space="preserve"> for Defra</w:t>
      </w:r>
      <w:r w:rsidRPr="009F624B" w:rsidR="6486D0B6">
        <w:rPr>
          <w:rFonts w:eastAsia="Arial" w:cs="Arial"/>
          <w:sz w:val="22"/>
          <w:szCs w:val="22"/>
        </w:rPr>
        <w:t xml:space="preserve"> to further</w:t>
      </w:r>
      <w:r w:rsidRPr="009F624B" w:rsidR="1B06AE31">
        <w:rPr>
          <w:rFonts w:eastAsia="Segoe UI" w:cs="Arial"/>
          <w:sz w:val="22"/>
          <w:szCs w:val="22"/>
        </w:rPr>
        <w:t xml:space="preserve"> </w:t>
      </w:r>
      <w:r w:rsidRPr="004D7057" w:rsidR="00173231">
        <w:rPr>
          <w:rFonts w:eastAsia="Segoe UI" w:cs="Arial"/>
          <w:sz w:val="22"/>
          <w:szCs w:val="22"/>
        </w:rPr>
        <w:t xml:space="preserve">improve </w:t>
      </w:r>
      <w:r w:rsidRPr="00602CB1" w:rsidR="1B06AE31">
        <w:rPr>
          <w:rFonts w:cs="Arial" w:eastAsiaTheme="minorEastAsia"/>
          <w:sz w:val="22"/>
          <w:szCs w:val="22"/>
        </w:rPr>
        <w:t xml:space="preserve">oversight of the GOAP programme spend </w:t>
      </w:r>
      <w:r w:rsidRPr="00602CB1" w:rsidR="1B06AE31">
        <w:rPr>
          <w:rFonts w:eastAsia="Arial" w:cs="Arial"/>
          <w:sz w:val="22"/>
          <w:szCs w:val="22"/>
        </w:rPr>
        <w:t>by identifying a more detailed breakdown</w:t>
      </w:r>
      <w:r w:rsidRPr="004E39A5" w:rsidR="1B06AE31">
        <w:rPr>
          <w:rFonts w:eastAsia="Arial" w:cs="Arial"/>
          <w:sz w:val="22"/>
          <w:szCs w:val="22"/>
        </w:rPr>
        <w:t>, and request GOAP to report on this, whilst maintaining the flexibility of GOAP to deploy funds within the purposes of the grant</w:t>
      </w:r>
      <w:r w:rsidR="006E6861">
        <w:rPr>
          <w:rFonts w:eastAsia="Arial" w:cs="Arial"/>
          <w:sz w:val="22"/>
          <w:szCs w:val="22"/>
        </w:rPr>
        <w:t>.</w:t>
      </w:r>
      <w:r w:rsidRPr="009F624B" w:rsidR="70C0D73D">
        <w:rPr>
          <w:rFonts w:eastAsia="Arial"/>
          <w:sz w:val="22"/>
        </w:rPr>
        <w:t xml:space="preserve"> </w:t>
      </w:r>
      <w:r w:rsidRPr="009F624B" w:rsidR="25EA5A58">
        <w:rPr>
          <w:rFonts w:eastAsia="Arial"/>
          <w:sz w:val="22"/>
        </w:rPr>
        <w:t xml:space="preserve">It is recommended that Defra work with GOAP to provide a breakdown on spend by budget line, allowing Defra and GOAP to collaboratively monitor spending risks and </w:t>
      </w:r>
      <w:r w:rsidRPr="006E6861" w:rsidR="25EA5A58">
        <w:rPr>
          <w:rFonts w:eastAsia="Arial" w:cs="Arial"/>
          <w:sz w:val="22"/>
          <w:szCs w:val="22"/>
        </w:rPr>
        <w:t>continue to appropriately manage spend</w:t>
      </w:r>
      <w:r w:rsidR="009F624B">
        <w:rPr>
          <w:rFonts w:eastAsia="Arial" w:cs="Arial"/>
          <w:sz w:val="22"/>
          <w:szCs w:val="22"/>
        </w:rPr>
        <w:t>.</w:t>
      </w:r>
    </w:p>
    <w:p w:rsidRPr="004F2626" w:rsidR="00F010EF" w:rsidP="004F2626" w:rsidRDefault="00F010EF" w14:paraId="58E85304" w14:textId="77777777">
      <w:pPr>
        <w:rPr>
          <w:rFonts w:eastAsia="Arial" w:cs="Arial"/>
          <w:sz w:val="22"/>
          <w:szCs w:val="22"/>
        </w:rPr>
      </w:pPr>
    </w:p>
    <w:p w:rsidRPr="00F87911" w:rsidR="0021705E" w:rsidP="0021705E" w:rsidRDefault="0021705E" w14:paraId="093EFE38" w14:textId="72C3AC7A">
      <w:pPr>
        <w:rPr>
          <w:rFonts w:eastAsia="Arial" w:cs="Arial"/>
          <w:b/>
          <w:bCs/>
          <w:sz w:val="22"/>
          <w:szCs w:val="22"/>
          <w:u w:val="single"/>
        </w:rPr>
      </w:pPr>
      <w:r w:rsidRPr="00F87911">
        <w:rPr>
          <w:rFonts w:eastAsia="Arial" w:cs="Arial"/>
          <w:b/>
          <w:bCs/>
          <w:sz w:val="22"/>
          <w:szCs w:val="22"/>
          <w:u w:val="single"/>
        </w:rPr>
        <w:t>Defra</w:t>
      </w:r>
    </w:p>
    <w:p w:rsidRPr="00C25F93" w:rsidR="00E81A0C" w:rsidP="00DB5514" w:rsidRDefault="00E81A0C" w14:paraId="747CCD84" w14:textId="7DF2944B">
      <w:pPr>
        <w:rPr>
          <w:rFonts w:eastAsia="Arial" w:cs="Segoe UI"/>
          <w:b/>
          <w:sz w:val="22"/>
          <w:szCs w:val="22"/>
        </w:rPr>
      </w:pPr>
    </w:p>
    <w:p w:rsidR="00D16D72" w:rsidP="00DB5514" w:rsidRDefault="00931FE9" w14:paraId="4063861F" w14:textId="1BA05268">
      <w:pPr>
        <w:rPr>
          <w:rFonts w:cs="Segoe UI"/>
          <w:sz w:val="22"/>
          <w:szCs w:val="22"/>
        </w:rPr>
      </w:pPr>
      <w:r w:rsidRPr="4E945F21">
        <w:rPr>
          <w:sz w:val="22"/>
          <w:szCs w:val="22"/>
        </w:rPr>
        <w:t xml:space="preserve">Efficiency has been compromised by lengthy delays in approvals from Defra. GOAP and FOA would have benefited from quicker turnaround times for sub-contracting and grant approval requests, ensuring stability in their grant funding. The interim evaluation noted that implementing partners had to develop mitigating strategies to address this issue. </w:t>
      </w:r>
      <w:r w:rsidRPr="4E945F21">
        <w:rPr>
          <w:rFonts w:cs="Segoe UI"/>
          <w:sz w:val="22"/>
          <w:szCs w:val="22"/>
        </w:rPr>
        <w:t xml:space="preserve">The previous </w:t>
      </w:r>
      <w:r w:rsidR="00C14357">
        <w:rPr>
          <w:rFonts w:cs="Segoe UI"/>
          <w:sz w:val="22"/>
          <w:szCs w:val="22"/>
        </w:rPr>
        <w:t>annual review</w:t>
      </w:r>
      <w:r w:rsidRPr="4E945F21">
        <w:rPr>
          <w:rFonts w:cs="Segoe UI"/>
          <w:sz w:val="22"/>
          <w:szCs w:val="22"/>
        </w:rPr>
        <w:t xml:space="preserve"> of the programme </w:t>
      </w:r>
      <w:r w:rsidRPr="4E945F21">
        <w:rPr>
          <w:sz w:val="22"/>
          <w:szCs w:val="22"/>
        </w:rPr>
        <w:t>emphasised</w:t>
      </w:r>
      <w:r w:rsidRPr="4E945F21">
        <w:rPr>
          <w:rFonts w:cs="Segoe UI"/>
          <w:sz w:val="22"/>
          <w:szCs w:val="22"/>
        </w:rPr>
        <w:t xml:space="preserve"> the </w:t>
      </w:r>
      <w:r w:rsidRPr="4E945F21">
        <w:rPr>
          <w:sz w:val="22"/>
          <w:szCs w:val="22"/>
        </w:rPr>
        <w:t>need</w:t>
      </w:r>
      <w:r w:rsidRPr="4E945F21">
        <w:rPr>
          <w:rFonts w:cs="Segoe UI"/>
          <w:sz w:val="22"/>
          <w:szCs w:val="22"/>
        </w:rPr>
        <w:t xml:space="preserve"> for </w:t>
      </w:r>
      <w:r w:rsidRPr="4E945F21">
        <w:rPr>
          <w:sz w:val="22"/>
          <w:szCs w:val="22"/>
        </w:rPr>
        <w:t>faster</w:t>
      </w:r>
      <w:r w:rsidRPr="4E945F21">
        <w:rPr>
          <w:rFonts w:cs="Segoe UI"/>
          <w:sz w:val="22"/>
          <w:szCs w:val="22"/>
        </w:rPr>
        <w:t xml:space="preserve"> turnaround times. </w:t>
      </w:r>
      <w:r w:rsidRPr="4E945F21">
        <w:rPr>
          <w:sz w:val="22"/>
          <w:szCs w:val="22"/>
        </w:rPr>
        <w:t>Although some</w:t>
      </w:r>
      <w:r w:rsidRPr="4E945F21">
        <w:rPr>
          <w:rFonts w:cs="Segoe UI"/>
          <w:sz w:val="22"/>
          <w:szCs w:val="22"/>
        </w:rPr>
        <w:t xml:space="preserve"> progress has been made, it has been </w:t>
      </w:r>
      <w:r w:rsidRPr="4E945F21">
        <w:rPr>
          <w:sz w:val="22"/>
          <w:szCs w:val="22"/>
        </w:rPr>
        <w:t>slowed</w:t>
      </w:r>
      <w:r w:rsidRPr="4E945F21">
        <w:rPr>
          <w:rFonts w:cs="Segoe UI"/>
          <w:sz w:val="22"/>
          <w:szCs w:val="22"/>
        </w:rPr>
        <w:t xml:space="preserve"> by limited staff resources and </w:t>
      </w:r>
      <w:r w:rsidR="00B32368">
        <w:rPr>
          <w:rFonts w:cs="Segoe UI"/>
          <w:sz w:val="22"/>
          <w:szCs w:val="22"/>
        </w:rPr>
        <w:t>staff turnover.</w:t>
      </w:r>
    </w:p>
    <w:p w:rsidR="00D16D72" w:rsidP="00DB5514" w:rsidRDefault="00D16D72" w14:paraId="0A863990" w14:textId="79B08AF5">
      <w:pPr>
        <w:rPr>
          <w:rFonts w:cs="Segoe UI"/>
          <w:sz w:val="22"/>
          <w:szCs w:val="22"/>
        </w:rPr>
      </w:pPr>
    </w:p>
    <w:p w:rsidR="007E03DA" w:rsidP="00DB5514" w:rsidRDefault="00931FE9" w14:paraId="7A2DBBD4" w14:textId="37A898D5">
      <w:pPr>
        <w:rPr>
          <w:rFonts w:eastAsia="Arial"/>
          <w:sz w:val="22"/>
          <w:szCs w:val="22"/>
        </w:rPr>
      </w:pPr>
      <w:r w:rsidRPr="00931FE9">
        <w:rPr>
          <w:sz w:val="22"/>
          <w:szCs w:val="22"/>
        </w:rPr>
        <w:t xml:space="preserve">Despite the existence of </w:t>
      </w:r>
      <w:r w:rsidRPr="007E03DA">
        <w:rPr>
          <w:rFonts w:cs="Segoe UI"/>
          <w:sz w:val="22"/>
          <w:szCs w:val="22"/>
        </w:rPr>
        <w:t>a delegated authority table for ALB delivery, its use has been inconsistent.</w:t>
      </w:r>
      <w:r w:rsidR="0082498F">
        <w:rPr>
          <w:rFonts w:cs="Segoe UI"/>
          <w:sz w:val="22"/>
          <w:szCs w:val="22"/>
        </w:rPr>
        <w:t xml:space="preserve"> The interim evaluation </w:t>
      </w:r>
      <w:r w:rsidRPr="00C25F93" w:rsidR="0082498F">
        <w:rPr>
          <w:rFonts w:cs="Segoe UI"/>
          <w:sz w:val="22"/>
          <w:szCs w:val="18"/>
        </w:rPr>
        <w:t>note</w:t>
      </w:r>
      <w:r w:rsidR="0082498F">
        <w:rPr>
          <w:rFonts w:cs="Segoe UI"/>
          <w:sz w:val="22"/>
          <w:szCs w:val="18"/>
        </w:rPr>
        <w:t>d</w:t>
      </w:r>
      <w:r w:rsidRPr="00C25F93" w:rsidR="0082498F">
        <w:rPr>
          <w:rFonts w:cs="Segoe UI"/>
          <w:sz w:val="22"/>
          <w:szCs w:val="18"/>
        </w:rPr>
        <w:t xml:space="preserve"> </w:t>
      </w:r>
      <w:r w:rsidR="0082498F">
        <w:rPr>
          <w:rFonts w:cs="Segoe UI"/>
          <w:sz w:val="22"/>
          <w:szCs w:val="18"/>
        </w:rPr>
        <w:t>a</w:t>
      </w:r>
      <w:r w:rsidRPr="00C25F93" w:rsidR="0082498F">
        <w:rPr>
          <w:rFonts w:cs="Segoe UI"/>
          <w:sz w:val="22"/>
          <w:szCs w:val="18"/>
        </w:rPr>
        <w:t xml:space="preserve"> lack of consistent SRO oversight and delegated authority in decision making for the programme</w:t>
      </w:r>
      <w:r w:rsidR="0082498F">
        <w:rPr>
          <w:rFonts w:cs="Segoe UI"/>
          <w:sz w:val="22"/>
          <w:szCs w:val="18"/>
        </w:rPr>
        <w:t>.</w:t>
      </w:r>
    </w:p>
    <w:p w:rsidRPr="00ED49F3" w:rsidR="00C25F93" w:rsidP="00C25F93" w:rsidRDefault="00C25F93" w14:paraId="01DA4CC4" w14:textId="77777777">
      <w:pPr>
        <w:rPr>
          <w:rFonts w:cs="Segoe UI"/>
          <w:b/>
          <w:bCs/>
          <w:sz w:val="22"/>
          <w:szCs w:val="22"/>
          <w:highlight w:val="green"/>
        </w:rPr>
      </w:pPr>
    </w:p>
    <w:p w:rsidR="1F9FCF51" w:rsidP="69AE3331" w:rsidRDefault="1F9FCF51" w14:paraId="33844F80" w14:textId="4AA9455C">
      <w:pPr>
        <w:rPr>
          <w:rFonts w:cs="Arial"/>
          <w:sz w:val="20"/>
          <w:szCs w:val="20"/>
          <w:highlight w:val="yellow"/>
          <w:lang w:val="en" w:eastAsia="en-GB"/>
        </w:rPr>
      </w:pPr>
    </w:p>
    <w:p w:rsidR="1F9FCF51" w:rsidP="003256AA" w:rsidRDefault="64A9A38B" w14:paraId="7DE4DC77" w14:textId="0E41E368">
      <w:pPr>
        <w:jc w:val="both"/>
        <w:rPr>
          <w:rFonts w:cs="Arial"/>
          <w:b/>
          <w:bCs/>
          <w:sz w:val="22"/>
          <w:szCs w:val="22"/>
        </w:rPr>
      </w:pPr>
      <w:r w:rsidRPr="69AE3331">
        <w:rPr>
          <w:rFonts w:cs="Arial"/>
          <w:b/>
          <w:bCs/>
          <w:sz w:val="22"/>
          <w:szCs w:val="22"/>
        </w:rPr>
        <w:t>E2. Assess the VfM of this output compared to the proposition in the Business Case, based on performance over the past year</w:t>
      </w:r>
    </w:p>
    <w:p w:rsidR="003256AA" w:rsidP="003256AA" w:rsidRDefault="003256AA" w14:paraId="71F3D777" w14:textId="77777777">
      <w:pPr>
        <w:jc w:val="both"/>
        <w:rPr>
          <w:rFonts w:eastAsia="Arial" w:cs="Arial"/>
          <w:sz w:val="20"/>
          <w:lang w:val="en-US"/>
        </w:rPr>
      </w:pPr>
    </w:p>
    <w:p w:rsidRPr="00B010AD" w:rsidR="003256AA" w:rsidP="00AE7540" w:rsidRDefault="003256AA" w14:paraId="1CD072BF" w14:textId="32E9C8DA">
      <w:pPr>
        <w:spacing w:after="160" w:line="276" w:lineRule="auto"/>
        <w:jc w:val="both"/>
        <w:rPr>
          <w:rFonts w:eastAsia="Arial" w:cs="Arial"/>
          <w:b/>
          <w:bCs/>
          <w:sz w:val="22"/>
          <w:szCs w:val="22"/>
          <w:lang w:val="en-US"/>
        </w:rPr>
      </w:pPr>
      <w:r w:rsidRPr="00B010AD">
        <w:rPr>
          <w:rFonts w:eastAsia="Arial" w:cs="Arial"/>
          <w:b/>
          <w:bCs/>
          <w:sz w:val="22"/>
          <w:szCs w:val="22"/>
          <w:lang w:val="en-US"/>
        </w:rPr>
        <w:t>E</w:t>
      </w:r>
      <w:r w:rsidR="00E82B04">
        <w:rPr>
          <w:rFonts w:eastAsia="Arial" w:cs="Arial"/>
          <w:b/>
          <w:bCs/>
          <w:sz w:val="22"/>
          <w:szCs w:val="22"/>
          <w:lang w:val="en-US"/>
        </w:rPr>
        <w:t>2.</w:t>
      </w:r>
      <w:r w:rsidRPr="00B010AD">
        <w:rPr>
          <w:rFonts w:eastAsia="Arial" w:cs="Arial"/>
          <w:b/>
          <w:bCs/>
          <w:sz w:val="22"/>
          <w:szCs w:val="22"/>
          <w:lang w:val="en-US"/>
        </w:rPr>
        <w:t>1 VfM Overview</w:t>
      </w:r>
    </w:p>
    <w:p w:rsidRPr="00B010AD" w:rsidR="00B70EA0" w:rsidP="00E00CA3" w:rsidRDefault="003F4424" w14:paraId="214F7C17" w14:textId="0C8189AC">
      <w:pPr>
        <w:spacing w:after="160" w:line="276" w:lineRule="auto"/>
        <w:rPr>
          <w:rFonts w:eastAsia="Arial" w:cs="Arial"/>
          <w:sz w:val="22"/>
          <w:szCs w:val="22"/>
          <w:lang w:val="en-US"/>
        </w:rPr>
      </w:pPr>
      <w:r w:rsidRPr="00B010AD">
        <w:rPr>
          <w:rFonts w:eastAsia="Arial" w:cs="Arial"/>
          <w:sz w:val="22"/>
          <w:szCs w:val="22"/>
          <w:lang w:val="en-US"/>
        </w:rPr>
        <w:t xml:space="preserve">As detailed in the output scoring above, evidence from </w:t>
      </w:r>
      <w:r w:rsidRPr="00B010AD" w:rsidR="00AC5A9F">
        <w:rPr>
          <w:rFonts w:eastAsia="Arial" w:cs="Arial"/>
          <w:sz w:val="22"/>
          <w:szCs w:val="22"/>
          <w:lang w:val="en-US"/>
        </w:rPr>
        <w:t xml:space="preserve">the OCPP logframe suggests that the programme is performing </w:t>
      </w:r>
      <w:r w:rsidR="00AD01AF">
        <w:rPr>
          <w:rFonts w:eastAsia="Arial" w:cs="Arial"/>
          <w:sz w:val="22"/>
          <w:szCs w:val="22"/>
          <w:lang w:val="en-US"/>
        </w:rPr>
        <w:t>moderately below</w:t>
      </w:r>
      <w:r w:rsidRPr="00B010AD" w:rsidR="00B14A3F">
        <w:rPr>
          <w:rFonts w:eastAsia="Arial" w:cs="Arial"/>
          <w:sz w:val="22"/>
          <w:szCs w:val="22"/>
          <w:lang w:val="en-US"/>
        </w:rPr>
        <w:t xml:space="preserve"> expectations, scoring two As, three Bs and one C</w:t>
      </w:r>
      <w:r w:rsidRPr="00B010AD" w:rsidR="006F184D">
        <w:rPr>
          <w:rFonts w:eastAsia="Arial" w:cs="Arial"/>
          <w:sz w:val="22"/>
          <w:szCs w:val="22"/>
          <w:lang w:val="en-US"/>
        </w:rPr>
        <w:t>.</w:t>
      </w:r>
      <w:r w:rsidRPr="00B010AD" w:rsidR="00AC5A9F">
        <w:rPr>
          <w:rFonts w:eastAsia="Arial" w:cs="Arial"/>
          <w:sz w:val="22"/>
          <w:szCs w:val="22"/>
          <w:lang w:val="en-US"/>
        </w:rPr>
        <w:t xml:space="preserve"> This </w:t>
      </w:r>
      <w:r w:rsidR="00AD01AF">
        <w:rPr>
          <w:rFonts w:eastAsia="Arial" w:cs="Arial"/>
          <w:sz w:val="22"/>
          <w:szCs w:val="22"/>
          <w:lang w:val="en-US"/>
        </w:rPr>
        <w:t>indicates</w:t>
      </w:r>
      <w:r w:rsidRPr="00B010AD" w:rsidR="008F7ABD">
        <w:rPr>
          <w:rFonts w:eastAsia="Arial" w:cs="Arial"/>
          <w:sz w:val="22"/>
          <w:szCs w:val="22"/>
          <w:lang w:val="en-US"/>
        </w:rPr>
        <w:t xml:space="preserve"> that the programme </w:t>
      </w:r>
      <w:r w:rsidRPr="00B010AD" w:rsidR="00FA06FB">
        <w:rPr>
          <w:rFonts w:eastAsia="Arial" w:cs="Arial"/>
          <w:sz w:val="22"/>
          <w:szCs w:val="22"/>
          <w:lang w:val="en-US"/>
        </w:rPr>
        <w:t xml:space="preserve">may need to </w:t>
      </w:r>
      <w:r w:rsidRPr="00B010AD" w:rsidR="00FB572F">
        <w:rPr>
          <w:rFonts w:eastAsia="Arial" w:cs="Arial"/>
          <w:sz w:val="22"/>
          <w:szCs w:val="22"/>
          <w:lang w:val="en-US"/>
        </w:rPr>
        <w:t xml:space="preserve">do more to </w:t>
      </w:r>
      <w:r w:rsidRPr="00B010AD" w:rsidR="0007165A">
        <w:rPr>
          <w:rFonts w:eastAsia="Arial" w:cs="Arial"/>
          <w:sz w:val="22"/>
          <w:szCs w:val="22"/>
          <w:lang w:val="en-US"/>
        </w:rPr>
        <w:t>be</w:t>
      </w:r>
      <w:r w:rsidRPr="00B010AD" w:rsidR="008F7ABD">
        <w:rPr>
          <w:rFonts w:eastAsia="Arial" w:cs="Arial"/>
          <w:sz w:val="22"/>
          <w:szCs w:val="22"/>
          <w:lang w:val="en-US"/>
        </w:rPr>
        <w:t xml:space="preserve"> on track</w:t>
      </w:r>
      <w:r w:rsidRPr="00B010AD" w:rsidR="00B70EA0">
        <w:rPr>
          <w:rFonts w:eastAsia="Arial" w:cs="Arial"/>
          <w:sz w:val="22"/>
          <w:szCs w:val="22"/>
          <w:lang w:val="en-US"/>
        </w:rPr>
        <w:t xml:space="preserve"> to achieve good VfM.</w:t>
      </w:r>
      <w:r w:rsidRPr="00B010AD" w:rsidR="00FB18E4">
        <w:rPr>
          <w:rFonts w:eastAsia="Arial" w:cs="Arial"/>
          <w:sz w:val="22"/>
          <w:szCs w:val="22"/>
          <w:lang w:val="en-US"/>
        </w:rPr>
        <w:t xml:space="preserve"> </w:t>
      </w:r>
    </w:p>
    <w:p w:rsidRPr="00B010AD" w:rsidR="00C63CA5" w:rsidP="00E00CA3" w:rsidRDefault="00140FE2" w14:paraId="0FA9F9F2" w14:textId="551CA8CD">
      <w:pPr>
        <w:spacing w:after="160" w:line="276" w:lineRule="auto"/>
        <w:rPr>
          <w:rFonts w:eastAsia="Arial" w:cs="Arial"/>
          <w:sz w:val="22"/>
          <w:szCs w:val="22"/>
          <w:lang w:val="en-US"/>
        </w:rPr>
      </w:pPr>
      <w:r w:rsidRPr="00B010AD">
        <w:rPr>
          <w:rFonts w:eastAsia="Arial" w:cs="Arial"/>
          <w:sz w:val="22"/>
          <w:szCs w:val="22"/>
          <w:lang w:val="en-US"/>
        </w:rPr>
        <w:t xml:space="preserve">The assessment below </w:t>
      </w:r>
      <w:r w:rsidRPr="00B010AD" w:rsidR="00B75772">
        <w:rPr>
          <w:rFonts w:eastAsia="Arial" w:cs="Arial"/>
          <w:sz w:val="22"/>
          <w:szCs w:val="22"/>
          <w:lang w:val="en-US"/>
        </w:rPr>
        <w:t>first considers the VfM modelling undertaken at the Full Business Case stage, and whether the current evidence suggests that the programme is on course to meet the</w:t>
      </w:r>
      <w:r w:rsidRPr="00B010AD" w:rsidR="00281369">
        <w:rPr>
          <w:rFonts w:eastAsia="Arial" w:cs="Arial"/>
          <w:sz w:val="22"/>
          <w:szCs w:val="22"/>
          <w:lang w:val="en-US"/>
        </w:rPr>
        <w:t xml:space="preserve"> forecasts. </w:t>
      </w:r>
      <w:r w:rsidRPr="00B010AD" w:rsidR="00173326">
        <w:rPr>
          <w:rFonts w:eastAsia="Arial" w:cs="Arial"/>
          <w:sz w:val="22"/>
          <w:szCs w:val="22"/>
          <w:lang w:val="en-US"/>
        </w:rPr>
        <w:t xml:space="preserve">There is then an analysis of the </w:t>
      </w:r>
      <w:r w:rsidR="008360D3">
        <w:rPr>
          <w:rFonts w:eastAsia="Arial" w:cs="Arial"/>
          <w:sz w:val="22"/>
          <w:szCs w:val="22"/>
          <w:lang w:val="en-US"/>
        </w:rPr>
        <w:t>four</w:t>
      </w:r>
      <w:r w:rsidRPr="00B010AD" w:rsidR="00173326">
        <w:rPr>
          <w:rFonts w:eastAsia="Arial" w:cs="Arial"/>
          <w:sz w:val="22"/>
          <w:szCs w:val="22"/>
          <w:lang w:val="en-US"/>
        </w:rPr>
        <w:t xml:space="preserve"> Es (Economy, Efficiency, Effectiveness and Equity)</w:t>
      </w:r>
      <w:r w:rsidRPr="00B010AD" w:rsidR="00135E77">
        <w:rPr>
          <w:rFonts w:eastAsia="Arial" w:cs="Arial"/>
          <w:sz w:val="22"/>
          <w:szCs w:val="22"/>
          <w:lang w:val="en-US"/>
        </w:rPr>
        <w:t xml:space="preserve">, to </w:t>
      </w:r>
      <w:r w:rsidRPr="00B010AD" w:rsidR="005803F9">
        <w:rPr>
          <w:rFonts w:eastAsia="Arial" w:cs="Arial"/>
          <w:sz w:val="22"/>
          <w:szCs w:val="22"/>
          <w:lang w:val="en-US"/>
        </w:rPr>
        <w:t xml:space="preserve">form a more complete picture of programme performance against VfM. Finally, recommendations are provided for the next 12 months, to </w:t>
      </w:r>
      <w:r w:rsidRPr="00B010AD" w:rsidR="00B44148">
        <w:rPr>
          <w:rFonts w:eastAsia="Arial" w:cs="Arial"/>
          <w:sz w:val="22"/>
          <w:szCs w:val="22"/>
          <w:lang w:val="en-US"/>
        </w:rPr>
        <w:t xml:space="preserve">help </w:t>
      </w:r>
      <w:r w:rsidRPr="00B010AD" w:rsidR="005803F9">
        <w:rPr>
          <w:rFonts w:eastAsia="Arial" w:cs="Arial"/>
          <w:sz w:val="22"/>
          <w:szCs w:val="22"/>
          <w:lang w:val="en-US"/>
        </w:rPr>
        <w:t xml:space="preserve">ensure </w:t>
      </w:r>
      <w:r w:rsidRPr="00B010AD" w:rsidR="002A5930">
        <w:rPr>
          <w:rFonts w:eastAsia="Arial" w:cs="Arial"/>
          <w:sz w:val="22"/>
          <w:szCs w:val="22"/>
          <w:lang w:val="en-US"/>
        </w:rPr>
        <w:t xml:space="preserve">the </w:t>
      </w:r>
      <w:r w:rsidRPr="00B010AD" w:rsidR="00D6670A">
        <w:rPr>
          <w:rFonts w:eastAsia="Arial" w:cs="Arial"/>
          <w:sz w:val="22"/>
          <w:szCs w:val="22"/>
          <w:lang w:val="en-US"/>
        </w:rPr>
        <w:t>OCPP</w:t>
      </w:r>
      <w:r w:rsidRPr="00B010AD" w:rsidR="002A5930">
        <w:rPr>
          <w:rFonts w:eastAsia="Arial" w:cs="Arial"/>
          <w:sz w:val="22"/>
          <w:szCs w:val="22"/>
          <w:lang w:val="en-US"/>
        </w:rPr>
        <w:t xml:space="preserve"> </w:t>
      </w:r>
      <w:r w:rsidRPr="00B010AD" w:rsidR="00FF6D2A">
        <w:rPr>
          <w:rFonts w:eastAsia="Arial" w:cs="Arial"/>
          <w:sz w:val="22"/>
          <w:szCs w:val="22"/>
          <w:lang w:val="en-US"/>
        </w:rPr>
        <w:t>can improve upon its</w:t>
      </w:r>
      <w:r w:rsidRPr="00B010AD" w:rsidR="00C3329E">
        <w:rPr>
          <w:rFonts w:eastAsia="Arial" w:cs="Arial"/>
          <w:sz w:val="22"/>
          <w:szCs w:val="22"/>
          <w:lang w:val="en-US"/>
        </w:rPr>
        <w:t xml:space="preserve"> VfM </w:t>
      </w:r>
      <w:r w:rsidRPr="00B010AD" w:rsidR="00FF6D2A">
        <w:rPr>
          <w:rFonts w:eastAsia="Arial" w:cs="Arial"/>
          <w:sz w:val="22"/>
          <w:szCs w:val="22"/>
          <w:lang w:val="en-US"/>
        </w:rPr>
        <w:t xml:space="preserve">performance </w:t>
      </w:r>
      <w:r w:rsidRPr="00B010AD" w:rsidR="00B44148">
        <w:rPr>
          <w:rFonts w:eastAsia="Arial" w:cs="Arial"/>
          <w:sz w:val="22"/>
          <w:szCs w:val="22"/>
          <w:lang w:val="en-US"/>
        </w:rPr>
        <w:t xml:space="preserve">in </w:t>
      </w:r>
      <w:r w:rsidRPr="00B010AD" w:rsidR="00D6670A">
        <w:rPr>
          <w:rFonts w:eastAsia="Arial" w:cs="Arial"/>
          <w:sz w:val="22"/>
          <w:szCs w:val="22"/>
          <w:lang w:val="en-US"/>
        </w:rPr>
        <w:t>future years</w:t>
      </w:r>
      <w:r w:rsidRPr="00B010AD" w:rsidR="00B44148">
        <w:rPr>
          <w:rFonts w:eastAsia="Arial" w:cs="Arial"/>
          <w:sz w:val="22"/>
          <w:szCs w:val="22"/>
          <w:lang w:val="en-US"/>
        </w:rPr>
        <w:t>.</w:t>
      </w:r>
    </w:p>
    <w:p w:rsidRPr="00B010AD" w:rsidR="00C7618B" w:rsidP="00E00CA3" w:rsidRDefault="00C7618B" w14:paraId="1FB50E21" w14:textId="2489F8AF">
      <w:pPr>
        <w:spacing w:after="160" w:line="276" w:lineRule="auto"/>
        <w:rPr>
          <w:rFonts w:eastAsia="Arial" w:cs="Arial"/>
          <w:sz w:val="22"/>
          <w:szCs w:val="22"/>
          <w:lang w:val="en-US"/>
        </w:rPr>
      </w:pPr>
      <w:r>
        <w:rPr>
          <w:rFonts w:eastAsia="Arial" w:cs="Arial"/>
          <w:sz w:val="22"/>
          <w:szCs w:val="22"/>
          <w:lang w:val="en-US"/>
        </w:rPr>
        <w:t xml:space="preserve">The </w:t>
      </w:r>
      <w:r w:rsidR="0076651E">
        <w:rPr>
          <w:rFonts w:eastAsia="Arial" w:cs="Arial"/>
          <w:sz w:val="22"/>
          <w:szCs w:val="22"/>
          <w:lang w:val="en-US"/>
        </w:rPr>
        <w:t xml:space="preserve">assessment finds some mixed results </w:t>
      </w:r>
      <w:r w:rsidR="00DF4CAE">
        <w:rPr>
          <w:rFonts w:eastAsia="Arial" w:cs="Arial"/>
          <w:sz w:val="22"/>
          <w:szCs w:val="22"/>
          <w:lang w:val="en-US"/>
        </w:rPr>
        <w:t xml:space="preserve">with respect to VfM performance. </w:t>
      </w:r>
      <w:r w:rsidR="00AF3ABA">
        <w:rPr>
          <w:rFonts w:eastAsia="Arial" w:cs="Arial"/>
          <w:sz w:val="22"/>
          <w:szCs w:val="22"/>
          <w:lang w:val="en-US"/>
        </w:rPr>
        <w:t xml:space="preserve">As will be seen in section </w:t>
      </w:r>
      <w:r w:rsidR="00732F86">
        <w:rPr>
          <w:rFonts w:eastAsia="Arial" w:cs="Arial"/>
          <w:sz w:val="22"/>
          <w:szCs w:val="22"/>
          <w:lang w:val="en-US"/>
        </w:rPr>
        <w:t xml:space="preserve">E2.2, </w:t>
      </w:r>
      <w:r w:rsidR="00251037">
        <w:rPr>
          <w:rFonts w:eastAsia="Arial" w:cs="Arial"/>
          <w:sz w:val="22"/>
          <w:szCs w:val="22"/>
          <w:lang w:val="en-US"/>
        </w:rPr>
        <w:t xml:space="preserve">there is currently insufficient data against impacts to carry out a full analysis of </w:t>
      </w:r>
      <w:r w:rsidR="00C144D2">
        <w:rPr>
          <w:rFonts w:eastAsia="Arial" w:cs="Arial"/>
          <w:sz w:val="22"/>
          <w:szCs w:val="22"/>
          <w:lang w:val="en-US"/>
        </w:rPr>
        <w:t xml:space="preserve">the monetary benefits delivered to date, but </w:t>
      </w:r>
      <w:r w:rsidR="00137275">
        <w:rPr>
          <w:rFonts w:eastAsia="Arial" w:cs="Arial"/>
          <w:sz w:val="22"/>
          <w:szCs w:val="22"/>
          <w:lang w:val="en-US"/>
        </w:rPr>
        <w:t xml:space="preserve">the qualitative assessment of the </w:t>
      </w:r>
      <w:r w:rsidR="008360D3">
        <w:rPr>
          <w:rFonts w:eastAsia="Arial" w:cs="Arial"/>
          <w:sz w:val="22"/>
          <w:szCs w:val="22"/>
          <w:lang w:val="en-US"/>
        </w:rPr>
        <w:t>four</w:t>
      </w:r>
      <w:r w:rsidR="004A03FC">
        <w:rPr>
          <w:rFonts w:eastAsia="Arial" w:cs="Arial"/>
          <w:sz w:val="22"/>
          <w:szCs w:val="22"/>
          <w:lang w:val="en-US"/>
        </w:rPr>
        <w:t xml:space="preserve"> Es </w:t>
      </w:r>
      <w:r w:rsidR="00901604">
        <w:rPr>
          <w:rFonts w:eastAsia="Arial" w:cs="Arial"/>
          <w:sz w:val="22"/>
          <w:szCs w:val="22"/>
          <w:lang w:val="en-US"/>
        </w:rPr>
        <w:t xml:space="preserve">shows that improvements can be made across the programme to improve VfM. This is noted particularly </w:t>
      </w:r>
      <w:r w:rsidR="004E499C">
        <w:rPr>
          <w:rFonts w:eastAsia="Arial" w:cs="Arial"/>
          <w:sz w:val="22"/>
          <w:szCs w:val="22"/>
          <w:lang w:val="en-US"/>
        </w:rPr>
        <w:t>regarding</w:t>
      </w:r>
      <w:r w:rsidR="008D3D9B">
        <w:rPr>
          <w:rFonts w:eastAsia="Arial" w:cs="Arial"/>
          <w:sz w:val="22"/>
          <w:szCs w:val="22"/>
          <w:lang w:val="en-US"/>
        </w:rPr>
        <w:t xml:space="preserve"> efficiency</w:t>
      </w:r>
      <w:r w:rsidR="00E3037C">
        <w:rPr>
          <w:rFonts w:eastAsia="Arial" w:cs="Arial"/>
          <w:sz w:val="22"/>
          <w:szCs w:val="22"/>
          <w:lang w:val="en-US"/>
        </w:rPr>
        <w:t xml:space="preserve">. </w:t>
      </w:r>
      <w:r w:rsidR="000E7151">
        <w:rPr>
          <w:rFonts w:eastAsia="Arial" w:cs="Arial"/>
          <w:sz w:val="22"/>
          <w:szCs w:val="22"/>
          <w:lang w:val="en-US"/>
        </w:rPr>
        <w:t xml:space="preserve">The conclusion reached </w:t>
      </w:r>
      <w:r w:rsidR="003E2085">
        <w:rPr>
          <w:rFonts w:eastAsia="Arial" w:cs="Arial"/>
          <w:sz w:val="22"/>
          <w:szCs w:val="22"/>
          <w:lang w:val="en-US"/>
        </w:rPr>
        <w:t xml:space="preserve">at this </w:t>
      </w:r>
      <w:r w:rsidR="00C14357">
        <w:rPr>
          <w:rFonts w:eastAsia="Arial" w:cs="Arial"/>
          <w:sz w:val="22"/>
          <w:szCs w:val="22"/>
          <w:lang w:val="en-US"/>
        </w:rPr>
        <w:t>a</w:t>
      </w:r>
      <w:r w:rsidR="003E2085">
        <w:rPr>
          <w:rFonts w:eastAsia="Arial" w:cs="Arial"/>
          <w:sz w:val="22"/>
          <w:szCs w:val="22"/>
          <w:lang w:val="en-US"/>
        </w:rPr>
        <w:t xml:space="preserve">nnual </w:t>
      </w:r>
      <w:r w:rsidR="00C14357">
        <w:rPr>
          <w:rFonts w:eastAsia="Arial" w:cs="Arial"/>
          <w:sz w:val="22"/>
          <w:szCs w:val="22"/>
          <w:lang w:val="en-US"/>
        </w:rPr>
        <w:t>r</w:t>
      </w:r>
      <w:r w:rsidR="003E2085">
        <w:rPr>
          <w:rFonts w:eastAsia="Arial" w:cs="Arial"/>
          <w:sz w:val="22"/>
          <w:szCs w:val="22"/>
          <w:lang w:val="en-US"/>
        </w:rPr>
        <w:t xml:space="preserve">eview </w:t>
      </w:r>
      <w:r w:rsidR="000E7151">
        <w:rPr>
          <w:rFonts w:eastAsia="Arial" w:cs="Arial"/>
          <w:sz w:val="22"/>
          <w:szCs w:val="22"/>
          <w:lang w:val="en-US"/>
        </w:rPr>
        <w:t>is that</w:t>
      </w:r>
      <w:r w:rsidR="005439CC">
        <w:rPr>
          <w:rFonts w:eastAsia="Arial" w:cs="Arial"/>
          <w:sz w:val="22"/>
          <w:szCs w:val="22"/>
          <w:lang w:val="en-US"/>
        </w:rPr>
        <w:t xml:space="preserve"> </w:t>
      </w:r>
      <w:r w:rsidR="003E2085">
        <w:rPr>
          <w:rFonts w:eastAsia="Arial" w:cs="Arial"/>
          <w:sz w:val="22"/>
          <w:szCs w:val="22"/>
          <w:lang w:val="en-US"/>
        </w:rPr>
        <w:t xml:space="preserve">more can be done to improve </w:t>
      </w:r>
      <w:r w:rsidR="009C631F">
        <w:rPr>
          <w:rFonts w:eastAsia="Arial" w:cs="Arial"/>
          <w:sz w:val="22"/>
          <w:szCs w:val="22"/>
          <w:lang w:val="en-US"/>
        </w:rPr>
        <w:t xml:space="preserve">the VfM </w:t>
      </w:r>
      <w:r w:rsidR="00F4067C">
        <w:rPr>
          <w:rFonts w:eastAsia="Arial" w:cs="Arial"/>
          <w:sz w:val="22"/>
          <w:szCs w:val="22"/>
          <w:lang w:val="en-US"/>
        </w:rPr>
        <w:t>delivered</w:t>
      </w:r>
      <w:r w:rsidR="00AD5DB1">
        <w:rPr>
          <w:rFonts w:eastAsia="Arial" w:cs="Arial"/>
          <w:sz w:val="22"/>
          <w:szCs w:val="22"/>
          <w:lang w:val="en-US"/>
        </w:rPr>
        <w:t xml:space="preserve"> by </w:t>
      </w:r>
      <w:r w:rsidR="006400C6">
        <w:rPr>
          <w:rFonts w:eastAsia="Arial" w:cs="Arial"/>
          <w:sz w:val="22"/>
          <w:szCs w:val="22"/>
          <w:lang w:val="en-US"/>
        </w:rPr>
        <w:t xml:space="preserve">the </w:t>
      </w:r>
      <w:r w:rsidR="00AD5DB1">
        <w:rPr>
          <w:rFonts w:eastAsia="Arial" w:cs="Arial"/>
          <w:sz w:val="22"/>
          <w:szCs w:val="22"/>
          <w:lang w:val="en-US"/>
        </w:rPr>
        <w:t xml:space="preserve">OCPP, but more data is needed until we can quantify the </w:t>
      </w:r>
      <w:r w:rsidR="008352BE">
        <w:rPr>
          <w:rFonts w:eastAsia="Arial" w:cs="Arial"/>
          <w:sz w:val="22"/>
          <w:szCs w:val="22"/>
          <w:lang w:val="en-US"/>
        </w:rPr>
        <w:t xml:space="preserve">performance to date and have </w:t>
      </w:r>
      <w:r w:rsidR="008231CB">
        <w:rPr>
          <w:rFonts w:eastAsia="Arial" w:cs="Arial"/>
          <w:sz w:val="22"/>
          <w:szCs w:val="22"/>
          <w:lang w:val="en-US"/>
        </w:rPr>
        <w:t xml:space="preserve">a clear picture </w:t>
      </w:r>
      <w:r w:rsidR="004B242A">
        <w:rPr>
          <w:rFonts w:eastAsia="Arial" w:cs="Arial"/>
          <w:sz w:val="22"/>
          <w:szCs w:val="22"/>
          <w:lang w:val="en-US"/>
        </w:rPr>
        <w:t>of the VfM achieved.</w:t>
      </w:r>
    </w:p>
    <w:p w:rsidRPr="00B010AD" w:rsidR="00C67A1D" w:rsidP="00E00CA3" w:rsidRDefault="00C67A1D" w14:paraId="6B38EC6B" w14:textId="77777777">
      <w:pPr>
        <w:spacing w:after="160" w:line="276" w:lineRule="auto"/>
        <w:rPr>
          <w:rFonts w:eastAsia="Arial" w:cs="Arial"/>
          <w:sz w:val="22"/>
          <w:szCs w:val="22"/>
          <w:lang w:val="en-US"/>
        </w:rPr>
      </w:pPr>
    </w:p>
    <w:p w:rsidRPr="00B010AD" w:rsidR="00F65461" w:rsidP="00E00CA3" w:rsidRDefault="00F65461" w14:paraId="43EDA561" w14:textId="5FD35060">
      <w:pPr>
        <w:spacing w:after="160" w:line="276" w:lineRule="auto"/>
        <w:rPr>
          <w:rFonts w:eastAsia="Arial" w:cs="Arial"/>
          <w:b/>
          <w:bCs/>
          <w:sz w:val="22"/>
          <w:szCs w:val="22"/>
          <w:lang w:val="en-US"/>
        </w:rPr>
      </w:pPr>
      <w:r w:rsidRPr="00B010AD">
        <w:rPr>
          <w:rFonts w:eastAsia="Arial" w:cs="Arial"/>
          <w:b/>
          <w:bCs/>
          <w:sz w:val="22"/>
          <w:szCs w:val="22"/>
          <w:lang w:val="en-US"/>
        </w:rPr>
        <w:t>E2.2 VfM Modelling</w:t>
      </w:r>
      <w:r w:rsidR="00E46528">
        <w:rPr>
          <w:rFonts w:eastAsia="Arial" w:cs="Arial"/>
          <w:b/>
          <w:bCs/>
          <w:sz w:val="22"/>
          <w:szCs w:val="22"/>
          <w:lang w:val="en-US"/>
        </w:rPr>
        <w:t xml:space="preserve"> and Cost-Effectiveness</w:t>
      </w:r>
    </w:p>
    <w:p w:rsidRPr="00B010AD" w:rsidR="00B70EA0" w:rsidP="00E00CA3" w:rsidRDefault="009D4C26" w14:paraId="3317408A" w14:textId="010CADDC">
      <w:pPr>
        <w:spacing w:after="160" w:line="276" w:lineRule="auto"/>
        <w:rPr>
          <w:rFonts w:eastAsia="Arial" w:cs="Arial"/>
          <w:sz w:val="22"/>
          <w:szCs w:val="22"/>
          <w:lang w:val="en-US"/>
        </w:rPr>
      </w:pPr>
      <w:r w:rsidRPr="00B010AD">
        <w:rPr>
          <w:rFonts w:eastAsia="Arial" w:cs="Arial"/>
          <w:sz w:val="22"/>
          <w:szCs w:val="22"/>
          <w:lang w:val="en-US"/>
        </w:rPr>
        <w:t>The forecasted monetary benefits of the OCPP</w:t>
      </w:r>
      <w:r w:rsidRPr="00B010AD" w:rsidR="00425254">
        <w:rPr>
          <w:rFonts w:eastAsia="Arial" w:cs="Arial"/>
          <w:sz w:val="22"/>
          <w:szCs w:val="22"/>
          <w:lang w:val="en-US"/>
        </w:rPr>
        <w:t xml:space="preserve"> </w:t>
      </w:r>
      <w:r w:rsidRPr="00B010AD" w:rsidR="008A3D19">
        <w:rPr>
          <w:rFonts w:eastAsia="Arial" w:cs="Arial"/>
          <w:sz w:val="22"/>
          <w:szCs w:val="22"/>
          <w:lang w:val="en-US"/>
        </w:rPr>
        <w:t>were most recently updated</w:t>
      </w:r>
      <w:r w:rsidRPr="00B010AD" w:rsidR="00EF55A5">
        <w:rPr>
          <w:rFonts w:eastAsia="Arial" w:cs="Arial"/>
          <w:sz w:val="22"/>
          <w:szCs w:val="22"/>
          <w:lang w:val="en-US"/>
        </w:rPr>
        <w:t xml:space="preserve"> at the Full Business Case in 2023.</w:t>
      </w:r>
      <w:r w:rsidRPr="00B010AD" w:rsidR="007C583E">
        <w:rPr>
          <w:rFonts w:eastAsia="Arial" w:cs="Arial"/>
          <w:sz w:val="22"/>
          <w:szCs w:val="22"/>
          <w:lang w:val="en-US"/>
        </w:rPr>
        <w:t xml:space="preserve"> Analysis found that the programme was likely to produce a Net Present Value (NPV) of </w:t>
      </w:r>
      <w:r w:rsidRPr="00B010AD" w:rsidR="007C583E">
        <w:rPr>
          <w:rFonts w:eastAsia="Arial" w:cs="Arial"/>
          <w:b/>
          <w:bCs/>
          <w:sz w:val="22"/>
          <w:szCs w:val="22"/>
          <w:lang w:val="en-US"/>
        </w:rPr>
        <w:t>£80m-£344m</w:t>
      </w:r>
      <w:r w:rsidRPr="00B010AD" w:rsidR="00A178CD">
        <w:rPr>
          <w:rFonts w:eastAsia="Arial" w:cs="Arial"/>
          <w:sz w:val="22"/>
          <w:szCs w:val="22"/>
          <w:lang w:val="en-US"/>
        </w:rPr>
        <w:t>, with an overall Benefit-Cost Ratio (BCR) o</w:t>
      </w:r>
      <w:r w:rsidRPr="00B010AD" w:rsidR="00A74CDF">
        <w:rPr>
          <w:rFonts w:eastAsia="Arial" w:cs="Arial"/>
          <w:sz w:val="22"/>
          <w:szCs w:val="22"/>
          <w:lang w:val="en-US"/>
        </w:rPr>
        <w:t xml:space="preserve">f </w:t>
      </w:r>
      <w:r w:rsidRPr="00B010AD" w:rsidR="00A178CD">
        <w:rPr>
          <w:rFonts w:eastAsia="Arial" w:cs="Arial"/>
          <w:sz w:val="22"/>
          <w:szCs w:val="22"/>
          <w:lang w:val="en-US"/>
        </w:rPr>
        <w:t>2.9-9.0.</w:t>
      </w:r>
      <w:r w:rsidRPr="00B010AD" w:rsidR="00AE7540">
        <w:rPr>
          <w:rFonts w:eastAsia="Arial" w:cs="Arial"/>
          <w:sz w:val="22"/>
          <w:szCs w:val="22"/>
          <w:lang w:val="en-US"/>
        </w:rPr>
        <w:t xml:space="preserve"> The monetised benefits included:</w:t>
      </w:r>
    </w:p>
    <w:p w:rsidRPr="00B010AD" w:rsidR="008F12F7" w:rsidP="001D265D" w:rsidRDefault="002F5D6E" w14:paraId="56ABE462" w14:textId="79ED609C">
      <w:pPr>
        <w:pStyle w:val="ListParagraph"/>
        <w:numPr>
          <w:ilvl w:val="0"/>
          <w:numId w:val="17"/>
        </w:numPr>
        <w:spacing w:after="160" w:line="276" w:lineRule="auto"/>
        <w:rPr>
          <w:rFonts w:eastAsia="Arial" w:cs="Arial"/>
          <w:sz w:val="22"/>
          <w:szCs w:val="22"/>
          <w:lang w:val="en-US"/>
        </w:rPr>
      </w:pPr>
      <w:r w:rsidRPr="00B010AD">
        <w:rPr>
          <w:rFonts w:eastAsia="Arial" w:cs="Arial"/>
          <w:sz w:val="22"/>
          <w:szCs w:val="22"/>
          <w:lang w:val="en-US"/>
        </w:rPr>
        <w:t>Reduction in m</w:t>
      </w:r>
      <w:r w:rsidRPr="00B010AD" w:rsidR="00D6670A">
        <w:rPr>
          <w:rFonts w:eastAsia="Arial" w:cs="Arial"/>
          <w:sz w:val="22"/>
          <w:szCs w:val="22"/>
          <w:lang w:val="en-US"/>
        </w:rPr>
        <w:t xml:space="preserve">arine </w:t>
      </w:r>
      <w:r w:rsidRPr="00B010AD">
        <w:rPr>
          <w:rFonts w:eastAsia="Arial" w:cs="Arial"/>
          <w:sz w:val="22"/>
          <w:szCs w:val="22"/>
          <w:lang w:val="en-US"/>
        </w:rPr>
        <w:t xml:space="preserve">plastic </w:t>
      </w:r>
      <w:r w:rsidRPr="00B010AD" w:rsidR="00D6670A">
        <w:rPr>
          <w:rFonts w:eastAsia="Arial" w:cs="Arial"/>
          <w:sz w:val="22"/>
          <w:szCs w:val="22"/>
          <w:lang w:val="en-US"/>
        </w:rPr>
        <w:t>pollution</w:t>
      </w:r>
      <w:r w:rsidRPr="00B010AD" w:rsidR="008F12F7">
        <w:rPr>
          <w:rFonts w:eastAsia="Arial" w:cs="Arial"/>
          <w:sz w:val="22"/>
          <w:szCs w:val="22"/>
          <w:lang w:val="en-US"/>
        </w:rPr>
        <w:t xml:space="preserve"> </w:t>
      </w:r>
    </w:p>
    <w:p w:rsidRPr="00B010AD" w:rsidR="00AE7540" w:rsidP="001D265D" w:rsidRDefault="008F12F7" w14:paraId="048130F6" w14:textId="5A9A6DA0">
      <w:pPr>
        <w:pStyle w:val="ListParagraph"/>
        <w:numPr>
          <w:ilvl w:val="1"/>
          <w:numId w:val="17"/>
        </w:numPr>
        <w:spacing w:after="160" w:line="276" w:lineRule="auto"/>
        <w:rPr>
          <w:rFonts w:eastAsia="Arial" w:cs="Arial"/>
          <w:sz w:val="22"/>
          <w:szCs w:val="22"/>
          <w:lang w:val="en-US"/>
        </w:rPr>
      </w:pPr>
      <w:r w:rsidRPr="00B010AD">
        <w:rPr>
          <w:rFonts w:eastAsia="Arial" w:cs="Arial"/>
          <w:sz w:val="22"/>
          <w:szCs w:val="22"/>
          <w:lang w:val="en-US"/>
        </w:rPr>
        <w:t>Reduction in mismanaged waste due to improved monitoring and Marine Litter Action Plans (MLAPs)</w:t>
      </w:r>
    </w:p>
    <w:p w:rsidRPr="00B010AD" w:rsidR="002F5D6E" w:rsidP="001D265D" w:rsidRDefault="000B1425" w14:paraId="7A4FD2D3" w14:textId="351A2906">
      <w:pPr>
        <w:pStyle w:val="ListParagraph"/>
        <w:numPr>
          <w:ilvl w:val="0"/>
          <w:numId w:val="17"/>
        </w:numPr>
        <w:spacing w:after="160" w:line="276" w:lineRule="auto"/>
        <w:rPr>
          <w:rFonts w:eastAsia="Arial" w:cs="Arial"/>
          <w:sz w:val="22"/>
          <w:szCs w:val="22"/>
          <w:lang w:val="en-US"/>
        </w:rPr>
      </w:pPr>
      <w:r w:rsidRPr="00B010AD">
        <w:rPr>
          <w:rFonts w:eastAsia="Arial" w:cs="Arial"/>
          <w:sz w:val="22"/>
          <w:szCs w:val="22"/>
          <w:lang w:val="en-US"/>
        </w:rPr>
        <w:t>Increased protection of marine habitats</w:t>
      </w:r>
    </w:p>
    <w:p w:rsidRPr="00B010AD" w:rsidR="000B1425" w:rsidP="001D265D" w:rsidRDefault="000B1425" w14:paraId="45C4CBFB" w14:textId="22D76B5A">
      <w:pPr>
        <w:pStyle w:val="ListParagraph"/>
        <w:numPr>
          <w:ilvl w:val="1"/>
          <w:numId w:val="17"/>
        </w:numPr>
        <w:spacing w:after="160" w:line="276" w:lineRule="auto"/>
        <w:rPr>
          <w:rFonts w:eastAsia="Arial" w:cs="Arial"/>
          <w:sz w:val="22"/>
          <w:szCs w:val="22"/>
          <w:lang w:val="en-US"/>
        </w:rPr>
      </w:pPr>
      <w:r w:rsidRPr="00B010AD">
        <w:rPr>
          <w:rFonts w:eastAsia="Arial" w:cs="Arial"/>
          <w:sz w:val="22"/>
          <w:szCs w:val="22"/>
          <w:lang w:val="en-US"/>
        </w:rPr>
        <w:t>Ecosystem service benefits per hectare of protected marine habitat</w:t>
      </w:r>
    </w:p>
    <w:p w:rsidRPr="00B010AD" w:rsidR="00E836A3" w:rsidP="001D265D" w:rsidRDefault="00E836A3" w14:paraId="2BC21694" w14:textId="7C924975">
      <w:pPr>
        <w:pStyle w:val="ListParagraph"/>
        <w:numPr>
          <w:ilvl w:val="1"/>
          <w:numId w:val="17"/>
        </w:numPr>
        <w:spacing w:after="160" w:line="276" w:lineRule="auto"/>
        <w:rPr>
          <w:rFonts w:eastAsia="Arial" w:cs="Arial"/>
          <w:sz w:val="22"/>
          <w:szCs w:val="22"/>
          <w:lang w:val="en-US"/>
        </w:rPr>
      </w:pPr>
      <w:r w:rsidRPr="00B010AD">
        <w:rPr>
          <w:rFonts w:eastAsia="Arial" w:cs="Arial"/>
          <w:sz w:val="22"/>
          <w:szCs w:val="22"/>
        </w:rPr>
        <w:t>Includes coastal resilience, provisioning services such as fisheries and other raw materials, tourism or recreational benefits, and carbon regulation benefits</w:t>
      </w:r>
    </w:p>
    <w:p w:rsidRPr="00B010AD" w:rsidR="000B1425" w:rsidP="001D265D" w:rsidRDefault="007376D2" w14:paraId="76C5F1BA" w14:textId="1E316789">
      <w:pPr>
        <w:pStyle w:val="ListParagraph"/>
        <w:numPr>
          <w:ilvl w:val="0"/>
          <w:numId w:val="17"/>
        </w:numPr>
        <w:spacing w:after="160" w:line="276" w:lineRule="auto"/>
        <w:rPr>
          <w:rFonts w:eastAsia="Arial" w:cs="Arial"/>
          <w:sz w:val="22"/>
          <w:szCs w:val="22"/>
          <w:lang w:val="en-US"/>
        </w:rPr>
      </w:pPr>
      <w:r w:rsidRPr="00B010AD">
        <w:rPr>
          <w:rFonts w:eastAsia="Arial" w:cs="Arial"/>
          <w:sz w:val="22"/>
          <w:szCs w:val="22"/>
          <w:lang w:val="en-US"/>
        </w:rPr>
        <w:t>Improved quality of aquaculture</w:t>
      </w:r>
    </w:p>
    <w:p w:rsidRPr="00B010AD" w:rsidR="007376D2" w:rsidP="001D265D" w:rsidRDefault="004E107A" w14:paraId="6B5DD4F4" w14:textId="4BF04AD5">
      <w:pPr>
        <w:pStyle w:val="ListParagraph"/>
        <w:numPr>
          <w:ilvl w:val="1"/>
          <w:numId w:val="17"/>
        </w:numPr>
        <w:spacing w:after="160" w:line="276" w:lineRule="auto"/>
        <w:rPr>
          <w:rFonts w:eastAsia="Arial" w:cs="Arial"/>
          <w:sz w:val="22"/>
          <w:szCs w:val="22"/>
          <w:lang w:val="en-US"/>
        </w:rPr>
      </w:pPr>
      <w:r w:rsidRPr="00B010AD">
        <w:rPr>
          <w:rFonts w:eastAsia="Arial" w:cs="Arial"/>
          <w:sz w:val="22"/>
          <w:szCs w:val="22"/>
          <w:lang w:val="en-US"/>
        </w:rPr>
        <w:t xml:space="preserve">Health benefits of improved aquaculture, </w:t>
      </w:r>
      <w:r w:rsidRPr="00B010AD" w:rsidR="00A72914">
        <w:rPr>
          <w:rFonts w:eastAsia="Arial" w:cs="Arial"/>
          <w:sz w:val="22"/>
          <w:szCs w:val="22"/>
          <w:lang w:val="en-US"/>
        </w:rPr>
        <w:t>approximated</w:t>
      </w:r>
      <w:r w:rsidRPr="00B010AD">
        <w:rPr>
          <w:rFonts w:eastAsia="Arial" w:cs="Arial"/>
          <w:sz w:val="22"/>
          <w:szCs w:val="22"/>
          <w:lang w:val="en-US"/>
        </w:rPr>
        <w:t xml:space="preserve"> by </w:t>
      </w:r>
      <w:r w:rsidRPr="00B010AD" w:rsidR="00AB247E">
        <w:rPr>
          <w:rFonts w:eastAsia="Arial" w:cs="Arial"/>
          <w:sz w:val="22"/>
          <w:szCs w:val="22"/>
        </w:rPr>
        <w:t>the retail price of production as an indicator of income that could be used to improve livelihoods</w:t>
      </w:r>
    </w:p>
    <w:p w:rsidRPr="00B010AD" w:rsidR="00AE7540" w:rsidP="00E00CA3" w:rsidRDefault="00AE7540" w14:paraId="0365B6E9" w14:textId="78DD8DD5">
      <w:pPr>
        <w:spacing w:after="160" w:line="276" w:lineRule="auto"/>
        <w:rPr>
          <w:rFonts w:eastAsia="Arial" w:cs="Arial"/>
          <w:sz w:val="22"/>
          <w:szCs w:val="22"/>
          <w:lang w:val="en-US"/>
        </w:rPr>
      </w:pPr>
      <w:r w:rsidRPr="00B010AD">
        <w:rPr>
          <w:rFonts w:eastAsia="Arial" w:cs="Arial"/>
          <w:sz w:val="22"/>
          <w:szCs w:val="22"/>
          <w:lang w:val="en-US"/>
        </w:rPr>
        <w:t>And the un-monetised benefits includ</w:t>
      </w:r>
      <w:r w:rsidRPr="00B010AD" w:rsidR="00A74CDF">
        <w:rPr>
          <w:rFonts w:eastAsia="Arial" w:cs="Arial"/>
          <w:sz w:val="22"/>
          <w:szCs w:val="22"/>
          <w:lang w:val="en-US"/>
        </w:rPr>
        <w:t>e</w:t>
      </w:r>
      <w:r w:rsidRPr="00B010AD">
        <w:rPr>
          <w:rFonts w:eastAsia="Arial" w:cs="Arial"/>
          <w:sz w:val="22"/>
          <w:szCs w:val="22"/>
          <w:lang w:val="en-US"/>
        </w:rPr>
        <w:t>:</w:t>
      </w:r>
    </w:p>
    <w:p w:rsidRPr="00B010AD" w:rsidR="00CA2905" w:rsidP="001D265D" w:rsidRDefault="00CA2905" w14:paraId="30F52403" w14:textId="77777777">
      <w:pPr>
        <w:pStyle w:val="ListParagraph"/>
        <w:numPr>
          <w:ilvl w:val="0"/>
          <w:numId w:val="17"/>
        </w:numPr>
        <w:spacing w:after="160" w:line="276" w:lineRule="auto"/>
        <w:rPr>
          <w:rFonts w:eastAsia="Arial" w:cs="Arial"/>
          <w:sz w:val="22"/>
          <w:szCs w:val="22"/>
          <w:lang w:val="en-US"/>
        </w:rPr>
      </w:pPr>
      <w:r w:rsidRPr="00B010AD">
        <w:rPr>
          <w:rFonts w:eastAsia="Arial" w:cs="Arial"/>
          <w:sz w:val="22"/>
          <w:szCs w:val="22"/>
        </w:rPr>
        <w:t>I</w:t>
      </w:r>
      <w:r w:rsidRPr="00B010AD" w:rsidR="00950118">
        <w:rPr>
          <w:rFonts w:eastAsia="Arial" w:cs="Arial"/>
          <w:sz w:val="22"/>
          <w:szCs w:val="22"/>
        </w:rPr>
        <w:t>mpact of improved waste management on households</w:t>
      </w:r>
    </w:p>
    <w:p w:rsidRPr="00B010AD" w:rsidR="00CA2905" w:rsidP="001D265D" w:rsidRDefault="00CA2905" w14:paraId="38F0D994" w14:textId="0D06F513">
      <w:pPr>
        <w:pStyle w:val="ListParagraph"/>
        <w:numPr>
          <w:ilvl w:val="0"/>
          <w:numId w:val="17"/>
        </w:numPr>
        <w:spacing w:after="160" w:line="276" w:lineRule="auto"/>
        <w:rPr>
          <w:rFonts w:eastAsia="Arial" w:cs="Arial"/>
          <w:sz w:val="22"/>
          <w:szCs w:val="22"/>
          <w:lang w:val="en-US"/>
        </w:rPr>
      </w:pPr>
      <w:r w:rsidRPr="00B010AD">
        <w:rPr>
          <w:rFonts w:eastAsia="Arial" w:cs="Arial"/>
          <w:sz w:val="22"/>
          <w:szCs w:val="22"/>
        </w:rPr>
        <w:t>I</w:t>
      </w:r>
      <w:r w:rsidRPr="00B010AD" w:rsidR="00950118">
        <w:rPr>
          <w:rFonts w:eastAsia="Arial" w:cs="Arial"/>
          <w:sz w:val="22"/>
          <w:szCs w:val="22"/>
        </w:rPr>
        <w:t>mproved distributional benefits</w:t>
      </w:r>
    </w:p>
    <w:p w:rsidRPr="00B010AD" w:rsidR="00AE7540" w:rsidP="001D265D" w:rsidRDefault="00CA2905" w14:paraId="4C891AB9" w14:textId="15DAFC1F">
      <w:pPr>
        <w:pStyle w:val="ListParagraph"/>
        <w:numPr>
          <w:ilvl w:val="0"/>
          <w:numId w:val="17"/>
        </w:numPr>
        <w:spacing w:after="160" w:line="276" w:lineRule="auto"/>
        <w:rPr>
          <w:rFonts w:eastAsia="Arial" w:cs="Arial"/>
          <w:sz w:val="22"/>
          <w:szCs w:val="22"/>
          <w:lang w:val="en-US"/>
        </w:rPr>
      </w:pPr>
      <w:r w:rsidRPr="00B010AD">
        <w:rPr>
          <w:rFonts w:eastAsia="Arial" w:cs="Arial"/>
          <w:sz w:val="22"/>
          <w:szCs w:val="22"/>
        </w:rPr>
        <w:t>A</w:t>
      </w:r>
      <w:r w:rsidRPr="00B010AD" w:rsidR="00950118">
        <w:rPr>
          <w:rFonts w:eastAsia="Arial" w:cs="Arial"/>
          <w:sz w:val="22"/>
          <w:szCs w:val="22"/>
        </w:rPr>
        <w:t>dditional benefits per pound of spend from addressing more than one BPF theme in a programme</w:t>
      </w:r>
    </w:p>
    <w:p w:rsidRPr="00B010AD" w:rsidR="00950118" w:rsidP="001D265D" w:rsidRDefault="00CA2905" w14:paraId="3838086E" w14:textId="75E7D5AE">
      <w:pPr>
        <w:pStyle w:val="ListParagraph"/>
        <w:numPr>
          <w:ilvl w:val="0"/>
          <w:numId w:val="17"/>
        </w:numPr>
        <w:spacing w:after="160" w:line="276" w:lineRule="auto"/>
        <w:rPr>
          <w:rFonts w:eastAsia="Arial" w:cs="Arial"/>
          <w:sz w:val="22"/>
          <w:szCs w:val="22"/>
          <w:lang w:val="en-US"/>
        </w:rPr>
      </w:pPr>
      <w:r w:rsidRPr="66400A1B">
        <w:rPr>
          <w:rFonts w:eastAsia="Arial" w:cs="Arial"/>
          <w:sz w:val="22"/>
          <w:szCs w:val="22"/>
        </w:rPr>
        <w:t>Knock-on effects of reduced marine pollution on aquaculture health and MPAs</w:t>
      </w:r>
      <w:r w:rsidRPr="66400A1B" w:rsidR="77A4B7E4">
        <w:rPr>
          <w:rFonts w:eastAsia="Arial" w:cs="Arial"/>
          <w:sz w:val="22"/>
          <w:szCs w:val="22"/>
        </w:rPr>
        <w:t>.</w:t>
      </w:r>
    </w:p>
    <w:p w:rsidR="00F85F44" w:rsidP="00E00CA3" w:rsidRDefault="008E6D47" w14:paraId="72311A3E" w14:textId="5FA6CBC1">
      <w:pPr>
        <w:spacing w:after="160" w:line="276" w:lineRule="auto"/>
        <w:rPr>
          <w:rFonts w:eastAsia="Arial" w:cs="Arial"/>
          <w:sz w:val="22"/>
          <w:szCs w:val="22"/>
          <w:lang w:val="en-US"/>
        </w:rPr>
      </w:pPr>
      <w:r w:rsidRPr="00B010AD">
        <w:rPr>
          <w:rFonts w:eastAsia="Arial" w:cs="Arial"/>
          <w:sz w:val="22"/>
          <w:szCs w:val="22"/>
          <w:lang w:val="en-US"/>
        </w:rPr>
        <w:t xml:space="preserve">The model assumes </w:t>
      </w:r>
      <w:r w:rsidR="008360D3">
        <w:rPr>
          <w:rFonts w:eastAsia="Arial" w:cs="Arial"/>
          <w:sz w:val="22"/>
          <w:szCs w:val="22"/>
          <w:lang w:val="en-US"/>
        </w:rPr>
        <w:t>five</w:t>
      </w:r>
      <w:r w:rsidRPr="00B010AD">
        <w:rPr>
          <w:rFonts w:eastAsia="Arial" w:cs="Arial"/>
          <w:sz w:val="22"/>
          <w:szCs w:val="22"/>
          <w:lang w:val="en-US"/>
        </w:rPr>
        <w:t xml:space="preserve">-10 years for full benefits to materialise, with these benefits accruing over 30 years. </w:t>
      </w:r>
      <w:r w:rsidRPr="00B010AD" w:rsidR="00B5273F">
        <w:rPr>
          <w:rFonts w:eastAsia="Arial" w:cs="Arial"/>
          <w:sz w:val="22"/>
          <w:szCs w:val="22"/>
          <w:lang w:val="en-US"/>
        </w:rPr>
        <w:t xml:space="preserve">Evidence from this </w:t>
      </w:r>
      <w:r w:rsidR="00C14357">
        <w:rPr>
          <w:rFonts w:eastAsia="Arial" w:cs="Arial"/>
          <w:sz w:val="22"/>
          <w:szCs w:val="22"/>
          <w:lang w:val="en-US"/>
        </w:rPr>
        <w:t>a</w:t>
      </w:r>
      <w:r w:rsidRPr="00B010AD" w:rsidR="00B5273F">
        <w:rPr>
          <w:rFonts w:eastAsia="Arial" w:cs="Arial"/>
          <w:sz w:val="22"/>
          <w:szCs w:val="22"/>
          <w:lang w:val="en-US"/>
        </w:rPr>
        <w:t xml:space="preserve">nnual </w:t>
      </w:r>
      <w:r w:rsidR="00C14357">
        <w:rPr>
          <w:rFonts w:eastAsia="Arial" w:cs="Arial"/>
          <w:sz w:val="22"/>
          <w:szCs w:val="22"/>
          <w:lang w:val="en-US"/>
        </w:rPr>
        <w:t>r</w:t>
      </w:r>
      <w:r w:rsidRPr="00B010AD" w:rsidR="00B5273F">
        <w:rPr>
          <w:rFonts w:eastAsia="Arial" w:cs="Arial"/>
          <w:sz w:val="22"/>
          <w:szCs w:val="22"/>
          <w:lang w:val="en-US"/>
        </w:rPr>
        <w:t>eview suggests that more needs to be done to ensure strong VfM is delivered, b</w:t>
      </w:r>
      <w:r w:rsidRPr="00B010AD" w:rsidR="00306CFD">
        <w:rPr>
          <w:rFonts w:eastAsia="Arial" w:cs="Arial"/>
          <w:sz w:val="22"/>
          <w:szCs w:val="22"/>
          <w:lang w:val="en-US"/>
        </w:rPr>
        <w:t>ut given the long-term nature of the impacts</w:t>
      </w:r>
      <w:r w:rsidRPr="00B010AD">
        <w:rPr>
          <w:rFonts w:eastAsia="Arial" w:cs="Arial"/>
          <w:sz w:val="22"/>
          <w:szCs w:val="22"/>
          <w:lang w:val="en-US"/>
        </w:rPr>
        <w:t xml:space="preserve">, </w:t>
      </w:r>
      <w:r w:rsidRPr="00B010AD" w:rsidR="000F35C9">
        <w:rPr>
          <w:rFonts w:eastAsia="Arial" w:cs="Arial"/>
          <w:sz w:val="22"/>
          <w:szCs w:val="22"/>
          <w:lang w:val="en-US"/>
        </w:rPr>
        <w:t>more</w:t>
      </w:r>
      <w:r w:rsidRPr="00B010AD" w:rsidR="00D934E1">
        <w:rPr>
          <w:rFonts w:eastAsia="Arial" w:cs="Arial"/>
          <w:sz w:val="22"/>
          <w:szCs w:val="22"/>
          <w:lang w:val="en-US"/>
        </w:rPr>
        <w:t xml:space="preserve"> time and</w:t>
      </w:r>
      <w:r w:rsidRPr="00B010AD" w:rsidR="000F35C9">
        <w:rPr>
          <w:rFonts w:eastAsia="Arial" w:cs="Arial"/>
          <w:sz w:val="22"/>
          <w:szCs w:val="22"/>
          <w:lang w:val="en-US"/>
        </w:rPr>
        <w:t xml:space="preserve"> data is needed before we can undertake a full appraisal of the monetary benefits achieved by </w:t>
      </w:r>
      <w:r w:rsidR="006400C6">
        <w:rPr>
          <w:rFonts w:eastAsia="Arial" w:cs="Arial"/>
          <w:sz w:val="22"/>
          <w:szCs w:val="22"/>
          <w:lang w:val="en-US"/>
        </w:rPr>
        <w:t xml:space="preserve">the </w:t>
      </w:r>
      <w:r w:rsidRPr="00B010AD" w:rsidR="000F35C9">
        <w:rPr>
          <w:rFonts w:eastAsia="Arial" w:cs="Arial"/>
          <w:sz w:val="22"/>
          <w:szCs w:val="22"/>
          <w:lang w:val="en-US"/>
        </w:rPr>
        <w:t>OCPP to date</w:t>
      </w:r>
      <w:r w:rsidRPr="00B010AD" w:rsidR="00D611D0">
        <w:rPr>
          <w:rFonts w:eastAsia="Arial" w:cs="Arial"/>
          <w:sz w:val="22"/>
          <w:szCs w:val="22"/>
          <w:lang w:val="en-US"/>
        </w:rPr>
        <w:t xml:space="preserve">. </w:t>
      </w:r>
      <w:r w:rsidRPr="00B010AD" w:rsidR="00956907">
        <w:rPr>
          <w:rFonts w:eastAsia="Arial" w:cs="Arial"/>
          <w:sz w:val="22"/>
          <w:szCs w:val="22"/>
          <w:lang w:val="en-US"/>
        </w:rPr>
        <w:t xml:space="preserve">The BPF Evidence and Analysis Team will aim to carry out this analysis ahead of the next </w:t>
      </w:r>
      <w:r w:rsidR="00C14357">
        <w:rPr>
          <w:rFonts w:eastAsia="Arial" w:cs="Arial"/>
          <w:sz w:val="22"/>
          <w:szCs w:val="22"/>
          <w:lang w:val="en-US"/>
        </w:rPr>
        <w:t>a</w:t>
      </w:r>
      <w:r w:rsidRPr="00B010AD" w:rsidR="00956907">
        <w:rPr>
          <w:rFonts w:eastAsia="Arial" w:cs="Arial"/>
          <w:sz w:val="22"/>
          <w:szCs w:val="22"/>
          <w:lang w:val="en-US"/>
        </w:rPr>
        <w:t xml:space="preserve">nnual </w:t>
      </w:r>
      <w:r w:rsidR="00C14357">
        <w:rPr>
          <w:rFonts w:eastAsia="Arial" w:cs="Arial"/>
          <w:sz w:val="22"/>
          <w:szCs w:val="22"/>
          <w:lang w:val="en-US"/>
        </w:rPr>
        <w:t>r</w:t>
      </w:r>
      <w:r w:rsidRPr="00B010AD" w:rsidR="00956907">
        <w:rPr>
          <w:rFonts w:eastAsia="Arial" w:cs="Arial"/>
          <w:sz w:val="22"/>
          <w:szCs w:val="22"/>
          <w:lang w:val="en-US"/>
        </w:rPr>
        <w:t>eview in 2025.</w:t>
      </w:r>
      <w:r w:rsidRPr="00B010AD" w:rsidR="00A51032">
        <w:rPr>
          <w:rFonts w:eastAsia="Arial" w:cs="Arial"/>
          <w:sz w:val="22"/>
          <w:szCs w:val="22"/>
          <w:lang w:val="en-US"/>
        </w:rPr>
        <w:t xml:space="preserve">The analysis will </w:t>
      </w:r>
      <w:r w:rsidRPr="00B010AD" w:rsidR="00D3242A">
        <w:rPr>
          <w:rFonts w:eastAsia="Arial" w:cs="Arial"/>
          <w:sz w:val="22"/>
          <w:szCs w:val="22"/>
          <w:lang w:val="en-US"/>
        </w:rPr>
        <w:t>use an</w:t>
      </w:r>
      <w:r w:rsidRPr="00B010AD" w:rsidR="00CC1396">
        <w:rPr>
          <w:rFonts w:eastAsia="Arial" w:cs="Arial"/>
          <w:sz w:val="22"/>
          <w:szCs w:val="22"/>
          <w:lang w:val="en-US"/>
        </w:rPr>
        <w:t xml:space="preserve"> ecosystem services valuation</w:t>
      </w:r>
      <w:r w:rsidRPr="00B010AD" w:rsidR="00D3242A">
        <w:rPr>
          <w:rFonts w:eastAsia="Arial" w:cs="Arial"/>
          <w:sz w:val="22"/>
          <w:szCs w:val="22"/>
          <w:lang w:val="en-US"/>
        </w:rPr>
        <w:t xml:space="preserve"> approach, </w:t>
      </w:r>
      <w:r w:rsidRPr="00B010AD" w:rsidR="001A5DCB">
        <w:rPr>
          <w:rFonts w:eastAsia="Arial" w:cs="Arial"/>
          <w:sz w:val="22"/>
          <w:szCs w:val="22"/>
          <w:lang w:val="en-US"/>
        </w:rPr>
        <w:t xml:space="preserve">based on </w:t>
      </w:r>
      <w:r w:rsidRPr="00B010AD" w:rsidR="00E10EA3">
        <w:rPr>
          <w:rFonts w:eastAsia="Arial" w:cs="Arial"/>
          <w:sz w:val="22"/>
          <w:szCs w:val="22"/>
          <w:lang w:val="en-US"/>
        </w:rPr>
        <w:t>available data collected for Impact Indicator 1: “</w:t>
      </w:r>
      <w:r w:rsidRPr="00B010AD" w:rsidR="00D3242A">
        <w:rPr>
          <w:rFonts w:eastAsia="Arial" w:cs="Arial"/>
          <w:sz w:val="22"/>
          <w:szCs w:val="22"/>
          <w:lang w:val="en-US"/>
        </w:rPr>
        <w:t>Area of marine ecosystems protected, enhanced or under sustainable management due to BPF finance (BPF KPI 6)”.</w:t>
      </w:r>
      <w:r w:rsidRPr="00B010AD" w:rsidR="00005100">
        <w:rPr>
          <w:rFonts w:eastAsia="Arial" w:cs="Arial"/>
          <w:sz w:val="22"/>
          <w:szCs w:val="22"/>
          <w:lang w:val="en-US"/>
        </w:rPr>
        <w:t xml:space="preserve"> </w:t>
      </w:r>
    </w:p>
    <w:p w:rsidRPr="00B010AD" w:rsidR="00F94451" w:rsidP="00E00CA3" w:rsidRDefault="00F85F44" w14:paraId="266DCB07" w14:textId="2B0AF027">
      <w:pPr>
        <w:spacing w:after="160" w:line="276" w:lineRule="auto"/>
        <w:rPr>
          <w:rFonts w:eastAsia="Arial" w:cs="Arial"/>
          <w:sz w:val="22"/>
          <w:szCs w:val="22"/>
          <w:lang w:val="en-US"/>
        </w:rPr>
      </w:pPr>
      <w:r>
        <w:rPr>
          <w:rFonts w:eastAsia="Arial" w:cs="Arial"/>
          <w:sz w:val="22"/>
          <w:szCs w:val="22"/>
          <w:lang w:val="en-US"/>
        </w:rPr>
        <w:t>As the BCR modelling is driven by impact data (which</w:t>
      </w:r>
      <w:r w:rsidR="007802C5">
        <w:rPr>
          <w:rFonts w:eastAsia="Arial" w:cs="Arial"/>
          <w:sz w:val="22"/>
          <w:szCs w:val="22"/>
          <w:lang w:val="en-US"/>
        </w:rPr>
        <w:t xml:space="preserve"> as noted</w:t>
      </w:r>
      <w:r>
        <w:rPr>
          <w:rFonts w:eastAsia="Arial" w:cs="Arial"/>
          <w:sz w:val="22"/>
          <w:szCs w:val="22"/>
          <w:lang w:val="en-US"/>
        </w:rPr>
        <w:t xml:space="preserve"> is not available at present), it is </w:t>
      </w:r>
      <w:r w:rsidR="008C6293">
        <w:rPr>
          <w:rFonts w:eastAsia="Arial" w:cs="Arial"/>
          <w:sz w:val="22"/>
          <w:szCs w:val="22"/>
          <w:lang w:val="en-US"/>
        </w:rPr>
        <w:t>difficult to say</w:t>
      </w:r>
      <w:r w:rsidR="000932FF">
        <w:rPr>
          <w:rFonts w:eastAsia="Arial" w:cs="Arial"/>
          <w:sz w:val="22"/>
          <w:szCs w:val="22"/>
          <w:lang w:val="en-US"/>
        </w:rPr>
        <w:t xml:space="preserve"> </w:t>
      </w:r>
      <w:r w:rsidR="00CC2551">
        <w:rPr>
          <w:rFonts w:eastAsia="Arial" w:cs="Arial"/>
          <w:sz w:val="22"/>
          <w:szCs w:val="22"/>
          <w:lang w:val="en-US"/>
        </w:rPr>
        <w:t xml:space="preserve">with certainty </w:t>
      </w:r>
      <w:r w:rsidR="00E31C94">
        <w:rPr>
          <w:rFonts w:eastAsia="Arial" w:cs="Arial"/>
          <w:sz w:val="22"/>
          <w:szCs w:val="22"/>
          <w:lang w:val="en-US"/>
        </w:rPr>
        <w:t xml:space="preserve">where the programme currently </w:t>
      </w:r>
      <w:r w:rsidR="005E451F">
        <w:rPr>
          <w:rFonts w:eastAsia="Arial" w:cs="Arial"/>
          <w:sz w:val="22"/>
          <w:szCs w:val="22"/>
          <w:lang w:val="en-US"/>
        </w:rPr>
        <w:t>lies</w:t>
      </w:r>
      <w:r w:rsidR="00E31C94">
        <w:rPr>
          <w:rFonts w:eastAsia="Arial" w:cs="Arial"/>
          <w:sz w:val="22"/>
          <w:szCs w:val="22"/>
          <w:lang w:val="en-US"/>
        </w:rPr>
        <w:t xml:space="preserve"> with respect to the forecasted BCR range. However, g</w:t>
      </w:r>
      <w:r w:rsidRPr="00E31C94" w:rsidR="00E31C94">
        <w:rPr>
          <w:rFonts w:eastAsia="Arial" w:cs="Arial"/>
          <w:sz w:val="22"/>
          <w:szCs w:val="22"/>
          <w:lang w:val="en-US"/>
        </w:rPr>
        <w:t>iven the performance of the programme against key targets and aspects of VfM</w:t>
      </w:r>
      <w:r w:rsidR="00E31C94">
        <w:rPr>
          <w:rFonts w:eastAsia="Arial" w:cs="Arial"/>
          <w:sz w:val="22"/>
          <w:szCs w:val="22"/>
          <w:lang w:val="en-US"/>
        </w:rPr>
        <w:t xml:space="preserve"> as discussed below and in the output scoring</w:t>
      </w:r>
      <w:r w:rsidRPr="00E31C94" w:rsidR="00E31C94">
        <w:rPr>
          <w:rFonts w:eastAsia="Arial" w:cs="Arial"/>
          <w:sz w:val="22"/>
          <w:szCs w:val="22"/>
          <w:lang w:val="en-US"/>
        </w:rPr>
        <w:t>, it is likely that the programme currently sits towards the lower end of the forecasted BCR range in the Full Business Case</w:t>
      </w:r>
      <w:r w:rsidR="00402B5F">
        <w:rPr>
          <w:rFonts w:eastAsia="Arial" w:cs="Arial"/>
          <w:sz w:val="22"/>
          <w:szCs w:val="22"/>
          <w:lang w:val="en-US"/>
        </w:rPr>
        <w:t>.</w:t>
      </w:r>
    </w:p>
    <w:p w:rsidRPr="00B010AD" w:rsidR="00630EB9" w:rsidP="00E00CA3" w:rsidRDefault="00630EB9" w14:paraId="7FC89472" w14:textId="77777777">
      <w:pPr>
        <w:spacing w:after="160" w:line="276" w:lineRule="auto"/>
        <w:rPr>
          <w:rFonts w:eastAsia="Arial" w:cs="Arial"/>
          <w:sz w:val="22"/>
          <w:szCs w:val="22"/>
          <w:lang w:val="en-US"/>
        </w:rPr>
      </w:pPr>
    </w:p>
    <w:p w:rsidRPr="00B010AD" w:rsidR="00F94451" w:rsidP="00E00CA3" w:rsidRDefault="00F94451" w14:paraId="61003B50" w14:textId="5CDDA950">
      <w:pPr>
        <w:spacing w:after="160" w:line="276" w:lineRule="auto"/>
        <w:rPr>
          <w:rFonts w:eastAsia="Arial" w:cs="Arial"/>
          <w:b/>
          <w:bCs/>
          <w:sz w:val="22"/>
          <w:szCs w:val="22"/>
          <w:lang w:val="en-US"/>
        </w:rPr>
      </w:pPr>
      <w:r w:rsidRPr="00B010AD">
        <w:rPr>
          <w:rFonts w:eastAsia="Arial" w:cs="Arial"/>
          <w:b/>
          <w:bCs/>
          <w:sz w:val="22"/>
          <w:szCs w:val="22"/>
          <w:lang w:val="en-US"/>
        </w:rPr>
        <w:t>E</w:t>
      </w:r>
      <w:r w:rsidR="002C07FA">
        <w:rPr>
          <w:rFonts w:eastAsia="Arial" w:cs="Arial"/>
          <w:b/>
          <w:bCs/>
          <w:sz w:val="22"/>
          <w:szCs w:val="22"/>
          <w:lang w:val="en-US"/>
        </w:rPr>
        <w:t>2</w:t>
      </w:r>
      <w:r w:rsidRPr="00B010AD">
        <w:rPr>
          <w:rFonts w:eastAsia="Arial" w:cs="Arial"/>
          <w:b/>
          <w:bCs/>
          <w:sz w:val="22"/>
          <w:szCs w:val="22"/>
          <w:lang w:val="en-US"/>
        </w:rPr>
        <w:t xml:space="preserve">.3 </w:t>
      </w:r>
      <w:r w:rsidR="008360D3">
        <w:rPr>
          <w:rFonts w:eastAsia="Arial" w:cs="Arial"/>
          <w:b/>
          <w:bCs/>
          <w:sz w:val="22"/>
          <w:szCs w:val="22"/>
          <w:lang w:val="en-US"/>
        </w:rPr>
        <w:t>Four</w:t>
      </w:r>
      <w:r w:rsidRPr="00B010AD">
        <w:rPr>
          <w:rFonts w:eastAsia="Arial" w:cs="Arial"/>
          <w:b/>
          <w:bCs/>
          <w:sz w:val="22"/>
          <w:szCs w:val="22"/>
          <w:lang w:val="en-US"/>
        </w:rPr>
        <w:t xml:space="preserve"> Es Assessment</w:t>
      </w:r>
    </w:p>
    <w:p w:rsidRPr="00B010AD" w:rsidR="008B5FCC" w:rsidP="00E00CA3" w:rsidRDefault="00B15DB3" w14:paraId="0B9FBA73" w14:textId="3419C8DF">
      <w:pPr>
        <w:spacing w:after="160" w:line="276" w:lineRule="auto"/>
        <w:rPr>
          <w:rFonts w:eastAsia="Arial" w:cs="Arial"/>
          <w:sz w:val="22"/>
          <w:szCs w:val="22"/>
        </w:rPr>
      </w:pPr>
      <w:r w:rsidRPr="00B010AD">
        <w:rPr>
          <w:rFonts w:eastAsia="Arial" w:cs="Arial"/>
          <w:sz w:val="22"/>
          <w:szCs w:val="22"/>
          <w:lang w:val="en"/>
        </w:rPr>
        <w:t xml:space="preserve">The assessment of the </w:t>
      </w:r>
      <w:r w:rsidR="008360D3">
        <w:rPr>
          <w:rFonts w:eastAsia="Arial" w:cs="Arial"/>
          <w:sz w:val="22"/>
          <w:szCs w:val="22"/>
          <w:lang w:val="en"/>
        </w:rPr>
        <w:t>four</w:t>
      </w:r>
      <w:r w:rsidRPr="00B010AD">
        <w:rPr>
          <w:rFonts w:eastAsia="Arial" w:cs="Arial"/>
          <w:sz w:val="22"/>
          <w:szCs w:val="22"/>
          <w:lang w:val="en"/>
        </w:rPr>
        <w:t xml:space="preserve"> Es below goes into more detail around each aspect of VfM. </w:t>
      </w:r>
      <w:r w:rsidRPr="00B010AD">
        <w:rPr>
          <w:rFonts w:eastAsia="Arial" w:cs="Arial"/>
          <w:sz w:val="22"/>
          <w:szCs w:val="22"/>
        </w:rPr>
        <w:t xml:space="preserve">Key progress in the last 12 months towards delivering against the </w:t>
      </w:r>
      <w:r w:rsidR="008360D3">
        <w:rPr>
          <w:rFonts w:eastAsia="Arial" w:cs="Arial"/>
          <w:sz w:val="22"/>
          <w:szCs w:val="22"/>
        </w:rPr>
        <w:t>four</w:t>
      </w:r>
      <w:r w:rsidRPr="00B010AD">
        <w:rPr>
          <w:rFonts w:eastAsia="Arial" w:cs="Arial"/>
          <w:sz w:val="22"/>
          <w:szCs w:val="22"/>
        </w:rPr>
        <w:t xml:space="preserve"> Es are summarised in the bullet points under each section</w:t>
      </w:r>
      <w:r w:rsidRPr="00B010AD" w:rsidR="00C62D08">
        <w:rPr>
          <w:rFonts w:eastAsia="Arial" w:cs="Arial"/>
          <w:sz w:val="22"/>
          <w:szCs w:val="22"/>
        </w:rPr>
        <w:t>.</w:t>
      </w:r>
      <w:r w:rsidRPr="00B010AD" w:rsidR="001D05D5">
        <w:rPr>
          <w:rFonts w:eastAsia="Arial" w:cs="Arial"/>
          <w:sz w:val="22"/>
          <w:szCs w:val="22"/>
        </w:rPr>
        <w:t xml:space="preserve"> </w:t>
      </w:r>
    </w:p>
    <w:p w:rsidRPr="00B010AD" w:rsidR="00F94451" w:rsidP="00E00CA3" w:rsidRDefault="001D05D5" w14:paraId="2AF0055C" w14:textId="35EFCA67">
      <w:pPr>
        <w:spacing w:after="160" w:line="276" w:lineRule="auto"/>
        <w:rPr>
          <w:rFonts w:eastAsia="Arial" w:cs="Arial"/>
          <w:sz w:val="22"/>
          <w:szCs w:val="22"/>
        </w:rPr>
      </w:pPr>
      <w:r w:rsidRPr="00B010AD">
        <w:rPr>
          <w:rFonts w:eastAsia="Arial" w:cs="Arial"/>
          <w:sz w:val="22"/>
          <w:szCs w:val="22"/>
        </w:rPr>
        <w:t xml:space="preserve">Much of the information below is drawn from the OCPP Mid-Term Evaluation </w:t>
      </w:r>
      <w:r w:rsidRPr="00B010AD" w:rsidR="00B020B5">
        <w:rPr>
          <w:rFonts w:eastAsia="Arial" w:cs="Arial"/>
          <w:sz w:val="22"/>
          <w:szCs w:val="22"/>
        </w:rPr>
        <w:t xml:space="preserve">(MTE) </w:t>
      </w:r>
      <w:r w:rsidRPr="00B010AD" w:rsidR="00AF4474">
        <w:rPr>
          <w:rFonts w:eastAsia="Arial" w:cs="Arial"/>
          <w:sz w:val="22"/>
          <w:szCs w:val="22"/>
        </w:rPr>
        <w:t>conducted by NIRAS in Summer 2024.</w:t>
      </w:r>
      <w:r w:rsidRPr="00B010AD" w:rsidR="008B5FCC">
        <w:rPr>
          <w:rFonts w:eastAsia="Arial" w:cs="Arial"/>
          <w:sz w:val="22"/>
          <w:szCs w:val="22"/>
        </w:rPr>
        <w:t xml:space="preserve"> Some of the key findings with regards to VfM include:</w:t>
      </w:r>
    </w:p>
    <w:p w:rsidRPr="00B010AD" w:rsidR="007B16D7" w:rsidP="001D265D" w:rsidRDefault="007B16D7" w14:paraId="2DA536AD" w14:textId="027E850F">
      <w:pPr>
        <w:pStyle w:val="ListParagraph"/>
        <w:numPr>
          <w:ilvl w:val="0"/>
          <w:numId w:val="20"/>
        </w:numPr>
        <w:spacing w:after="160" w:line="278" w:lineRule="auto"/>
        <w:rPr>
          <w:sz w:val="22"/>
          <w:szCs w:val="22"/>
        </w:rPr>
      </w:pPr>
      <w:r w:rsidRPr="3300B45E">
        <w:rPr>
          <w:b/>
          <w:bCs/>
          <w:sz w:val="22"/>
          <w:szCs w:val="22"/>
        </w:rPr>
        <w:t>Finding 10:</w:t>
      </w:r>
      <w:r w:rsidRPr="3300B45E">
        <w:rPr>
          <w:sz w:val="22"/>
          <w:szCs w:val="22"/>
        </w:rPr>
        <w:t xml:space="preserve"> A range of factors have led to delays in </w:t>
      </w:r>
      <w:r w:rsidRPr="3300B45E" w:rsidR="006400C6">
        <w:rPr>
          <w:sz w:val="22"/>
          <w:szCs w:val="22"/>
        </w:rPr>
        <w:t xml:space="preserve">the </w:t>
      </w:r>
      <w:r w:rsidRPr="3300B45E">
        <w:rPr>
          <w:sz w:val="22"/>
          <w:szCs w:val="22"/>
        </w:rPr>
        <w:t>OCPP implementation, reducing the efficiency of programme delivery. These include: lengthy delays in approvals (Defra) and procurement and planning (ALBs); ALB inexperience in sustainable development contexts; unclear communications and branding across the bilateral programme; and lack of a bilateral programme in-country presence</w:t>
      </w:r>
      <w:r w:rsidRPr="3300B45E" w:rsidR="003D9CF7">
        <w:rPr>
          <w:sz w:val="22"/>
          <w:szCs w:val="22"/>
        </w:rPr>
        <w:t>.</w:t>
      </w:r>
    </w:p>
    <w:p w:rsidRPr="00B010AD" w:rsidR="00173FDA" w:rsidP="001D265D" w:rsidRDefault="00173FDA" w14:paraId="147AEA44" w14:textId="187A569F">
      <w:pPr>
        <w:pStyle w:val="ListParagraph"/>
        <w:numPr>
          <w:ilvl w:val="0"/>
          <w:numId w:val="20"/>
        </w:numPr>
        <w:spacing w:after="160" w:line="276" w:lineRule="auto"/>
        <w:rPr>
          <w:rFonts w:eastAsia="Arial" w:cs="Arial"/>
          <w:sz w:val="22"/>
          <w:szCs w:val="22"/>
        </w:rPr>
      </w:pPr>
      <w:r w:rsidRPr="00B010AD">
        <w:rPr>
          <w:rFonts w:eastAsia="Arial" w:cs="Arial"/>
          <w:b/>
          <w:bCs/>
          <w:sz w:val="22"/>
          <w:szCs w:val="22"/>
        </w:rPr>
        <w:t>Finding 14:</w:t>
      </w:r>
      <w:r w:rsidRPr="00B010AD">
        <w:rPr>
          <w:rFonts w:eastAsia="Arial" w:cs="Arial"/>
          <w:sz w:val="22"/>
          <w:szCs w:val="22"/>
        </w:rPr>
        <w:t xml:space="preserve"> There have been </w:t>
      </w:r>
      <w:r w:rsidRPr="00B010AD" w:rsidR="009C2D60">
        <w:rPr>
          <w:rFonts w:eastAsia="Arial" w:cs="Arial"/>
          <w:sz w:val="22"/>
          <w:szCs w:val="22"/>
        </w:rPr>
        <w:t>several</w:t>
      </w:r>
      <w:r w:rsidRPr="00B010AD">
        <w:rPr>
          <w:rFonts w:eastAsia="Arial" w:cs="Arial"/>
          <w:sz w:val="22"/>
          <w:szCs w:val="22"/>
        </w:rPr>
        <w:t xml:space="preserve"> challenges to VfM notably in relation to economy and efficiency. Nonetheless, good practice examples are emerging that can potentially drive stronger VfM going forward.</w:t>
      </w:r>
    </w:p>
    <w:p w:rsidRPr="00B010AD" w:rsidR="00173FDA" w:rsidP="001D265D" w:rsidRDefault="00173FDA" w14:paraId="4A79F696" w14:textId="0C18A300">
      <w:pPr>
        <w:pStyle w:val="ListParagraph"/>
        <w:numPr>
          <w:ilvl w:val="0"/>
          <w:numId w:val="20"/>
        </w:numPr>
        <w:spacing w:after="160" w:line="276" w:lineRule="auto"/>
        <w:rPr>
          <w:rFonts w:eastAsia="Arial" w:cs="Arial"/>
          <w:sz w:val="22"/>
          <w:szCs w:val="22"/>
        </w:rPr>
      </w:pPr>
      <w:r w:rsidRPr="3300B45E">
        <w:rPr>
          <w:rFonts w:eastAsia="Arial" w:cs="Arial"/>
          <w:b/>
          <w:bCs/>
          <w:sz w:val="22"/>
          <w:szCs w:val="22"/>
        </w:rPr>
        <w:t>Finding 15:</w:t>
      </w:r>
      <w:r w:rsidRPr="3300B45E">
        <w:rPr>
          <w:rFonts w:eastAsia="Arial" w:cs="Arial"/>
          <w:sz w:val="22"/>
          <w:szCs w:val="22"/>
        </w:rPr>
        <w:t xml:space="preserve"> </w:t>
      </w:r>
      <w:r w:rsidRPr="3300B45E" w:rsidR="006400C6">
        <w:rPr>
          <w:rFonts w:eastAsia="Arial" w:cs="Arial"/>
          <w:sz w:val="22"/>
          <w:szCs w:val="22"/>
        </w:rPr>
        <w:t xml:space="preserve">The </w:t>
      </w:r>
      <w:r w:rsidRPr="3300B45E">
        <w:rPr>
          <w:rFonts w:eastAsia="Arial" w:cs="Arial"/>
          <w:sz w:val="22"/>
          <w:szCs w:val="22"/>
        </w:rPr>
        <w:t>OCPP is already delivering results that, in time, are likely to deliver significant benefits. However, there is not enough evidence to conclude at this stage whether these have generated returns above and beyond the amount spent</w:t>
      </w:r>
      <w:r w:rsidRPr="3300B45E" w:rsidR="7D39331A">
        <w:rPr>
          <w:rFonts w:eastAsia="Arial" w:cs="Arial"/>
          <w:sz w:val="22"/>
          <w:szCs w:val="22"/>
        </w:rPr>
        <w:t>.</w:t>
      </w:r>
    </w:p>
    <w:p w:rsidRPr="00B010AD" w:rsidR="0010694F" w:rsidP="001D265D" w:rsidRDefault="002B7BBC" w14:paraId="4922DBD8" w14:textId="5A148BA0">
      <w:pPr>
        <w:pStyle w:val="ListParagraph"/>
        <w:numPr>
          <w:ilvl w:val="0"/>
          <w:numId w:val="20"/>
        </w:numPr>
        <w:spacing w:line="276" w:lineRule="auto"/>
        <w:rPr>
          <w:rFonts w:eastAsia="Arial" w:cs="Arial"/>
          <w:sz w:val="22"/>
          <w:szCs w:val="22"/>
        </w:rPr>
      </w:pPr>
      <w:r w:rsidRPr="3300B45E">
        <w:rPr>
          <w:rFonts w:eastAsia="Arial" w:cs="Arial"/>
          <w:b/>
          <w:bCs/>
          <w:sz w:val="22"/>
          <w:szCs w:val="22"/>
        </w:rPr>
        <w:t>Finding 16:</w:t>
      </w:r>
      <w:r w:rsidRPr="3300B45E">
        <w:rPr>
          <w:rFonts w:eastAsia="Arial" w:cs="Arial"/>
          <w:sz w:val="22"/>
          <w:szCs w:val="22"/>
        </w:rPr>
        <w:t xml:space="preserve"> The level of effective implementation of </w:t>
      </w:r>
      <w:r w:rsidRPr="3300B45E" w:rsidR="006400C6">
        <w:rPr>
          <w:rFonts w:eastAsia="Arial" w:cs="Arial"/>
          <w:sz w:val="22"/>
          <w:szCs w:val="22"/>
        </w:rPr>
        <w:t xml:space="preserve">the </w:t>
      </w:r>
      <w:r w:rsidRPr="3300B45E">
        <w:rPr>
          <w:rFonts w:eastAsia="Arial" w:cs="Arial"/>
          <w:sz w:val="22"/>
          <w:szCs w:val="22"/>
        </w:rPr>
        <w:t>OCPP varies across target countries and across delivery partners, but sufficient evidence exists that OCPP will make significant contributions to outcome level chang</w:t>
      </w:r>
      <w:r w:rsidRPr="3300B45E" w:rsidR="0010694F">
        <w:rPr>
          <w:rFonts w:eastAsia="Arial" w:cs="Arial"/>
          <w:sz w:val="22"/>
          <w:szCs w:val="22"/>
        </w:rPr>
        <w:t>e</w:t>
      </w:r>
      <w:r w:rsidRPr="3300B45E" w:rsidR="38BB957E">
        <w:rPr>
          <w:rFonts w:eastAsia="Arial" w:cs="Arial"/>
          <w:sz w:val="22"/>
          <w:szCs w:val="22"/>
        </w:rPr>
        <w:t>.</w:t>
      </w:r>
    </w:p>
    <w:p w:rsidRPr="00B010AD" w:rsidR="00555BD9" w:rsidP="00E00CA3" w:rsidRDefault="0010694F" w14:paraId="619F50BF" w14:textId="2FCE9B5F">
      <w:pPr>
        <w:spacing w:after="160" w:line="276" w:lineRule="auto"/>
        <w:rPr>
          <w:rFonts w:eastAsia="Arial" w:cs="Arial"/>
          <w:sz w:val="22"/>
          <w:szCs w:val="22"/>
        </w:rPr>
      </w:pPr>
      <w:r w:rsidRPr="00B010AD">
        <w:rPr>
          <w:rFonts w:eastAsia="Arial" w:cs="Arial"/>
          <w:sz w:val="22"/>
          <w:szCs w:val="22"/>
        </w:rPr>
        <w:t xml:space="preserve">The findings present a mixed picture of VfM, but </w:t>
      </w:r>
      <w:r w:rsidRPr="00B010AD" w:rsidR="00555BD9">
        <w:rPr>
          <w:rFonts w:eastAsia="Arial" w:cs="Arial"/>
          <w:sz w:val="22"/>
          <w:szCs w:val="22"/>
        </w:rPr>
        <w:t xml:space="preserve">also highlight that there is good potential for </w:t>
      </w:r>
      <w:r w:rsidR="006400C6">
        <w:rPr>
          <w:rFonts w:eastAsia="Arial" w:cs="Arial"/>
          <w:sz w:val="22"/>
          <w:szCs w:val="22"/>
        </w:rPr>
        <w:t xml:space="preserve">the </w:t>
      </w:r>
      <w:r w:rsidRPr="00B010AD" w:rsidR="00555BD9">
        <w:rPr>
          <w:rFonts w:eastAsia="Arial" w:cs="Arial"/>
          <w:sz w:val="22"/>
          <w:szCs w:val="22"/>
        </w:rPr>
        <w:t>OCPP to achieve its targeted results and outcomes.</w:t>
      </w:r>
    </w:p>
    <w:p w:rsidRPr="00B010AD" w:rsidR="00C62D08" w:rsidP="00E00CA3" w:rsidRDefault="00C62D08" w14:paraId="33C934E6" w14:textId="117ADCF5">
      <w:pPr>
        <w:spacing w:after="160" w:line="276" w:lineRule="auto"/>
        <w:rPr>
          <w:rFonts w:eastAsia="Arial" w:cs="Arial"/>
          <w:b/>
          <w:bCs/>
          <w:sz w:val="22"/>
          <w:szCs w:val="22"/>
          <w:lang w:val="en"/>
        </w:rPr>
      </w:pPr>
      <w:r w:rsidRPr="1FB22237">
        <w:rPr>
          <w:rFonts w:eastAsia="Arial" w:cs="Arial"/>
          <w:b/>
          <w:bCs/>
          <w:sz w:val="22"/>
          <w:szCs w:val="22"/>
          <w:lang w:val="en"/>
        </w:rPr>
        <w:t>Economy (are we buying at the right price?)</w:t>
      </w:r>
    </w:p>
    <w:p w:rsidRPr="00B010AD" w:rsidR="00C62D08" w:rsidP="00E00CA3" w:rsidRDefault="00C62D08" w14:paraId="6E00549E" w14:textId="48FF291B">
      <w:pPr>
        <w:spacing w:after="160" w:line="276" w:lineRule="auto"/>
        <w:rPr>
          <w:rFonts w:eastAsia="Arial" w:cs="Arial"/>
          <w:sz w:val="22"/>
          <w:szCs w:val="22"/>
        </w:rPr>
      </w:pPr>
      <w:r w:rsidRPr="00B010AD">
        <w:rPr>
          <w:rFonts w:eastAsia="Arial" w:cs="Arial"/>
          <w:sz w:val="22"/>
          <w:szCs w:val="22"/>
        </w:rPr>
        <w:t>Economy considers whether the inputs required for a project are being procured at the best price.</w:t>
      </w:r>
    </w:p>
    <w:p w:rsidRPr="00B010AD" w:rsidR="00702B2F" w:rsidP="001D265D" w:rsidRDefault="64AC46D9" w14:paraId="582E3EAD" w14:textId="7B6CFAE3">
      <w:pPr>
        <w:pStyle w:val="ListParagraph"/>
        <w:numPr>
          <w:ilvl w:val="0"/>
          <w:numId w:val="19"/>
        </w:numPr>
        <w:spacing w:after="160" w:line="276" w:lineRule="auto"/>
        <w:rPr>
          <w:rFonts w:eastAsia="Arial" w:cs="Arial"/>
          <w:sz w:val="22"/>
          <w:szCs w:val="22"/>
        </w:rPr>
      </w:pPr>
      <w:r w:rsidRPr="66E3BED5">
        <w:rPr>
          <w:rFonts w:eastAsia="Arial" w:cs="Arial"/>
          <w:sz w:val="22"/>
          <w:szCs w:val="22"/>
        </w:rPr>
        <w:t>As a technical assistance programme t</w:t>
      </w:r>
      <w:r w:rsidRPr="66E3BED5" w:rsidR="2A409983">
        <w:rPr>
          <w:rFonts w:eastAsia="Arial" w:cs="Arial"/>
          <w:sz w:val="22"/>
          <w:szCs w:val="22"/>
        </w:rPr>
        <w:t xml:space="preserve">he key cost drivers </w:t>
      </w:r>
      <w:r w:rsidRPr="66E3BED5" w:rsidR="02F66CFE">
        <w:rPr>
          <w:rFonts w:eastAsia="Arial" w:cs="Arial"/>
          <w:sz w:val="22"/>
          <w:szCs w:val="22"/>
        </w:rPr>
        <w:t>for the OCPP were staff costs, secretariat costs, technical assistance, and overheads</w:t>
      </w:r>
      <w:r w:rsidRPr="66E3BED5" w:rsidR="5105166D">
        <w:rPr>
          <w:rFonts w:eastAsia="Arial" w:cs="Arial"/>
          <w:sz w:val="22"/>
          <w:szCs w:val="22"/>
        </w:rPr>
        <w:t>.</w:t>
      </w:r>
    </w:p>
    <w:p w:rsidRPr="004A16B8" w:rsidR="006C50C5" w:rsidP="001D265D" w:rsidRDefault="006A3D44" w14:paraId="11D03E5F" w14:textId="3015C0F5">
      <w:pPr>
        <w:pStyle w:val="ListParagraph"/>
        <w:numPr>
          <w:ilvl w:val="0"/>
          <w:numId w:val="19"/>
        </w:numPr>
        <w:spacing w:after="160" w:line="276" w:lineRule="auto"/>
        <w:rPr>
          <w:rFonts w:eastAsia="Arial" w:cs="Arial"/>
          <w:sz w:val="22"/>
          <w:szCs w:val="22"/>
        </w:rPr>
      </w:pPr>
      <w:r w:rsidRPr="00B010AD">
        <w:rPr>
          <w:rFonts w:eastAsia="Arial" w:cs="Arial"/>
          <w:sz w:val="22"/>
          <w:szCs w:val="22"/>
        </w:rPr>
        <w:t xml:space="preserve">The structure of </w:t>
      </w:r>
      <w:r w:rsidR="006400C6">
        <w:rPr>
          <w:rFonts w:eastAsia="Arial" w:cs="Arial"/>
          <w:sz w:val="22"/>
          <w:szCs w:val="22"/>
        </w:rPr>
        <w:t>the</w:t>
      </w:r>
      <w:r w:rsidRPr="00B010AD">
        <w:rPr>
          <w:rFonts w:eastAsia="Arial" w:cs="Arial"/>
          <w:sz w:val="22"/>
          <w:szCs w:val="22"/>
        </w:rPr>
        <w:t xml:space="preserve"> OCPP – working with Defra ALBs as </w:t>
      </w:r>
      <w:r w:rsidR="00536EE8">
        <w:rPr>
          <w:rFonts w:eastAsia="Arial" w:cs="Arial"/>
          <w:sz w:val="22"/>
          <w:szCs w:val="22"/>
        </w:rPr>
        <w:t xml:space="preserve">delivery </w:t>
      </w:r>
      <w:r w:rsidR="00D804C5">
        <w:rPr>
          <w:rFonts w:eastAsia="Arial" w:cs="Arial"/>
          <w:sz w:val="22"/>
          <w:szCs w:val="22"/>
        </w:rPr>
        <w:t>partners</w:t>
      </w:r>
      <w:r w:rsidRPr="00B010AD">
        <w:rPr>
          <w:rFonts w:eastAsia="Arial" w:cs="Arial"/>
          <w:sz w:val="22"/>
          <w:szCs w:val="22"/>
        </w:rPr>
        <w:t xml:space="preserve"> – </w:t>
      </w:r>
      <w:r w:rsidR="00A43BEE">
        <w:rPr>
          <w:rFonts w:eastAsia="Arial" w:cs="Arial"/>
          <w:sz w:val="22"/>
          <w:szCs w:val="22"/>
        </w:rPr>
        <w:t>was designed to</w:t>
      </w:r>
      <w:r w:rsidRPr="00B010AD" w:rsidR="00955339">
        <w:rPr>
          <w:rFonts w:eastAsia="Arial" w:cs="Arial"/>
          <w:sz w:val="22"/>
          <w:szCs w:val="22"/>
        </w:rPr>
        <w:t xml:space="preserve"> ensure economy of spend, as these ALBs</w:t>
      </w:r>
      <w:r w:rsidRPr="00B010AD">
        <w:rPr>
          <w:rFonts w:eastAsia="Arial" w:cs="Arial"/>
          <w:sz w:val="22"/>
          <w:szCs w:val="22"/>
        </w:rPr>
        <w:t xml:space="preserve"> have policies and procedures in place to manage HMG funding</w:t>
      </w:r>
      <w:r w:rsidR="00A43BEE">
        <w:rPr>
          <w:rFonts w:eastAsia="Arial" w:cs="Arial"/>
          <w:sz w:val="22"/>
          <w:szCs w:val="22"/>
        </w:rPr>
        <w:t xml:space="preserve">. However, as seen elsewhere in this </w:t>
      </w:r>
      <w:r w:rsidR="00582692">
        <w:rPr>
          <w:rFonts w:eastAsia="Arial" w:cs="Arial"/>
          <w:sz w:val="22"/>
          <w:szCs w:val="22"/>
        </w:rPr>
        <w:t>r</w:t>
      </w:r>
      <w:r w:rsidR="00A43BEE">
        <w:rPr>
          <w:rFonts w:eastAsia="Arial" w:cs="Arial"/>
          <w:sz w:val="22"/>
          <w:szCs w:val="22"/>
        </w:rPr>
        <w:t xml:space="preserve">eview, there have been issues with ALBs affecting the efficiency of and effectiveness of </w:t>
      </w:r>
      <w:r w:rsidR="00833C75">
        <w:rPr>
          <w:rFonts w:eastAsia="Arial" w:cs="Arial"/>
          <w:sz w:val="22"/>
          <w:szCs w:val="22"/>
        </w:rPr>
        <w:t xml:space="preserve">the </w:t>
      </w:r>
      <w:r w:rsidR="00715AA8">
        <w:rPr>
          <w:rFonts w:eastAsia="Arial" w:cs="Arial"/>
          <w:sz w:val="22"/>
          <w:szCs w:val="22"/>
        </w:rPr>
        <w:t>programme delivery as a whole</w:t>
      </w:r>
      <w:r w:rsidRPr="0318806B" w:rsidR="3A5A1BEF">
        <w:rPr>
          <w:rFonts w:eastAsia="Arial" w:cs="Arial"/>
          <w:sz w:val="22"/>
          <w:szCs w:val="22"/>
        </w:rPr>
        <w:t>.</w:t>
      </w:r>
      <w:r w:rsidRPr="00BF7411" w:rsidR="00BF7411">
        <w:t xml:space="preserve"> </w:t>
      </w:r>
    </w:p>
    <w:p w:rsidRPr="00B010AD" w:rsidR="006A3D44" w:rsidP="001D265D" w:rsidRDefault="0FDB8F0A" w14:paraId="25A2657C" w14:textId="4C6825CD">
      <w:pPr>
        <w:pStyle w:val="ListParagraph"/>
        <w:numPr>
          <w:ilvl w:val="0"/>
          <w:numId w:val="19"/>
        </w:numPr>
        <w:spacing w:after="160" w:line="276" w:lineRule="auto"/>
        <w:rPr>
          <w:rFonts w:eastAsia="Arial" w:cs="Arial"/>
          <w:sz w:val="22"/>
          <w:szCs w:val="22"/>
        </w:rPr>
      </w:pPr>
      <w:r w:rsidRPr="2C6B85DE">
        <w:rPr>
          <w:rFonts w:eastAsia="Arial" w:cs="Arial"/>
          <w:sz w:val="22"/>
          <w:szCs w:val="22"/>
        </w:rPr>
        <w:t xml:space="preserve">Due to the lack of transparency in financial reporting, the review of ALB overheads determined it was difficult to make an overall assessment on value for money. ALBs appear to offer a cost-effective option when compared to the external </w:t>
      </w:r>
      <w:r w:rsidRPr="2C6B85DE" w:rsidR="00921CE1">
        <w:rPr>
          <w:rFonts w:eastAsia="Arial" w:cs="Arial"/>
          <w:sz w:val="22"/>
          <w:szCs w:val="22"/>
        </w:rPr>
        <w:t xml:space="preserve">commercial </w:t>
      </w:r>
      <w:r w:rsidRPr="2C6B85DE">
        <w:rPr>
          <w:rFonts w:eastAsia="Arial" w:cs="Arial"/>
          <w:sz w:val="22"/>
          <w:szCs w:val="22"/>
        </w:rPr>
        <w:t xml:space="preserve">market, despite the high overhead costs in comparison to core Defra. </w:t>
      </w:r>
      <w:r w:rsidRPr="2C6B85DE" w:rsidR="12825CE0">
        <w:rPr>
          <w:rFonts w:eastAsia="Arial" w:cs="Arial"/>
          <w:sz w:val="22"/>
          <w:szCs w:val="22"/>
        </w:rPr>
        <w:t xml:space="preserve">ALBs have been asked to develop a </w:t>
      </w:r>
      <w:r w:rsidRPr="2C6B85DE" w:rsidR="009561CF">
        <w:rPr>
          <w:rFonts w:eastAsia="Arial" w:cs="Arial"/>
          <w:sz w:val="22"/>
          <w:szCs w:val="22"/>
        </w:rPr>
        <w:t>new aligned</w:t>
      </w:r>
      <w:r w:rsidRPr="2C6B85DE" w:rsidR="00BF7411">
        <w:rPr>
          <w:rFonts w:eastAsia="Arial" w:cs="Arial"/>
          <w:sz w:val="22"/>
          <w:szCs w:val="22"/>
        </w:rPr>
        <w:t xml:space="preserve"> financial reporting framework that </w:t>
      </w:r>
      <w:r w:rsidRPr="2C6B85DE" w:rsidR="3B51F26A">
        <w:rPr>
          <w:rFonts w:eastAsia="Arial" w:cs="Arial"/>
          <w:sz w:val="22"/>
          <w:szCs w:val="22"/>
        </w:rPr>
        <w:t xml:space="preserve">will enhance understanding of ALB costs moving forward, </w:t>
      </w:r>
    </w:p>
    <w:p w:rsidRPr="00B010AD" w:rsidR="00702B2F" w:rsidP="001D265D" w:rsidRDefault="00B020B5" w14:paraId="3EEC0337" w14:textId="21F77A79">
      <w:pPr>
        <w:pStyle w:val="ListParagraph"/>
        <w:numPr>
          <w:ilvl w:val="0"/>
          <w:numId w:val="19"/>
        </w:numPr>
        <w:spacing w:after="160" w:line="276" w:lineRule="auto"/>
        <w:rPr>
          <w:rFonts w:eastAsia="Arial" w:cs="Arial"/>
          <w:sz w:val="22"/>
          <w:szCs w:val="22"/>
        </w:rPr>
      </w:pPr>
      <w:r w:rsidRPr="00B010AD">
        <w:rPr>
          <w:rFonts w:eastAsia="Arial" w:cs="Arial"/>
          <w:sz w:val="22"/>
          <w:szCs w:val="22"/>
        </w:rPr>
        <w:t>The MTE found that programme p</w:t>
      </w:r>
      <w:r w:rsidRPr="00B010AD" w:rsidR="005A46F5">
        <w:rPr>
          <w:rFonts w:eastAsia="Arial" w:cs="Arial"/>
          <w:sz w:val="22"/>
          <w:szCs w:val="22"/>
        </w:rPr>
        <w:t xml:space="preserve">rocurement experienced delays and </w:t>
      </w:r>
      <w:r w:rsidRPr="00B010AD">
        <w:rPr>
          <w:rFonts w:eastAsia="Arial" w:cs="Arial"/>
          <w:sz w:val="22"/>
          <w:szCs w:val="22"/>
        </w:rPr>
        <w:t>was</w:t>
      </w:r>
      <w:r w:rsidRPr="00B010AD" w:rsidR="005A46F5">
        <w:rPr>
          <w:rFonts w:eastAsia="Arial" w:cs="Arial"/>
          <w:sz w:val="22"/>
          <w:szCs w:val="22"/>
        </w:rPr>
        <w:t xml:space="preserve"> implemented at a slower pace than expected. This is anticipated to pick up in the coming financial year, with big-ticket items reportedly ready to go</w:t>
      </w:r>
      <w:r w:rsidR="001C5A29">
        <w:rPr>
          <w:rFonts w:eastAsia="Arial" w:cs="Arial"/>
          <w:sz w:val="22"/>
          <w:szCs w:val="22"/>
        </w:rPr>
        <w:t>. However, given the delays in implementation, this is likely to have increased costs</w:t>
      </w:r>
    </w:p>
    <w:p w:rsidRPr="00B010AD" w:rsidR="00784373" w:rsidP="00E00CA3" w:rsidRDefault="00784373" w14:paraId="3C0E3699" w14:textId="77777777">
      <w:pPr>
        <w:spacing w:after="160" w:line="276" w:lineRule="auto"/>
        <w:rPr>
          <w:rFonts w:eastAsia="Arial" w:cs="Arial"/>
          <w:b/>
          <w:bCs/>
          <w:sz w:val="22"/>
          <w:szCs w:val="22"/>
          <w:lang w:val="en"/>
        </w:rPr>
      </w:pPr>
      <w:r w:rsidRPr="00B010AD">
        <w:rPr>
          <w:rFonts w:eastAsia="Arial" w:cs="Arial"/>
          <w:b/>
          <w:bCs/>
          <w:sz w:val="22"/>
          <w:szCs w:val="22"/>
          <w:lang w:val="en"/>
        </w:rPr>
        <w:t>Efficiency (are we spending well?)</w:t>
      </w:r>
    </w:p>
    <w:p w:rsidRPr="00B010AD" w:rsidR="00C62D08" w:rsidP="00E00CA3" w:rsidRDefault="00784373" w14:paraId="0ED7B24C" w14:textId="56798700">
      <w:pPr>
        <w:spacing w:after="160" w:line="276" w:lineRule="auto"/>
        <w:rPr>
          <w:rFonts w:eastAsia="Arial" w:cs="Arial"/>
          <w:sz w:val="22"/>
          <w:szCs w:val="22"/>
        </w:rPr>
      </w:pPr>
      <w:r w:rsidRPr="00B010AD">
        <w:rPr>
          <w:rFonts w:eastAsia="Arial" w:cs="Arial"/>
          <w:sz w:val="22"/>
          <w:szCs w:val="22"/>
        </w:rPr>
        <w:t>Efficiency relates to how inputs can be turned into desired outputs.</w:t>
      </w:r>
      <w:r w:rsidRPr="00B010AD" w:rsidR="0056608E">
        <w:rPr>
          <w:rFonts w:eastAsia="Arial" w:cs="Arial"/>
          <w:sz w:val="22"/>
          <w:szCs w:val="22"/>
        </w:rPr>
        <w:t xml:space="preserve"> The desired outputs </w:t>
      </w:r>
      <w:r w:rsidRPr="00B010AD" w:rsidR="00216028">
        <w:rPr>
          <w:rFonts w:eastAsia="Arial" w:cs="Arial"/>
          <w:sz w:val="22"/>
          <w:szCs w:val="22"/>
        </w:rPr>
        <w:t xml:space="preserve">for this </w:t>
      </w:r>
      <w:r w:rsidR="00C14357">
        <w:rPr>
          <w:rFonts w:eastAsia="Arial" w:cs="Arial"/>
          <w:sz w:val="22"/>
          <w:szCs w:val="22"/>
        </w:rPr>
        <w:t>a</w:t>
      </w:r>
      <w:r w:rsidRPr="00B010AD" w:rsidR="00216028">
        <w:rPr>
          <w:rFonts w:eastAsia="Arial" w:cs="Arial"/>
          <w:sz w:val="22"/>
          <w:szCs w:val="22"/>
        </w:rPr>
        <w:t xml:space="preserve">nnual </w:t>
      </w:r>
      <w:r w:rsidR="00C14357">
        <w:rPr>
          <w:rFonts w:eastAsia="Arial" w:cs="Arial"/>
          <w:sz w:val="22"/>
          <w:szCs w:val="22"/>
        </w:rPr>
        <w:t>r</w:t>
      </w:r>
      <w:r w:rsidRPr="00B010AD" w:rsidR="00216028">
        <w:rPr>
          <w:rFonts w:eastAsia="Arial" w:cs="Arial"/>
          <w:sz w:val="22"/>
          <w:szCs w:val="22"/>
        </w:rPr>
        <w:t xml:space="preserve">eview </w:t>
      </w:r>
      <w:r w:rsidRPr="00B010AD" w:rsidR="0056608E">
        <w:rPr>
          <w:rFonts w:eastAsia="Arial" w:cs="Arial"/>
          <w:sz w:val="22"/>
          <w:szCs w:val="22"/>
        </w:rPr>
        <w:t>are summarised above in the output scoring section</w:t>
      </w:r>
      <w:r w:rsidRPr="00B010AD" w:rsidR="00216028">
        <w:rPr>
          <w:rFonts w:eastAsia="Arial" w:cs="Arial"/>
          <w:sz w:val="22"/>
          <w:szCs w:val="22"/>
        </w:rPr>
        <w:t>.</w:t>
      </w:r>
    </w:p>
    <w:p w:rsidRPr="00B010AD" w:rsidR="00784373" w:rsidP="001D265D" w:rsidRDefault="00492A38" w14:paraId="4D09017C" w14:textId="7F99E064">
      <w:pPr>
        <w:pStyle w:val="ListParagraph"/>
        <w:numPr>
          <w:ilvl w:val="0"/>
          <w:numId w:val="21"/>
        </w:numPr>
        <w:spacing w:after="160" w:line="276" w:lineRule="auto"/>
        <w:rPr>
          <w:rFonts w:eastAsia="Arial" w:cs="Arial"/>
          <w:sz w:val="22"/>
          <w:szCs w:val="22"/>
        </w:rPr>
      </w:pPr>
      <w:r w:rsidRPr="00B010AD">
        <w:rPr>
          <w:rFonts w:eastAsia="Arial" w:cs="Arial"/>
          <w:sz w:val="22"/>
          <w:szCs w:val="22"/>
        </w:rPr>
        <w:t xml:space="preserve">By building on the achievements of </w:t>
      </w:r>
      <w:r w:rsidRPr="00B010AD" w:rsidR="00283998">
        <w:rPr>
          <w:rFonts w:eastAsia="Arial" w:cs="Arial"/>
          <w:sz w:val="22"/>
          <w:szCs w:val="22"/>
        </w:rPr>
        <w:t xml:space="preserve">the Commonwealth Litter Programme (CLiP), </w:t>
      </w:r>
      <w:r w:rsidR="006400C6">
        <w:rPr>
          <w:rFonts w:eastAsia="Arial" w:cs="Arial"/>
          <w:sz w:val="22"/>
          <w:szCs w:val="22"/>
        </w:rPr>
        <w:t xml:space="preserve">the </w:t>
      </w:r>
      <w:r w:rsidRPr="00B010AD">
        <w:rPr>
          <w:rFonts w:eastAsia="Arial" w:cs="Arial"/>
          <w:sz w:val="22"/>
          <w:szCs w:val="22"/>
        </w:rPr>
        <w:t>OCPP has been able to efficiently ‘springboard’ off existing initiatives and relationships to expand the marine pollution work, and delivery other thematic areas in th</w:t>
      </w:r>
      <w:r w:rsidRPr="00B010AD" w:rsidR="00283998">
        <w:rPr>
          <w:rFonts w:eastAsia="Arial" w:cs="Arial"/>
          <w:sz w:val="22"/>
          <w:szCs w:val="22"/>
        </w:rPr>
        <w:t>o</w:t>
      </w:r>
      <w:r w:rsidRPr="00B010AD">
        <w:rPr>
          <w:rFonts w:eastAsia="Arial" w:cs="Arial"/>
          <w:sz w:val="22"/>
          <w:szCs w:val="22"/>
        </w:rPr>
        <w:t>se countries</w:t>
      </w:r>
    </w:p>
    <w:p w:rsidRPr="00B010AD" w:rsidR="00242728" w:rsidP="001D265D" w:rsidRDefault="00242728" w14:paraId="7F3AA3EA" w14:textId="5620BC4C">
      <w:pPr>
        <w:pStyle w:val="ListParagraph"/>
        <w:numPr>
          <w:ilvl w:val="0"/>
          <w:numId w:val="21"/>
        </w:numPr>
        <w:spacing w:after="160" w:line="276" w:lineRule="auto"/>
        <w:rPr>
          <w:rFonts w:eastAsia="Arial" w:cs="Arial"/>
          <w:sz w:val="22"/>
          <w:szCs w:val="22"/>
        </w:rPr>
      </w:pPr>
      <w:r w:rsidRPr="00B010AD">
        <w:rPr>
          <w:rFonts w:eastAsia="Arial" w:cs="Arial"/>
          <w:sz w:val="22"/>
          <w:szCs w:val="22"/>
        </w:rPr>
        <w:t xml:space="preserve">Programme decisions in 2023 helped to improve efficiency </w:t>
      </w:r>
      <w:r w:rsidR="00BA481D">
        <w:rPr>
          <w:rFonts w:eastAsia="Arial" w:cs="Arial"/>
          <w:sz w:val="22"/>
          <w:szCs w:val="22"/>
        </w:rPr>
        <w:t xml:space="preserve">(through streamlining processes and reducing the time and cost burden) </w:t>
      </w:r>
      <w:r w:rsidRPr="00B010AD">
        <w:rPr>
          <w:rFonts w:eastAsia="Arial" w:cs="Arial"/>
          <w:sz w:val="22"/>
          <w:szCs w:val="22"/>
        </w:rPr>
        <w:t xml:space="preserve">in </w:t>
      </w:r>
      <w:r w:rsidRPr="00B010AD" w:rsidR="00DB6513">
        <w:rPr>
          <w:rFonts w:eastAsia="Arial" w:cs="Arial"/>
          <w:sz w:val="22"/>
          <w:szCs w:val="22"/>
        </w:rPr>
        <w:t>several</w:t>
      </w:r>
      <w:r w:rsidRPr="00B010AD">
        <w:rPr>
          <w:rFonts w:eastAsia="Arial" w:cs="Arial"/>
          <w:sz w:val="22"/>
          <w:szCs w:val="22"/>
        </w:rPr>
        <w:t xml:space="preserve"> areas: </w:t>
      </w:r>
    </w:p>
    <w:p w:rsidRPr="00B010AD" w:rsidR="00242728" w:rsidP="001D265D" w:rsidRDefault="00242728" w14:paraId="198C2877" w14:textId="1E461C72">
      <w:pPr>
        <w:pStyle w:val="ListParagraph"/>
        <w:numPr>
          <w:ilvl w:val="1"/>
          <w:numId w:val="21"/>
        </w:numPr>
        <w:spacing w:after="160" w:line="276" w:lineRule="auto"/>
        <w:ind w:hanging="357"/>
        <w:rPr>
          <w:rFonts w:eastAsia="Arial" w:cs="Arial"/>
          <w:sz w:val="22"/>
          <w:szCs w:val="22"/>
        </w:rPr>
      </w:pPr>
      <w:r w:rsidRPr="1FB22237">
        <w:rPr>
          <w:rFonts w:eastAsia="Arial" w:cs="Arial"/>
          <w:sz w:val="22"/>
          <w:szCs w:val="22"/>
        </w:rPr>
        <w:t xml:space="preserve">New </w:t>
      </w:r>
      <w:r w:rsidRPr="1FB22237" w:rsidR="00B73F52">
        <w:rPr>
          <w:rFonts w:eastAsia="Arial" w:cs="Arial"/>
          <w:sz w:val="22"/>
          <w:szCs w:val="22"/>
        </w:rPr>
        <w:t xml:space="preserve">ALB </w:t>
      </w:r>
      <w:r w:rsidRPr="1FB22237">
        <w:rPr>
          <w:rFonts w:eastAsia="Arial" w:cs="Arial"/>
          <w:sz w:val="22"/>
          <w:szCs w:val="22"/>
        </w:rPr>
        <w:t>working groups (for Travel; Communications; Risk Assumptions Issues and Dependencies (RAID); and MEL) were established</w:t>
      </w:r>
    </w:p>
    <w:p w:rsidRPr="00B010AD" w:rsidR="00242728" w:rsidP="001D265D" w:rsidRDefault="00242728" w14:paraId="42E4177A" w14:textId="6ABE172E">
      <w:pPr>
        <w:pStyle w:val="ListParagraph"/>
        <w:numPr>
          <w:ilvl w:val="1"/>
          <w:numId w:val="21"/>
        </w:numPr>
        <w:spacing w:after="160" w:line="276" w:lineRule="auto"/>
        <w:ind w:hanging="357"/>
        <w:rPr>
          <w:rFonts w:eastAsia="Arial" w:cs="Arial"/>
          <w:sz w:val="22"/>
          <w:szCs w:val="22"/>
        </w:rPr>
      </w:pPr>
      <w:r w:rsidRPr="00B010AD">
        <w:rPr>
          <w:rFonts w:eastAsia="Arial" w:cs="Arial"/>
          <w:sz w:val="22"/>
          <w:szCs w:val="22"/>
        </w:rPr>
        <w:t>The assignation of Cefas as the Tier 1 Delivery Partner in October 2023 has led to improved efficiency in both planning and delivery</w:t>
      </w:r>
    </w:p>
    <w:p w:rsidRPr="00B010AD" w:rsidR="00BB4923" w:rsidP="001D265D" w:rsidRDefault="00BB4923" w14:paraId="47986ACD" w14:textId="3C3DE306">
      <w:pPr>
        <w:pStyle w:val="ListParagraph"/>
        <w:numPr>
          <w:ilvl w:val="1"/>
          <w:numId w:val="21"/>
        </w:numPr>
        <w:spacing w:line="276" w:lineRule="auto"/>
        <w:ind w:hanging="357"/>
        <w:rPr>
          <w:rFonts w:eastAsia="Arial" w:cs="Arial"/>
          <w:sz w:val="22"/>
          <w:szCs w:val="22"/>
        </w:rPr>
      </w:pPr>
      <w:r w:rsidRPr="00B010AD">
        <w:rPr>
          <w:rFonts w:eastAsia="Arial" w:cs="Arial"/>
          <w:sz w:val="22"/>
          <w:szCs w:val="22"/>
        </w:rPr>
        <w:t>Defra’ steer to ALBs to reduce travel has led to improved coordination and efficiency of in-country visits among ALBs, with delivery partners implementing joint trips (with multiple objectives) and on occasion representing one another at the country-level</w:t>
      </w:r>
    </w:p>
    <w:p w:rsidRPr="00B010AD" w:rsidR="004E5843" w:rsidP="001D265D" w:rsidRDefault="004E5843" w14:paraId="2546CA0A" w14:textId="4EC967BF">
      <w:pPr>
        <w:pStyle w:val="ListParagraph"/>
        <w:numPr>
          <w:ilvl w:val="0"/>
          <w:numId w:val="21"/>
        </w:numPr>
        <w:spacing w:line="276" w:lineRule="auto"/>
        <w:ind w:hanging="357"/>
        <w:rPr>
          <w:rFonts w:eastAsia="Arial" w:cs="Arial"/>
          <w:sz w:val="22"/>
          <w:szCs w:val="22"/>
        </w:rPr>
      </w:pPr>
      <w:r w:rsidRPr="00B010AD">
        <w:rPr>
          <w:rFonts w:eastAsia="Arial" w:cs="Arial"/>
          <w:sz w:val="22"/>
          <w:szCs w:val="22"/>
        </w:rPr>
        <w:t>The use of in-country and local partners has facilitated efficient delivery</w:t>
      </w:r>
      <w:r w:rsidR="00BA481D">
        <w:rPr>
          <w:rFonts w:eastAsia="Arial" w:cs="Arial"/>
          <w:sz w:val="22"/>
          <w:szCs w:val="22"/>
        </w:rPr>
        <w:t xml:space="preserve">, </w:t>
      </w:r>
      <w:r w:rsidR="002869C0">
        <w:rPr>
          <w:rFonts w:eastAsia="Arial" w:cs="Arial"/>
          <w:sz w:val="22"/>
          <w:szCs w:val="22"/>
        </w:rPr>
        <w:t xml:space="preserve">hoping to reduce the cost per </w:t>
      </w:r>
      <w:r w:rsidR="00C24C96">
        <w:rPr>
          <w:rFonts w:eastAsia="Arial" w:cs="Arial"/>
          <w:sz w:val="22"/>
          <w:szCs w:val="22"/>
        </w:rPr>
        <w:t>in-country programme activity</w:t>
      </w:r>
    </w:p>
    <w:p w:rsidRPr="00B010AD" w:rsidR="004E5843" w:rsidP="001D265D" w:rsidRDefault="004E5843" w14:paraId="679CD163" w14:textId="77777777">
      <w:pPr>
        <w:pStyle w:val="ListParagraph"/>
        <w:numPr>
          <w:ilvl w:val="1"/>
          <w:numId w:val="21"/>
        </w:numPr>
        <w:spacing w:line="276" w:lineRule="auto"/>
        <w:ind w:hanging="357"/>
        <w:rPr>
          <w:rFonts w:eastAsia="Arial" w:cs="Arial"/>
          <w:sz w:val="22"/>
          <w:szCs w:val="22"/>
        </w:rPr>
      </w:pPr>
      <w:r w:rsidRPr="00B010AD">
        <w:rPr>
          <w:rFonts w:eastAsia="Arial" w:cs="Arial"/>
          <w:sz w:val="22"/>
          <w:szCs w:val="22"/>
        </w:rPr>
        <w:t>FOA has made considerable use of international and local consultants and organisations to co-deliver programme activities</w:t>
      </w:r>
    </w:p>
    <w:p w:rsidRPr="00B010AD" w:rsidR="004E5843" w:rsidP="001D265D" w:rsidRDefault="004E5843" w14:paraId="22DB07CB" w14:textId="77777777">
      <w:pPr>
        <w:pStyle w:val="ListParagraph"/>
        <w:numPr>
          <w:ilvl w:val="1"/>
          <w:numId w:val="21"/>
        </w:numPr>
        <w:spacing w:line="276" w:lineRule="auto"/>
        <w:ind w:hanging="357"/>
        <w:rPr>
          <w:rFonts w:eastAsia="Arial" w:cs="Arial"/>
          <w:sz w:val="22"/>
          <w:szCs w:val="22"/>
        </w:rPr>
      </w:pPr>
      <w:r w:rsidRPr="00B010AD">
        <w:rPr>
          <w:rFonts w:eastAsia="Arial" w:cs="Arial"/>
          <w:sz w:val="22"/>
          <w:szCs w:val="22"/>
        </w:rPr>
        <w:t>WEF and WRI staff state that during a project they are in-country only a few times, and that local consultants were crucial for keeping the projects on track</w:t>
      </w:r>
    </w:p>
    <w:p w:rsidRPr="00B010AD" w:rsidR="004E5843" w:rsidP="001D265D" w:rsidRDefault="004E5843" w14:paraId="7DF8A4EE" w14:textId="1D98EE80">
      <w:pPr>
        <w:pStyle w:val="ListParagraph"/>
        <w:numPr>
          <w:ilvl w:val="1"/>
          <w:numId w:val="21"/>
        </w:numPr>
        <w:spacing w:line="276" w:lineRule="auto"/>
        <w:ind w:hanging="357"/>
        <w:rPr>
          <w:rFonts w:eastAsia="Arial" w:cs="Arial"/>
          <w:sz w:val="22"/>
          <w:szCs w:val="22"/>
        </w:rPr>
      </w:pPr>
      <w:r w:rsidRPr="00B010AD">
        <w:rPr>
          <w:rFonts w:eastAsia="Arial" w:cs="Arial"/>
          <w:sz w:val="22"/>
          <w:szCs w:val="22"/>
        </w:rPr>
        <w:t xml:space="preserve">GOAP mobilises technical expertise from its secretariat and UNSW when needed, but it also has </w:t>
      </w:r>
      <w:r w:rsidRPr="00B010AD" w:rsidR="00DB6513">
        <w:rPr>
          <w:rFonts w:eastAsia="Arial" w:cs="Arial"/>
          <w:sz w:val="22"/>
          <w:szCs w:val="22"/>
        </w:rPr>
        <w:t>several</w:t>
      </w:r>
      <w:r w:rsidRPr="00B010AD">
        <w:rPr>
          <w:rFonts w:eastAsia="Arial" w:cs="Arial"/>
          <w:sz w:val="22"/>
          <w:szCs w:val="22"/>
        </w:rPr>
        <w:t xml:space="preserve"> strategies to engage local support</w:t>
      </w:r>
    </w:p>
    <w:p w:rsidRPr="002809A8" w:rsidR="002809A8" w:rsidP="001D265D" w:rsidRDefault="002809A8" w14:paraId="7B94BF8A" w14:textId="1893638F">
      <w:pPr>
        <w:pStyle w:val="ListParagraph"/>
        <w:numPr>
          <w:ilvl w:val="0"/>
          <w:numId w:val="21"/>
        </w:numPr>
        <w:spacing w:line="276" w:lineRule="auto"/>
        <w:rPr>
          <w:rFonts w:eastAsia="Arial" w:cs="Arial"/>
          <w:sz w:val="22"/>
          <w:szCs w:val="22"/>
        </w:rPr>
      </w:pPr>
      <w:r w:rsidRPr="002809A8">
        <w:rPr>
          <w:rFonts w:eastAsia="Arial" w:cs="Arial"/>
          <w:sz w:val="22"/>
          <w:szCs w:val="22"/>
        </w:rPr>
        <w:t xml:space="preserve">Programme spend was found to have been slow for ALBs during the first three years of programme </w:t>
      </w:r>
      <w:r w:rsidRPr="002809A8" w:rsidR="00367029">
        <w:rPr>
          <w:rFonts w:eastAsia="Arial" w:cs="Arial"/>
          <w:sz w:val="22"/>
          <w:szCs w:val="22"/>
        </w:rPr>
        <w:t>delivery but</w:t>
      </w:r>
      <w:r w:rsidRPr="002809A8">
        <w:rPr>
          <w:rFonts w:eastAsia="Arial" w:cs="Arial"/>
          <w:sz w:val="22"/>
          <w:szCs w:val="22"/>
        </w:rPr>
        <w:t xml:space="preserve"> is anticipated to pick up speed in the coming months. Spend is still below full utilisation of available funds for the next two financial years, however</w:t>
      </w:r>
    </w:p>
    <w:p w:rsidR="002809A8" w:rsidP="001D265D" w:rsidRDefault="002809A8" w14:paraId="14850EB7" w14:textId="68ADDB37">
      <w:pPr>
        <w:pStyle w:val="ListParagraph"/>
        <w:numPr>
          <w:ilvl w:val="1"/>
          <w:numId w:val="21"/>
        </w:numPr>
        <w:spacing w:line="276" w:lineRule="auto"/>
        <w:rPr>
          <w:rFonts w:eastAsia="Arial" w:cs="Arial"/>
          <w:sz w:val="22"/>
          <w:szCs w:val="22"/>
        </w:rPr>
      </w:pPr>
      <w:r w:rsidRPr="1FB22237">
        <w:rPr>
          <w:rFonts w:eastAsia="Arial" w:cs="Arial"/>
          <w:sz w:val="22"/>
          <w:szCs w:val="22"/>
        </w:rPr>
        <w:t xml:space="preserve">As the programme is well past the halfway mark, in terms of time lapsed, spending performance will need to improve, particularly for ALBs. Feedback from interviewees </w:t>
      </w:r>
      <w:r w:rsidRPr="1FB22237" w:rsidR="00C50D14">
        <w:rPr>
          <w:rFonts w:eastAsia="Arial" w:cs="Arial"/>
          <w:sz w:val="22"/>
          <w:szCs w:val="22"/>
        </w:rPr>
        <w:t>from</w:t>
      </w:r>
      <w:r w:rsidRPr="1FB22237" w:rsidR="00B2707C">
        <w:rPr>
          <w:rFonts w:eastAsia="Arial" w:cs="Arial"/>
          <w:sz w:val="22"/>
          <w:szCs w:val="22"/>
        </w:rPr>
        <w:t xml:space="preserve"> the Interim Evaluation </w:t>
      </w:r>
      <w:r w:rsidRPr="1FB22237">
        <w:rPr>
          <w:rFonts w:eastAsia="Arial" w:cs="Arial"/>
          <w:sz w:val="22"/>
          <w:szCs w:val="22"/>
        </w:rPr>
        <w:t xml:space="preserve">indicated that the lower-than-expected performance was to do with slow in-country engagements and responses, as well as </w:t>
      </w:r>
      <w:r w:rsidRPr="1FB22237" w:rsidR="00DB6513">
        <w:rPr>
          <w:rFonts w:eastAsia="Arial" w:cs="Arial"/>
          <w:sz w:val="22"/>
          <w:szCs w:val="22"/>
        </w:rPr>
        <w:t>several</w:t>
      </w:r>
      <w:r w:rsidRPr="1FB22237">
        <w:rPr>
          <w:rFonts w:eastAsia="Arial" w:cs="Arial"/>
          <w:sz w:val="22"/>
          <w:szCs w:val="22"/>
        </w:rPr>
        <w:t xml:space="preserve"> big-ticket procurement items being finalised only recently, which will be reflected in the coming periods</w:t>
      </w:r>
    </w:p>
    <w:p w:rsidRPr="002809A8" w:rsidR="00697C2A" w:rsidP="001D265D" w:rsidRDefault="00697C2A" w14:paraId="41F06052" w14:textId="75BDD40A">
      <w:pPr>
        <w:pStyle w:val="ListParagraph"/>
        <w:numPr>
          <w:ilvl w:val="1"/>
          <w:numId w:val="21"/>
        </w:numPr>
        <w:spacing w:line="276" w:lineRule="auto"/>
        <w:rPr>
          <w:rFonts w:eastAsia="Arial" w:cs="Arial"/>
          <w:sz w:val="22"/>
          <w:szCs w:val="22"/>
        </w:rPr>
      </w:pPr>
      <w:r>
        <w:rPr>
          <w:rFonts w:eastAsia="Arial" w:cs="Arial"/>
          <w:sz w:val="22"/>
          <w:szCs w:val="22"/>
        </w:rPr>
        <w:t xml:space="preserve">Even if spend is fully utilised, this does not necessarily mean that good VfM will be achieved. </w:t>
      </w:r>
      <w:r w:rsidR="00BA750A">
        <w:rPr>
          <w:rFonts w:eastAsia="Arial" w:cs="Arial"/>
          <w:sz w:val="22"/>
          <w:szCs w:val="22"/>
        </w:rPr>
        <w:t>As noted in section A, s</w:t>
      </w:r>
      <w:r>
        <w:rPr>
          <w:rFonts w:eastAsia="Arial" w:cs="Arial"/>
          <w:sz w:val="22"/>
          <w:szCs w:val="22"/>
        </w:rPr>
        <w:t>ufficient prioritisation of sustainability by ALB delivery partners, or issues with integration of poverty alleviation to achieve desired impacts</w:t>
      </w:r>
      <w:r w:rsidR="00BA750A">
        <w:rPr>
          <w:rFonts w:eastAsia="Arial" w:cs="Arial"/>
          <w:sz w:val="22"/>
          <w:szCs w:val="22"/>
        </w:rPr>
        <w:t>, will need to be addressed to ensure the spend being utilised represents VfM</w:t>
      </w:r>
    </w:p>
    <w:p w:rsidRPr="00B010AD" w:rsidR="00242728" w:rsidP="001D265D" w:rsidRDefault="009311DC" w14:paraId="4F9FF819" w14:textId="7E0FDA24">
      <w:pPr>
        <w:pStyle w:val="ListParagraph"/>
        <w:numPr>
          <w:ilvl w:val="0"/>
          <w:numId w:val="21"/>
        </w:numPr>
        <w:spacing w:after="160" w:line="276" w:lineRule="auto"/>
        <w:ind w:hanging="357"/>
        <w:rPr>
          <w:rFonts w:eastAsia="Arial" w:cs="Arial"/>
          <w:sz w:val="22"/>
          <w:szCs w:val="22"/>
        </w:rPr>
      </w:pPr>
      <w:r w:rsidRPr="00B010AD">
        <w:rPr>
          <w:rFonts w:eastAsia="Arial" w:cs="Arial"/>
          <w:sz w:val="22"/>
          <w:szCs w:val="22"/>
        </w:rPr>
        <w:t xml:space="preserve">The MTE found </w:t>
      </w:r>
      <w:r w:rsidRPr="00B010AD" w:rsidR="006F22CC">
        <w:rPr>
          <w:rFonts w:eastAsia="Arial" w:cs="Arial"/>
          <w:sz w:val="22"/>
          <w:szCs w:val="22"/>
        </w:rPr>
        <w:t>differing results for</w:t>
      </w:r>
      <w:r w:rsidRPr="00B010AD">
        <w:rPr>
          <w:rFonts w:eastAsia="Arial" w:cs="Arial"/>
          <w:sz w:val="22"/>
          <w:szCs w:val="22"/>
        </w:rPr>
        <w:t xml:space="preserve"> efficiency </w:t>
      </w:r>
      <w:r w:rsidRPr="00B010AD" w:rsidR="00612EDB">
        <w:rPr>
          <w:rFonts w:eastAsia="Arial" w:cs="Arial"/>
          <w:sz w:val="22"/>
          <w:szCs w:val="22"/>
        </w:rPr>
        <w:t xml:space="preserve">for ALBs and </w:t>
      </w:r>
      <w:r w:rsidR="00192B3A">
        <w:rPr>
          <w:rFonts w:eastAsia="Arial" w:cs="Arial"/>
          <w:sz w:val="22"/>
          <w:szCs w:val="22"/>
        </w:rPr>
        <w:t>s</w:t>
      </w:r>
      <w:r w:rsidRPr="00B010AD" w:rsidR="006B2FF2">
        <w:rPr>
          <w:rFonts w:eastAsia="Arial" w:cs="Arial"/>
          <w:sz w:val="22"/>
          <w:szCs w:val="22"/>
        </w:rPr>
        <w:t xml:space="preserve">trategic </w:t>
      </w:r>
      <w:r w:rsidR="00527E49">
        <w:rPr>
          <w:rFonts w:eastAsia="Arial" w:cs="Arial"/>
          <w:sz w:val="22"/>
          <w:szCs w:val="22"/>
        </w:rPr>
        <w:t>delivery</w:t>
      </w:r>
      <w:r w:rsidR="00D804C5">
        <w:rPr>
          <w:rFonts w:eastAsia="Arial" w:cs="Arial"/>
          <w:sz w:val="22"/>
          <w:szCs w:val="22"/>
        </w:rPr>
        <w:t xml:space="preserve"> partners</w:t>
      </w:r>
    </w:p>
    <w:p w:rsidRPr="00B010AD" w:rsidR="00612EDB" w:rsidP="001D265D" w:rsidRDefault="00621078" w14:paraId="5F8FFAB2" w14:textId="66C68825">
      <w:pPr>
        <w:pStyle w:val="ListParagraph"/>
        <w:numPr>
          <w:ilvl w:val="1"/>
          <w:numId w:val="21"/>
        </w:numPr>
        <w:spacing w:after="160" w:line="276" w:lineRule="auto"/>
        <w:rPr>
          <w:rFonts w:eastAsia="Arial" w:cs="Arial"/>
          <w:sz w:val="22"/>
          <w:szCs w:val="22"/>
        </w:rPr>
      </w:pPr>
      <w:r w:rsidRPr="00B010AD">
        <w:rPr>
          <w:rFonts w:eastAsia="Arial" w:cs="Arial"/>
          <w:b/>
          <w:bCs/>
          <w:sz w:val="22"/>
          <w:szCs w:val="22"/>
        </w:rPr>
        <w:t>ALBs:</w:t>
      </w:r>
      <w:r w:rsidRPr="00B010AD" w:rsidR="00BB4185">
        <w:rPr>
          <w:rFonts w:eastAsia="Arial" w:cs="Arial"/>
          <w:sz w:val="22"/>
          <w:szCs w:val="22"/>
        </w:rPr>
        <w:t xml:space="preserve"> </w:t>
      </w:r>
      <w:r w:rsidRPr="00B010AD">
        <w:rPr>
          <w:rFonts w:eastAsia="Arial" w:cs="Arial"/>
          <w:sz w:val="22"/>
          <w:szCs w:val="22"/>
        </w:rPr>
        <w:t>Local partner and delivery team member perceive the OCPP implementation by the ALBs as slow and inefficient (particularly in Ghana, Mozambique and Belize) with long periods of time between scoping and the start of activities, and delays to delivery on agreed workstreams</w:t>
      </w:r>
      <w:r w:rsidRPr="00B010AD" w:rsidR="00BB4185">
        <w:rPr>
          <w:rFonts w:eastAsia="Arial" w:cs="Arial"/>
          <w:sz w:val="22"/>
          <w:szCs w:val="22"/>
        </w:rPr>
        <w:t xml:space="preserve">. </w:t>
      </w:r>
      <w:r w:rsidRPr="00B010AD">
        <w:rPr>
          <w:rFonts w:eastAsia="Arial" w:cs="Arial"/>
          <w:sz w:val="22"/>
          <w:szCs w:val="22"/>
        </w:rPr>
        <w:t>According to the latest activity tracker from FY 23/24, 24 percent of the activities were terminated, while seven percent were delayed. A further seven percent of the activities had yet to start. The reasons for termination are wide-ranging</w:t>
      </w:r>
    </w:p>
    <w:p w:rsidRPr="00B010AD" w:rsidR="002A2A5B" w:rsidP="001D265D" w:rsidRDefault="006B2FF2" w14:paraId="108EC890" w14:textId="60D81953">
      <w:pPr>
        <w:pStyle w:val="ListParagraph"/>
        <w:numPr>
          <w:ilvl w:val="1"/>
          <w:numId w:val="21"/>
        </w:numPr>
        <w:spacing w:after="160" w:line="276" w:lineRule="auto"/>
        <w:rPr>
          <w:rFonts w:eastAsia="Arial" w:cs="Arial"/>
          <w:sz w:val="22"/>
          <w:szCs w:val="22"/>
        </w:rPr>
      </w:pPr>
      <w:r w:rsidRPr="00B010AD">
        <w:rPr>
          <w:rFonts w:eastAsia="Arial" w:cs="Arial"/>
          <w:b/>
          <w:bCs/>
          <w:sz w:val="22"/>
          <w:szCs w:val="22"/>
        </w:rPr>
        <w:t xml:space="preserve">Strategic </w:t>
      </w:r>
      <w:r w:rsidRPr="00B010AD" w:rsidR="00BB4185">
        <w:rPr>
          <w:rFonts w:eastAsia="Arial" w:cs="Arial"/>
          <w:b/>
          <w:bCs/>
          <w:sz w:val="22"/>
          <w:szCs w:val="22"/>
        </w:rPr>
        <w:t>Delivery Partners:</w:t>
      </w:r>
      <w:r w:rsidRPr="00B010AD" w:rsidR="002A2A5B">
        <w:rPr>
          <w:rFonts w:asciiTheme="minorHAnsi" w:hAnsiTheme="minorHAnsi" w:eastAsiaTheme="minorHAnsi" w:cstheme="minorBidi"/>
          <w:kern w:val="2"/>
          <w:sz w:val="22"/>
          <w:szCs w:val="22"/>
          <w14:ligatures w14:val="standardContextual"/>
        </w:rPr>
        <w:t xml:space="preserve"> </w:t>
      </w:r>
      <w:r w:rsidRPr="00B010AD" w:rsidR="002A2A5B">
        <w:rPr>
          <w:rFonts w:eastAsia="Arial" w:cs="Arial"/>
          <w:sz w:val="22"/>
          <w:szCs w:val="22"/>
        </w:rPr>
        <w:t>The quarterly reports of the strategic partners show they have consistently delivered as planned. On a few occasions the launching of activities were slightly postponed (e.g., to coincide with international conferences or other events). These changes were made with the approval of Defra</w:t>
      </w:r>
      <w:r w:rsidRPr="00B010AD" w:rsidR="00B2439F">
        <w:rPr>
          <w:rFonts w:eastAsia="Arial" w:cs="Arial"/>
          <w:sz w:val="22"/>
          <w:szCs w:val="22"/>
        </w:rPr>
        <w:t>. A key outcome for GOAP is to advance ocean accounts, including the piloting of actions in six new countries, all of which are on track.</w:t>
      </w:r>
    </w:p>
    <w:p w:rsidRPr="00B010AD" w:rsidR="00BB4185" w:rsidP="001D265D" w:rsidRDefault="00B2439F" w14:paraId="6966054F" w14:textId="5667F2E8">
      <w:pPr>
        <w:pStyle w:val="ListParagraph"/>
        <w:numPr>
          <w:ilvl w:val="0"/>
          <w:numId w:val="21"/>
        </w:numPr>
        <w:spacing w:after="160" w:line="276" w:lineRule="auto"/>
        <w:rPr>
          <w:rFonts w:eastAsia="Arial" w:cs="Arial"/>
          <w:sz w:val="22"/>
          <w:szCs w:val="22"/>
        </w:rPr>
      </w:pPr>
      <w:r w:rsidRPr="00B010AD">
        <w:rPr>
          <w:rFonts w:eastAsia="Arial" w:cs="Arial"/>
          <w:sz w:val="22"/>
          <w:szCs w:val="22"/>
        </w:rPr>
        <w:t>Several factors were identified in the MTE that hindered efficiency in delivery. These were:</w:t>
      </w:r>
    </w:p>
    <w:p w:rsidRPr="00B010AD" w:rsidR="00B2439F" w:rsidP="001D265D" w:rsidRDefault="00B2439F" w14:paraId="33043D4F" w14:textId="3673B98C">
      <w:pPr>
        <w:pStyle w:val="ListParagraph"/>
        <w:numPr>
          <w:ilvl w:val="1"/>
          <w:numId w:val="21"/>
        </w:numPr>
        <w:spacing w:after="160" w:line="276" w:lineRule="auto"/>
        <w:rPr>
          <w:rFonts w:eastAsia="Arial" w:cs="Arial"/>
          <w:sz w:val="22"/>
          <w:szCs w:val="22"/>
        </w:rPr>
      </w:pPr>
      <w:r w:rsidRPr="00B010AD">
        <w:rPr>
          <w:rFonts w:eastAsia="Arial" w:cs="Arial"/>
          <w:sz w:val="22"/>
          <w:szCs w:val="22"/>
        </w:rPr>
        <w:t>Delays in approvals, procurement and planning</w:t>
      </w:r>
    </w:p>
    <w:p w:rsidRPr="00B010AD" w:rsidR="00B2439F" w:rsidP="001D265D" w:rsidRDefault="008825B3" w14:paraId="31DF7AC5" w14:textId="31787244">
      <w:pPr>
        <w:pStyle w:val="ListParagraph"/>
        <w:numPr>
          <w:ilvl w:val="1"/>
          <w:numId w:val="21"/>
        </w:numPr>
        <w:spacing w:after="160" w:line="276" w:lineRule="auto"/>
        <w:rPr>
          <w:rFonts w:eastAsia="Arial" w:cs="Arial"/>
          <w:sz w:val="22"/>
          <w:szCs w:val="22"/>
        </w:rPr>
      </w:pPr>
      <w:r w:rsidRPr="1FB22237">
        <w:rPr>
          <w:rFonts w:eastAsia="Arial" w:cs="Arial"/>
          <w:sz w:val="22"/>
          <w:szCs w:val="22"/>
        </w:rPr>
        <w:t>ALB inexperience in international development contexts</w:t>
      </w:r>
    </w:p>
    <w:p w:rsidRPr="00B010AD" w:rsidR="008825B3" w:rsidP="001D265D" w:rsidRDefault="008825B3" w14:paraId="2F1C9127" w14:textId="5B19C1AF">
      <w:pPr>
        <w:pStyle w:val="ListParagraph"/>
        <w:numPr>
          <w:ilvl w:val="1"/>
          <w:numId w:val="21"/>
        </w:numPr>
        <w:spacing w:after="160" w:line="276" w:lineRule="auto"/>
        <w:rPr>
          <w:rFonts w:eastAsia="Arial" w:cs="Arial"/>
          <w:sz w:val="22"/>
          <w:szCs w:val="22"/>
        </w:rPr>
      </w:pPr>
      <w:r w:rsidRPr="00B010AD">
        <w:rPr>
          <w:rFonts w:eastAsia="Arial" w:cs="Arial"/>
          <w:sz w:val="22"/>
          <w:szCs w:val="22"/>
        </w:rPr>
        <w:t>Unclear communications and branding across ALBs</w:t>
      </w:r>
    </w:p>
    <w:p w:rsidRPr="00B010AD" w:rsidR="008825B3" w:rsidP="001D265D" w:rsidRDefault="008825B3" w14:paraId="52C436EA" w14:textId="5FF94960">
      <w:pPr>
        <w:pStyle w:val="ListParagraph"/>
        <w:numPr>
          <w:ilvl w:val="1"/>
          <w:numId w:val="21"/>
        </w:numPr>
        <w:spacing w:after="160" w:line="276" w:lineRule="auto"/>
        <w:rPr>
          <w:rFonts w:eastAsia="Arial" w:cs="Arial"/>
          <w:sz w:val="22"/>
          <w:szCs w:val="22"/>
        </w:rPr>
      </w:pPr>
      <w:r w:rsidRPr="00B010AD">
        <w:rPr>
          <w:rFonts w:eastAsia="Arial" w:cs="Arial"/>
          <w:sz w:val="22"/>
          <w:szCs w:val="22"/>
        </w:rPr>
        <w:t>Lack of a bilateral programme in-country presence</w:t>
      </w:r>
    </w:p>
    <w:p w:rsidRPr="00B010AD" w:rsidR="008825B3" w:rsidP="001D265D" w:rsidRDefault="008825B3" w14:paraId="0DB057FE" w14:textId="718606F0">
      <w:pPr>
        <w:pStyle w:val="ListParagraph"/>
        <w:numPr>
          <w:ilvl w:val="1"/>
          <w:numId w:val="21"/>
        </w:numPr>
        <w:spacing w:after="160" w:line="276" w:lineRule="auto"/>
        <w:rPr>
          <w:rFonts w:eastAsia="Arial" w:cs="Arial"/>
          <w:sz w:val="22"/>
          <w:szCs w:val="22"/>
        </w:rPr>
      </w:pPr>
      <w:r w:rsidRPr="00B010AD">
        <w:rPr>
          <w:rFonts w:eastAsia="Arial" w:cs="Arial"/>
          <w:sz w:val="22"/>
          <w:szCs w:val="22"/>
        </w:rPr>
        <w:t>Inefficient governance arrangements</w:t>
      </w:r>
    </w:p>
    <w:p w:rsidRPr="00B010AD" w:rsidR="00B46789" w:rsidP="00E00CA3" w:rsidRDefault="00B46789" w14:paraId="07C052BD" w14:textId="77777777">
      <w:pPr>
        <w:spacing w:after="160" w:line="276" w:lineRule="auto"/>
        <w:rPr>
          <w:rFonts w:eastAsia="Arial" w:cs="Arial"/>
          <w:b/>
          <w:bCs/>
          <w:sz w:val="22"/>
          <w:szCs w:val="22"/>
          <w:lang w:val="en"/>
        </w:rPr>
      </w:pPr>
      <w:r w:rsidRPr="00B010AD">
        <w:rPr>
          <w:rFonts w:eastAsia="Arial" w:cs="Arial"/>
          <w:b/>
          <w:bCs/>
          <w:sz w:val="22"/>
          <w:szCs w:val="22"/>
          <w:lang w:val="en"/>
        </w:rPr>
        <w:t>Effectiveness (are we spending wisely?)</w:t>
      </w:r>
    </w:p>
    <w:p w:rsidRPr="00B010AD" w:rsidR="00784373" w:rsidP="00E00CA3" w:rsidRDefault="00B46789" w14:paraId="5BBB17C2" w14:textId="7832D048">
      <w:pPr>
        <w:spacing w:after="160" w:line="276" w:lineRule="auto"/>
        <w:rPr>
          <w:rFonts w:eastAsia="Arial" w:cs="Arial"/>
          <w:sz w:val="22"/>
          <w:szCs w:val="22"/>
        </w:rPr>
      </w:pPr>
      <w:r w:rsidRPr="00B010AD">
        <w:rPr>
          <w:rFonts w:eastAsia="Arial" w:cs="Arial"/>
          <w:sz w:val="22"/>
          <w:szCs w:val="22"/>
        </w:rPr>
        <w:t>Effectiveness refers to the ability of funding to deliver the selection of outputs most likely to result in the desired outcomes (and impacts).</w:t>
      </w:r>
    </w:p>
    <w:p w:rsidRPr="00B010AD" w:rsidR="006979C2" w:rsidP="001D265D" w:rsidRDefault="006979C2" w14:paraId="33E31B37" w14:textId="0F3FE60B">
      <w:pPr>
        <w:pStyle w:val="ListParagraph"/>
        <w:numPr>
          <w:ilvl w:val="0"/>
          <w:numId w:val="21"/>
        </w:numPr>
        <w:spacing w:after="160" w:line="276" w:lineRule="auto"/>
        <w:rPr>
          <w:rFonts w:eastAsia="Arial" w:cs="Arial"/>
          <w:sz w:val="22"/>
          <w:szCs w:val="22"/>
        </w:rPr>
      </w:pPr>
      <w:r w:rsidRPr="00B010AD">
        <w:rPr>
          <w:rFonts w:eastAsia="Arial" w:cs="Arial"/>
          <w:sz w:val="22"/>
          <w:szCs w:val="22"/>
        </w:rPr>
        <w:t xml:space="preserve">Results from the OCPP logframe indicate that the programme is </w:t>
      </w:r>
      <w:r w:rsidRPr="00B010AD" w:rsidR="006815FD">
        <w:rPr>
          <w:rFonts w:eastAsia="Arial" w:cs="Arial"/>
          <w:sz w:val="22"/>
          <w:szCs w:val="22"/>
        </w:rPr>
        <w:t xml:space="preserve">performing averagely against expectations. </w:t>
      </w:r>
      <w:r w:rsidRPr="00B010AD" w:rsidR="00120ECF">
        <w:rPr>
          <w:rFonts w:eastAsia="Arial" w:cs="Arial"/>
          <w:sz w:val="22"/>
          <w:szCs w:val="22"/>
        </w:rPr>
        <w:t xml:space="preserve">More information is needed on outcomes and impacts before a full VfM analysis can be undertaken, but performance against outputs </w:t>
      </w:r>
      <w:r w:rsidRPr="001904E3" w:rsidR="00120ECF">
        <w:rPr>
          <w:rFonts w:eastAsia="Arial" w:cs="Arial"/>
          <w:sz w:val="22"/>
          <w:szCs w:val="22"/>
        </w:rPr>
        <w:t xml:space="preserve">suggests that </w:t>
      </w:r>
      <w:r w:rsidRPr="001904E3" w:rsidR="001143EF">
        <w:rPr>
          <w:rFonts w:eastAsia="Arial" w:cs="Arial"/>
          <w:sz w:val="22"/>
          <w:szCs w:val="22"/>
        </w:rPr>
        <w:t>more may need to be done to ensure VfM is being achieved as forecasted</w:t>
      </w:r>
      <w:r w:rsidRPr="001904E3" w:rsidR="006F0ED0">
        <w:rPr>
          <w:rFonts w:eastAsia="Arial" w:cs="Arial"/>
          <w:sz w:val="22"/>
          <w:szCs w:val="22"/>
        </w:rPr>
        <w:t>. See the recommendations section below for suggested actions to take in the next 12 months to improve on VfM performance</w:t>
      </w:r>
    </w:p>
    <w:p w:rsidRPr="00B010AD" w:rsidR="005C59AB" w:rsidP="001D265D" w:rsidRDefault="008825B3" w14:paraId="43C0E7EF" w14:textId="7E2874B7">
      <w:pPr>
        <w:pStyle w:val="ListParagraph"/>
        <w:numPr>
          <w:ilvl w:val="0"/>
          <w:numId w:val="21"/>
        </w:numPr>
        <w:spacing w:after="160" w:line="276" w:lineRule="auto"/>
        <w:rPr>
          <w:rFonts w:eastAsia="Arial" w:cs="Arial"/>
          <w:sz w:val="22"/>
          <w:szCs w:val="22"/>
        </w:rPr>
      </w:pPr>
      <w:r w:rsidRPr="00B010AD">
        <w:rPr>
          <w:rFonts w:eastAsia="Arial" w:cs="Arial"/>
          <w:sz w:val="22"/>
          <w:szCs w:val="22"/>
        </w:rPr>
        <w:t>As with efficiency above, t</w:t>
      </w:r>
      <w:r w:rsidRPr="00B010AD" w:rsidR="00A715F4">
        <w:rPr>
          <w:rFonts w:eastAsia="Arial" w:cs="Arial"/>
          <w:sz w:val="22"/>
          <w:szCs w:val="22"/>
        </w:rPr>
        <w:t xml:space="preserve">he MTE found a mixed </w:t>
      </w:r>
      <w:r w:rsidRPr="00B010AD" w:rsidR="00C04CAE">
        <w:rPr>
          <w:rFonts w:eastAsia="Arial" w:cs="Arial"/>
          <w:sz w:val="22"/>
          <w:szCs w:val="22"/>
        </w:rPr>
        <w:t xml:space="preserve">picture for effectiveness, stating in Finding 8 that </w:t>
      </w:r>
      <w:r w:rsidRPr="00B010AD" w:rsidR="005C59AB">
        <w:rPr>
          <w:rFonts w:eastAsia="Arial" w:cs="Arial"/>
          <w:sz w:val="22"/>
          <w:szCs w:val="22"/>
        </w:rPr>
        <w:t>ALBs are delivering outputs and activities below their planned levels, while strategic partners FOA and GOAP are consistently delivering against their milestones</w:t>
      </w:r>
    </w:p>
    <w:p w:rsidRPr="00B010AD" w:rsidR="00DC332D" w:rsidP="001D265D" w:rsidRDefault="00D77643" w14:paraId="3C2BD442" w14:textId="6253BC98">
      <w:pPr>
        <w:pStyle w:val="ListParagraph"/>
        <w:numPr>
          <w:ilvl w:val="0"/>
          <w:numId w:val="21"/>
        </w:numPr>
        <w:spacing w:after="160" w:line="276" w:lineRule="auto"/>
        <w:rPr>
          <w:rFonts w:eastAsia="Arial" w:cs="Arial"/>
          <w:sz w:val="22"/>
          <w:szCs w:val="22"/>
        </w:rPr>
      </w:pPr>
      <w:r>
        <w:rPr>
          <w:rFonts w:eastAsia="Arial" w:cs="Arial"/>
          <w:sz w:val="22"/>
          <w:szCs w:val="22"/>
        </w:rPr>
        <w:t xml:space="preserve">The </w:t>
      </w:r>
      <w:r w:rsidRPr="00D77643">
        <w:rPr>
          <w:rFonts w:eastAsia="Arial" w:cs="Arial"/>
          <w:sz w:val="22"/>
          <w:szCs w:val="22"/>
        </w:rPr>
        <w:t xml:space="preserve">OCPP's progress towards its intended impact remains inconsistent. The reported results at the outcome level have not met expectations at this stage of the programme, due to the factors examined within this </w:t>
      </w:r>
      <w:r w:rsidR="00C14357">
        <w:rPr>
          <w:rFonts w:eastAsia="Arial" w:cs="Arial"/>
          <w:sz w:val="22"/>
          <w:szCs w:val="22"/>
        </w:rPr>
        <w:t>annual review</w:t>
      </w:r>
      <w:r>
        <w:rPr>
          <w:rFonts w:eastAsia="Arial" w:cs="Arial"/>
          <w:sz w:val="22"/>
          <w:szCs w:val="22"/>
        </w:rPr>
        <w:t xml:space="preserve">. </w:t>
      </w:r>
      <w:r w:rsidRPr="00B010AD" w:rsidR="00932DF9">
        <w:rPr>
          <w:rFonts w:eastAsia="Arial" w:cs="Arial"/>
          <w:sz w:val="22"/>
          <w:szCs w:val="22"/>
        </w:rPr>
        <w:t xml:space="preserve">Despite </w:t>
      </w:r>
      <w:r w:rsidR="00531557">
        <w:rPr>
          <w:rFonts w:eastAsia="Arial" w:cs="Arial"/>
          <w:sz w:val="22"/>
          <w:szCs w:val="22"/>
        </w:rPr>
        <w:t xml:space="preserve">this, </w:t>
      </w:r>
      <w:r w:rsidRPr="00B010AD" w:rsidR="00932DF9">
        <w:rPr>
          <w:rFonts w:eastAsia="Arial" w:cs="Arial"/>
          <w:sz w:val="22"/>
          <w:szCs w:val="22"/>
        </w:rPr>
        <w:t>results to date show that the direction of travel to intermediate outcome and outcome change is generally good</w:t>
      </w:r>
      <w:r w:rsidR="00643577">
        <w:rPr>
          <w:rFonts w:eastAsia="Arial" w:cs="Arial"/>
          <w:sz w:val="22"/>
          <w:szCs w:val="22"/>
        </w:rPr>
        <w:t xml:space="preserve"> (</w:t>
      </w:r>
      <w:r w:rsidR="00786986">
        <w:rPr>
          <w:rFonts w:eastAsia="Arial" w:cs="Arial"/>
          <w:sz w:val="22"/>
          <w:szCs w:val="22"/>
        </w:rPr>
        <w:t>including the policy aspects of Intermediate Outcome</w:t>
      </w:r>
      <w:r w:rsidR="00C81A9E">
        <w:rPr>
          <w:rFonts w:eastAsia="Arial" w:cs="Arial"/>
          <w:sz w:val="22"/>
          <w:szCs w:val="22"/>
        </w:rPr>
        <w:t>s, for example)</w:t>
      </w:r>
      <w:r w:rsidRPr="00B010AD" w:rsidR="00932DF9">
        <w:rPr>
          <w:rFonts w:eastAsia="Arial" w:cs="Arial"/>
          <w:sz w:val="22"/>
          <w:szCs w:val="22"/>
        </w:rPr>
        <w:t>, and it can be expected that the intermediate outcome level changes already achieved may, given time, graduate to outcome level changes</w:t>
      </w:r>
    </w:p>
    <w:p w:rsidRPr="00B010AD" w:rsidR="00C31C2A" w:rsidP="001D265D" w:rsidRDefault="00C31C2A" w14:paraId="47E19D4D" w14:textId="7C698F8C">
      <w:pPr>
        <w:pStyle w:val="ListParagraph"/>
        <w:numPr>
          <w:ilvl w:val="0"/>
          <w:numId w:val="21"/>
        </w:numPr>
        <w:spacing w:after="160" w:line="276" w:lineRule="auto"/>
        <w:rPr>
          <w:rFonts w:eastAsia="Arial" w:cs="Arial"/>
          <w:sz w:val="22"/>
          <w:szCs w:val="22"/>
        </w:rPr>
      </w:pPr>
      <w:r w:rsidRPr="00B010AD">
        <w:rPr>
          <w:rFonts w:eastAsia="Arial" w:cs="Arial"/>
          <w:sz w:val="22"/>
          <w:szCs w:val="22"/>
        </w:rPr>
        <w:t>Of the delivery partners, GOAP demonstrates, at this point, the greatest potential to deliver transformational change</w:t>
      </w:r>
    </w:p>
    <w:p w:rsidRPr="00B010AD" w:rsidR="00997B4E" w:rsidP="001D265D" w:rsidRDefault="00997B4E" w14:paraId="5C05EA8E" w14:textId="0DA50B22">
      <w:pPr>
        <w:pStyle w:val="ListParagraph"/>
        <w:numPr>
          <w:ilvl w:val="1"/>
          <w:numId w:val="21"/>
        </w:numPr>
        <w:spacing w:after="160" w:line="276" w:lineRule="auto"/>
        <w:rPr>
          <w:rFonts w:eastAsia="Arial" w:cs="Arial"/>
          <w:sz w:val="22"/>
          <w:szCs w:val="22"/>
        </w:rPr>
      </w:pPr>
      <w:r w:rsidRPr="00B010AD">
        <w:rPr>
          <w:rFonts w:eastAsia="Arial" w:cs="Arial"/>
          <w:sz w:val="22"/>
          <w:szCs w:val="22"/>
        </w:rPr>
        <w:t xml:space="preserve">GOAP </w:t>
      </w:r>
      <w:r w:rsidRPr="00B010AD" w:rsidR="00570209">
        <w:rPr>
          <w:rFonts w:eastAsia="Arial" w:cs="Arial"/>
          <w:sz w:val="22"/>
          <w:szCs w:val="22"/>
        </w:rPr>
        <w:t>has</w:t>
      </w:r>
      <w:r w:rsidRPr="00B010AD" w:rsidR="00A65C72">
        <w:rPr>
          <w:rFonts w:eastAsia="Arial" w:cs="Arial"/>
          <w:sz w:val="22"/>
          <w:szCs w:val="22"/>
        </w:rPr>
        <w:t xml:space="preserve"> </w:t>
      </w:r>
      <w:r w:rsidRPr="00B010AD">
        <w:rPr>
          <w:rFonts w:eastAsia="Arial" w:cs="Arial"/>
          <w:sz w:val="22"/>
          <w:szCs w:val="22"/>
        </w:rPr>
        <w:t xml:space="preserve">also </w:t>
      </w:r>
      <w:r w:rsidRPr="00B010AD" w:rsidR="00570209">
        <w:rPr>
          <w:rFonts w:eastAsia="Arial" w:cs="Arial"/>
          <w:sz w:val="22"/>
          <w:szCs w:val="22"/>
        </w:rPr>
        <w:t xml:space="preserve">been </w:t>
      </w:r>
      <w:r w:rsidRPr="00B010AD">
        <w:rPr>
          <w:rFonts w:eastAsia="Arial" w:cs="Arial"/>
          <w:sz w:val="22"/>
          <w:szCs w:val="22"/>
        </w:rPr>
        <w:t>demonstrating potential to deliver a strong contribution to impact indicator #1, “</w:t>
      </w:r>
      <w:r w:rsidRPr="00B010AD" w:rsidR="00570209">
        <w:rPr>
          <w:rFonts w:eastAsia="Arial" w:cs="Arial"/>
          <w:sz w:val="22"/>
          <w:szCs w:val="22"/>
        </w:rPr>
        <w:t>Area of marine ecosystems protected, enhanced or under sustainable management due to BPF finance (BPF KPI 6)”</w:t>
      </w:r>
    </w:p>
    <w:p w:rsidRPr="00B010AD" w:rsidR="00997B4E" w:rsidP="001D265D" w:rsidRDefault="00FD3151" w14:paraId="1C1ECC2A" w14:textId="4EFEFAF2">
      <w:pPr>
        <w:pStyle w:val="ListParagraph"/>
        <w:numPr>
          <w:ilvl w:val="1"/>
          <w:numId w:val="21"/>
        </w:numPr>
        <w:spacing w:after="160" w:line="276" w:lineRule="auto"/>
        <w:rPr>
          <w:rFonts w:eastAsia="Arial" w:cs="Arial"/>
          <w:sz w:val="22"/>
          <w:szCs w:val="22"/>
        </w:rPr>
      </w:pPr>
      <w:r w:rsidRPr="00B010AD">
        <w:rPr>
          <w:rFonts w:eastAsia="Arial" w:cs="Arial"/>
          <w:sz w:val="22"/>
          <w:szCs w:val="22"/>
        </w:rPr>
        <w:t xml:space="preserve">FOA has the most direct link to improvements in livelihoods and wellbeing, whereas for the other components of </w:t>
      </w:r>
      <w:r w:rsidR="006400C6">
        <w:rPr>
          <w:rFonts w:eastAsia="Arial" w:cs="Arial"/>
          <w:sz w:val="22"/>
          <w:szCs w:val="22"/>
        </w:rPr>
        <w:t xml:space="preserve">the </w:t>
      </w:r>
      <w:r w:rsidRPr="00B010AD">
        <w:rPr>
          <w:rFonts w:eastAsia="Arial" w:cs="Arial"/>
          <w:sz w:val="22"/>
          <w:szCs w:val="22"/>
        </w:rPr>
        <w:t>OCPP, livelihood and well-being impacts are more indirect</w:t>
      </w:r>
    </w:p>
    <w:p w:rsidRPr="00B010AD" w:rsidR="002E0FFD" w:rsidP="00E00CA3" w:rsidRDefault="002E0FFD" w14:paraId="7FE64A41" w14:textId="77777777">
      <w:pPr>
        <w:spacing w:after="160" w:line="276" w:lineRule="auto"/>
        <w:rPr>
          <w:rFonts w:eastAsia="Arial" w:cs="Arial"/>
          <w:b/>
          <w:bCs/>
          <w:sz w:val="22"/>
          <w:szCs w:val="22"/>
          <w:lang w:val="en"/>
        </w:rPr>
      </w:pPr>
      <w:r w:rsidRPr="00B010AD">
        <w:rPr>
          <w:rFonts w:eastAsia="Arial" w:cs="Arial"/>
          <w:b/>
          <w:bCs/>
          <w:sz w:val="22"/>
          <w:szCs w:val="22"/>
          <w:lang w:val="en"/>
        </w:rPr>
        <w:t>Equity (are we spending fairly?)</w:t>
      </w:r>
    </w:p>
    <w:p w:rsidRPr="00B010AD" w:rsidR="002E0FFD" w:rsidP="00E00CA3" w:rsidRDefault="002E0FFD" w14:paraId="40BB9A92" w14:textId="77777777">
      <w:pPr>
        <w:spacing w:after="160" w:line="276" w:lineRule="auto"/>
        <w:rPr>
          <w:rFonts w:eastAsia="Arial" w:cs="Arial"/>
          <w:sz w:val="22"/>
          <w:szCs w:val="22"/>
        </w:rPr>
      </w:pPr>
      <w:r w:rsidRPr="00B010AD">
        <w:rPr>
          <w:rFonts w:eastAsia="Arial" w:cs="Arial"/>
          <w:sz w:val="22"/>
          <w:szCs w:val="22"/>
        </w:rPr>
        <w:t>Equity assesses the degree to which the results of the intervention - both positive and negative - are equitably distributed, with consideration of different vulnerable groups in the population such as women and girls, those whose livelihoods are most at risk, and the young and elderly.</w:t>
      </w:r>
    </w:p>
    <w:p w:rsidRPr="00B010AD" w:rsidR="003A1DDF" w:rsidP="001D265D" w:rsidRDefault="003A1DDF" w14:paraId="470A49C5" w14:textId="77777777">
      <w:pPr>
        <w:pStyle w:val="ListParagraph"/>
        <w:numPr>
          <w:ilvl w:val="0"/>
          <w:numId w:val="22"/>
        </w:numPr>
        <w:spacing w:line="276" w:lineRule="auto"/>
        <w:rPr>
          <w:rFonts w:eastAsia="Arial" w:cs="Arial"/>
          <w:sz w:val="22"/>
          <w:szCs w:val="22"/>
        </w:rPr>
      </w:pPr>
      <w:r w:rsidRPr="00B010AD">
        <w:rPr>
          <w:rFonts w:eastAsia="Arial" w:cs="Arial"/>
          <w:sz w:val="22"/>
          <w:szCs w:val="22"/>
        </w:rPr>
        <w:t xml:space="preserve">Finding 5 of the MTE highlights that the programme has paid limited attention to GESI considerations thus far. </w:t>
      </w:r>
    </w:p>
    <w:p w:rsidRPr="00B010AD" w:rsidR="003A1DDF" w:rsidP="001D265D" w:rsidRDefault="003A1DDF" w14:paraId="1430C776" w14:textId="2871414F">
      <w:pPr>
        <w:pStyle w:val="ListParagraph"/>
        <w:numPr>
          <w:ilvl w:val="1"/>
          <w:numId w:val="22"/>
        </w:numPr>
        <w:spacing w:line="276" w:lineRule="auto"/>
        <w:rPr>
          <w:rFonts w:eastAsia="Arial" w:cs="Arial"/>
          <w:sz w:val="22"/>
          <w:szCs w:val="22"/>
        </w:rPr>
      </w:pPr>
      <w:r w:rsidRPr="00B010AD">
        <w:rPr>
          <w:rFonts w:eastAsia="Arial" w:cs="Arial"/>
          <w:sz w:val="22"/>
          <w:szCs w:val="22"/>
        </w:rPr>
        <w:t>Although there are plans afoot to address this critical gap,</w:t>
      </w:r>
      <w:r w:rsidR="00202D09">
        <w:rPr>
          <w:rFonts w:eastAsia="Arial" w:cs="Arial"/>
          <w:sz w:val="22"/>
          <w:szCs w:val="22"/>
        </w:rPr>
        <w:t xml:space="preserve"> </w:t>
      </w:r>
      <w:r w:rsidRPr="00B010AD">
        <w:rPr>
          <w:rFonts w:eastAsia="Arial" w:cs="Arial"/>
          <w:sz w:val="22"/>
          <w:szCs w:val="22"/>
        </w:rPr>
        <w:t>the pace and momentum behind addressing this critical gap is somewhat slow and there is a lack of clear leadership on this issue.</w:t>
      </w:r>
    </w:p>
    <w:p w:rsidRPr="00B010AD" w:rsidR="00B46789" w:rsidP="001D265D" w:rsidRDefault="00EC12A0" w14:paraId="2F780B06" w14:textId="3441FD7F">
      <w:pPr>
        <w:pStyle w:val="ListParagraph"/>
        <w:numPr>
          <w:ilvl w:val="0"/>
          <w:numId w:val="22"/>
        </w:numPr>
        <w:spacing w:after="160" w:line="276" w:lineRule="auto"/>
        <w:rPr>
          <w:rFonts w:eastAsia="Arial" w:cs="Arial"/>
          <w:sz w:val="22"/>
          <w:szCs w:val="22"/>
          <w:lang w:val="en-US"/>
        </w:rPr>
      </w:pPr>
      <w:r w:rsidRPr="00B010AD">
        <w:rPr>
          <w:rFonts w:eastAsia="Arial" w:cs="Arial"/>
          <w:sz w:val="22"/>
          <w:szCs w:val="22"/>
        </w:rPr>
        <w:t>The OCPP programme was assessed as GESI unaware in an assessment conducted by the ODA Hub, which is a significant failing for a programme three years into implementation.  This was also reported by the ICAI review of the BPF</w:t>
      </w:r>
      <w:r w:rsidRPr="00B010AD" w:rsidR="00486DC5">
        <w:rPr>
          <w:rFonts w:eastAsia="Arial" w:cs="Arial"/>
          <w:sz w:val="22"/>
          <w:szCs w:val="22"/>
        </w:rPr>
        <w:t>,</w:t>
      </w:r>
      <w:r w:rsidRPr="00B010AD">
        <w:rPr>
          <w:rFonts w:eastAsia="Arial" w:cs="Arial"/>
          <w:sz w:val="22"/>
          <w:szCs w:val="22"/>
        </w:rPr>
        <w:t xml:space="preserve"> and the </w:t>
      </w:r>
      <w:r w:rsidR="00DB179B">
        <w:rPr>
          <w:rFonts w:eastAsia="Arial" w:cs="Arial"/>
          <w:sz w:val="22"/>
          <w:szCs w:val="22"/>
        </w:rPr>
        <w:t>d</w:t>
      </w:r>
      <w:r w:rsidR="00D804C5">
        <w:rPr>
          <w:rFonts w:eastAsia="Arial" w:cs="Arial"/>
          <w:sz w:val="22"/>
          <w:szCs w:val="22"/>
        </w:rPr>
        <w:t>elivery partners</w:t>
      </w:r>
      <w:r w:rsidRPr="00B010AD">
        <w:rPr>
          <w:rFonts w:eastAsia="Arial" w:cs="Arial"/>
          <w:sz w:val="22"/>
          <w:szCs w:val="22"/>
        </w:rPr>
        <w:t xml:space="preserve"> </w:t>
      </w:r>
      <w:r w:rsidRPr="00B010AD" w:rsidR="00486DC5">
        <w:rPr>
          <w:rFonts w:eastAsia="Arial" w:cs="Arial"/>
          <w:sz w:val="22"/>
          <w:szCs w:val="22"/>
        </w:rPr>
        <w:t>(</w:t>
      </w:r>
      <w:r w:rsidRPr="00B010AD">
        <w:rPr>
          <w:rFonts w:eastAsia="Arial" w:cs="Arial"/>
          <w:sz w:val="22"/>
          <w:szCs w:val="22"/>
        </w:rPr>
        <w:t>including FOA and GOAP</w:t>
      </w:r>
      <w:r w:rsidRPr="00B010AD" w:rsidR="00486DC5">
        <w:rPr>
          <w:rFonts w:eastAsia="Arial" w:cs="Arial"/>
          <w:sz w:val="22"/>
          <w:szCs w:val="22"/>
        </w:rPr>
        <w:t>)</w:t>
      </w:r>
      <w:r w:rsidRPr="00B010AD">
        <w:rPr>
          <w:rFonts w:eastAsia="Arial" w:cs="Arial"/>
          <w:sz w:val="22"/>
          <w:szCs w:val="22"/>
        </w:rPr>
        <w:t>, are taking steps to address these critical oversights</w:t>
      </w:r>
    </w:p>
    <w:p w:rsidRPr="00B010AD" w:rsidR="00EC12A0" w:rsidP="001D265D" w:rsidRDefault="00EC12A0" w14:paraId="62E02841" w14:textId="2C246EBC">
      <w:pPr>
        <w:pStyle w:val="ListParagraph"/>
        <w:numPr>
          <w:ilvl w:val="1"/>
          <w:numId w:val="22"/>
        </w:numPr>
        <w:spacing w:after="160" w:line="276" w:lineRule="auto"/>
        <w:rPr>
          <w:rFonts w:eastAsia="Arial" w:cs="Arial"/>
          <w:sz w:val="22"/>
          <w:szCs w:val="22"/>
          <w:lang w:val="en-US"/>
        </w:rPr>
      </w:pPr>
      <w:r w:rsidRPr="00B010AD">
        <w:rPr>
          <w:rFonts w:eastAsia="Arial" w:cs="Arial"/>
          <w:sz w:val="22"/>
          <w:szCs w:val="22"/>
        </w:rPr>
        <w:t>These steps include</w:t>
      </w:r>
      <w:r w:rsidRPr="00B010AD" w:rsidR="00570209">
        <w:rPr>
          <w:rFonts w:eastAsia="Arial" w:cs="Arial"/>
          <w:sz w:val="22"/>
          <w:szCs w:val="22"/>
        </w:rPr>
        <w:t xml:space="preserve"> Cefas hiring a GESI lead</w:t>
      </w:r>
      <w:r w:rsidRPr="00B010AD" w:rsidR="003E5EED">
        <w:rPr>
          <w:rFonts w:eastAsia="Arial" w:cs="Arial"/>
          <w:sz w:val="22"/>
          <w:szCs w:val="22"/>
        </w:rPr>
        <w:t xml:space="preserve"> to lead GESI implementation across </w:t>
      </w:r>
      <w:r w:rsidRPr="00B010AD" w:rsidR="00367029">
        <w:rPr>
          <w:rFonts w:eastAsia="Arial" w:cs="Arial"/>
          <w:sz w:val="22"/>
          <w:szCs w:val="22"/>
        </w:rPr>
        <w:t>ALBs</w:t>
      </w:r>
      <w:r w:rsidR="00367029">
        <w:rPr>
          <w:rFonts w:eastAsia="Arial" w:cs="Arial"/>
          <w:sz w:val="22"/>
          <w:szCs w:val="22"/>
        </w:rPr>
        <w:t>,</w:t>
      </w:r>
      <w:r w:rsidRPr="00B010AD" w:rsidR="00977559">
        <w:rPr>
          <w:rFonts w:eastAsia="Arial" w:cs="Arial"/>
          <w:sz w:val="22"/>
          <w:szCs w:val="22"/>
        </w:rPr>
        <w:t xml:space="preserve"> and </w:t>
      </w:r>
      <w:r w:rsidRPr="00B010AD" w:rsidR="007F6E48">
        <w:rPr>
          <w:rFonts w:eastAsia="Arial" w:cs="Arial"/>
          <w:sz w:val="22"/>
          <w:szCs w:val="22"/>
        </w:rPr>
        <w:t xml:space="preserve">furthering dialogue with </w:t>
      </w:r>
      <w:r w:rsidR="00DB179B">
        <w:rPr>
          <w:rFonts w:eastAsia="Arial" w:cs="Arial"/>
          <w:sz w:val="22"/>
          <w:szCs w:val="22"/>
        </w:rPr>
        <w:t>d</w:t>
      </w:r>
      <w:r w:rsidR="00D804C5">
        <w:rPr>
          <w:rFonts w:eastAsia="Arial" w:cs="Arial"/>
          <w:sz w:val="22"/>
          <w:szCs w:val="22"/>
        </w:rPr>
        <w:t>elivery partners</w:t>
      </w:r>
      <w:r w:rsidRPr="00B010AD" w:rsidR="007F6E48">
        <w:rPr>
          <w:rFonts w:eastAsia="Arial" w:cs="Arial"/>
          <w:sz w:val="22"/>
          <w:szCs w:val="22"/>
        </w:rPr>
        <w:t>, including GESI analysis for the programme</w:t>
      </w:r>
    </w:p>
    <w:p w:rsidRPr="00B010AD" w:rsidR="002E376E" w:rsidP="001D265D" w:rsidRDefault="00D33D4D" w14:paraId="43B2BB7C" w14:textId="2923236A">
      <w:pPr>
        <w:pStyle w:val="ListParagraph"/>
        <w:numPr>
          <w:ilvl w:val="0"/>
          <w:numId w:val="22"/>
        </w:numPr>
        <w:spacing w:after="160" w:line="276" w:lineRule="auto"/>
        <w:rPr>
          <w:rFonts w:eastAsia="Arial" w:cs="Arial"/>
          <w:sz w:val="22"/>
          <w:szCs w:val="22"/>
          <w:lang w:val="en-US"/>
        </w:rPr>
      </w:pPr>
      <w:r w:rsidRPr="00B010AD">
        <w:rPr>
          <w:rFonts w:eastAsia="Arial" w:cs="Arial"/>
          <w:sz w:val="22"/>
          <w:szCs w:val="22"/>
          <w:lang w:val="en-US"/>
        </w:rPr>
        <w:t>Additional</w:t>
      </w:r>
      <w:r w:rsidRPr="00B010AD" w:rsidR="002E376E">
        <w:rPr>
          <w:rFonts w:eastAsia="Arial" w:cs="Arial"/>
          <w:sz w:val="22"/>
          <w:szCs w:val="22"/>
          <w:lang w:val="en-US"/>
        </w:rPr>
        <w:t xml:space="preserve"> steps to address these issues are being taken by Defra and the ALB programme leadership, (though it should be noted that FOA and GOAP have not received any guidance from Defra):</w:t>
      </w:r>
    </w:p>
    <w:p w:rsidRPr="00B010AD" w:rsidR="002E376E" w:rsidP="001D265D" w:rsidRDefault="002E376E" w14:paraId="3ACF68FA" w14:textId="70D29CBD">
      <w:pPr>
        <w:pStyle w:val="ListParagraph"/>
        <w:numPr>
          <w:ilvl w:val="1"/>
          <w:numId w:val="22"/>
        </w:numPr>
        <w:spacing w:after="160" w:line="276" w:lineRule="auto"/>
        <w:rPr>
          <w:rFonts w:eastAsia="Arial" w:cs="Arial"/>
          <w:sz w:val="22"/>
          <w:szCs w:val="22"/>
          <w:lang w:val="en-US"/>
        </w:rPr>
      </w:pPr>
      <w:r w:rsidRPr="00B010AD">
        <w:rPr>
          <w:rFonts w:eastAsia="Arial" w:cs="Arial"/>
          <w:sz w:val="22"/>
          <w:szCs w:val="22"/>
          <w:lang w:val="en-US"/>
        </w:rPr>
        <w:t>A safeguarding session was delivered to ALB programme leadership by ODA Hub in April 2024</w:t>
      </w:r>
    </w:p>
    <w:p w:rsidRPr="00B010AD" w:rsidR="002E376E" w:rsidP="001D265D" w:rsidRDefault="002E376E" w14:paraId="41FB0BFF" w14:textId="5AD3EEAD">
      <w:pPr>
        <w:pStyle w:val="ListParagraph"/>
        <w:numPr>
          <w:ilvl w:val="1"/>
          <w:numId w:val="22"/>
        </w:numPr>
        <w:spacing w:after="160" w:line="276" w:lineRule="auto"/>
        <w:rPr>
          <w:rFonts w:eastAsia="Arial" w:cs="Arial"/>
          <w:sz w:val="22"/>
          <w:szCs w:val="22"/>
          <w:lang w:val="en-US"/>
        </w:rPr>
      </w:pPr>
      <w:r w:rsidRPr="00B010AD">
        <w:rPr>
          <w:rFonts w:eastAsia="Arial" w:cs="Arial"/>
          <w:sz w:val="22"/>
          <w:szCs w:val="22"/>
          <w:lang w:val="en-US"/>
        </w:rPr>
        <w:t xml:space="preserve">A broad GESI </w:t>
      </w:r>
      <w:r w:rsidR="00882D8E">
        <w:rPr>
          <w:rFonts w:eastAsia="Arial" w:cs="Arial"/>
          <w:sz w:val="22"/>
          <w:szCs w:val="22"/>
          <w:lang w:val="en-US"/>
        </w:rPr>
        <w:t>action plan</w:t>
      </w:r>
      <w:r w:rsidRPr="00B010AD" w:rsidR="00882D8E">
        <w:rPr>
          <w:rFonts w:eastAsia="Arial" w:cs="Arial"/>
          <w:sz w:val="22"/>
          <w:szCs w:val="22"/>
          <w:lang w:val="en-US"/>
        </w:rPr>
        <w:t xml:space="preserve"> </w:t>
      </w:r>
      <w:r w:rsidRPr="00B010AD">
        <w:rPr>
          <w:rFonts w:eastAsia="Arial" w:cs="Arial"/>
          <w:sz w:val="22"/>
          <w:szCs w:val="22"/>
          <w:lang w:val="en-US"/>
        </w:rPr>
        <w:t xml:space="preserve">from Defra was communicated to </w:t>
      </w:r>
      <w:r w:rsidR="00F70545">
        <w:rPr>
          <w:rFonts w:eastAsia="Arial" w:cs="Arial"/>
          <w:sz w:val="22"/>
          <w:szCs w:val="22"/>
          <w:lang w:val="en-US"/>
        </w:rPr>
        <w:t xml:space="preserve">the </w:t>
      </w:r>
      <w:r w:rsidR="001B329B">
        <w:rPr>
          <w:rFonts w:eastAsia="Arial" w:cs="Arial"/>
          <w:sz w:val="22"/>
          <w:szCs w:val="22"/>
          <w:lang w:val="en-US"/>
        </w:rPr>
        <w:t>ALB delivery partners</w:t>
      </w:r>
      <w:r w:rsidRPr="00B010AD">
        <w:rPr>
          <w:rFonts w:eastAsia="Arial" w:cs="Arial"/>
          <w:sz w:val="22"/>
          <w:szCs w:val="22"/>
          <w:lang w:val="en-US"/>
        </w:rPr>
        <w:t xml:space="preserve"> at the ALB Planning Days in January 2024</w:t>
      </w:r>
    </w:p>
    <w:p w:rsidRPr="00B010AD" w:rsidR="002E376E" w:rsidP="001D265D" w:rsidRDefault="002E376E" w14:paraId="570812EC" w14:textId="0F7851F8">
      <w:pPr>
        <w:pStyle w:val="ListParagraph"/>
        <w:numPr>
          <w:ilvl w:val="1"/>
          <w:numId w:val="22"/>
        </w:numPr>
        <w:spacing w:after="160" w:line="276" w:lineRule="auto"/>
        <w:rPr>
          <w:rFonts w:eastAsia="Arial" w:cs="Arial"/>
          <w:sz w:val="22"/>
          <w:szCs w:val="22"/>
          <w:lang w:val="en-US"/>
        </w:rPr>
      </w:pPr>
      <w:r w:rsidRPr="00B010AD">
        <w:rPr>
          <w:rFonts w:eastAsia="Arial" w:cs="Arial"/>
          <w:sz w:val="22"/>
          <w:szCs w:val="22"/>
          <w:lang w:val="en-US"/>
        </w:rPr>
        <w:t xml:space="preserve">Safeguarding training has been introduced by </w:t>
      </w:r>
      <w:r w:rsidRPr="00B010AD" w:rsidR="00367029">
        <w:rPr>
          <w:rFonts w:eastAsia="Arial" w:cs="Arial"/>
          <w:sz w:val="22"/>
          <w:szCs w:val="22"/>
          <w:lang w:val="en-US"/>
        </w:rPr>
        <w:t>Cefas,</w:t>
      </w:r>
      <w:r w:rsidRPr="00B010AD">
        <w:rPr>
          <w:rFonts w:eastAsia="Arial" w:cs="Arial"/>
          <w:sz w:val="22"/>
          <w:szCs w:val="22"/>
          <w:lang w:val="en-US"/>
        </w:rPr>
        <w:t xml:space="preserve"> the Tier One delivery </w:t>
      </w:r>
      <w:r w:rsidRPr="00B010AD" w:rsidR="00331B5C">
        <w:rPr>
          <w:rFonts w:eastAsia="Arial" w:cs="Arial"/>
          <w:sz w:val="22"/>
          <w:szCs w:val="22"/>
          <w:lang w:val="en-US"/>
        </w:rPr>
        <w:t>partner,</w:t>
      </w:r>
      <w:r w:rsidR="00A96730">
        <w:rPr>
          <w:rFonts w:eastAsia="Arial" w:cs="Arial"/>
          <w:sz w:val="22"/>
          <w:szCs w:val="22"/>
          <w:lang w:val="en-US"/>
        </w:rPr>
        <w:t xml:space="preserve"> and </w:t>
      </w:r>
      <w:r w:rsidRPr="00B010AD">
        <w:rPr>
          <w:rFonts w:eastAsia="Arial" w:cs="Arial"/>
          <w:sz w:val="22"/>
          <w:szCs w:val="22"/>
          <w:lang w:val="en-US"/>
        </w:rPr>
        <w:t xml:space="preserve">there are required online trainings that are available for programme teams to attend </w:t>
      </w:r>
    </w:p>
    <w:p w:rsidRPr="00B010AD" w:rsidR="002E376E" w:rsidP="001D265D" w:rsidRDefault="002E376E" w14:paraId="24157BCE" w14:textId="36AB6500">
      <w:pPr>
        <w:pStyle w:val="ListParagraph"/>
        <w:numPr>
          <w:ilvl w:val="1"/>
          <w:numId w:val="22"/>
        </w:numPr>
        <w:spacing w:after="160" w:line="276" w:lineRule="auto"/>
        <w:rPr>
          <w:rFonts w:eastAsia="Arial" w:cs="Arial"/>
          <w:sz w:val="22"/>
          <w:szCs w:val="22"/>
          <w:lang w:val="en-US"/>
        </w:rPr>
      </w:pPr>
      <w:r w:rsidRPr="00B010AD">
        <w:rPr>
          <w:rFonts w:eastAsia="Arial" w:cs="Arial"/>
          <w:sz w:val="22"/>
          <w:szCs w:val="22"/>
          <w:lang w:val="en-US"/>
        </w:rPr>
        <w:t>The Cefas Tier 1 delivery partner has recruited a GESI Expert as of May 2024. Similarly, FOA has hired a GESI consultant</w:t>
      </w:r>
    </w:p>
    <w:p w:rsidRPr="00B010AD" w:rsidR="002E0FFD" w:rsidP="001D265D" w:rsidRDefault="00494A0D" w14:paraId="645A2136" w14:textId="351BE3F8">
      <w:pPr>
        <w:pStyle w:val="ListParagraph"/>
        <w:numPr>
          <w:ilvl w:val="0"/>
          <w:numId w:val="22"/>
        </w:numPr>
        <w:spacing w:line="276" w:lineRule="auto"/>
        <w:rPr>
          <w:rFonts w:eastAsia="Arial" w:cs="Arial"/>
          <w:sz w:val="22"/>
          <w:szCs w:val="22"/>
          <w:lang w:val="en-US"/>
        </w:rPr>
      </w:pPr>
      <w:r w:rsidRPr="00B010AD">
        <w:rPr>
          <w:rFonts w:eastAsia="Arial" w:cs="Arial"/>
          <w:sz w:val="22"/>
          <w:szCs w:val="22"/>
          <w:lang w:val="en-US"/>
        </w:rPr>
        <w:t xml:space="preserve">While GESI has been embedded into the new ToC and </w:t>
      </w:r>
      <w:r w:rsidR="008B2762">
        <w:rPr>
          <w:rFonts w:eastAsia="Arial" w:cs="Arial"/>
          <w:sz w:val="22"/>
          <w:szCs w:val="22"/>
          <w:lang w:val="en-US"/>
        </w:rPr>
        <w:t>logframe</w:t>
      </w:r>
      <w:r w:rsidRPr="00B010AD">
        <w:rPr>
          <w:rFonts w:eastAsia="Arial" w:cs="Arial"/>
          <w:sz w:val="22"/>
          <w:szCs w:val="22"/>
          <w:lang w:val="en-US"/>
        </w:rPr>
        <w:t xml:space="preserve"> for the programme, at this junction it is not yet possible to measure the socio-economic impacts of the programme as these considerations have not been embedded into its design</w:t>
      </w:r>
    </w:p>
    <w:p w:rsidRPr="00B010AD" w:rsidR="00C67A1D" w:rsidP="00E00CA3" w:rsidRDefault="00C67A1D" w14:paraId="79C1053D" w14:textId="77777777">
      <w:pPr>
        <w:spacing w:line="276" w:lineRule="auto"/>
        <w:rPr>
          <w:rFonts w:eastAsia="Arial" w:cs="Arial"/>
          <w:sz w:val="22"/>
          <w:szCs w:val="22"/>
          <w:lang w:val="en-US"/>
        </w:rPr>
      </w:pPr>
    </w:p>
    <w:p w:rsidRPr="00B010AD" w:rsidR="00B75772" w:rsidP="00E00CA3" w:rsidRDefault="00B75772" w14:paraId="0A5C91CA" w14:textId="5D320D2F">
      <w:pPr>
        <w:spacing w:after="160" w:line="276" w:lineRule="auto"/>
        <w:rPr>
          <w:rFonts w:eastAsia="Arial" w:cs="Arial"/>
          <w:b/>
          <w:bCs/>
          <w:sz w:val="22"/>
          <w:szCs w:val="22"/>
          <w:lang w:val="en-US"/>
        </w:rPr>
      </w:pPr>
      <w:r w:rsidRPr="00B010AD">
        <w:rPr>
          <w:rFonts w:eastAsia="Arial" w:cs="Arial"/>
          <w:b/>
          <w:bCs/>
          <w:sz w:val="22"/>
          <w:szCs w:val="22"/>
          <w:lang w:val="en-US"/>
        </w:rPr>
        <w:t>E</w:t>
      </w:r>
      <w:r w:rsidR="00E82B04">
        <w:rPr>
          <w:rFonts w:eastAsia="Arial" w:cs="Arial"/>
          <w:b/>
          <w:bCs/>
          <w:sz w:val="22"/>
          <w:szCs w:val="22"/>
          <w:lang w:val="en-US"/>
        </w:rPr>
        <w:t>2</w:t>
      </w:r>
      <w:r w:rsidRPr="00B010AD">
        <w:rPr>
          <w:rFonts w:eastAsia="Arial" w:cs="Arial"/>
          <w:b/>
          <w:bCs/>
          <w:sz w:val="22"/>
          <w:szCs w:val="22"/>
          <w:lang w:val="en-US"/>
        </w:rPr>
        <w:t>.4 Recommendations</w:t>
      </w:r>
    </w:p>
    <w:p w:rsidRPr="00B010AD" w:rsidR="00F94451" w:rsidP="00E00CA3" w:rsidRDefault="00974464" w14:paraId="584915F1" w14:textId="4C6D296C">
      <w:pPr>
        <w:spacing w:after="160" w:line="276" w:lineRule="auto"/>
        <w:rPr>
          <w:rFonts w:eastAsia="Arial" w:cs="Arial"/>
          <w:sz w:val="22"/>
          <w:szCs w:val="22"/>
          <w:lang w:val="en-US"/>
        </w:rPr>
      </w:pPr>
      <w:r w:rsidRPr="00B010AD">
        <w:rPr>
          <w:rFonts w:eastAsia="Arial" w:cs="Arial"/>
          <w:sz w:val="22"/>
          <w:szCs w:val="22"/>
          <w:lang w:val="en-US"/>
        </w:rPr>
        <w:t>The assessment above</w:t>
      </w:r>
      <w:r w:rsidRPr="00B010AD" w:rsidR="00246C42">
        <w:rPr>
          <w:rFonts w:eastAsia="Arial" w:cs="Arial"/>
          <w:sz w:val="22"/>
          <w:szCs w:val="22"/>
          <w:lang w:val="en-US"/>
        </w:rPr>
        <w:t xml:space="preserve">, drawing from the OCPP Mid-Term Evaluation, </w:t>
      </w:r>
      <w:r w:rsidRPr="00B010AD" w:rsidR="00594D28">
        <w:rPr>
          <w:rFonts w:eastAsia="Arial" w:cs="Arial"/>
          <w:sz w:val="22"/>
          <w:szCs w:val="22"/>
          <w:lang w:val="en-US"/>
        </w:rPr>
        <w:t xml:space="preserve">has identified several recommendations </w:t>
      </w:r>
      <w:r w:rsidRPr="00B010AD" w:rsidR="00481E4A">
        <w:rPr>
          <w:rFonts w:eastAsia="Arial" w:cs="Arial"/>
          <w:sz w:val="22"/>
          <w:szCs w:val="22"/>
          <w:lang w:val="en-US"/>
        </w:rPr>
        <w:t>for the next 12 months</w:t>
      </w:r>
      <w:r w:rsidRPr="00B010AD" w:rsidR="00774BE7">
        <w:rPr>
          <w:rFonts w:eastAsia="Arial" w:cs="Arial"/>
          <w:sz w:val="22"/>
          <w:szCs w:val="22"/>
          <w:lang w:val="en-US"/>
        </w:rPr>
        <w:t xml:space="preserve"> with regards to VfM.</w:t>
      </w:r>
      <w:r w:rsidRPr="00B010AD" w:rsidR="00D469CC">
        <w:rPr>
          <w:rFonts w:eastAsia="Arial" w:cs="Arial"/>
          <w:sz w:val="22"/>
          <w:szCs w:val="22"/>
          <w:lang w:val="en-US"/>
        </w:rPr>
        <w:t xml:space="preserve"> It is important that the recommendations from this </w:t>
      </w:r>
      <w:r w:rsidR="00C14357">
        <w:rPr>
          <w:rFonts w:eastAsia="Arial" w:cs="Arial"/>
          <w:sz w:val="22"/>
          <w:szCs w:val="22"/>
          <w:lang w:val="en-US"/>
        </w:rPr>
        <w:t>a</w:t>
      </w:r>
      <w:r w:rsidRPr="00B010AD" w:rsidR="00D469CC">
        <w:rPr>
          <w:rFonts w:eastAsia="Arial" w:cs="Arial"/>
          <w:sz w:val="22"/>
          <w:szCs w:val="22"/>
          <w:lang w:val="en-US"/>
        </w:rPr>
        <w:t xml:space="preserve">nnual </w:t>
      </w:r>
      <w:r w:rsidR="00C14357">
        <w:rPr>
          <w:rFonts w:eastAsia="Arial" w:cs="Arial"/>
          <w:sz w:val="22"/>
          <w:szCs w:val="22"/>
          <w:lang w:val="en-US"/>
        </w:rPr>
        <w:t>r</w:t>
      </w:r>
      <w:r w:rsidRPr="00B010AD" w:rsidR="00D469CC">
        <w:rPr>
          <w:rFonts w:eastAsia="Arial" w:cs="Arial"/>
          <w:sz w:val="22"/>
          <w:szCs w:val="22"/>
          <w:lang w:val="en-US"/>
        </w:rPr>
        <w:t xml:space="preserve">eview and the Mid-Term Evaluation </w:t>
      </w:r>
      <w:r w:rsidRPr="00B010AD" w:rsidR="00BA5DDB">
        <w:rPr>
          <w:rFonts w:eastAsia="Arial" w:cs="Arial"/>
          <w:sz w:val="22"/>
          <w:szCs w:val="22"/>
          <w:lang w:val="en-US"/>
        </w:rPr>
        <w:t xml:space="preserve">are implemented, </w:t>
      </w:r>
      <w:r w:rsidRPr="00B010AD" w:rsidR="00750050">
        <w:rPr>
          <w:rFonts w:eastAsia="Arial" w:cs="Arial"/>
          <w:sz w:val="22"/>
          <w:szCs w:val="22"/>
          <w:lang w:val="en-US"/>
        </w:rPr>
        <w:t xml:space="preserve">to ensure </w:t>
      </w:r>
      <w:r w:rsidR="00F70545">
        <w:rPr>
          <w:rFonts w:eastAsia="Arial" w:cs="Arial"/>
          <w:sz w:val="22"/>
          <w:szCs w:val="22"/>
          <w:lang w:val="en-US"/>
        </w:rPr>
        <w:t xml:space="preserve">the </w:t>
      </w:r>
      <w:r w:rsidRPr="00B010AD" w:rsidR="00750050">
        <w:rPr>
          <w:rFonts w:eastAsia="Arial" w:cs="Arial"/>
          <w:sz w:val="22"/>
          <w:szCs w:val="22"/>
          <w:lang w:val="en-US"/>
        </w:rPr>
        <w:t xml:space="preserve">OCPP achieves the strongest possible VfM </w:t>
      </w:r>
      <w:r w:rsidRPr="00B010AD" w:rsidR="00FE08CE">
        <w:rPr>
          <w:rFonts w:eastAsia="Arial" w:cs="Arial"/>
          <w:sz w:val="22"/>
          <w:szCs w:val="22"/>
          <w:lang w:val="en-US"/>
        </w:rPr>
        <w:t>in the remaining years of the programme.</w:t>
      </w:r>
    </w:p>
    <w:p w:rsidRPr="00B010AD" w:rsidR="00971543" w:rsidP="001D265D" w:rsidRDefault="002C0EFF" w14:paraId="125F93A0" w14:textId="04165077">
      <w:pPr>
        <w:pStyle w:val="ListParagraph"/>
        <w:numPr>
          <w:ilvl w:val="0"/>
          <w:numId w:val="18"/>
        </w:numPr>
        <w:spacing w:after="160" w:line="276" w:lineRule="auto"/>
        <w:rPr>
          <w:rFonts w:eastAsia="Arial" w:cs="Arial"/>
          <w:sz w:val="22"/>
          <w:szCs w:val="22"/>
          <w:lang w:val="en-US"/>
        </w:rPr>
      </w:pPr>
      <w:r w:rsidRPr="00B010AD">
        <w:rPr>
          <w:rFonts w:eastAsia="Arial" w:cs="Arial"/>
          <w:b/>
          <w:bCs/>
          <w:sz w:val="22"/>
          <w:szCs w:val="22"/>
          <w:lang w:val="en-US"/>
        </w:rPr>
        <w:t xml:space="preserve">Improve MEL systems </w:t>
      </w:r>
      <w:r w:rsidRPr="00B010AD" w:rsidR="00971543">
        <w:rPr>
          <w:rFonts w:eastAsia="Arial" w:cs="Arial"/>
          <w:b/>
          <w:bCs/>
          <w:sz w:val="22"/>
          <w:szCs w:val="22"/>
          <w:lang w:val="en-US"/>
        </w:rPr>
        <w:t xml:space="preserve">across delivery partners: </w:t>
      </w:r>
      <w:r w:rsidRPr="00B010AD" w:rsidR="00C97CBF">
        <w:rPr>
          <w:rFonts w:eastAsia="Arial" w:cs="Arial"/>
          <w:sz w:val="22"/>
          <w:szCs w:val="22"/>
        </w:rPr>
        <w:t xml:space="preserve">The interim evaluation team experienced first-hand the under-investment in MEL by </w:t>
      </w:r>
      <w:r w:rsidR="00F70545">
        <w:rPr>
          <w:rFonts w:eastAsia="Arial" w:cs="Arial"/>
          <w:sz w:val="22"/>
          <w:szCs w:val="22"/>
        </w:rPr>
        <w:t xml:space="preserve">the </w:t>
      </w:r>
      <w:r w:rsidRPr="00B010AD" w:rsidR="00C97CBF">
        <w:rPr>
          <w:rFonts w:eastAsia="Arial" w:cs="Arial"/>
          <w:sz w:val="22"/>
          <w:szCs w:val="22"/>
        </w:rPr>
        <w:t>OCPP’s delivery partners, especially the ALBs</w:t>
      </w:r>
      <w:r w:rsidRPr="00B010AD" w:rsidR="00DB6513">
        <w:rPr>
          <w:rFonts w:eastAsia="Arial" w:cs="Arial"/>
          <w:sz w:val="22"/>
          <w:szCs w:val="22"/>
        </w:rPr>
        <w:t xml:space="preserve">. </w:t>
      </w:r>
      <w:r w:rsidRPr="00B010AD" w:rsidR="009D66D9">
        <w:rPr>
          <w:rFonts w:eastAsia="Arial" w:cs="Arial"/>
          <w:sz w:val="22"/>
          <w:szCs w:val="22"/>
        </w:rPr>
        <w:t xml:space="preserve">A dedicated MEL specialist in each </w:t>
      </w:r>
      <w:r w:rsidR="007656FC">
        <w:rPr>
          <w:rFonts w:eastAsia="Arial" w:cs="Arial"/>
          <w:sz w:val="22"/>
          <w:szCs w:val="22"/>
        </w:rPr>
        <w:t>delivery partner</w:t>
      </w:r>
      <w:r w:rsidRPr="00B010AD" w:rsidR="009D66D9">
        <w:rPr>
          <w:rFonts w:eastAsia="Arial" w:cs="Arial"/>
          <w:sz w:val="22"/>
          <w:szCs w:val="22"/>
        </w:rPr>
        <w:t xml:space="preserve"> is recommended. </w:t>
      </w:r>
      <w:r w:rsidR="00194E75">
        <w:rPr>
          <w:rFonts w:eastAsia="Arial" w:cs="Arial"/>
          <w:sz w:val="22"/>
          <w:szCs w:val="22"/>
        </w:rPr>
        <w:t>W</w:t>
      </w:r>
      <w:r w:rsidRPr="00B010AD" w:rsidR="00C97CBF">
        <w:rPr>
          <w:rFonts w:eastAsia="Arial" w:cs="Arial"/>
          <w:sz w:val="22"/>
          <w:szCs w:val="22"/>
        </w:rPr>
        <w:t xml:space="preserve">ith the refreshed ToC and finalised logframe, as well as the roll out of the MEL Hub for delivery partners to report data, </w:t>
      </w:r>
      <w:r w:rsidR="000E1E37">
        <w:rPr>
          <w:rFonts w:eastAsia="Arial" w:cs="Arial"/>
          <w:sz w:val="22"/>
          <w:szCs w:val="22"/>
        </w:rPr>
        <w:t xml:space="preserve">we expect that </w:t>
      </w:r>
      <w:r w:rsidRPr="00B010AD" w:rsidR="002B3860">
        <w:rPr>
          <w:rFonts w:eastAsia="Arial" w:cs="Arial"/>
          <w:sz w:val="22"/>
          <w:szCs w:val="22"/>
        </w:rPr>
        <w:t xml:space="preserve">this will </w:t>
      </w:r>
      <w:r w:rsidRPr="00B010AD" w:rsidR="00C97CBF">
        <w:rPr>
          <w:rFonts w:eastAsia="Arial" w:cs="Arial"/>
          <w:sz w:val="22"/>
          <w:szCs w:val="22"/>
        </w:rPr>
        <w:t xml:space="preserve">address the shortcomings in </w:t>
      </w:r>
      <w:r w:rsidR="00F70545">
        <w:rPr>
          <w:rFonts w:eastAsia="Arial" w:cs="Arial"/>
          <w:sz w:val="22"/>
          <w:szCs w:val="22"/>
        </w:rPr>
        <w:t xml:space="preserve">the </w:t>
      </w:r>
      <w:r w:rsidRPr="00B010AD" w:rsidR="00C97CBF">
        <w:rPr>
          <w:rFonts w:eastAsia="Arial" w:cs="Arial"/>
          <w:sz w:val="22"/>
          <w:szCs w:val="22"/>
        </w:rPr>
        <w:t>OCPP’s MEL systems which has hampered the reporting of results and there</w:t>
      </w:r>
      <w:r w:rsidRPr="00B010AD" w:rsidR="007B5EE3">
        <w:rPr>
          <w:rFonts w:eastAsia="Arial" w:cs="Arial"/>
          <w:sz w:val="22"/>
          <w:szCs w:val="22"/>
        </w:rPr>
        <w:t>fore</w:t>
      </w:r>
      <w:r w:rsidRPr="00B010AD" w:rsidR="00C97CBF">
        <w:rPr>
          <w:rFonts w:eastAsia="Arial" w:cs="Arial"/>
          <w:sz w:val="22"/>
          <w:szCs w:val="22"/>
        </w:rPr>
        <w:t xml:space="preserve"> an assessment of effectiveness</w:t>
      </w:r>
      <w:r w:rsidRPr="00B010AD" w:rsidR="008D409B">
        <w:rPr>
          <w:rFonts w:eastAsia="Arial" w:cs="Arial"/>
          <w:sz w:val="22"/>
          <w:szCs w:val="22"/>
        </w:rPr>
        <w:t xml:space="preserve">. </w:t>
      </w:r>
      <w:r w:rsidRPr="00B010AD" w:rsidR="00711146">
        <w:rPr>
          <w:rFonts w:eastAsia="Arial" w:cs="Arial"/>
          <w:sz w:val="22"/>
          <w:szCs w:val="22"/>
        </w:rPr>
        <w:t>Effective</w:t>
      </w:r>
      <w:r w:rsidRPr="00B010AD" w:rsidR="008D409B">
        <w:rPr>
          <w:rFonts w:eastAsia="Arial" w:cs="Arial"/>
          <w:sz w:val="22"/>
          <w:szCs w:val="22"/>
        </w:rPr>
        <w:t xml:space="preserve"> MEL systems also </w:t>
      </w:r>
      <w:r w:rsidRPr="00B010AD" w:rsidR="00367029">
        <w:rPr>
          <w:rFonts w:eastAsia="Arial" w:cs="Arial"/>
          <w:sz w:val="22"/>
          <w:szCs w:val="22"/>
        </w:rPr>
        <w:t>help</w:t>
      </w:r>
      <w:r w:rsidRPr="00B010AD" w:rsidR="008D409B">
        <w:rPr>
          <w:rFonts w:eastAsia="Arial" w:cs="Arial"/>
          <w:sz w:val="22"/>
          <w:szCs w:val="22"/>
        </w:rPr>
        <w:t xml:space="preserve"> hold performance accountable, </w:t>
      </w:r>
      <w:r w:rsidRPr="00B010AD" w:rsidR="003B501C">
        <w:rPr>
          <w:rFonts w:eastAsia="Arial" w:cs="Arial"/>
          <w:sz w:val="22"/>
          <w:szCs w:val="22"/>
        </w:rPr>
        <w:t xml:space="preserve">strengthening the </w:t>
      </w:r>
      <w:r w:rsidRPr="00B010AD" w:rsidR="007203FD">
        <w:rPr>
          <w:rFonts w:eastAsia="Arial" w:cs="Arial"/>
          <w:sz w:val="22"/>
          <w:szCs w:val="22"/>
        </w:rPr>
        <w:t xml:space="preserve">likelihood </w:t>
      </w:r>
      <w:r w:rsidRPr="00B010AD" w:rsidR="00711146">
        <w:rPr>
          <w:rFonts w:eastAsia="Arial" w:cs="Arial"/>
          <w:sz w:val="22"/>
          <w:szCs w:val="22"/>
        </w:rPr>
        <w:t>of achieving good VfM</w:t>
      </w:r>
    </w:p>
    <w:p w:rsidRPr="00B010AD" w:rsidR="00B43022" w:rsidP="001D265D" w:rsidRDefault="00B43022" w14:paraId="31E0E19C" w14:textId="16A43803">
      <w:pPr>
        <w:pStyle w:val="ListParagraph"/>
        <w:numPr>
          <w:ilvl w:val="0"/>
          <w:numId w:val="18"/>
        </w:numPr>
        <w:spacing w:after="160" w:line="276" w:lineRule="auto"/>
        <w:rPr>
          <w:rFonts w:eastAsia="Arial" w:cs="Arial"/>
          <w:sz w:val="22"/>
          <w:szCs w:val="22"/>
        </w:rPr>
      </w:pPr>
      <w:r w:rsidRPr="00B010AD">
        <w:rPr>
          <w:rFonts w:eastAsia="Arial" w:cs="Arial"/>
          <w:b/>
          <w:bCs/>
          <w:sz w:val="22"/>
          <w:szCs w:val="22"/>
          <w:lang w:val="en-US"/>
        </w:rPr>
        <w:t xml:space="preserve">Greater integration of the Theory of Change: </w:t>
      </w:r>
      <w:r w:rsidRPr="00B010AD" w:rsidR="006979C2">
        <w:rPr>
          <w:rFonts w:eastAsia="Arial" w:cs="Arial"/>
          <w:sz w:val="22"/>
          <w:szCs w:val="22"/>
        </w:rPr>
        <w:t>To strengthen effectiveness and encourage programme teams to aim towards the delivery of long-term change (including on poverty reduction) and a more strategic focus of their work,</w:t>
      </w:r>
      <w:r w:rsidRPr="00B010AD" w:rsidR="006979C2">
        <w:rPr>
          <w:rFonts w:eastAsia="Arial" w:cs="Arial"/>
          <w:b/>
          <w:bCs/>
          <w:sz w:val="22"/>
          <w:szCs w:val="22"/>
        </w:rPr>
        <w:t xml:space="preserve"> </w:t>
      </w:r>
      <w:r w:rsidRPr="00B010AD" w:rsidR="00757CC5">
        <w:rPr>
          <w:rFonts w:eastAsia="Arial" w:cs="Arial"/>
          <w:sz w:val="22"/>
          <w:szCs w:val="22"/>
        </w:rPr>
        <w:t>programme teams need to start actively using the theory of change in their programme planning and delivery. To ensure a more strategic engagement at country level, ALBs should use the country level Theories of Change</w:t>
      </w:r>
    </w:p>
    <w:p w:rsidRPr="00B010AD" w:rsidR="00971543" w:rsidP="001D265D" w:rsidRDefault="006503BB" w14:paraId="3A735989" w14:textId="4DDBB552">
      <w:pPr>
        <w:pStyle w:val="ListParagraph"/>
        <w:numPr>
          <w:ilvl w:val="0"/>
          <w:numId w:val="18"/>
        </w:numPr>
        <w:spacing w:after="160" w:line="276" w:lineRule="auto"/>
        <w:rPr>
          <w:rFonts w:eastAsia="Arial" w:cs="Arial"/>
          <w:b/>
          <w:bCs/>
          <w:sz w:val="22"/>
          <w:szCs w:val="22"/>
          <w:lang w:val="en-US"/>
        </w:rPr>
      </w:pPr>
      <w:r w:rsidRPr="1FB22237">
        <w:rPr>
          <w:rFonts w:eastAsia="Arial" w:cs="Arial"/>
          <w:b/>
          <w:bCs/>
          <w:sz w:val="22"/>
          <w:szCs w:val="22"/>
          <w:lang w:val="en-US"/>
        </w:rPr>
        <w:t>Devel</w:t>
      </w:r>
      <w:r w:rsidRPr="1FB22237" w:rsidR="008B600F">
        <w:rPr>
          <w:rFonts w:eastAsia="Arial" w:cs="Arial"/>
          <w:b/>
          <w:bCs/>
          <w:sz w:val="22"/>
          <w:szCs w:val="22"/>
          <w:lang w:val="en-US"/>
        </w:rPr>
        <w:t xml:space="preserve">op a set of KPIs for VfM monitoring: </w:t>
      </w:r>
      <w:r w:rsidRPr="1FB22237" w:rsidR="008B600F">
        <w:rPr>
          <w:rFonts w:eastAsia="Arial" w:cs="Arial"/>
          <w:sz w:val="22"/>
          <w:szCs w:val="22"/>
          <w:lang w:val="en-US"/>
        </w:rPr>
        <w:t xml:space="preserve">One of the recommendations from the MTE </w:t>
      </w:r>
      <w:r w:rsidRPr="1FB22237" w:rsidR="00CF1633">
        <w:rPr>
          <w:rFonts w:eastAsia="Arial" w:cs="Arial"/>
          <w:sz w:val="22"/>
          <w:szCs w:val="22"/>
          <w:lang w:val="en-US"/>
        </w:rPr>
        <w:t xml:space="preserve">is that </w:t>
      </w:r>
      <w:r w:rsidRPr="1FB22237" w:rsidR="00CF1633">
        <w:rPr>
          <w:rFonts w:eastAsia="Arial" w:cs="Arial"/>
          <w:sz w:val="22"/>
          <w:szCs w:val="22"/>
        </w:rPr>
        <w:t xml:space="preserve">Defra should work with </w:t>
      </w:r>
      <w:r w:rsidRPr="1FB22237" w:rsidR="00CC2A5B">
        <w:rPr>
          <w:rFonts w:eastAsia="Arial" w:cs="Arial"/>
          <w:sz w:val="22"/>
          <w:szCs w:val="22"/>
        </w:rPr>
        <w:t>d</w:t>
      </w:r>
      <w:r w:rsidRPr="1FB22237" w:rsidR="00D804C5">
        <w:rPr>
          <w:rFonts w:eastAsia="Arial" w:cs="Arial"/>
          <w:sz w:val="22"/>
          <w:szCs w:val="22"/>
        </w:rPr>
        <w:t>elivery partners</w:t>
      </w:r>
      <w:r w:rsidRPr="1FB22237" w:rsidR="00CF1633">
        <w:rPr>
          <w:rFonts w:eastAsia="Arial" w:cs="Arial"/>
          <w:sz w:val="22"/>
          <w:szCs w:val="22"/>
        </w:rPr>
        <w:t xml:space="preserve"> to agree a set of KPIs for VfM monitoring</w:t>
      </w:r>
      <w:r w:rsidRPr="1FB22237" w:rsidR="003057EF">
        <w:rPr>
          <w:rFonts w:eastAsia="Arial" w:cs="Arial"/>
          <w:sz w:val="22"/>
          <w:szCs w:val="22"/>
        </w:rPr>
        <w:t>,</w:t>
      </w:r>
      <w:r w:rsidRPr="1FB22237" w:rsidR="00CF1633">
        <w:rPr>
          <w:rFonts w:eastAsia="Arial" w:cs="Arial"/>
          <w:sz w:val="22"/>
          <w:szCs w:val="22"/>
        </w:rPr>
        <w:t xml:space="preserve"> which </w:t>
      </w:r>
      <w:r w:rsidRPr="1FB22237" w:rsidR="00CC2A5B">
        <w:rPr>
          <w:rFonts w:eastAsia="Arial" w:cs="Arial"/>
          <w:sz w:val="22"/>
          <w:szCs w:val="22"/>
        </w:rPr>
        <w:t>d</w:t>
      </w:r>
      <w:r w:rsidRPr="1FB22237" w:rsidR="00D804C5">
        <w:rPr>
          <w:rFonts w:eastAsia="Arial" w:cs="Arial"/>
          <w:sz w:val="22"/>
          <w:szCs w:val="22"/>
        </w:rPr>
        <w:t>elivery partners</w:t>
      </w:r>
      <w:r w:rsidRPr="1FB22237" w:rsidR="00CF1633">
        <w:rPr>
          <w:rFonts w:eastAsia="Arial" w:cs="Arial"/>
          <w:sz w:val="22"/>
          <w:szCs w:val="22"/>
        </w:rPr>
        <w:t xml:space="preserve"> should report on in their progress reporting to Defra. VfM case studies should </w:t>
      </w:r>
      <w:r w:rsidRPr="1FB22237" w:rsidR="003057EF">
        <w:rPr>
          <w:rFonts w:eastAsia="Arial" w:cs="Arial"/>
          <w:sz w:val="22"/>
          <w:szCs w:val="22"/>
        </w:rPr>
        <w:t xml:space="preserve">also </w:t>
      </w:r>
      <w:r w:rsidRPr="1FB22237" w:rsidR="00CF1633">
        <w:rPr>
          <w:rFonts w:eastAsia="Arial" w:cs="Arial"/>
          <w:sz w:val="22"/>
          <w:szCs w:val="22"/>
        </w:rPr>
        <w:t>be prepared to demonstrate benefit to cost comparisons</w:t>
      </w:r>
      <w:r w:rsidRPr="1FB22237" w:rsidR="00F150B8">
        <w:rPr>
          <w:rFonts w:eastAsia="Arial" w:cs="Arial"/>
          <w:sz w:val="22"/>
          <w:szCs w:val="22"/>
        </w:rPr>
        <w:t xml:space="preserve">. The process of choosing the set of KPIs has been started, and </w:t>
      </w:r>
      <w:r w:rsidRPr="1FB22237" w:rsidR="00D60733">
        <w:rPr>
          <w:rFonts w:eastAsia="Arial" w:cs="Arial"/>
          <w:sz w:val="22"/>
          <w:szCs w:val="22"/>
        </w:rPr>
        <w:t>suggestions will be drawn from existing BPF/ODA programmes</w:t>
      </w:r>
      <w:r w:rsidRPr="1FB22237" w:rsidR="00126C02">
        <w:rPr>
          <w:rFonts w:eastAsia="Arial" w:cs="Arial"/>
          <w:sz w:val="22"/>
          <w:szCs w:val="22"/>
        </w:rPr>
        <w:t xml:space="preserve"> to help </w:t>
      </w:r>
      <w:r w:rsidRPr="1FB22237" w:rsidR="00E31AF1">
        <w:rPr>
          <w:rFonts w:eastAsia="Arial" w:cs="Arial"/>
          <w:sz w:val="22"/>
          <w:szCs w:val="22"/>
        </w:rPr>
        <w:t xml:space="preserve">understand methodologies and </w:t>
      </w:r>
      <w:r w:rsidRPr="1FB22237" w:rsidR="00126C02">
        <w:rPr>
          <w:rFonts w:eastAsia="Arial" w:cs="Arial"/>
          <w:sz w:val="22"/>
          <w:szCs w:val="22"/>
        </w:rPr>
        <w:t>increase the level of comparability between programmes</w:t>
      </w:r>
    </w:p>
    <w:p w:rsidRPr="00B010AD" w:rsidR="003057EF" w:rsidP="001D265D" w:rsidRDefault="003057EF" w14:paraId="01DACDCA" w14:textId="76E10AC8">
      <w:pPr>
        <w:pStyle w:val="ListParagraph"/>
        <w:numPr>
          <w:ilvl w:val="0"/>
          <w:numId w:val="18"/>
        </w:numPr>
        <w:spacing w:after="160" w:line="276" w:lineRule="auto"/>
        <w:rPr>
          <w:rFonts w:eastAsia="Arial" w:cs="Arial"/>
          <w:b/>
          <w:bCs/>
          <w:sz w:val="22"/>
          <w:szCs w:val="22"/>
          <w:lang w:val="en-US"/>
        </w:rPr>
      </w:pPr>
      <w:r w:rsidRPr="00B010AD">
        <w:rPr>
          <w:rFonts w:eastAsia="Arial" w:cs="Arial"/>
          <w:b/>
          <w:bCs/>
          <w:sz w:val="22"/>
          <w:szCs w:val="22"/>
          <w:lang w:val="en-US"/>
        </w:rPr>
        <w:t xml:space="preserve">Faster response times to Delivery Partner queries: </w:t>
      </w:r>
      <w:r w:rsidRPr="00B010AD">
        <w:rPr>
          <w:rFonts w:eastAsia="Arial" w:cs="Arial"/>
          <w:sz w:val="22"/>
          <w:szCs w:val="22"/>
          <w:lang w:val="en-US"/>
        </w:rPr>
        <w:t xml:space="preserve">Another MTE recommendation </w:t>
      </w:r>
      <w:r w:rsidRPr="00B010AD" w:rsidR="00D93666">
        <w:rPr>
          <w:rFonts w:eastAsia="Arial" w:cs="Arial"/>
          <w:sz w:val="22"/>
          <w:szCs w:val="22"/>
          <w:lang w:val="en-US"/>
        </w:rPr>
        <w:t xml:space="preserve">is </w:t>
      </w:r>
      <w:r w:rsidRPr="00B010AD" w:rsidR="001E3FD9">
        <w:rPr>
          <w:rFonts w:eastAsia="Arial" w:cs="Arial"/>
          <w:sz w:val="22"/>
          <w:szCs w:val="22"/>
          <w:lang w:val="en-US"/>
        </w:rPr>
        <w:t>for</w:t>
      </w:r>
      <w:r w:rsidRPr="00B010AD" w:rsidR="00D93666">
        <w:rPr>
          <w:rFonts w:eastAsia="Arial" w:cs="Arial"/>
          <w:sz w:val="22"/>
          <w:szCs w:val="22"/>
          <w:lang w:val="en-US"/>
        </w:rPr>
        <w:t xml:space="preserve"> </w:t>
      </w:r>
      <w:r w:rsidRPr="00B010AD" w:rsidR="001E3FD9">
        <w:rPr>
          <w:rFonts w:eastAsia="Arial" w:cs="Arial"/>
          <w:sz w:val="22"/>
          <w:szCs w:val="22"/>
        </w:rPr>
        <w:t xml:space="preserve">Defra programme management to seek to respond in a </w:t>
      </w:r>
      <w:r w:rsidRPr="00B010AD" w:rsidR="00433B14">
        <w:rPr>
          <w:rFonts w:eastAsia="Arial" w:cs="Arial"/>
          <w:sz w:val="22"/>
          <w:szCs w:val="22"/>
        </w:rPr>
        <w:t>timelier</w:t>
      </w:r>
      <w:r w:rsidRPr="00B010AD" w:rsidR="001E3FD9">
        <w:rPr>
          <w:rFonts w:eastAsia="Arial" w:cs="Arial"/>
          <w:sz w:val="22"/>
          <w:szCs w:val="22"/>
        </w:rPr>
        <w:t xml:space="preserve"> manner to DP </w:t>
      </w:r>
      <w:r w:rsidRPr="00B010AD" w:rsidR="00331B5C">
        <w:rPr>
          <w:rFonts w:eastAsia="Arial" w:cs="Arial"/>
          <w:sz w:val="22"/>
          <w:szCs w:val="22"/>
        </w:rPr>
        <w:t>queries and</w:t>
      </w:r>
      <w:r w:rsidRPr="00B010AD" w:rsidR="001E3FD9">
        <w:rPr>
          <w:rFonts w:eastAsia="Arial" w:cs="Arial"/>
          <w:sz w:val="22"/>
          <w:szCs w:val="22"/>
        </w:rPr>
        <w:t xml:space="preserve"> apply faster decision-making on programmatic requests from partners. This would help speed up the spending performance. For reference, other programmes use a </w:t>
      </w:r>
      <w:r w:rsidR="000851BA">
        <w:rPr>
          <w:rFonts w:eastAsia="Arial" w:cs="Arial"/>
          <w:sz w:val="22"/>
          <w:szCs w:val="22"/>
        </w:rPr>
        <w:t>two</w:t>
      </w:r>
      <w:r w:rsidRPr="00B010AD" w:rsidR="001E3FD9">
        <w:rPr>
          <w:rFonts w:eastAsia="Arial" w:cs="Arial"/>
          <w:sz w:val="22"/>
          <w:szCs w:val="22"/>
        </w:rPr>
        <w:t>-week response time for decisions/requests</w:t>
      </w:r>
    </w:p>
    <w:p w:rsidRPr="00B010AD" w:rsidR="00C10998" w:rsidP="001D265D" w:rsidRDefault="00FD3151" w14:paraId="1DDEC49E" w14:textId="146E1D42">
      <w:pPr>
        <w:pStyle w:val="ListParagraph"/>
        <w:numPr>
          <w:ilvl w:val="0"/>
          <w:numId w:val="18"/>
        </w:numPr>
        <w:spacing w:after="160" w:line="276" w:lineRule="auto"/>
        <w:rPr>
          <w:rFonts w:eastAsia="Arial" w:cs="Arial"/>
          <w:sz w:val="22"/>
          <w:szCs w:val="22"/>
        </w:rPr>
      </w:pPr>
      <w:r w:rsidRPr="00B010AD">
        <w:rPr>
          <w:rFonts w:eastAsia="Arial" w:cs="Arial"/>
          <w:b/>
          <w:bCs/>
          <w:sz w:val="22"/>
          <w:szCs w:val="22"/>
          <w:lang w:val="en-US"/>
        </w:rPr>
        <w:t xml:space="preserve">Re-assess the </w:t>
      </w:r>
      <w:r w:rsidRPr="00B010AD" w:rsidR="009A3B16">
        <w:rPr>
          <w:rFonts w:eastAsia="Arial" w:cs="Arial"/>
          <w:b/>
          <w:bCs/>
          <w:sz w:val="22"/>
          <w:szCs w:val="22"/>
          <w:lang w:val="en-US"/>
        </w:rPr>
        <w:t xml:space="preserve">geographical focus of </w:t>
      </w:r>
      <w:r w:rsidR="00F70545">
        <w:rPr>
          <w:rFonts w:eastAsia="Arial" w:cs="Arial"/>
          <w:b/>
          <w:bCs/>
          <w:sz w:val="22"/>
          <w:szCs w:val="22"/>
          <w:lang w:val="en-US"/>
        </w:rPr>
        <w:t xml:space="preserve">the </w:t>
      </w:r>
      <w:r w:rsidRPr="00B010AD" w:rsidR="009A3B16">
        <w:rPr>
          <w:rFonts w:eastAsia="Arial" w:cs="Arial"/>
          <w:b/>
          <w:bCs/>
          <w:sz w:val="22"/>
          <w:szCs w:val="22"/>
          <w:lang w:val="en-US"/>
        </w:rPr>
        <w:t xml:space="preserve">OCPP: </w:t>
      </w:r>
      <w:r w:rsidRPr="00B010AD" w:rsidR="00C10998">
        <w:rPr>
          <w:rFonts w:eastAsia="Arial" w:cs="Arial"/>
          <w:sz w:val="22"/>
          <w:szCs w:val="22"/>
        </w:rPr>
        <w:t>Some of the ALB and strategic partners interviewed felt that the OCPP is very fragmented geographically and is thematically too broad in scope, arguing a greater focus would benefit the quality of programme delivery and the attainment of outcomes</w:t>
      </w:r>
    </w:p>
    <w:p w:rsidRPr="00B010AD" w:rsidR="00FD3151" w:rsidP="001D265D" w:rsidRDefault="00EF3F95" w14:paraId="079405EE" w14:textId="5AEDCD41">
      <w:pPr>
        <w:pStyle w:val="ListParagraph"/>
        <w:numPr>
          <w:ilvl w:val="0"/>
          <w:numId w:val="18"/>
        </w:numPr>
        <w:spacing w:after="160" w:line="276" w:lineRule="auto"/>
        <w:rPr>
          <w:rFonts w:eastAsia="Arial" w:cs="Arial"/>
          <w:sz w:val="22"/>
          <w:szCs w:val="22"/>
          <w:lang w:val="en-US"/>
        </w:rPr>
      </w:pPr>
      <w:r w:rsidRPr="1FB22237">
        <w:rPr>
          <w:rFonts w:eastAsia="Arial" w:cs="Arial"/>
          <w:b/>
          <w:bCs/>
          <w:sz w:val="22"/>
          <w:szCs w:val="22"/>
          <w:lang w:val="en-US"/>
        </w:rPr>
        <w:t>Undertake GESI reviews</w:t>
      </w:r>
      <w:r w:rsidRPr="1FB22237" w:rsidR="00C67A1D">
        <w:rPr>
          <w:rFonts w:eastAsia="Arial" w:cs="Arial"/>
          <w:b/>
          <w:bCs/>
          <w:sz w:val="22"/>
          <w:szCs w:val="22"/>
          <w:lang w:val="en-US"/>
        </w:rPr>
        <w:t xml:space="preserve"> and embed GESI more effectively</w:t>
      </w:r>
      <w:r w:rsidRPr="1FB22237">
        <w:rPr>
          <w:rFonts w:eastAsia="Arial" w:cs="Arial"/>
          <w:b/>
          <w:bCs/>
          <w:sz w:val="22"/>
          <w:szCs w:val="22"/>
          <w:lang w:val="en-US"/>
        </w:rPr>
        <w:t xml:space="preserve">: </w:t>
      </w:r>
      <w:r w:rsidRPr="1FB22237" w:rsidR="009D1959">
        <w:rPr>
          <w:rFonts w:eastAsia="Arial" w:cs="Arial"/>
          <w:sz w:val="22"/>
          <w:szCs w:val="22"/>
        </w:rPr>
        <w:t>ALB partners should u</w:t>
      </w:r>
      <w:r w:rsidRPr="1FB22237" w:rsidR="006125B8">
        <w:rPr>
          <w:rFonts w:eastAsia="Arial" w:cs="Arial"/>
          <w:sz w:val="22"/>
          <w:szCs w:val="22"/>
        </w:rPr>
        <w:t>ndertake a</w:t>
      </w:r>
      <w:r w:rsidRPr="1FB22237" w:rsidR="00EB3E5C">
        <w:rPr>
          <w:rFonts w:eastAsia="Arial" w:cs="Arial"/>
          <w:sz w:val="22"/>
          <w:szCs w:val="22"/>
        </w:rPr>
        <w:t xml:space="preserve"> GESI review and analysis of </w:t>
      </w:r>
      <w:r w:rsidRPr="1FB22237" w:rsidR="00F70545">
        <w:rPr>
          <w:rFonts w:eastAsia="Arial" w:cs="Arial"/>
          <w:sz w:val="22"/>
          <w:szCs w:val="22"/>
        </w:rPr>
        <w:t xml:space="preserve">the </w:t>
      </w:r>
      <w:r w:rsidRPr="1FB22237" w:rsidR="00EB3E5C">
        <w:rPr>
          <w:rFonts w:eastAsia="Arial" w:cs="Arial"/>
          <w:sz w:val="22"/>
          <w:szCs w:val="22"/>
        </w:rPr>
        <w:t xml:space="preserve">OCPP’s delivery and activities in each partner country, </w:t>
      </w:r>
      <w:r w:rsidRPr="1FB22237" w:rsidR="00F971BD">
        <w:rPr>
          <w:rFonts w:eastAsia="Arial" w:cs="Arial"/>
          <w:sz w:val="22"/>
          <w:szCs w:val="22"/>
        </w:rPr>
        <w:t>to</w:t>
      </w:r>
      <w:r w:rsidRPr="1FB22237" w:rsidR="00EB3E5C">
        <w:rPr>
          <w:rFonts w:eastAsia="Arial" w:cs="Arial"/>
          <w:sz w:val="22"/>
          <w:szCs w:val="22"/>
        </w:rPr>
        <w:t xml:space="preserve"> embed GESI considerations into OCPP design. Delays on this will mean that GESI will be absent from programme delivery in FY 2024/25 which would be a missed opportunity</w:t>
      </w:r>
      <w:r w:rsidRPr="1FB22237" w:rsidR="00CA06AD">
        <w:rPr>
          <w:rFonts w:eastAsia="Arial" w:cs="Arial"/>
          <w:sz w:val="22"/>
          <w:szCs w:val="22"/>
        </w:rPr>
        <w:t xml:space="preserve">. The MTE noted some confusion on who is driving </w:t>
      </w:r>
      <w:r w:rsidRPr="1FB22237" w:rsidR="003C6183">
        <w:rPr>
          <w:rFonts w:eastAsia="Arial" w:cs="Arial"/>
          <w:sz w:val="22"/>
          <w:szCs w:val="22"/>
        </w:rPr>
        <w:t xml:space="preserve">the GESI aspect of the programme – this will need to be </w:t>
      </w:r>
      <w:r w:rsidRPr="1FB22237" w:rsidR="00433B14">
        <w:rPr>
          <w:rFonts w:eastAsia="Arial" w:cs="Arial"/>
          <w:sz w:val="22"/>
          <w:szCs w:val="22"/>
        </w:rPr>
        <w:t>formalised,</w:t>
      </w:r>
      <w:r w:rsidRPr="1FB22237" w:rsidR="003C6183">
        <w:rPr>
          <w:rFonts w:eastAsia="Arial" w:cs="Arial"/>
          <w:sz w:val="22"/>
          <w:szCs w:val="22"/>
        </w:rPr>
        <w:t xml:space="preserve"> so GESI is effectively embedded across </w:t>
      </w:r>
      <w:r w:rsidRPr="1FB22237" w:rsidR="00F70545">
        <w:rPr>
          <w:rFonts w:eastAsia="Arial" w:cs="Arial"/>
          <w:sz w:val="22"/>
          <w:szCs w:val="22"/>
        </w:rPr>
        <w:t xml:space="preserve">the </w:t>
      </w:r>
      <w:r w:rsidRPr="1FB22237" w:rsidR="003C6183">
        <w:rPr>
          <w:rFonts w:eastAsia="Arial" w:cs="Arial"/>
          <w:sz w:val="22"/>
          <w:szCs w:val="22"/>
        </w:rPr>
        <w:t xml:space="preserve">OCPP, </w:t>
      </w:r>
      <w:r w:rsidRPr="1FB22237" w:rsidR="0024531F">
        <w:rPr>
          <w:rFonts w:eastAsia="Arial" w:cs="Arial"/>
          <w:sz w:val="22"/>
          <w:szCs w:val="22"/>
        </w:rPr>
        <w:t xml:space="preserve">helping to move the programme </w:t>
      </w:r>
      <w:r w:rsidRPr="1FB22237" w:rsidR="00C67A1D">
        <w:rPr>
          <w:rFonts w:eastAsia="Arial" w:cs="Arial"/>
          <w:sz w:val="22"/>
          <w:szCs w:val="22"/>
        </w:rPr>
        <w:t>up the continuum towards being GESI Sensitive and beyond</w:t>
      </w:r>
      <w:r w:rsidRPr="1FB22237" w:rsidR="0024531F">
        <w:rPr>
          <w:rFonts w:eastAsia="Arial" w:cs="Arial"/>
          <w:sz w:val="22"/>
          <w:szCs w:val="22"/>
        </w:rPr>
        <w:t xml:space="preserve"> </w:t>
      </w:r>
    </w:p>
    <w:p w:rsidRPr="00F94451" w:rsidR="00F94451" w:rsidP="00AE7540" w:rsidRDefault="00F94451" w14:paraId="09C5466D" w14:textId="77777777">
      <w:pPr>
        <w:spacing w:after="160" w:line="276" w:lineRule="auto"/>
        <w:jc w:val="both"/>
        <w:rPr>
          <w:rFonts w:eastAsia="Arial" w:cs="Arial"/>
          <w:sz w:val="20"/>
          <w:lang w:val="en-US"/>
        </w:rPr>
      </w:pPr>
    </w:p>
    <w:p w:rsidRPr="003256AA" w:rsidR="00F94451" w:rsidP="00AE7540" w:rsidRDefault="00F94451" w14:paraId="2AE6C224" w14:textId="77777777">
      <w:pPr>
        <w:spacing w:after="160" w:line="276" w:lineRule="auto"/>
        <w:jc w:val="both"/>
        <w:rPr>
          <w:rFonts w:eastAsia="Arial" w:cs="Arial"/>
          <w:b/>
          <w:bCs/>
          <w:sz w:val="20"/>
          <w:lang w:val="en-US"/>
        </w:rPr>
      </w:pPr>
    </w:p>
    <w:p w:rsidR="1F9FCF51" w:rsidP="00F94451" w:rsidRDefault="1F9FCF51" w14:paraId="4E616E55" w14:textId="44DC0785">
      <w:pPr>
        <w:jc w:val="both"/>
        <w:rPr>
          <w:lang w:val="en" w:eastAsia="en-GB"/>
        </w:rPr>
      </w:pPr>
    </w:p>
    <w:p w:rsidR="006F3AE7" w:rsidP="006F3AE7" w:rsidRDefault="006F3AE7" w14:paraId="18A71C85" w14:textId="77777777">
      <w:pPr>
        <w:rPr>
          <w:rFonts w:cs="Arial"/>
          <w:sz w:val="22"/>
          <w:szCs w:val="22"/>
        </w:rPr>
      </w:pPr>
    </w:p>
    <w:tbl>
      <w:tblPr>
        <w:tblStyle w:val="TableGrid"/>
        <w:tblW w:w="9214" w:type="dxa"/>
        <w:tblInd w:w="-5" w:type="dxa"/>
        <w:tblLook w:val="04A0" w:firstRow="1" w:lastRow="0" w:firstColumn="1" w:lastColumn="0" w:noHBand="0" w:noVBand="1"/>
      </w:tblPr>
      <w:tblGrid>
        <w:gridCol w:w="2410"/>
        <w:gridCol w:w="2268"/>
        <w:gridCol w:w="1985"/>
        <w:gridCol w:w="2551"/>
      </w:tblGrid>
      <w:tr w:rsidRPr="00F70DBE" w:rsidR="0015047F" w:rsidTr="00175D53" w14:paraId="299AD655" w14:textId="703F3467">
        <w:tc>
          <w:tcPr>
            <w:tcW w:w="2410" w:type="dxa"/>
            <w:tcBorders>
              <w:top w:val="single" w:color="auto" w:sz="4" w:space="0"/>
              <w:left w:val="single" w:color="auto" w:sz="4" w:space="0"/>
              <w:bottom w:val="single" w:color="auto" w:sz="4" w:space="0"/>
              <w:right w:val="single" w:color="auto" w:sz="4" w:space="0"/>
            </w:tcBorders>
            <w:shd w:val="clear" w:color="auto" w:fill="D9E2F3" w:themeFill="accent1" w:themeFillTint="33"/>
            <w:hideMark/>
          </w:tcPr>
          <w:p w:rsidRPr="00B726BA" w:rsidR="006839BA" w:rsidP="00FD6297" w:rsidRDefault="006839BA" w14:paraId="5DFDDA14" w14:textId="77777777">
            <w:pPr>
              <w:rPr>
                <w:rFonts w:cs="Arial"/>
                <w:sz w:val="20"/>
                <w:szCs w:val="22"/>
              </w:rPr>
            </w:pPr>
            <w:r w:rsidRPr="00B726BA">
              <w:rPr>
                <w:rFonts w:cs="Arial"/>
                <w:sz w:val="20"/>
                <w:szCs w:val="22"/>
              </w:rPr>
              <w:t>Date of last narrative financial report</w:t>
            </w:r>
          </w:p>
        </w:tc>
        <w:tc>
          <w:tcPr>
            <w:tcW w:w="2268" w:type="dxa"/>
            <w:tcBorders>
              <w:top w:val="single" w:color="auto" w:sz="4" w:space="0"/>
              <w:left w:val="single" w:color="auto" w:sz="4" w:space="0"/>
              <w:bottom w:val="single" w:color="auto" w:sz="4" w:space="0"/>
              <w:right w:val="single" w:color="auto" w:sz="4" w:space="0"/>
            </w:tcBorders>
          </w:tcPr>
          <w:p w:rsidRPr="00B726BA" w:rsidR="006839BA" w:rsidP="00FD6297" w:rsidRDefault="006839BA" w14:paraId="6EA42135" w14:textId="77777777">
            <w:pPr>
              <w:rPr>
                <w:rFonts w:cs="Arial"/>
                <w:sz w:val="20"/>
                <w:szCs w:val="22"/>
              </w:rPr>
            </w:pPr>
          </w:p>
        </w:tc>
        <w:tc>
          <w:tcPr>
            <w:tcW w:w="1985"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B726BA" w:rsidR="006839BA" w:rsidP="00FD6297" w:rsidRDefault="006839BA" w14:paraId="7FA097E4" w14:textId="3C943B72">
            <w:pPr>
              <w:rPr>
                <w:rFonts w:cs="Arial"/>
                <w:sz w:val="20"/>
                <w:szCs w:val="22"/>
              </w:rPr>
            </w:pPr>
            <w:r w:rsidRPr="00B726BA">
              <w:rPr>
                <w:rFonts w:cs="Arial"/>
                <w:sz w:val="20"/>
                <w:szCs w:val="22"/>
              </w:rPr>
              <w:t>Date of last audited annual statement</w:t>
            </w:r>
          </w:p>
        </w:tc>
        <w:tc>
          <w:tcPr>
            <w:tcW w:w="2551" w:type="dxa"/>
            <w:tcBorders>
              <w:top w:val="single" w:color="auto" w:sz="4" w:space="0"/>
              <w:left w:val="single" w:color="auto" w:sz="4" w:space="0"/>
              <w:bottom w:val="single" w:color="auto" w:sz="4" w:space="0"/>
              <w:right w:val="single" w:color="auto" w:sz="4" w:space="0"/>
            </w:tcBorders>
          </w:tcPr>
          <w:p w:rsidRPr="00B726BA" w:rsidR="006839BA" w:rsidP="00FD6297" w:rsidRDefault="006839BA" w14:paraId="43CA3E31" w14:textId="77777777">
            <w:pPr>
              <w:rPr>
                <w:rFonts w:cs="Arial"/>
                <w:sz w:val="20"/>
                <w:szCs w:val="22"/>
              </w:rPr>
            </w:pPr>
          </w:p>
        </w:tc>
      </w:tr>
    </w:tbl>
    <w:p w:rsidR="00CB3379" w:rsidRDefault="00CB3379" w14:paraId="4DAC1688" w14:textId="3C519770">
      <w:pPr>
        <w:spacing w:after="160" w:line="259" w:lineRule="auto"/>
        <w:rPr>
          <w:rFonts w:cs="Arial"/>
          <w:sz w:val="20"/>
        </w:rPr>
      </w:pPr>
    </w:p>
    <w:p w:rsidR="00CB3379" w:rsidRDefault="00CB3379" w14:paraId="212B7EBA" w14:textId="77777777">
      <w:pPr>
        <w:spacing w:after="160" w:line="259" w:lineRule="auto"/>
        <w:rPr>
          <w:rFonts w:cs="Arial"/>
          <w:sz w:val="20"/>
        </w:rPr>
      </w:pPr>
      <w:r>
        <w:rPr>
          <w:rFonts w:cs="Arial"/>
          <w:sz w:val="20"/>
        </w:rPr>
        <w:br w:type="page"/>
      </w:r>
    </w:p>
    <w:p w:rsidRPr="00124544" w:rsidR="00105347" w:rsidRDefault="00CB3379" w14:paraId="186A2D1E" w14:textId="5E9AEF5B">
      <w:pPr>
        <w:spacing w:after="160" w:line="259" w:lineRule="auto"/>
        <w:rPr>
          <w:rFonts w:cs="Arial"/>
          <w:b/>
          <w:bCs/>
          <w:szCs w:val="32"/>
        </w:rPr>
      </w:pPr>
      <w:r w:rsidRPr="00124544">
        <w:rPr>
          <w:rFonts w:cs="Arial"/>
          <w:b/>
          <w:bCs/>
          <w:szCs w:val="32"/>
        </w:rPr>
        <w:t>ANNEX A</w:t>
      </w:r>
      <w:r w:rsidR="008A4BB7">
        <w:rPr>
          <w:rFonts w:cs="Arial"/>
          <w:b/>
          <w:bCs/>
          <w:szCs w:val="32"/>
        </w:rPr>
        <w:t xml:space="preserve"> </w:t>
      </w:r>
      <w:r w:rsidR="00A8496E">
        <w:rPr>
          <w:rFonts w:cs="Arial"/>
          <w:b/>
          <w:bCs/>
          <w:szCs w:val="32"/>
        </w:rPr>
        <w:t>–</w:t>
      </w:r>
      <w:r w:rsidR="008A4BB7">
        <w:rPr>
          <w:rFonts w:cs="Arial"/>
          <w:b/>
          <w:bCs/>
          <w:szCs w:val="32"/>
        </w:rPr>
        <w:t xml:space="preserve"> </w:t>
      </w:r>
      <w:r w:rsidR="00A8496E">
        <w:rPr>
          <w:rFonts w:cs="Arial"/>
          <w:b/>
          <w:bCs/>
          <w:szCs w:val="32"/>
        </w:rPr>
        <w:t>A</w:t>
      </w:r>
      <w:r w:rsidR="00C14357">
        <w:rPr>
          <w:rFonts w:cs="Arial"/>
          <w:b/>
          <w:bCs/>
          <w:szCs w:val="32"/>
        </w:rPr>
        <w:t>nnual review</w:t>
      </w:r>
      <w:r w:rsidR="00A8496E">
        <w:rPr>
          <w:rFonts w:cs="Arial"/>
          <w:b/>
          <w:bCs/>
          <w:szCs w:val="32"/>
        </w:rPr>
        <w:t xml:space="preserve"> threshold approach</w:t>
      </w:r>
    </w:p>
    <w:tbl>
      <w:tblPr>
        <w:tblStyle w:val="Blank"/>
        <w:tblW w:w="0" w:type="auto"/>
        <w:tblLayout w:type="fixed"/>
        <w:tblLook w:val="04A0" w:firstRow="1" w:lastRow="0" w:firstColumn="1" w:lastColumn="0" w:noHBand="0" w:noVBand="1"/>
      </w:tblPr>
      <w:tblGrid>
        <w:gridCol w:w="9854"/>
      </w:tblGrid>
      <w:tr w:rsidRPr="00CB3379" w:rsidR="00CB3379" w:rsidTr="007F2797" w14:paraId="0F8BCB12" w14:textId="77777777">
        <w:trPr>
          <w:trHeight w:val="1376"/>
        </w:trPr>
        <w:tc>
          <w:tcPr>
            <w:tcW w:w="9854" w:type="dxa"/>
            <w:tcBorders>
              <w:bottom w:val="single" w:color="auto" w:sz="4" w:space="0"/>
            </w:tcBorders>
          </w:tcPr>
          <w:p w:rsidRPr="00CB3379" w:rsidR="00CB3379" w:rsidP="005F3B37" w:rsidRDefault="00CB3379" w14:paraId="601B39F8" w14:textId="37D447E4">
            <w:pPr>
              <w:suppressAutoHyphens/>
              <w:spacing w:before="120" w:line="400" w:lineRule="atLeast"/>
              <w:contextualSpacing/>
              <w:rPr>
                <w:rFonts w:ascii="Segoe UI" w:hAnsi="Segoe UI" w:eastAsia="Segoe UI"/>
                <w:b/>
                <w:bCs/>
                <w:sz w:val="28"/>
                <w:szCs w:val="40"/>
                <w:lang w:val="en-GB"/>
              </w:rPr>
            </w:pPr>
            <w:r w:rsidRPr="00CB3379">
              <w:rPr>
                <w:rFonts w:ascii="Segoe UI" w:hAnsi="Segoe UI" w:eastAsia="Segoe UI"/>
                <w:sz w:val="32"/>
                <w:szCs w:val="20"/>
                <w:lang w:val="en-GB"/>
              </w:rPr>
              <w:t xml:space="preserve">Year Three </w:t>
            </w:r>
            <w:r w:rsidR="00C14357">
              <w:rPr>
                <w:rFonts w:ascii="Segoe UI" w:hAnsi="Segoe UI" w:eastAsia="Segoe UI"/>
                <w:sz w:val="32"/>
                <w:szCs w:val="20"/>
                <w:lang w:val="en-GB"/>
              </w:rPr>
              <w:t>a</w:t>
            </w:r>
            <w:r w:rsidRPr="00CB3379">
              <w:rPr>
                <w:rFonts w:ascii="Segoe UI" w:hAnsi="Segoe UI" w:eastAsia="Segoe UI"/>
                <w:sz w:val="32"/>
                <w:szCs w:val="20"/>
                <w:lang w:val="en-GB"/>
              </w:rPr>
              <w:t xml:space="preserve">nnual </w:t>
            </w:r>
            <w:r w:rsidR="00C14357">
              <w:rPr>
                <w:rFonts w:ascii="Segoe UI" w:hAnsi="Segoe UI" w:eastAsia="Segoe UI"/>
                <w:sz w:val="32"/>
                <w:szCs w:val="20"/>
                <w:lang w:val="en-GB"/>
              </w:rPr>
              <w:t>r</w:t>
            </w:r>
            <w:r w:rsidRPr="00CB3379">
              <w:rPr>
                <w:rFonts w:ascii="Segoe UI" w:hAnsi="Segoe UI" w:eastAsia="Segoe UI"/>
                <w:sz w:val="32"/>
                <w:szCs w:val="20"/>
                <w:lang w:val="en-GB"/>
              </w:rPr>
              <w:t>eview process for the Ocean Country Partnership Programme (OCPP</w:t>
            </w:r>
            <w:r w:rsidRPr="005F3B37" w:rsidR="005F3B37">
              <w:rPr>
                <w:rFonts w:ascii="Segoe UI" w:hAnsi="Segoe UI" w:eastAsia="Segoe UI"/>
                <w:sz w:val="32"/>
                <w:szCs w:val="20"/>
                <w:lang w:val="en-GB"/>
              </w:rPr>
              <w:t>)</w:t>
            </w:r>
          </w:p>
        </w:tc>
      </w:tr>
      <w:tr w:rsidRPr="00CB3379" w:rsidR="00CB3379" w:rsidTr="007F2797" w14:paraId="15F24D12" w14:textId="77777777">
        <w:trPr>
          <w:trHeight w:val="495"/>
        </w:trPr>
        <w:tc>
          <w:tcPr>
            <w:tcW w:w="9854" w:type="dxa"/>
            <w:tcBorders>
              <w:top w:val="single" w:color="auto" w:sz="4" w:space="0"/>
            </w:tcBorders>
          </w:tcPr>
          <w:p w:rsidRPr="00CB3379" w:rsidR="00CB3379" w:rsidP="001D265D" w:rsidRDefault="002B3732" w14:paraId="00FA1B34" w14:textId="77777777">
            <w:pPr>
              <w:numPr>
                <w:ilvl w:val="0"/>
                <w:numId w:val="10"/>
              </w:numPr>
              <w:tabs>
                <w:tab w:val="num" w:pos="360"/>
              </w:tabs>
              <w:spacing w:before="440" w:after="240" w:line="280" w:lineRule="atLeast"/>
              <w:ind w:left="0" w:firstLine="0"/>
              <w:jc w:val="right"/>
              <w:rPr>
                <w:rFonts w:ascii="Segoe UI" w:hAnsi="Segoe UI" w:eastAsia="Segoe UI"/>
                <w:sz w:val="20"/>
                <w:szCs w:val="20"/>
              </w:rPr>
            </w:pPr>
            <w:sdt>
              <w:sdtPr>
                <w:rPr>
                  <w:rFonts w:ascii="Segoe UI" w:hAnsi="Segoe UI" w:eastAsia="Segoe UI"/>
                  <w:sz w:val="20"/>
                  <w:szCs w:val="20"/>
                </w:rPr>
                <w:tag w:val="l_date"/>
                <w:id w:val="330023820"/>
                <w:placeholder>
                  <w:docPart w:val="D5EB524B9A594BD88BFAF0EDED5546CE"/>
                </w:placeholder>
                <w:dataBinding w:prefixMappings="xmlns:ns0='http://niras/templates/labels' " w:xpath="/ns0:labels[1]/ns0:Date[1]" w:storeItemID="{5EFE7FD3-3529-4B8A-B792-F67C6A47081B}"/>
                <w:text/>
              </w:sdtPr>
              <w:sdtContent>
                <w:r w:rsidR="00EE1E12">
                  <w:rPr>
                    <w:rFonts w:ascii="Segoe UI" w:hAnsi="Segoe UI" w:eastAsia="Segoe UI"/>
                    <w:sz w:val="20"/>
                    <w:szCs w:val="20"/>
                  </w:rPr>
                  <w:t>Date</w:t>
                </w:r>
              </w:sdtContent>
            </w:sdt>
            <w:r w:rsidRPr="00CB3379" w:rsidR="00CB3379">
              <w:rPr>
                <w:rFonts w:ascii="Segoe UI" w:hAnsi="Segoe UI" w:eastAsia="Segoe UI"/>
                <w:sz w:val="20"/>
                <w:szCs w:val="20"/>
              </w:rPr>
              <w:t xml:space="preserve">: </w:t>
            </w:r>
            <w:sdt>
              <w:sdtPr>
                <w:rPr>
                  <w:rFonts w:ascii="Segoe UI" w:hAnsi="Segoe UI" w:eastAsia="Segoe UI"/>
                  <w:sz w:val="20"/>
                  <w:szCs w:val="20"/>
                </w:rPr>
                <w:tag w:val="Date"/>
                <w:id w:val="947122763"/>
                <w:placeholder>
                  <w:docPart w:val="837B9699BF6647A8ADC6EEB67586A924"/>
                </w:placeholder>
                <w:dataBinding w:prefixMappings="xmlns:ns0='http://niras/templates/settings' " w:xpath="/ns0:settings[1]/ns0:date[1]" w:storeItemID="{619B87C2-60CB-4807-BF00-2CE63C4759D2}"/>
                <w:text/>
              </w:sdtPr>
              <w:sdtContent>
                <w:r w:rsidR="00EE1E12">
                  <w:rPr>
                    <w:rFonts w:ascii="Segoe UI" w:hAnsi="Segoe UI" w:eastAsia="Segoe UI"/>
                    <w:sz w:val="20"/>
                    <w:szCs w:val="20"/>
                  </w:rPr>
                  <w:t>24 May 2024</w:t>
                </w:r>
              </w:sdtContent>
            </w:sdt>
          </w:p>
        </w:tc>
      </w:tr>
    </w:tbl>
    <w:p w:rsidRPr="00CB3379" w:rsidR="00CB3379" w:rsidP="005F3B37" w:rsidRDefault="00CB3379" w14:paraId="0B836158" w14:textId="77777777">
      <w:pPr>
        <w:keepNext/>
        <w:keepLines/>
        <w:suppressAutoHyphens/>
        <w:spacing w:before="480" w:after="240" w:line="360" w:lineRule="atLeast"/>
        <w:ind w:right="-472"/>
        <w:outlineLvl w:val="0"/>
        <w:rPr>
          <w:rFonts w:ascii="Segoe UI" w:hAnsi="Segoe UI" w:eastAsia="MS Gothic" w:cs="Arial"/>
          <w:b/>
          <w:szCs w:val="28"/>
        </w:rPr>
      </w:pPr>
      <w:r w:rsidRPr="00CB3379">
        <w:rPr>
          <w:rFonts w:ascii="Segoe UI" w:hAnsi="Segoe UI" w:eastAsia="MS Gothic" w:cs="Arial"/>
          <w:b/>
          <w:szCs w:val="28"/>
        </w:rPr>
        <w:t>Background</w:t>
      </w:r>
    </w:p>
    <w:p w:rsidRPr="00CB3379" w:rsidR="00CB3379" w:rsidP="005F3B37" w:rsidRDefault="00CB3379" w14:paraId="4A3A159E" w14:textId="65CECBC4">
      <w:pPr>
        <w:spacing w:after="240" w:line="280" w:lineRule="atLeast"/>
        <w:ind w:right="-472"/>
        <w:rPr>
          <w:rFonts w:ascii="Segoe UI" w:hAnsi="Segoe UI" w:eastAsia="Segoe UI"/>
          <w:sz w:val="20"/>
          <w:szCs w:val="20"/>
        </w:rPr>
      </w:pPr>
      <w:r w:rsidRPr="00CB3379">
        <w:rPr>
          <w:rFonts w:ascii="Segoe UI" w:hAnsi="Segoe UI" w:eastAsia="Segoe UI"/>
          <w:sz w:val="20"/>
          <w:szCs w:val="20"/>
        </w:rPr>
        <w:t xml:space="preserve">During Year 3 (Y3) of the OCPP, the NIRAS MEL team were recruited to support MEL system strengthening across the programming. In the first phase (August to December 2023) work has included a full review of the programme ToC and logframe and development of a MEL framework. From January 2024 onwards, the MEL team have been rolling out the strategy, working with delivery partners to building MEL capacity and developing tools and reporting processes to support effective monitoring of the programme (more detail outlined in section 1.1). </w:t>
      </w:r>
    </w:p>
    <w:p w:rsidRPr="00CB3379" w:rsidR="00CB3379" w:rsidP="005F3B37" w:rsidRDefault="00CB3379" w14:paraId="315C29C6" w14:textId="7403D28C">
      <w:pPr>
        <w:spacing w:after="240" w:line="280" w:lineRule="atLeast"/>
        <w:ind w:right="-472"/>
        <w:rPr>
          <w:rFonts w:ascii="Segoe UI" w:hAnsi="Segoe UI" w:eastAsia="Segoe UI"/>
          <w:sz w:val="20"/>
          <w:szCs w:val="20"/>
        </w:rPr>
      </w:pPr>
      <w:r w:rsidRPr="00CB3379">
        <w:rPr>
          <w:rFonts w:ascii="Segoe UI" w:hAnsi="Segoe UI" w:eastAsia="Segoe UI"/>
          <w:b/>
          <w:bCs/>
          <w:sz w:val="20"/>
          <w:szCs w:val="20"/>
        </w:rPr>
        <w:t xml:space="preserve">The issue: </w:t>
      </w:r>
      <w:r w:rsidRPr="00CB3379">
        <w:rPr>
          <w:rFonts w:ascii="Segoe UI" w:hAnsi="Segoe UI" w:eastAsia="Segoe UI"/>
          <w:sz w:val="20"/>
          <w:szCs w:val="20"/>
        </w:rPr>
        <w:t xml:space="preserve">As a result of the MEL strategy revision, the programme logframe has been changed mid-year and targets have not been set for Y3 in the new logframe. The Arms-Length Bodies (ALBs) delivery partners have not been routinely collecting data against the old logframe. This presents a challenge for progress scoring in the Y3 annual review (due August 2024). This document outlines a proposed scoring approach for the Y3 annual review, based on our understanding of best practice in this circumstance. </w:t>
      </w:r>
    </w:p>
    <w:p w:rsidRPr="00CB3379" w:rsidR="00CB3379" w:rsidP="005F3B37" w:rsidRDefault="00CB3379" w14:paraId="37BB6B25" w14:textId="77777777">
      <w:pPr>
        <w:keepNext/>
        <w:keepLines/>
        <w:numPr>
          <w:ilvl w:val="1"/>
          <w:numId w:val="0"/>
        </w:numPr>
        <w:suppressAutoHyphens/>
        <w:spacing w:before="180" w:line="320" w:lineRule="atLeast"/>
        <w:ind w:left="851" w:right="-472" w:hanging="851"/>
        <w:outlineLvl w:val="1"/>
        <w:rPr>
          <w:rFonts w:ascii="Segoe UI" w:hAnsi="Segoe UI" w:eastAsia="MS Gothic" w:cs="Arial"/>
          <w:b/>
          <w:sz w:val="22"/>
        </w:rPr>
      </w:pPr>
      <w:r w:rsidRPr="00CB3379">
        <w:rPr>
          <w:rFonts w:ascii="Segoe UI" w:hAnsi="Segoe UI" w:eastAsia="MS Gothic" w:cs="Arial"/>
          <w:b/>
          <w:sz w:val="22"/>
        </w:rPr>
        <w:t>MEL systems update</w:t>
      </w:r>
    </w:p>
    <w:p w:rsidRPr="00CB3379" w:rsidR="00CB3379" w:rsidP="005F3B37" w:rsidRDefault="00CB3379" w14:paraId="2C0A3898" w14:textId="77777777">
      <w:pPr>
        <w:keepNext/>
        <w:keepLines/>
        <w:suppressAutoHyphens/>
        <w:spacing w:before="180" w:line="320" w:lineRule="atLeast"/>
        <w:ind w:right="-472"/>
        <w:outlineLvl w:val="1"/>
        <w:rPr>
          <w:rFonts w:ascii="Segoe UI" w:hAnsi="Segoe UI" w:eastAsia="MS Gothic" w:cs="Arial"/>
          <w:b/>
          <w:sz w:val="22"/>
        </w:rPr>
      </w:pPr>
      <w:r w:rsidRPr="00CB3379">
        <w:rPr>
          <w:rFonts w:ascii="Segoe UI" w:hAnsi="Segoe UI" w:eastAsia="MS Gothic" w:cs="Arial"/>
          <w:b/>
          <w:sz w:val="22"/>
        </w:rPr>
        <w:t>MEL framework review: August – December 2023</w:t>
      </w:r>
    </w:p>
    <w:p w:rsidRPr="00CB3379" w:rsidR="00CB3379" w:rsidP="001D265D" w:rsidRDefault="00CB3379" w14:paraId="1F29E401" w14:textId="197FEA0D">
      <w:pPr>
        <w:numPr>
          <w:ilvl w:val="0"/>
          <w:numId w:val="36"/>
        </w:numPr>
        <w:spacing w:after="240" w:line="280" w:lineRule="atLeast"/>
        <w:ind w:right="-472"/>
        <w:contextualSpacing/>
        <w:rPr>
          <w:rFonts w:ascii="Segoe UI" w:hAnsi="Segoe UI" w:eastAsia="Segoe UI"/>
          <w:sz w:val="20"/>
          <w:szCs w:val="20"/>
        </w:rPr>
      </w:pPr>
      <w:r w:rsidRPr="00CB3379">
        <w:rPr>
          <w:rFonts w:ascii="Segoe UI" w:hAnsi="Segoe UI" w:eastAsia="Segoe UI"/>
          <w:sz w:val="20"/>
          <w:szCs w:val="20"/>
        </w:rPr>
        <w:t>OCPP ToC and logframe revised by all delivery partners and approved by Defra SRO in December 2023.</w:t>
      </w:r>
    </w:p>
    <w:p w:rsidRPr="00CB3379" w:rsidR="00CB3379" w:rsidP="001D265D" w:rsidRDefault="00CB3379" w14:paraId="251CCA77" w14:textId="77777777">
      <w:pPr>
        <w:numPr>
          <w:ilvl w:val="0"/>
          <w:numId w:val="36"/>
        </w:numPr>
        <w:spacing w:after="240" w:line="280" w:lineRule="atLeast"/>
        <w:ind w:right="-472"/>
        <w:contextualSpacing/>
        <w:rPr>
          <w:rFonts w:ascii="Segoe UI" w:hAnsi="Segoe UI" w:eastAsia="Segoe UI"/>
          <w:sz w:val="20"/>
          <w:szCs w:val="20"/>
        </w:rPr>
      </w:pPr>
      <w:r w:rsidRPr="00CB3379">
        <w:rPr>
          <w:rFonts w:ascii="Segoe UI" w:hAnsi="Segoe UI" w:eastAsia="Segoe UI"/>
          <w:sz w:val="20"/>
          <w:szCs w:val="20"/>
        </w:rPr>
        <w:t xml:space="preserve">Output indicator milestones for Y4 (July 24 – June 25) have been drafted by the programme directors in March 2024 during annual planning (ALBs and GOAP – FOA have not been included pending funding decisions). Final targets (for the end of the programme – Year 5, end 2026) will be produced shortly. </w:t>
      </w:r>
    </w:p>
    <w:p w:rsidRPr="00CB3379" w:rsidR="00CB3379" w:rsidP="001D265D" w:rsidRDefault="00CB3379" w14:paraId="5C8FF160" w14:textId="77777777">
      <w:pPr>
        <w:numPr>
          <w:ilvl w:val="0"/>
          <w:numId w:val="36"/>
        </w:numPr>
        <w:spacing w:after="240" w:line="280" w:lineRule="atLeast"/>
        <w:ind w:right="-472"/>
        <w:contextualSpacing/>
        <w:rPr>
          <w:rFonts w:ascii="Segoe UI" w:hAnsi="Segoe UI" w:eastAsia="Segoe UI"/>
          <w:sz w:val="20"/>
          <w:szCs w:val="20"/>
        </w:rPr>
      </w:pPr>
      <w:r w:rsidRPr="00CB3379">
        <w:rPr>
          <w:rFonts w:ascii="Segoe UI" w:hAnsi="Segoe UI" w:eastAsia="Segoe UI"/>
          <w:sz w:val="20"/>
          <w:szCs w:val="20"/>
        </w:rPr>
        <w:t>Outcome targets (for the end of the programme) have been drafted for most outcomes.</w:t>
      </w:r>
    </w:p>
    <w:p w:rsidRPr="00CB3379" w:rsidR="00CB3379" w:rsidP="005F3B37" w:rsidRDefault="00CB3379" w14:paraId="192BC7EB" w14:textId="77777777">
      <w:pPr>
        <w:spacing w:line="280" w:lineRule="atLeast"/>
        <w:ind w:left="142" w:right="-472" w:hanging="142"/>
        <w:contextualSpacing/>
        <w:rPr>
          <w:rFonts w:ascii="Segoe UI" w:hAnsi="Segoe UI" w:eastAsia="Segoe UI"/>
          <w:i/>
          <w:iCs/>
          <w:sz w:val="20"/>
          <w:szCs w:val="20"/>
        </w:rPr>
      </w:pPr>
    </w:p>
    <w:p w:rsidRPr="00CB3379" w:rsidR="00CB3379" w:rsidP="005F3B37" w:rsidRDefault="00CB3379" w14:paraId="3FA14642" w14:textId="77777777">
      <w:pPr>
        <w:keepNext/>
        <w:keepLines/>
        <w:suppressAutoHyphens/>
        <w:spacing w:before="180" w:line="320" w:lineRule="atLeast"/>
        <w:ind w:right="-472"/>
        <w:outlineLvl w:val="1"/>
        <w:rPr>
          <w:rFonts w:ascii="Segoe UI" w:hAnsi="Segoe UI" w:eastAsia="MS Gothic" w:cs="Arial"/>
          <w:b/>
          <w:sz w:val="22"/>
        </w:rPr>
      </w:pPr>
      <w:r w:rsidRPr="00CB3379">
        <w:rPr>
          <w:rFonts w:ascii="Segoe UI" w:hAnsi="Segoe UI" w:eastAsia="MS Gothic" w:cs="Arial"/>
          <w:b/>
          <w:sz w:val="22"/>
        </w:rPr>
        <w:t>MEL system rollout: January – June 2024</w:t>
      </w:r>
    </w:p>
    <w:p w:rsidRPr="00CB3379" w:rsidR="00CB3379" w:rsidP="001D265D" w:rsidRDefault="00CB3379" w14:paraId="29111B2F" w14:textId="77777777">
      <w:pPr>
        <w:numPr>
          <w:ilvl w:val="0"/>
          <w:numId w:val="37"/>
        </w:numPr>
        <w:spacing w:after="240" w:line="280" w:lineRule="atLeast"/>
        <w:ind w:right="-472"/>
        <w:contextualSpacing/>
        <w:rPr>
          <w:rFonts w:ascii="Segoe UI" w:hAnsi="Segoe UI" w:eastAsia="Segoe UI"/>
          <w:i/>
          <w:iCs/>
          <w:sz w:val="20"/>
          <w:szCs w:val="20"/>
        </w:rPr>
      </w:pPr>
      <w:r w:rsidRPr="00CB3379">
        <w:rPr>
          <w:rFonts w:ascii="Segoe UI" w:hAnsi="Segoe UI" w:eastAsia="Segoe UI"/>
          <w:sz w:val="20"/>
          <w:szCs w:val="20"/>
        </w:rPr>
        <w:t>The OCPP MEL team have been working with each country team (ALBs) to provide training on logframes and ToCs; review country-level ToCs and map programme indicators to be reported.</w:t>
      </w:r>
    </w:p>
    <w:p w:rsidRPr="00CB3379" w:rsidR="00CB3379" w:rsidP="001D265D" w:rsidRDefault="00CB3379" w14:paraId="104C9F50" w14:textId="77777777">
      <w:pPr>
        <w:numPr>
          <w:ilvl w:val="0"/>
          <w:numId w:val="37"/>
        </w:numPr>
        <w:spacing w:after="240" w:line="280" w:lineRule="atLeast"/>
        <w:ind w:right="-472"/>
        <w:contextualSpacing/>
        <w:rPr>
          <w:rFonts w:ascii="Segoe UI" w:hAnsi="Segoe UI" w:eastAsia="Segoe UI"/>
          <w:i/>
          <w:iCs/>
          <w:sz w:val="20"/>
          <w:szCs w:val="20"/>
        </w:rPr>
      </w:pPr>
      <w:r w:rsidRPr="00CB3379">
        <w:rPr>
          <w:rFonts w:ascii="Segoe UI" w:hAnsi="Segoe UI" w:eastAsia="Segoe UI"/>
          <w:sz w:val="20"/>
          <w:szCs w:val="20"/>
        </w:rPr>
        <w:t xml:space="preserve"> The OCPP MEL team have developed indicator reference sheets and monitoring methods to support programme reporting</w:t>
      </w:r>
    </w:p>
    <w:p w:rsidRPr="005F3B37" w:rsidR="00CB3379" w:rsidP="001D265D" w:rsidRDefault="00CB3379" w14:paraId="66886D3E" w14:textId="19295939">
      <w:pPr>
        <w:numPr>
          <w:ilvl w:val="0"/>
          <w:numId w:val="37"/>
        </w:numPr>
        <w:spacing w:after="240" w:line="280" w:lineRule="atLeast"/>
        <w:ind w:right="-472"/>
        <w:contextualSpacing/>
        <w:rPr>
          <w:rFonts w:ascii="Segoe UI" w:hAnsi="Segoe UI" w:eastAsia="Segoe UI"/>
          <w:i/>
          <w:iCs/>
          <w:sz w:val="20"/>
          <w:szCs w:val="20"/>
        </w:rPr>
      </w:pPr>
      <w:r w:rsidRPr="00CB3379">
        <w:rPr>
          <w:rFonts w:ascii="Segoe UI" w:hAnsi="Segoe UI" w:eastAsia="Segoe UI"/>
          <w:sz w:val="20"/>
          <w:szCs w:val="20"/>
        </w:rPr>
        <w:t xml:space="preserve">Six weeks of open house sessions held twice a week have been held to support delivery partners in understanding reporting requirements and on specific tools. </w:t>
      </w:r>
    </w:p>
    <w:p w:rsidRPr="00CB3379" w:rsidR="005F3B37" w:rsidP="005F3B37" w:rsidRDefault="005F3B37" w14:paraId="0F6A1D75" w14:textId="77777777">
      <w:pPr>
        <w:spacing w:after="240" w:line="280" w:lineRule="atLeast"/>
        <w:ind w:left="720" w:right="-472"/>
        <w:contextualSpacing/>
        <w:rPr>
          <w:rFonts w:ascii="Segoe UI" w:hAnsi="Segoe UI" w:eastAsia="Segoe UI"/>
          <w:i/>
          <w:iCs/>
          <w:sz w:val="20"/>
          <w:szCs w:val="20"/>
        </w:rPr>
      </w:pPr>
    </w:p>
    <w:p w:rsidRPr="00CB3379" w:rsidR="00CB3379" w:rsidP="005F3B37" w:rsidRDefault="00CB3379" w14:paraId="1AD3D1AC" w14:textId="77777777">
      <w:pPr>
        <w:keepNext/>
        <w:keepLines/>
        <w:numPr>
          <w:ilvl w:val="1"/>
          <w:numId w:val="0"/>
        </w:numPr>
        <w:suppressAutoHyphens/>
        <w:spacing w:before="180" w:line="320" w:lineRule="atLeast"/>
        <w:ind w:left="851" w:right="-472" w:hanging="851"/>
        <w:outlineLvl w:val="1"/>
        <w:rPr>
          <w:rFonts w:ascii="Segoe UI" w:hAnsi="Segoe UI" w:eastAsia="MS Gothic" w:cs="Arial"/>
          <w:b/>
          <w:sz w:val="22"/>
        </w:rPr>
      </w:pPr>
      <w:r w:rsidRPr="00CB3379">
        <w:rPr>
          <w:rFonts w:ascii="Segoe UI" w:hAnsi="Segoe UI" w:eastAsia="MS Gothic" w:cs="Arial"/>
          <w:b/>
          <w:sz w:val="22"/>
        </w:rPr>
        <w:t xml:space="preserve">Best practice recommendations for annual review </w:t>
      </w:r>
    </w:p>
    <w:p w:rsidRPr="00CB3379" w:rsidR="00CB3379" w:rsidP="005F3B37" w:rsidRDefault="00CB3379" w14:paraId="4B1F6769" w14:textId="77777777">
      <w:pPr>
        <w:spacing w:after="240" w:line="280" w:lineRule="atLeast"/>
        <w:ind w:right="-472"/>
        <w:rPr>
          <w:rFonts w:ascii="Segoe UI" w:hAnsi="Segoe UI" w:eastAsia="Segoe UI"/>
          <w:b/>
          <w:bCs/>
          <w:sz w:val="20"/>
          <w:szCs w:val="20"/>
        </w:rPr>
      </w:pPr>
      <w:r w:rsidRPr="00CB3379">
        <w:rPr>
          <w:rFonts w:ascii="Segoe UI" w:hAnsi="Segoe UI" w:eastAsia="Segoe UI"/>
          <w:sz w:val="20"/>
          <w:szCs w:val="20"/>
        </w:rPr>
        <w:t xml:space="preserve">The following section sets out our understanding of best practice for a robust programme annual review. </w:t>
      </w:r>
    </w:p>
    <w:p w:rsidRPr="00CB3379" w:rsidR="00CB3379" w:rsidP="001D265D" w:rsidRDefault="00CB3379" w14:paraId="0ECEFC44" w14:textId="5EB36C30">
      <w:pPr>
        <w:numPr>
          <w:ilvl w:val="0"/>
          <w:numId w:val="34"/>
        </w:numPr>
        <w:spacing w:after="240" w:line="280" w:lineRule="atLeast"/>
        <w:ind w:right="-472"/>
        <w:rPr>
          <w:rFonts w:ascii="Segoe UI" w:hAnsi="Segoe UI" w:eastAsia="Segoe UI"/>
          <w:sz w:val="20"/>
          <w:szCs w:val="20"/>
        </w:rPr>
      </w:pPr>
      <w:r w:rsidRPr="00CB3379">
        <w:rPr>
          <w:rFonts w:ascii="Segoe UI" w:hAnsi="Segoe UI" w:eastAsia="Segoe UI"/>
          <w:sz w:val="20"/>
          <w:szCs w:val="20"/>
        </w:rPr>
        <w:t xml:space="preserve">We should use the most recently approved logframe to report on in an </w:t>
      </w:r>
      <w:r w:rsidR="00C14357">
        <w:rPr>
          <w:rFonts w:ascii="Segoe UI" w:hAnsi="Segoe UI" w:eastAsia="Segoe UI"/>
          <w:sz w:val="20"/>
          <w:szCs w:val="20"/>
        </w:rPr>
        <w:t>annual review</w:t>
      </w:r>
      <w:r w:rsidRPr="00CB3379">
        <w:rPr>
          <w:rFonts w:ascii="Segoe UI" w:hAnsi="Segoe UI" w:eastAsia="Segoe UI"/>
          <w:sz w:val="20"/>
          <w:szCs w:val="20"/>
        </w:rPr>
        <w:t xml:space="preserve">. </w:t>
      </w:r>
    </w:p>
    <w:p w:rsidRPr="00CB3379" w:rsidR="00CB3379" w:rsidP="001D265D" w:rsidRDefault="00CB3379" w14:paraId="35B07D5E" w14:textId="77777777">
      <w:pPr>
        <w:numPr>
          <w:ilvl w:val="1"/>
          <w:numId w:val="34"/>
        </w:numPr>
        <w:spacing w:after="240" w:line="280" w:lineRule="atLeast"/>
        <w:ind w:right="-472"/>
        <w:rPr>
          <w:rFonts w:ascii="Segoe UI" w:hAnsi="Segoe UI" w:eastAsia="Segoe UI"/>
          <w:sz w:val="20"/>
          <w:szCs w:val="20"/>
        </w:rPr>
      </w:pPr>
      <w:r w:rsidRPr="00CB3379">
        <w:rPr>
          <w:rFonts w:ascii="Segoe UI" w:hAnsi="Segoe UI" w:eastAsia="Segoe UI"/>
          <w:sz w:val="20"/>
          <w:szCs w:val="20"/>
        </w:rPr>
        <w:t xml:space="preserve">Using the old logframe is not advised because whatever was relevant in the old logframe will have transferred to the new one, and whatever was not relevant has not been included the new logframe. </w:t>
      </w:r>
    </w:p>
    <w:p w:rsidRPr="00CB3379" w:rsidR="00CB3379" w:rsidP="001D265D" w:rsidRDefault="00CB3379" w14:paraId="4EC64F9F" w14:textId="62B5DEE6">
      <w:pPr>
        <w:numPr>
          <w:ilvl w:val="1"/>
          <w:numId w:val="34"/>
        </w:numPr>
        <w:spacing w:after="240" w:line="280" w:lineRule="atLeast"/>
        <w:ind w:right="-472"/>
        <w:contextualSpacing/>
        <w:rPr>
          <w:rFonts w:ascii="Segoe UI" w:hAnsi="Segoe UI" w:eastAsia="Segoe UI"/>
          <w:sz w:val="20"/>
          <w:szCs w:val="20"/>
        </w:rPr>
      </w:pPr>
      <w:r w:rsidRPr="00CB3379">
        <w:rPr>
          <w:rFonts w:ascii="Segoe UI" w:hAnsi="Segoe UI" w:eastAsia="Segoe UI"/>
          <w:sz w:val="20"/>
          <w:szCs w:val="20"/>
        </w:rPr>
        <w:t>In addition, the MEL framework, including the logframe, has been socialised with delivery partners and country teams over the last few months.   The OCPP MEL team have introduced the MEL tools and reporting processes to delivery partners. To ask delivery partners to report on the old logframe in the next few months, and then ask them to report into the new one for the following year, would introduce confusion.</w:t>
      </w:r>
    </w:p>
    <w:p w:rsidRPr="00CB3379" w:rsidR="00CB3379" w:rsidP="005F3B37" w:rsidRDefault="00CB3379" w14:paraId="28E963C0" w14:textId="77777777">
      <w:pPr>
        <w:keepNext/>
        <w:keepLines/>
        <w:suppressAutoHyphens/>
        <w:spacing w:before="480" w:after="240" w:line="360" w:lineRule="atLeast"/>
        <w:ind w:left="851" w:right="-472" w:hanging="851"/>
        <w:outlineLvl w:val="0"/>
        <w:rPr>
          <w:rFonts w:ascii="Segoe UI" w:hAnsi="Segoe UI" w:eastAsia="MS Gothic" w:cs="Arial"/>
          <w:b/>
          <w:szCs w:val="28"/>
        </w:rPr>
      </w:pPr>
      <w:r w:rsidRPr="00CB3379">
        <w:rPr>
          <w:rFonts w:ascii="Segoe UI" w:hAnsi="Segoe UI" w:eastAsia="MS Gothic" w:cs="Arial"/>
          <w:b/>
          <w:szCs w:val="28"/>
        </w:rPr>
        <w:t>Proposed Approach</w:t>
      </w:r>
    </w:p>
    <w:p w:rsidRPr="00CB3379" w:rsidR="00CB3379" w:rsidP="005F3B37" w:rsidRDefault="00CB3379" w14:paraId="1CA48030" w14:textId="547A13FA">
      <w:pPr>
        <w:spacing w:after="240" w:line="280" w:lineRule="atLeast"/>
        <w:ind w:right="-472"/>
        <w:rPr>
          <w:rFonts w:ascii="Segoe UI" w:hAnsi="Segoe UI" w:eastAsia="Segoe UI"/>
          <w:b/>
          <w:sz w:val="20"/>
          <w:szCs w:val="20"/>
        </w:rPr>
      </w:pPr>
      <w:r w:rsidRPr="00CB3379">
        <w:rPr>
          <w:rFonts w:ascii="Segoe UI" w:hAnsi="Segoe UI" w:eastAsia="Segoe UI"/>
          <w:b/>
          <w:sz w:val="20"/>
          <w:szCs w:val="20"/>
        </w:rPr>
        <w:t xml:space="preserve">For the Y3 </w:t>
      </w:r>
      <w:r w:rsidR="00C14357">
        <w:rPr>
          <w:rFonts w:ascii="Segoe UI" w:hAnsi="Segoe UI" w:eastAsia="Segoe UI"/>
          <w:b/>
          <w:sz w:val="20"/>
          <w:szCs w:val="20"/>
        </w:rPr>
        <w:t>annual review</w:t>
      </w:r>
      <w:r w:rsidRPr="00CB3379">
        <w:rPr>
          <w:rFonts w:ascii="Segoe UI" w:hAnsi="Segoe UI" w:eastAsia="Segoe UI"/>
          <w:b/>
          <w:sz w:val="20"/>
          <w:szCs w:val="20"/>
        </w:rPr>
        <w:t xml:space="preserve">, we report the </w:t>
      </w:r>
      <w:r w:rsidRPr="00CB3379">
        <w:rPr>
          <w:rFonts w:ascii="Segoe UI" w:hAnsi="Segoe UI" w:eastAsia="Segoe UI"/>
          <w:b/>
          <w:i/>
          <w:sz w:val="20"/>
          <w:szCs w:val="20"/>
        </w:rPr>
        <w:t>progress</w:t>
      </w:r>
      <w:r w:rsidRPr="00CB3379">
        <w:rPr>
          <w:rFonts w:ascii="Segoe UI" w:hAnsi="Segoe UI" w:eastAsia="Segoe UI"/>
          <w:b/>
          <w:sz w:val="20"/>
          <w:szCs w:val="20"/>
        </w:rPr>
        <w:t xml:space="preserve"> OCPP has made towards the </w:t>
      </w:r>
      <w:r w:rsidRPr="00CB3379">
        <w:rPr>
          <w:rFonts w:ascii="Segoe UI" w:hAnsi="Segoe UI" w:eastAsia="Segoe UI"/>
          <w:b/>
          <w:bCs/>
          <w:sz w:val="20"/>
          <w:szCs w:val="20"/>
        </w:rPr>
        <w:t>Y</w:t>
      </w:r>
      <w:r w:rsidRPr="00CB3379">
        <w:rPr>
          <w:rFonts w:ascii="Segoe UI" w:hAnsi="Segoe UI" w:eastAsia="Segoe UI"/>
          <w:b/>
          <w:sz w:val="20"/>
          <w:szCs w:val="20"/>
        </w:rPr>
        <w:t xml:space="preserve">ear 4 (Y4) milestones that have been set in the new logframe. </w:t>
      </w:r>
    </w:p>
    <w:p w:rsidRPr="00CB3379" w:rsidR="00CB3379" w:rsidP="005F3B37" w:rsidRDefault="00CB3379" w14:paraId="6DD67731" w14:textId="77777777">
      <w:pPr>
        <w:spacing w:after="240" w:line="280" w:lineRule="atLeast"/>
        <w:ind w:right="-472"/>
        <w:rPr>
          <w:rFonts w:ascii="Segoe UI" w:hAnsi="Segoe UI" w:eastAsia="Segoe UI"/>
          <w:bCs/>
          <w:i/>
          <w:iCs/>
          <w:sz w:val="20"/>
          <w:szCs w:val="20"/>
        </w:rPr>
      </w:pPr>
      <w:r w:rsidRPr="00CB3379">
        <w:rPr>
          <w:rFonts w:ascii="Segoe UI" w:hAnsi="Segoe UI" w:eastAsia="Segoe UI"/>
          <w:bCs/>
          <w:i/>
          <w:iCs/>
          <w:sz w:val="20"/>
          <w:szCs w:val="20"/>
        </w:rPr>
        <w:t xml:space="preserve">As far as possible, data will be collated against all current logframe indicators for the entire reporting period. It is understood that there may be some gaps in data where new indicators have been introduced. </w:t>
      </w:r>
    </w:p>
    <w:p w:rsidRPr="00CB3379" w:rsidR="00CB3379" w:rsidP="005F3B37" w:rsidRDefault="00CB3379" w14:paraId="57A7971F" w14:textId="77777777">
      <w:pPr>
        <w:spacing w:after="240"/>
        <w:ind w:right="-472"/>
        <w:textAlignment w:val="baseline"/>
        <w:rPr>
          <w:rFonts w:ascii="Segoe UI" w:hAnsi="Segoe UI"/>
          <w:sz w:val="20"/>
          <w:szCs w:val="20"/>
          <w:lang w:eastAsia="en-GB"/>
        </w:rPr>
      </w:pPr>
      <w:r w:rsidRPr="00CB3379">
        <w:rPr>
          <w:rFonts w:ascii="Segoe UI" w:hAnsi="Segoe UI" w:cs="Segoe UI"/>
          <w:noProof/>
          <w:sz w:val="20"/>
          <w:szCs w:val="20"/>
          <w:lang w:eastAsia="en-GB"/>
        </w:rPr>
        <mc:AlternateContent>
          <mc:Choice Requires="wps">
            <w:drawing>
              <wp:anchor distT="0" distB="0" distL="114300" distR="114300" simplePos="0" relativeHeight="251658240" behindDoc="0" locked="0" layoutInCell="1" allowOverlap="1" wp14:anchorId="4882A68F" wp14:editId="0EF8C32C">
                <wp:simplePos x="0" y="0"/>
                <wp:positionH relativeFrom="column">
                  <wp:posOffset>3733165</wp:posOffset>
                </wp:positionH>
                <wp:positionV relativeFrom="paragraph">
                  <wp:posOffset>40640</wp:posOffset>
                </wp:positionV>
                <wp:extent cx="2600325" cy="2495550"/>
                <wp:effectExtent l="0" t="0" r="28575" b="19050"/>
                <wp:wrapSquare wrapText="bothSides"/>
                <wp:docPr id="624555137" name="Text Box 624555137"/>
                <wp:cNvGraphicFramePr/>
                <a:graphic xmlns:a="http://schemas.openxmlformats.org/drawingml/2006/main">
                  <a:graphicData uri="http://schemas.microsoft.com/office/word/2010/wordprocessingShape">
                    <wps:wsp>
                      <wps:cNvSpPr txBox="1"/>
                      <wps:spPr>
                        <a:xfrm>
                          <a:off x="0" y="0"/>
                          <a:ext cx="2600325" cy="2495550"/>
                        </a:xfrm>
                        <a:prstGeom prst="rect">
                          <a:avLst/>
                        </a:prstGeom>
                        <a:solidFill>
                          <a:srgbClr val="FFFFFF"/>
                        </a:solidFill>
                        <a:ln w="6350">
                          <a:solidFill>
                            <a:prstClr val="black"/>
                          </a:solidFill>
                        </a:ln>
                      </wps:spPr>
                      <wps:txbx>
                        <w:txbxContent>
                          <w:p w:rsidRPr="00110C86" w:rsidR="00CB3379" w:rsidP="00CB3379" w:rsidRDefault="00CB3379" w14:paraId="7A56B2FE" w14:textId="77777777">
                            <w:r w:rsidRPr="00110C86">
                              <w:rPr>
                                <w:b/>
                              </w:rPr>
                              <w:t>24/25 Milestone setting process</w:t>
                            </w:r>
                          </w:p>
                          <w:p w:rsidRPr="001C3BD1" w:rsidR="00CB3379" w:rsidP="001D265D" w:rsidRDefault="00CB3379" w14:paraId="6B1DA305" w14:textId="77777777">
                            <w:pPr>
                              <w:numPr>
                                <w:ilvl w:val="0"/>
                                <w:numId w:val="33"/>
                              </w:numPr>
                              <w:spacing w:after="240" w:line="280" w:lineRule="atLeast"/>
                              <w:ind w:left="284" w:hanging="295"/>
                            </w:pPr>
                            <w:r w:rsidRPr="001C3BD1">
                              <w:t>24/25 output milestones were set based on activities planned in that year</w:t>
                            </w:r>
                          </w:p>
                          <w:p w:rsidRPr="001C3BD1" w:rsidR="00CB3379" w:rsidP="001D265D" w:rsidRDefault="00CB3379" w14:paraId="6B03F49E" w14:textId="77777777">
                            <w:pPr>
                              <w:numPr>
                                <w:ilvl w:val="0"/>
                                <w:numId w:val="33"/>
                              </w:numPr>
                              <w:spacing w:after="240" w:line="280" w:lineRule="atLeast"/>
                              <w:ind w:left="284" w:hanging="295"/>
                            </w:pPr>
                            <w:r w:rsidRPr="001C3BD1">
                              <w:t>In general, they do not represent the cumulative results of previous years</w:t>
                            </w:r>
                          </w:p>
                          <w:p w:rsidRPr="001C3BD1" w:rsidR="00CB3379" w:rsidP="001D265D" w:rsidRDefault="00CB3379" w14:paraId="11CC50B4" w14:textId="77777777">
                            <w:pPr>
                              <w:numPr>
                                <w:ilvl w:val="0"/>
                                <w:numId w:val="33"/>
                              </w:numPr>
                              <w:spacing w:after="240" w:line="280" w:lineRule="atLeast"/>
                              <w:ind w:left="284" w:hanging="295"/>
                            </w:pPr>
                            <w:r w:rsidRPr="001C3BD1">
                              <w:t xml:space="preserve">However, for </w:t>
                            </w:r>
                            <w:r>
                              <w:t>T</w:t>
                            </w:r>
                            <w:r w:rsidRPr="001C3BD1">
                              <w:t>ype 3 indicators (see below), there is likely overlap between units counted in Y3 and Y4.</w:t>
                            </w:r>
                          </w:p>
                        </w:txbxContent>
                      </wps:txbx>
                      <wps:bodyPr rot="0" spcFirstLastPara="0" vertOverflow="overflow" horzOverflow="overflow" vert="horz" wrap="square" lIns="9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09D5968">
              <v:shapetype id="_x0000_t202" coordsize="21600,21600" o:spt="202" path="m,l,21600r21600,l21600,xe" w14:anchorId="4882A68F">
                <v:stroke joinstyle="miter"/>
                <v:path gradientshapeok="t" o:connecttype="rect"/>
              </v:shapetype>
              <v:shape id="Text Box 624555137" style="position:absolute;margin-left:293.95pt;margin-top:3.2pt;width:204.7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">
                <v:textbox inset="2.5mm">
                  <w:txbxContent>
                    <w:p w:rsidRPr="00110C86" w:rsidR="00CB3379" w:rsidP="00CB3379" w:rsidRDefault="00CB3379" w14:paraId="31CAA095" w14:textId="77777777">
                      <w:r w:rsidRPr="00110C86">
                        <w:rPr>
                          <w:b/>
                        </w:rPr>
                        <w:t>24/25 Milestone setting process</w:t>
                      </w:r>
                    </w:p>
                    <w:p w:rsidRPr="001C3BD1" w:rsidR="00CB3379" w:rsidP="001D265D" w:rsidRDefault="00CB3379" w14:paraId="53BFE155" w14:textId="77777777">
                      <w:pPr>
                        <w:numPr>
                          <w:ilvl w:val="0"/>
                          <w:numId w:val="33"/>
                        </w:numPr>
                        <w:spacing w:after="240" w:line="280" w:lineRule="atLeast"/>
                        <w:ind w:left="284" w:hanging="295"/>
                      </w:pPr>
                      <w:r w:rsidRPr="001C3BD1">
                        <w:t>24/25 output milestones were set based on activities planned in that year</w:t>
                      </w:r>
                    </w:p>
                    <w:p w:rsidRPr="001C3BD1" w:rsidR="00CB3379" w:rsidP="001D265D" w:rsidRDefault="00CB3379" w14:paraId="00A0B157" w14:textId="77777777">
                      <w:pPr>
                        <w:numPr>
                          <w:ilvl w:val="0"/>
                          <w:numId w:val="33"/>
                        </w:numPr>
                        <w:spacing w:after="240" w:line="280" w:lineRule="atLeast"/>
                        <w:ind w:left="284" w:hanging="295"/>
                      </w:pPr>
                      <w:r w:rsidRPr="001C3BD1">
                        <w:t>In general, they do not represent the cumulative results of previous years</w:t>
                      </w:r>
                    </w:p>
                    <w:p w:rsidRPr="001C3BD1" w:rsidR="00CB3379" w:rsidP="001D265D" w:rsidRDefault="00CB3379" w14:paraId="5F334227" w14:textId="77777777">
                      <w:pPr>
                        <w:numPr>
                          <w:ilvl w:val="0"/>
                          <w:numId w:val="33"/>
                        </w:numPr>
                        <w:spacing w:after="240" w:line="280" w:lineRule="atLeast"/>
                        <w:ind w:left="284" w:hanging="295"/>
                      </w:pPr>
                      <w:r w:rsidRPr="001C3BD1">
                        <w:t xml:space="preserve">However, for </w:t>
                      </w:r>
                      <w:r>
                        <w:t>T</w:t>
                      </w:r>
                      <w:r w:rsidRPr="001C3BD1">
                        <w:t>ype 3 indicators (see below), there is likely overlap between units counted in Y3 and Y4.</w:t>
                      </w:r>
                    </w:p>
                  </w:txbxContent>
                </v:textbox>
                <w10:wrap type="square"/>
              </v:shape>
            </w:pict>
          </mc:Fallback>
        </mc:AlternateContent>
      </w:r>
      <w:r w:rsidRPr="00CB3379">
        <w:rPr>
          <w:rFonts w:ascii="Segoe UI" w:hAnsi="Segoe UI"/>
          <w:sz w:val="20"/>
          <w:szCs w:val="20"/>
          <w:lang w:eastAsia="en-GB"/>
        </w:rPr>
        <w:t xml:space="preserve">This is the preferred option for the following reasons; </w:t>
      </w:r>
    </w:p>
    <w:p w:rsidRPr="00CB3379" w:rsidR="00CB3379" w:rsidP="001D265D" w:rsidRDefault="00CB3379" w14:paraId="535D7812" w14:textId="77777777">
      <w:pPr>
        <w:numPr>
          <w:ilvl w:val="0"/>
          <w:numId w:val="34"/>
        </w:numPr>
        <w:spacing w:after="240" w:line="280" w:lineRule="atLeast"/>
        <w:ind w:right="-472"/>
        <w:textAlignment w:val="baseline"/>
        <w:rPr>
          <w:rFonts w:ascii="Segoe UI" w:hAnsi="Segoe UI" w:cs="Segoe UI"/>
          <w:sz w:val="20"/>
          <w:szCs w:val="20"/>
          <w:lang w:eastAsia="en-GB"/>
        </w:rPr>
      </w:pPr>
      <w:r w:rsidRPr="00CB3379">
        <w:rPr>
          <w:rFonts w:ascii="Segoe UI" w:hAnsi="Segoe UI" w:cs="Segoe UI"/>
          <w:sz w:val="20"/>
          <w:szCs w:val="20"/>
          <w:lang w:eastAsia="en-GB"/>
        </w:rPr>
        <w:t>It supports integration of the new MEL framework into programme operations</w:t>
      </w:r>
    </w:p>
    <w:p w:rsidRPr="00CB3379" w:rsidR="00CB3379" w:rsidP="001D265D" w:rsidRDefault="00CB3379" w14:paraId="43D43563" w14:textId="77777777">
      <w:pPr>
        <w:numPr>
          <w:ilvl w:val="0"/>
          <w:numId w:val="34"/>
        </w:numPr>
        <w:spacing w:after="240" w:line="280" w:lineRule="atLeast"/>
        <w:ind w:right="-472"/>
        <w:textAlignment w:val="baseline"/>
        <w:rPr>
          <w:rFonts w:ascii="Segoe UI" w:hAnsi="Segoe UI" w:cs="Segoe UI"/>
          <w:sz w:val="20"/>
          <w:szCs w:val="20"/>
          <w:lang w:eastAsia="en-GB"/>
        </w:rPr>
      </w:pPr>
      <w:r w:rsidRPr="00CB3379">
        <w:rPr>
          <w:rFonts w:ascii="Segoe UI" w:hAnsi="Segoe UI" w:cs="Segoe UI"/>
          <w:sz w:val="20"/>
          <w:szCs w:val="20"/>
          <w:lang w:eastAsia="en-GB"/>
        </w:rPr>
        <w:t>Reduces the risk of poor performance against the new logframe due to lack of data for reporting (as teams have not been capturing data against the new indicators a significant proportion of the year)</w:t>
      </w:r>
    </w:p>
    <w:p w:rsidRPr="00CB3379" w:rsidR="00CB3379" w:rsidP="001D265D" w:rsidRDefault="00CB3379" w14:paraId="3F10F18E" w14:textId="77777777">
      <w:pPr>
        <w:numPr>
          <w:ilvl w:val="0"/>
          <w:numId w:val="34"/>
        </w:numPr>
        <w:spacing w:after="240" w:line="280" w:lineRule="atLeast"/>
        <w:ind w:right="-472"/>
        <w:textAlignment w:val="baseline"/>
        <w:rPr>
          <w:rFonts w:ascii="Segoe UI" w:hAnsi="Segoe UI" w:cs="Segoe UI"/>
          <w:sz w:val="20"/>
          <w:szCs w:val="20"/>
          <w:lang w:eastAsia="en-GB"/>
        </w:rPr>
      </w:pPr>
      <w:r w:rsidRPr="00CB3379">
        <w:rPr>
          <w:rFonts w:ascii="Segoe UI" w:hAnsi="Segoe UI" w:cs="Segoe UI"/>
          <w:sz w:val="20"/>
          <w:szCs w:val="20"/>
          <w:lang w:eastAsia="en-GB"/>
        </w:rPr>
        <w:t>Reduces the risk of inaccurate milestone / target setting for Y3</w:t>
      </w:r>
    </w:p>
    <w:p w:rsidRPr="00CB3379" w:rsidR="00CB3379" w:rsidP="001D265D" w:rsidRDefault="00CB3379" w14:paraId="080F9F38" w14:textId="77777777">
      <w:pPr>
        <w:numPr>
          <w:ilvl w:val="0"/>
          <w:numId w:val="34"/>
        </w:numPr>
        <w:spacing w:after="240" w:line="280" w:lineRule="atLeast"/>
        <w:ind w:right="-472"/>
        <w:textAlignment w:val="baseline"/>
        <w:rPr>
          <w:rFonts w:ascii="Segoe UI" w:hAnsi="Segoe UI" w:cs="Segoe UI"/>
          <w:sz w:val="20"/>
          <w:szCs w:val="20"/>
          <w:lang w:eastAsia="en-GB"/>
        </w:rPr>
      </w:pPr>
      <w:r w:rsidRPr="00CB3379">
        <w:rPr>
          <w:rFonts w:ascii="Segoe UI" w:hAnsi="Segoe UI" w:cs="Segoe UI"/>
          <w:sz w:val="20"/>
          <w:szCs w:val="20"/>
          <w:lang w:eastAsia="en-GB"/>
        </w:rPr>
        <w:t>Ensures we are not agreeing Y3 targets while the data is coming in (i.e. aligning targets to actuals before the reporting date)</w:t>
      </w:r>
    </w:p>
    <w:p w:rsidR="005F3B37" w:rsidP="001D265D" w:rsidRDefault="00CB3379" w14:paraId="24358DBA" w14:textId="77777777">
      <w:pPr>
        <w:numPr>
          <w:ilvl w:val="0"/>
          <w:numId w:val="34"/>
        </w:numPr>
        <w:spacing w:after="240" w:line="280" w:lineRule="atLeast"/>
        <w:ind w:right="-472"/>
        <w:textAlignment w:val="baseline"/>
        <w:rPr>
          <w:rFonts w:ascii="Segoe UI" w:hAnsi="Segoe UI" w:cs="Segoe UI"/>
          <w:sz w:val="20"/>
          <w:szCs w:val="20"/>
          <w:lang w:eastAsia="en-GB"/>
        </w:rPr>
      </w:pPr>
      <w:r w:rsidRPr="00CB3379">
        <w:rPr>
          <w:rFonts w:ascii="Segoe UI" w:hAnsi="Segoe UI" w:cs="Segoe UI"/>
          <w:sz w:val="20"/>
          <w:szCs w:val="20"/>
          <w:lang w:eastAsia="en-GB"/>
        </w:rPr>
        <w:t xml:space="preserve">It is less burdensome on the Programme Director’s/programme team’s time. </w:t>
      </w:r>
    </w:p>
    <w:p w:rsidRPr="00CB3379" w:rsidR="00CB3379" w:rsidP="005F3B37" w:rsidRDefault="00CB3379" w14:paraId="7EE4C8C7" w14:textId="23F2546A">
      <w:pPr>
        <w:spacing w:after="240" w:line="280" w:lineRule="atLeast"/>
        <w:ind w:left="360" w:right="-472"/>
        <w:textAlignment w:val="baseline"/>
        <w:rPr>
          <w:rFonts w:ascii="Segoe UI" w:hAnsi="Segoe UI" w:cs="Segoe UI"/>
          <w:sz w:val="20"/>
          <w:szCs w:val="20"/>
          <w:lang w:eastAsia="en-GB"/>
        </w:rPr>
      </w:pPr>
      <w:r w:rsidRPr="00CB3379">
        <w:rPr>
          <w:rFonts w:ascii="Segoe UI" w:hAnsi="Segoe UI" w:eastAsia="Segoe UI" w:cs="Segoe UI"/>
          <w:sz w:val="20"/>
          <w:szCs w:val="20"/>
        </w:rPr>
        <w:t xml:space="preserve">For this option, we propose a threshold-based scoring system for the Y3 </w:t>
      </w:r>
      <w:r w:rsidR="00C14357">
        <w:rPr>
          <w:rFonts w:ascii="Segoe UI" w:hAnsi="Segoe UI" w:eastAsia="Segoe UI" w:cs="Segoe UI"/>
          <w:sz w:val="20"/>
          <w:szCs w:val="20"/>
        </w:rPr>
        <w:t>a</w:t>
      </w:r>
      <w:r w:rsidRPr="00CB3379">
        <w:rPr>
          <w:rFonts w:ascii="Segoe UI" w:hAnsi="Segoe UI" w:eastAsia="Segoe UI" w:cs="Segoe UI"/>
          <w:sz w:val="20"/>
          <w:szCs w:val="20"/>
        </w:rPr>
        <w:t xml:space="preserve">nnual </w:t>
      </w:r>
      <w:r w:rsidR="00C14357">
        <w:rPr>
          <w:rFonts w:ascii="Segoe UI" w:hAnsi="Segoe UI" w:eastAsia="Segoe UI" w:cs="Segoe UI"/>
          <w:sz w:val="20"/>
          <w:szCs w:val="20"/>
        </w:rPr>
        <w:t>r</w:t>
      </w:r>
      <w:r w:rsidRPr="00CB3379">
        <w:rPr>
          <w:rFonts w:ascii="Segoe UI" w:hAnsi="Segoe UI" w:eastAsia="Segoe UI" w:cs="Segoe UI"/>
          <w:sz w:val="20"/>
          <w:szCs w:val="20"/>
        </w:rPr>
        <w:t xml:space="preserve">eview. The new OCPP logframe includes three types of indicator / milestone at output level which would require slightly different threshold approaches.  The approach to scoring each type will need to be consistent across the three types of indicators reflected on the logframe per the below table. To ensure consistency, </w:t>
      </w:r>
      <w:r w:rsidRPr="00CB3379">
        <w:rPr>
          <w:rFonts w:ascii="Segoe UI" w:hAnsi="Segoe UI" w:eastAsia="Segoe UI" w:cs="Segoe UI"/>
          <w:b/>
          <w:sz w:val="20"/>
          <w:szCs w:val="20"/>
        </w:rPr>
        <w:t xml:space="preserve">we will set Y3 </w:t>
      </w:r>
      <w:r w:rsidRPr="00CB3379">
        <w:rPr>
          <w:rFonts w:ascii="Segoe UI" w:hAnsi="Segoe UI" w:eastAsia="Segoe UI" w:cs="Segoe UI"/>
          <w:b/>
          <w:sz w:val="20"/>
          <w:szCs w:val="20"/>
          <w:u w:val="single"/>
        </w:rPr>
        <w:t>performance thresholds</w:t>
      </w:r>
      <w:r w:rsidRPr="00CB3379">
        <w:rPr>
          <w:rFonts w:ascii="Segoe UI" w:hAnsi="Segoe UI" w:eastAsia="Segoe UI" w:cs="Segoe UI"/>
          <w:b/>
          <w:sz w:val="20"/>
          <w:szCs w:val="20"/>
        </w:rPr>
        <w:t xml:space="preserve"> against the Y4 milestones.</w:t>
      </w:r>
      <w:r w:rsidRPr="00CB3379">
        <w:rPr>
          <w:rFonts w:ascii="Segoe UI" w:hAnsi="Segoe UI" w:eastAsia="Segoe UI" w:cs="Segoe UI"/>
          <w:sz w:val="20"/>
          <w:szCs w:val="20"/>
        </w:rPr>
        <w:t xml:space="preserve"> For example, an indicator achieving 50% of Y4 milestone in Y3 would be a ‘B’; 60% would be an ‘A.’ All thresholds would be discussed and agreed with Defra prior to the reporting/data collection period. The proposed thresholds are as follows, with further explanation below.</w:t>
      </w:r>
    </w:p>
    <w:tbl>
      <w:tblPr>
        <w:tblStyle w:val="TableGrid1"/>
        <w:tblW w:w="0" w:type="auto"/>
        <w:tblLook w:val="04A0" w:firstRow="1" w:lastRow="0" w:firstColumn="1" w:lastColumn="0" w:noHBand="0" w:noVBand="1"/>
      </w:tblPr>
      <w:tblGrid>
        <w:gridCol w:w="4502"/>
        <w:gridCol w:w="4514"/>
      </w:tblGrid>
      <w:tr w:rsidRPr="00CB3379" w:rsidR="00CB3379" w:rsidTr="00CB3379" w14:paraId="01DC8BEA" w14:textId="77777777">
        <w:tc>
          <w:tcPr>
            <w:tcW w:w="4927" w:type="dxa"/>
            <w:shd w:val="clear" w:color="auto" w:fill="BA1223"/>
          </w:tcPr>
          <w:p w:rsidRPr="00CB3379" w:rsidR="00CB3379" w:rsidP="005F3B37" w:rsidRDefault="00CB3379" w14:paraId="29F76DE9" w14:textId="77777777">
            <w:pPr>
              <w:ind w:right="-472"/>
              <w:textAlignment w:val="baseline"/>
              <w:rPr>
                <w:rFonts w:ascii="Segoe UI" w:hAnsi="Segoe UI" w:cs="Segoe UI"/>
                <w:b/>
                <w:bCs/>
                <w:color w:val="FFFFFF"/>
                <w:sz w:val="20"/>
                <w:szCs w:val="20"/>
                <w:lang w:eastAsia="en-GB"/>
              </w:rPr>
            </w:pPr>
            <w:r w:rsidRPr="00CB3379">
              <w:rPr>
                <w:rFonts w:ascii="Segoe UI" w:hAnsi="Segoe UI" w:cs="Segoe UI"/>
                <w:b/>
                <w:bCs/>
                <w:color w:val="FFFFFF"/>
                <w:sz w:val="20"/>
                <w:szCs w:val="20"/>
                <w:lang w:eastAsia="en-GB"/>
              </w:rPr>
              <w:t>Type of indicator / milestone</w:t>
            </w:r>
          </w:p>
        </w:tc>
        <w:tc>
          <w:tcPr>
            <w:tcW w:w="4927" w:type="dxa"/>
            <w:shd w:val="clear" w:color="auto" w:fill="BA1223"/>
          </w:tcPr>
          <w:p w:rsidRPr="00CB3379" w:rsidR="00CB3379" w:rsidP="005F3B37" w:rsidRDefault="00CB3379" w14:paraId="14404D27" w14:textId="77777777">
            <w:pPr>
              <w:ind w:right="-472"/>
              <w:textAlignment w:val="baseline"/>
              <w:rPr>
                <w:rFonts w:ascii="Segoe UI" w:hAnsi="Segoe UI" w:cs="Segoe UI"/>
                <w:b/>
                <w:bCs/>
                <w:color w:val="FFFFFF"/>
                <w:sz w:val="20"/>
                <w:szCs w:val="20"/>
                <w:lang w:eastAsia="en-GB"/>
              </w:rPr>
            </w:pPr>
            <w:r w:rsidRPr="00CB3379">
              <w:rPr>
                <w:rFonts w:ascii="Segoe UI" w:hAnsi="Segoe UI" w:cs="Segoe UI"/>
                <w:b/>
                <w:bCs/>
                <w:color w:val="FFFFFF"/>
                <w:sz w:val="20"/>
                <w:szCs w:val="20"/>
                <w:lang w:eastAsia="en-GB"/>
              </w:rPr>
              <w:t>Proposed thresholds</w:t>
            </w:r>
          </w:p>
        </w:tc>
      </w:tr>
      <w:tr w:rsidRPr="00CB3379" w:rsidR="00CB3379" w:rsidTr="007F2797" w14:paraId="7706357B" w14:textId="77777777">
        <w:tc>
          <w:tcPr>
            <w:tcW w:w="4927" w:type="dxa"/>
          </w:tcPr>
          <w:p w:rsidRPr="00CB3379" w:rsidR="00CB3379" w:rsidP="005F3B37" w:rsidRDefault="00CB3379" w14:paraId="04F05313" w14:textId="77777777">
            <w:pPr>
              <w:ind w:right="-472"/>
              <w:textAlignment w:val="baseline"/>
              <w:rPr>
                <w:rFonts w:ascii="Segoe UI" w:hAnsi="Segoe UI" w:cs="Segoe UI"/>
                <w:sz w:val="20"/>
                <w:szCs w:val="20"/>
                <w:lang w:val="en-GB" w:eastAsia="en-GB"/>
              </w:rPr>
            </w:pPr>
            <w:r w:rsidRPr="00CB3379">
              <w:rPr>
                <w:rFonts w:ascii="Segoe UI" w:hAnsi="Segoe UI" w:cs="Segoe UI"/>
                <w:sz w:val="20"/>
                <w:szCs w:val="20"/>
                <w:lang w:val="en-GB" w:eastAsia="en-GB"/>
              </w:rPr>
              <w:t>Type 1:</w:t>
            </w:r>
            <w:r w:rsidRPr="00CB3379">
              <w:rPr>
                <w:rFonts w:ascii="Segoe UI" w:hAnsi="Segoe UI" w:cs="Segoe UI"/>
                <w:lang w:val="en-GB" w:eastAsia="en-GB"/>
              </w:rPr>
              <w:t xml:space="preserve"> </w:t>
            </w:r>
            <w:r w:rsidRPr="00CB3379">
              <w:rPr>
                <w:rFonts w:ascii="Segoe UI" w:hAnsi="Segoe UI" w:cs="Segoe UI"/>
                <w:sz w:val="20"/>
                <w:szCs w:val="20"/>
                <w:lang w:val="en-GB" w:eastAsia="en-GB"/>
              </w:rPr>
              <w:t>Flat targets, which don’t change over time</w:t>
            </w:r>
          </w:p>
        </w:tc>
        <w:tc>
          <w:tcPr>
            <w:tcW w:w="4927" w:type="dxa"/>
          </w:tcPr>
          <w:p w:rsidRPr="00CB3379" w:rsidR="00CB3379" w:rsidP="005F3B37" w:rsidRDefault="00CB3379" w14:paraId="12AFA2D3" w14:textId="77777777">
            <w:pPr>
              <w:ind w:right="-472"/>
              <w:textAlignment w:val="baseline"/>
              <w:rPr>
                <w:rFonts w:ascii="Segoe UI" w:hAnsi="Segoe UI" w:cs="Segoe UI"/>
                <w:sz w:val="20"/>
                <w:szCs w:val="20"/>
                <w:lang w:val="en-GB" w:eastAsia="en-GB"/>
              </w:rPr>
            </w:pPr>
            <w:r w:rsidRPr="00CB3379">
              <w:rPr>
                <w:rFonts w:ascii="Segoe UI" w:hAnsi="Segoe UI" w:cs="Segoe UI"/>
                <w:sz w:val="20"/>
                <w:szCs w:val="20"/>
                <w:lang w:val="en-GB" w:eastAsia="en-GB"/>
              </w:rPr>
              <w:t>As set by indicator (e.g. 80% of participants)</w:t>
            </w:r>
          </w:p>
        </w:tc>
      </w:tr>
      <w:tr w:rsidRPr="00CB3379" w:rsidR="00CB3379" w:rsidTr="007F2797" w14:paraId="409CBCBD" w14:textId="77777777">
        <w:tc>
          <w:tcPr>
            <w:tcW w:w="4927" w:type="dxa"/>
          </w:tcPr>
          <w:p w:rsidRPr="00CB3379" w:rsidR="00CB3379" w:rsidP="005F3B37" w:rsidRDefault="00CB3379" w14:paraId="443EB385" w14:textId="77777777">
            <w:pPr>
              <w:ind w:right="-472"/>
              <w:textAlignment w:val="baseline"/>
              <w:rPr>
                <w:rFonts w:ascii="Segoe UI" w:hAnsi="Segoe UI" w:cs="Segoe UI"/>
                <w:sz w:val="20"/>
                <w:szCs w:val="20"/>
                <w:lang w:val="en-GB" w:eastAsia="en-GB"/>
              </w:rPr>
            </w:pPr>
            <w:r w:rsidRPr="00CB3379">
              <w:rPr>
                <w:rFonts w:ascii="Segoe UI" w:hAnsi="Segoe UI" w:cs="Segoe UI"/>
                <w:sz w:val="20"/>
                <w:szCs w:val="20"/>
                <w:lang w:val="en-GB" w:eastAsia="en-GB"/>
              </w:rPr>
              <w:t>Type 2:</w:t>
            </w:r>
            <w:r w:rsidRPr="00CB3379">
              <w:rPr>
                <w:rFonts w:ascii="Segoe UI" w:hAnsi="Segoe UI" w:cs="Segoe UI"/>
                <w:lang w:val="en-GB" w:eastAsia="en-GB"/>
              </w:rPr>
              <w:t xml:space="preserve"> </w:t>
            </w:r>
            <w:r w:rsidRPr="00CB3379">
              <w:rPr>
                <w:rFonts w:ascii="Segoe UI" w:hAnsi="Segoe UI" w:cs="Segoe UI"/>
                <w:sz w:val="20"/>
                <w:szCs w:val="20"/>
                <w:lang w:val="en-GB" w:eastAsia="en-GB"/>
              </w:rPr>
              <w:t>Cumulative targets with discreet, per annum milestones</w:t>
            </w:r>
          </w:p>
        </w:tc>
        <w:tc>
          <w:tcPr>
            <w:tcW w:w="4927" w:type="dxa"/>
          </w:tcPr>
          <w:p w:rsidRPr="00CB3379" w:rsidR="00CB3379" w:rsidP="005F3B37" w:rsidRDefault="00CB3379" w14:paraId="3479D2E7" w14:textId="77777777">
            <w:pPr>
              <w:ind w:right="-472"/>
              <w:textAlignment w:val="baseline"/>
              <w:rPr>
                <w:rFonts w:ascii="Segoe UI" w:hAnsi="Segoe UI" w:cs="Segoe UI"/>
                <w:sz w:val="20"/>
                <w:szCs w:val="20"/>
                <w:lang w:val="en-GB" w:eastAsia="en-GB"/>
              </w:rPr>
            </w:pPr>
            <w:r w:rsidRPr="00CB3379">
              <w:rPr>
                <w:rFonts w:ascii="Segoe UI" w:hAnsi="Segoe UI" w:cs="Segoe UI"/>
                <w:sz w:val="20"/>
                <w:szCs w:val="20"/>
                <w:lang w:val="en-GB" w:eastAsia="en-GB"/>
              </w:rPr>
              <w:t>60% of Y4 target = B, 70% of Y4 target = A</w:t>
            </w:r>
          </w:p>
        </w:tc>
      </w:tr>
      <w:tr w:rsidRPr="00CB3379" w:rsidR="00CB3379" w:rsidTr="007F2797" w14:paraId="7E8996CD" w14:textId="77777777">
        <w:tc>
          <w:tcPr>
            <w:tcW w:w="4927" w:type="dxa"/>
          </w:tcPr>
          <w:p w:rsidRPr="00CB3379" w:rsidR="00CB3379" w:rsidP="005F3B37" w:rsidRDefault="00CB3379" w14:paraId="580169D0" w14:textId="77777777">
            <w:pPr>
              <w:ind w:right="-472"/>
              <w:textAlignment w:val="baseline"/>
              <w:rPr>
                <w:rFonts w:ascii="Segoe UI" w:hAnsi="Segoe UI" w:cs="Segoe UI"/>
                <w:sz w:val="20"/>
                <w:szCs w:val="20"/>
                <w:lang w:val="en-GB" w:eastAsia="en-GB"/>
              </w:rPr>
            </w:pPr>
            <w:r w:rsidRPr="00CB3379">
              <w:rPr>
                <w:rFonts w:ascii="Segoe UI" w:hAnsi="Segoe UI" w:cs="Segoe UI"/>
                <w:sz w:val="20"/>
                <w:szCs w:val="20"/>
                <w:lang w:val="en-GB" w:eastAsia="en-GB"/>
              </w:rPr>
              <w:t>Type 3:</w:t>
            </w:r>
            <w:r w:rsidRPr="00CB3379">
              <w:rPr>
                <w:rFonts w:ascii="Segoe UI" w:hAnsi="Segoe UI" w:cs="Segoe UI"/>
                <w:lang w:val="en-GB" w:eastAsia="en-GB"/>
              </w:rPr>
              <w:t xml:space="preserve"> </w:t>
            </w:r>
            <w:r w:rsidRPr="00CB3379">
              <w:rPr>
                <w:rFonts w:ascii="Segoe UI" w:hAnsi="Segoe UI" w:cs="Segoe UI"/>
                <w:sz w:val="20"/>
                <w:szCs w:val="20"/>
                <w:lang w:val="en-GB" w:eastAsia="en-GB"/>
              </w:rPr>
              <w:t xml:space="preserve">Cumulative targets with the potential for overlap or double counting across </w:t>
            </w:r>
          </w:p>
        </w:tc>
        <w:tc>
          <w:tcPr>
            <w:tcW w:w="4927" w:type="dxa"/>
          </w:tcPr>
          <w:p w:rsidRPr="00CB3379" w:rsidR="00CB3379" w:rsidP="005F3B37" w:rsidRDefault="00CB3379" w14:paraId="49453185" w14:textId="77777777">
            <w:pPr>
              <w:ind w:right="-472"/>
              <w:textAlignment w:val="baseline"/>
              <w:rPr>
                <w:rFonts w:ascii="Segoe UI" w:hAnsi="Segoe UI" w:cs="Segoe UI"/>
                <w:sz w:val="20"/>
                <w:szCs w:val="20"/>
                <w:lang w:val="en-GB" w:eastAsia="en-GB"/>
              </w:rPr>
            </w:pPr>
            <w:r w:rsidRPr="00CB3379">
              <w:rPr>
                <w:rFonts w:ascii="Segoe UI" w:hAnsi="Segoe UI" w:cs="Segoe UI"/>
                <w:sz w:val="20"/>
                <w:szCs w:val="20"/>
                <w:lang w:val="en-GB" w:eastAsia="en-GB"/>
              </w:rPr>
              <w:t>50% of Y4 target = B, 60% of Y4 target = A</w:t>
            </w:r>
          </w:p>
        </w:tc>
      </w:tr>
    </w:tbl>
    <w:p w:rsidRPr="00CB3379" w:rsidR="00CB3379" w:rsidP="001D265D" w:rsidRDefault="00CB3379" w14:paraId="7F6B2E5B" w14:textId="77777777">
      <w:pPr>
        <w:numPr>
          <w:ilvl w:val="0"/>
          <w:numId w:val="35"/>
        </w:numPr>
        <w:spacing w:after="240" w:line="280" w:lineRule="atLeast"/>
        <w:ind w:left="0" w:right="-472" w:firstLine="0"/>
        <w:textAlignment w:val="baseline"/>
        <w:rPr>
          <w:rFonts w:ascii="Segoe UI" w:hAnsi="Segoe UI" w:eastAsia="Segoe UI" w:cs="Segoe UI"/>
          <w:sz w:val="20"/>
          <w:szCs w:val="20"/>
        </w:rPr>
      </w:pPr>
      <w:r w:rsidRPr="00CB3379">
        <w:rPr>
          <w:rFonts w:ascii="Segoe UI" w:hAnsi="Segoe UI" w:cs="Segoe UI"/>
          <w:b/>
          <w:bCs/>
          <w:sz w:val="20"/>
          <w:szCs w:val="20"/>
          <w:lang w:eastAsia="en-GB"/>
        </w:rPr>
        <w:t>Type 1: The flat targets, which don’t change over time.</w:t>
      </w:r>
    </w:p>
    <w:p w:rsidRPr="00CB3379" w:rsidR="00CB3379" w:rsidP="001D265D" w:rsidRDefault="00CB3379" w14:paraId="4DDE4AE0" w14:textId="77777777">
      <w:pPr>
        <w:numPr>
          <w:ilvl w:val="2"/>
          <w:numId w:val="34"/>
        </w:numPr>
        <w:spacing w:after="240" w:line="280" w:lineRule="atLeast"/>
        <w:ind w:left="1074" w:right="-472"/>
        <w:textAlignment w:val="baseline"/>
        <w:rPr>
          <w:rFonts w:ascii="Segoe UI" w:hAnsi="Segoe UI" w:cs="Segoe UI"/>
          <w:sz w:val="20"/>
          <w:szCs w:val="20"/>
          <w:lang w:eastAsia="en-GB"/>
        </w:rPr>
      </w:pPr>
      <w:r w:rsidRPr="00CB3379">
        <w:rPr>
          <w:rFonts w:ascii="Segoe UI" w:hAnsi="Segoe UI" w:cs="Segoe UI"/>
          <w:sz w:val="20"/>
          <w:szCs w:val="20"/>
          <w:lang w:eastAsia="en-GB"/>
        </w:rPr>
        <w:t>Example - output indicator 1.1 (‘participants report increased knowledge’): we would measure 80% of all participants, whether that 80% is from a sample of 1,600 or a sample of 10 participants. Other flat targets include: 2.2 (‘% of outputs’).</w:t>
      </w:r>
    </w:p>
    <w:p w:rsidRPr="00CB3379" w:rsidR="00CB3379" w:rsidP="001D265D" w:rsidRDefault="00CB3379" w14:paraId="63EB49EA" w14:textId="2F5DF2E9">
      <w:pPr>
        <w:numPr>
          <w:ilvl w:val="2"/>
          <w:numId w:val="34"/>
        </w:numPr>
        <w:spacing w:after="240" w:line="280" w:lineRule="atLeast"/>
        <w:ind w:left="1074" w:right="-472"/>
        <w:textAlignment w:val="baseline"/>
        <w:rPr>
          <w:rFonts w:ascii="Segoe UI" w:hAnsi="Segoe UI" w:cs="Segoe UI"/>
          <w:sz w:val="20"/>
          <w:szCs w:val="20"/>
          <w:lang w:eastAsia="en-GB"/>
        </w:rPr>
      </w:pPr>
      <w:r w:rsidRPr="00CB3379">
        <w:rPr>
          <w:rFonts w:ascii="Segoe UI" w:hAnsi="Segoe UI" w:cs="Segoe UI"/>
          <w:b/>
          <w:bCs/>
          <w:sz w:val="20"/>
          <w:szCs w:val="20"/>
          <w:lang w:eastAsia="en-GB"/>
        </w:rPr>
        <w:t>Annual review scoring:</w:t>
      </w:r>
      <w:r w:rsidRPr="00CB3379">
        <w:rPr>
          <w:rFonts w:ascii="Segoe UI" w:hAnsi="Segoe UI" w:cs="Segoe UI"/>
          <w:sz w:val="20"/>
          <w:szCs w:val="20"/>
          <w:lang w:eastAsia="en-GB"/>
        </w:rPr>
        <w:t xml:space="preserve"> to assess progress against these, we can use the thresholds (e.g. %) already set in the logframe. If we find in Y3 that we are below the threshold, we </w:t>
      </w:r>
      <w:r w:rsidRPr="00CB3379" w:rsidR="00D1172F">
        <w:rPr>
          <w:rFonts w:ascii="Segoe UI" w:hAnsi="Segoe UI" w:cs="Segoe UI"/>
          <w:sz w:val="20"/>
          <w:szCs w:val="20"/>
          <w:lang w:eastAsia="en-GB"/>
        </w:rPr>
        <w:t>recommend</w:t>
      </w:r>
      <w:r w:rsidRPr="00CB3379" w:rsidR="00F971BD">
        <w:rPr>
          <w:rFonts w:ascii="Segoe UI" w:hAnsi="Segoe UI" w:cs="Segoe UI"/>
          <w:sz w:val="20"/>
          <w:szCs w:val="20"/>
          <w:lang w:eastAsia="en-GB"/>
        </w:rPr>
        <w:t xml:space="preserve"> that</w:t>
      </w:r>
      <w:r w:rsidRPr="00CB3379">
        <w:rPr>
          <w:rFonts w:ascii="Segoe UI" w:hAnsi="Segoe UI" w:cs="Segoe UI"/>
          <w:sz w:val="20"/>
          <w:szCs w:val="20"/>
          <w:lang w:eastAsia="en-GB"/>
        </w:rPr>
        <w:t xml:space="preserve"> the target is reviewed and adjusted in subsequent years if agreed the threshold/target is too high.</w:t>
      </w:r>
    </w:p>
    <w:p w:rsidRPr="00CB3379" w:rsidR="00CB3379" w:rsidP="001D265D" w:rsidRDefault="00CB3379" w14:paraId="547F8E57" w14:textId="77777777">
      <w:pPr>
        <w:numPr>
          <w:ilvl w:val="2"/>
          <w:numId w:val="34"/>
        </w:numPr>
        <w:spacing w:after="240" w:line="280" w:lineRule="atLeast"/>
        <w:ind w:left="1074" w:right="-472"/>
        <w:textAlignment w:val="baseline"/>
        <w:rPr>
          <w:rFonts w:ascii="Segoe UI" w:hAnsi="Segoe UI" w:cs="Segoe UI"/>
          <w:sz w:val="20"/>
          <w:szCs w:val="20"/>
          <w:lang w:eastAsia="en-GB"/>
        </w:rPr>
      </w:pPr>
      <w:r w:rsidRPr="00CB3379">
        <w:rPr>
          <w:rFonts w:ascii="Segoe UI" w:hAnsi="Segoe UI" w:cs="Segoe UI"/>
          <w:b/>
          <w:bCs/>
          <w:sz w:val="20"/>
          <w:szCs w:val="20"/>
          <w:lang w:eastAsia="en-GB"/>
        </w:rPr>
        <w:t>Proposed Y3 scoring threshold</w:t>
      </w:r>
      <w:r w:rsidRPr="00CB3379">
        <w:rPr>
          <w:rFonts w:ascii="Segoe UI" w:hAnsi="Segoe UI" w:cs="Segoe UI"/>
          <w:sz w:val="20"/>
          <w:szCs w:val="20"/>
          <w:lang w:eastAsia="en-GB"/>
        </w:rPr>
        <w:t>: as set per indicator.</w:t>
      </w:r>
    </w:p>
    <w:p w:rsidRPr="00CB3379" w:rsidR="00CB3379" w:rsidP="001D265D" w:rsidRDefault="00CB3379" w14:paraId="3C8494DE" w14:textId="77777777">
      <w:pPr>
        <w:numPr>
          <w:ilvl w:val="0"/>
          <w:numId w:val="35"/>
        </w:numPr>
        <w:spacing w:after="240" w:line="280" w:lineRule="atLeast"/>
        <w:ind w:left="0" w:right="-472" w:firstLine="0"/>
        <w:textAlignment w:val="baseline"/>
        <w:rPr>
          <w:rFonts w:ascii="Segoe UI" w:hAnsi="Segoe UI" w:cs="Segoe UI"/>
          <w:b/>
          <w:sz w:val="20"/>
          <w:szCs w:val="20"/>
          <w:lang w:eastAsia="en-GB"/>
        </w:rPr>
      </w:pPr>
      <w:r w:rsidRPr="00CB3379">
        <w:rPr>
          <w:rFonts w:ascii="Segoe UI" w:hAnsi="Segoe UI" w:cs="Segoe UI"/>
          <w:b/>
          <w:sz w:val="20"/>
          <w:szCs w:val="20"/>
          <w:lang w:eastAsia="en-GB"/>
        </w:rPr>
        <w:t>Type 2: Cumulative targets with discreet, per annum milestones</w:t>
      </w:r>
    </w:p>
    <w:p w:rsidRPr="00CB3379" w:rsidR="00CB3379" w:rsidP="001D265D" w:rsidRDefault="00CB3379" w14:paraId="454FECC1" w14:textId="77777777">
      <w:pPr>
        <w:numPr>
          <w:ilvl w:val="2"/>
          <w:numId w:val="34"/>
        </w:numPr>
        <w:spacing w:after="240" w:line="280" w:lineRule="atLeast"/>
        <w:ind w:left="1074" w:right="-472"/>
        <w:textAlignment w:val="baseline"/>
        <w:rPr>
          <w:rFonts w:ascii="Segoe UI" w:hAnsi="Segoe UI" w:cs="Segoe UI"/>
          <w:sz w:val="20"/>
          <w:szCs w:val="20"/>
          <w:lang w:eastAsia="en-GB"/>
        </w:rPr>
      </w:pPr>
      <w:r w:rsidRPr="00CB3379">
        <w:rPr>
          <w:rFonts w:ascii="Segoe UI" w:hAnsi="Segoe UI" w:cs="Segoe UI"/>
          <w:sz w:val="20"/>
          <w:szCs w:val="20"/>
          <w:lang w:eastAsia="en-GB"/>
        </w:rPr>
        <w:t xml:space="preserve">Milestones are based on activities carried out within a specific year with no potential for duplication, double counting or overlap with previous or subsequent years. </w:t>
      </w:r>
    </w:p>
    <w:p w:rsidRPr="00CB3379" w:rsidR="00CB3379" w:rsidP="001D265D" w:rsidRDefault="00CB3379" w14:paraId="263A755E" w14:textId="77777777">
      <w:pPr>
        <w:numPr>
          <w:ilvl w:val="2"/>
          <w:numId w:val="34"/>
        </w:numPr>
        <w:spacing w:after="240" w:line="280" w:lineRule="atLeast"/>
        <w:ind w:left="1074" w:right="-472"/>
        <w:textAlignment w:val="baseline"/>
        <w:rPr>
          <w:rFonts w:ascii="Segoe UI" w:hAnsi="Segoe UI" w:cs="Segoe UI"/>
          <w:sz w:val="20"/>
          <w:szCs w:val="20"/>
          <w:lang w:eastAsia="en-GB"/>
        </w:rPr>
      </w:pPr>
      <w:r w:rsidRPr="00CB3379">
        <w:rPr>
          <w:rFonts w:ascii="Segoe UI" w:hAnsi="Segoe UI" w:cs="Segoe UI"/>
          <w:sz w:val="20"/>
          <w:szCs w:val="20"/>
          <w:lang w:eastAsia="en-GB"/>
        </w:rPr>
        <w:t>Example - output indicators capturing the delivery of specific products such as 2.1 (‘number of outputs’); 3.1 (‘number of datasets’); 3.4 (‘Scientific papers, reports...’); 4.1 (‘number of MoUs’); 4.3 (‘number of in-country coalitions’).</w:t>
      </w:r>
    </w:p>
    <w:p w:rsidRPr="00CB3379" w:rsidR="00CB3379" w:rsidP="001D265D" w:rsidRDefault="00CB3379" w14:paraId="2BB5550A" w14:textId="77777777">
      <w:pPr>
        <w:numPr>
          <w:ilvl w:val="2"/>
          <w:numId w:val="34"/>
        </w:numPr>
        <w:spacing w:after="240" w:line="280" w:lineRule="atLeast"/>
        <w:ind w:left="1074" w:right="-472"/>
        <w:textAlignment w:val="baseline"/>
        <w:rPr>
          <w:rFonts w:ascii="Segoe UI" w:hAnsi="Segoe UI" w:eastAsia="Segoe UI" w:cs="Segoe UI"/>
          <w:sz w:val="20"/>
          <w:szCs w:val="20"/>
        </w:rPr>
      </w:pPr>
      <w:r w:rsidRPr="00CB3379">
        <w:rPr>
          <w:rFonts w:ascii="Segoe UI" w:hAnsi="Segoe UI" w:cs="Segoe UI"/>
          <w:sz w:val="20"/>
          <w:szCs w:val="20"/>
          <w:lang w:eastAsia="en-GB"/>
        </w:rPr>
        <w:t xml:space="preserve">Y4 milestones have been set based on estimated activities within that year (24/25). Reporting progress towards these milestones in Y3 decreases the risk of not achieving Y4 milestones which can be raised following the annual review to demonstrate increased ambition if required. </w:t>
      </w:r>
    </w:p>
    <w:p w:rsidRPr="00CB3379" w:rsidR="00CB3379" w:rsidP="001D265D" w:rsidRDefault="00CB3379" w14:paraId="668C3BD2" w14:textId="4A609DE0">
      <w:pPr>
        <w:numPr>
          <w:ilvl w:val="2"/>
          <w:numId w:val="34"/>
        </w:numPr>
        <w:spacing w:after="240" w:line="280" w:lineRule="atLeast"/>
        <w:ind w:left="1074" w:right="-472"/>
        <w:textAlignment w:val="baseline"/>
        <w:rPr>
          <w:rFonts w:ascii="Segoe UI" w:hAnsi="Segoe UI" w:cs="Segoe UI"/>
          <w:sz w:val="20"/>
          <w:szCs w:val="20"/>
          <w:lang w:eastAsia="en-GB"/>
        </w:rPr>
      </w:pPr>
      <w:r w:rsidRPr="00CB3379">
        <w:rPr>
          <w:rFonts w:ascii="Segoe UI" w:hAnsi="Segoe UI" w:cs="Segoe UI"/>
          <w:sz w:val="20"/>
          <w:szCs w:val="20"/>
          <w:lang w:eastAsia="en-GB"/>
        </w:rPr>
        <w:t xml:space="preserve">Given that Y3 milestones are likely to be </w:t>
      </w:r>
      <w:r w:rsidRPr="00CB3379" w:rsidR="00CC5950">
        <w:rPr>
          <w:rFonts w:ascii="Segoe UI" w:hAnsi="Segoe UI" w:cs="Segoe UI"/>
          <w:sz w:val="20"/>
          <w:szCs w:val="20"/>
          <w:lang w:eastAsia="en-GB"/>
        </w:rPr>
        <w:t>like</w:t>
      </w:r>
      <w:r w:rsidRPr="00CB3379">
        <w:rPr>
          <w:rFonts w:ascii="Segoe UI" w:hAnsi="Segoe UI" w:cs="Segoe UI"/>
          <w:sz w:val="20"/>
          <w:szCs w:val="20"/>
          <w:lang w:eastAsia="en-GB"/>
        </w:rPr>
        <w:t xml:space="preserve"> Y4 estimates, annual review scoring would be based on a higher threshold than existing cumulative targets.</w:t>
      </w:r>
    </w:p>
    <w:p w:rsidRPr="00CB3379" w:rsidR="00CB3379" w:rsidP="001D265D" w:rsidRDefault="00CB3379" w14:paraId="2CDFC34D" w14:textId="77777777">
      <w:pPr>
        <w:numPr>
          <w:ilvl w:val="2"/>
          <w:numId w:val="34"/>
        </w:numPr>
        <w:spacing w:after="240" w:line="280" w:lineRule="atLeast"/>
        <w:ind w:left="1074" w:right="-472"/>
        <w:textAlignment w:val="baseline"/>
        <w:rPr>
          <w:rFonts w:ascii="Segoe UI" w:hAnsi="Segoe UI" w:cs="Segoe UI"/>
          <w:sz w:val="20"/>
          <w:szCs w:val="20"/>
          <w:lang w:eastAsia="en-GB"/>
        </w:rPr>
      </w:pPr>
      <w:r w:rsidRPr="00CB3379">
        <w:rPr>
          <w:rFonts w:ascii="Segoe UI" w:hAnsi="Segoe UI" w:cs="Segoe UI"/>
          <w:sz w:val="20"/>
          <w:szCs w:val="20"/>
          <w:lang w:eastAsia="en-GB"/>
        </w:rPr>
        <w:t xml:space="preserve">Following Y3 reporting, Y4 targets would require updating to aggregate Y3 results with Y4 projections to create a cumulative milestone and of programme target. </w:t>
      </w:r>
    </w:p>
    <w:p w:rsidRPr="00CB3379" w:rsidR="00CB3379" w:rsidP="001D265D" w:rsidRDefault="00CB3379" w14:paraId="1F543CE9" w14:textId="77777777">
      <w:pPr>
        <w:numPr>
          <w:ilvl w:val="2"/>
          <w:numId w:val="34"/>
        </w:numPr>
        <w:spacing w:after="240" w:line="280" w:lineRule="atLeast"/>
        <w:ind w:left="1074" w:right="-472"/>
        <w:textAlignment w:val="baseline"/>
        <w:rPr>
          <w:rFonts w:ascii="Segoe UI" w:hAnsi="Segoe UI" w:eastAsia="Segoe UI" w:cs="Segoe UI"/>
          <w:sz w:val="20"/>
          <w:szCs w:val="20"/>
        </w:rPr>
      </w:pPr>
      <w:r w:rsidRPr="00CB3379">
        <w:rPr>
          <w:rFonts w:ascii="Segoe UI" w:hAnsi="Segoe UI" w:cs="Segoe UI"/>
          <w:b/>
          <w:bCs/>
          <w:sz w:val="20"/>
          <w:szCs w:val="20"/>
          <w:lang w:eastAsia="en-GB"/>
        </w:rPr>
        <w:t>Proposed Y3 scoring threshold</w:t>
      </w:r>
      <w:r w:rsidRPr="00CB3379">
        <w:rPr>
          <w:rFonts w:ascii="Segoe UI" w:hAnsi="Segoe UI" w:cs="Segoe UI"/>
          <w:sz w:val="20"/>
          <w:szCs w:val="20"/>
          <w:lang w:eastAsia="en-GB"/>
        </w:rPr>
        <w:t>: 60% of Y4 target = B, 70% of Y4 target = A</w:t>
      </w:r>
    </w:p>
    <w:p w:rsidRPr="00CB3379" w:rsidR="00CB3379" w:rsidP="001D265D" w:rsidRDefault="00CB3379" w14:paraId="7DB18B9C" w14:textId="77777777">
      <w:pPr>
        <w:numPr>
          <w:ilvl w:val="0"/>
          <w:numId w:val="35"/>
        </w:numPr>
        <w:spacing w:after="240" w:line="280" w:lineRule="atLeast"/>
        <w:ind w:left="0" w:right="-472" w:firstLine="0"/>
        <w:textAlignment w:val="baseline"/>
        <w:rPr>
          <w:rFonts w:ascii="Segoe UI" w:hAnsi="Segoe UI" w:cs="Segoe UI"/>
          <w:b/>
          <w:sz w:val="20"/>
          <w:szCs w:val="20"/>
          <w:lang w:eastAsia="en-GB"/>
        </w:rPr>
      </w:pPr>
      <w:r w:rsidRPr="00CB3379">
        <w:rPr>
          <w:rFonts w:ascii="Segoe UI" w:hAnsi="Segoe UI" w:cs="Segoe UI"/>
          <w:b/>
          <w:sz w:val="20"/>
          <w:szCs w:val="20"/>
          <w:lang w:eastAsia="en-GB"/>
        </w:rPr>
        <w:t xml:space="preserve">Type 3: Cumulative targets with the potential for overlap or double counting across </w:t>
      </w:r>
    </w:p>
    <w:p w:rsidRPr="00CB3379" w:rsidR="00CB3379" w:rsidP="001D265D" w:rsidRDefault="00CB3379" w14:paraId="1F45DF21" w14:textId="77777777">
      <w:pPr>
        <w:numPr>
          <w:ilvl w:val="2"/>
          <w:numId w:val="34"/>
        </w:numPr>
        <w:spacing w:after="240" w:line="280" w:lineRule="atLeast"/>
        <w:ind w:left="1074" w:right="-472"/>
        <w:textAlignment w:val="baseline"/>
        <w:rPr>
          <w:rFonts w:ascii="Segoe UI" w:hAnsi="Segoe UI" w:cs="Segoe UI"/>
          <w:sz w:val="20"/>
          <w:szCs w:val="20"/>
          <w:lang w:eastAsia="en-GB"/>
        </w:rPr>
      </w:pPr>
      <w:r w:rsidRPr="00CB3379">
        <w:rPr>
          <w:rFonts w:ascii="Segoe UI" w:hAnsi="Segoe UI" w:cs="Segoe UI"/>
          <w:sz w:val="20"/>
          <w:szCs w:val="20"/>
          <w:lang w:eastAsia="en-GB"/>
        </w:rPr>
        <w:t>Activities such as training may include the same participants year-on-year, hence cumulative targets must take this into account.</w:t>
      </w:r>
    </w:p>
    <w:p w:rsidRPr="00CB3379" w:rsidR="00CB3379" w:rsidP="001D265D" w:rsidRDefault="00CB3379" w14:paraId="568DA76A" w14:textId="77777777">
      <w:pPr>
        <w:numPr>
          <w:ilvl w:val="2"/>
          <w:numId w:val="34"/>
        </w:numPr>
        <w:spacing w:after="240" w:line="280" w:lineRule="atLeast"/>
        <w:ind w:left="1074" w:right="-472"/>
        <w:textAlignment w:val="baseline"/>
        <w:rPr>
          <w:rFonts w:ascii="Segoe UI" w:hAnsi="Segoe UI" w:eastAsia="Segoe UI" w:cs="Segoe UI"/>
          <w:sz w:val="20"/>
          <w:szCs w:val="20"/>
        </w:rPr>
      </w:pPr>
      <w:r w:rsidRPr="00CB3379">
        <w:rPr>
          <w:rFonts w:ascii="Segoe UI" w:hAnsi="Segoe UI" w:cs="Segoe UI"/>
          <w:sz w:val="20"/>
          <w:szCs w:val="20"/>
          <w:lang w:eastAsia="en-GB"/>
        </w:rPr>
        <w:t>Examples include output indicator 1.3 (‘number of individuals receiving TA’); 1.4 (‘number of organisations supported with TA’).</w:t>
      </w:r>
    </w:p>
    <w:p w:rsidRPr="00CB3379" w:rsidR="00CB3379" w:rsidP="001D265D" w:rsidRDefault="00CB3379" w14:paraId="135C70B7" w14:textId="3C6FC9F4">
      <w:pPr>
        <w:numPr>
          <w:ilvl w:val="2"/>
          <w:numId w:val="34"/>
        </w:numPr>
        <w:spacing w:after="240" w:line="280" w:lineRule="atLeast"/>
        <w:ind w:left="1074" w:right="-472"/>
        <w:textAlignment w:val="baseline"/>
        <w:rPr>
          <w:rFonts w:ascii="Segoe UI" w:hAnsi="Segoe UI" w:cs="Segoe UI"/>
          <w:sz w:val="20"/>
          <w:szCs w:val="20"/>
          <w:lang w:eastAsia="en-GB"/>
        </w:rPr>
      </w:pPr>
      <w:r w:rsidRPr="00CB3379">
        <w:rPr>
          <w:rFonts w:ascii="Segoe UI" w:hAnsi="Segoe UI" w:cs="Segoe UI"/>
          <w:sz w:val="20"/>
          <w:szCs w:val="20"/>
          <w:lang w:eastAsia="en-GB"/>
        </w:rPr>
        <w:t xml:space="preserve">Annual review scoring thresholds would </w:t>
      </w:r>
      <w:r w:rsidRPr="00CB3379" w:rsidR="00CC5950">
        <w:rPr>
          <w:rFonts w:ascii="Segoe UI" w:hAnsi="Segoe UI" w:cs="Segoe UI"/>
          <w:sz w:val="20"/>
          <w:szCs w:val="20"/>
          <w:lang w:eastAsia="en-GB"/>
        </w:rPr>
        <w:t>consider</w:t>
      </w:r>
      <w:r w:rsidRPr="00CB3379">
        <w:rPr>
          <w:rFonts w:ascii="Segoe UI" w:hAnsi="Segoe UI" w:cs="Segoe UI"/>
          <w:sz w:val="20"/>
          <w:szCs w:val="20"/>
          <w:lang w:eastAsia="en-GB"/>
        </w:rPr>
        <w:t xml:space="preserve"> the fact that Y3 results </w:t>
      </w:r>
      <w:r w:rsidRPr="00CB3379">
        <w:rPr>
          <w:rFonts w:ascii="Segoe UI" w:hAnsi="Segoe UI" w:cs="Segoe UI"/>
          <w:i/>
          <w:iCs/>
          <w:sz w:val="20"/>
          <w:szCs w:val="20"/>
          <w:lang w:eastAsia="en-GB"/>
        </w:rPr>
        <w:t>contribute</w:t>
      </w:r>
      <w:r w:rsidRPr="00CB3379">
        <w:rPr>
          <w:rFonts w:ascii="Segoe UI" w:hAnsi="Segoe UI" w:cs="Segoe UI"/>
          <w:sz w:val="20"/>
          <w:szCs w:val="20"/>
          <w:lang w:eastAsia="en-GB"/>
        </w:rPr>
        <w:t xml:space="preserve"> to the Y4 milestone. </w:t>
      </w:r>
    </w:p>
    <w:p w:rsidRPr="00CB3379" w:rsidR="00CB3379" w:rsidP="001D265D" w:rsidRDefault="00CB3379" w14:paraId="5C5CE2D6" w14:textId="77777777">
      <w:pPr>
        <w:numPr>
          <w:ilvl w:val="2"/>
          <w:numId w:val="34"/>
        </w:numPr>
        <w:spacing w:after="240" w:line="280" w:lineRule="atLeast"/>
        <w:ind w:left="1074" w:right="-472"/>
        <w:textAlignment w:val="baseline"/>
        <w:rPr>
          <w:rFonts w:ascii="Segoe UI" w:hAnsi="Segoe UI" w:cs="Segoe UI"/>
          <w:sz w:val="20"/>
          <w:szCs w:val="20"/>
          <w:lang w:eastAsia="en-GB"/>
        </w:rPr>
      </w:pPr>
      <w:r w:rsidRPr="00CB3379">
        <w:rPr>
          <w:rFonts w:ascii="Segoe UI" w:hAnsi="Segoe UI" w:cs="Segoe UI"/>
          <w:sz w:val="20"/>
          <w:szCs w:val="20"/>
          <w:lang w:eastAsia="en-GB"/>
        </w:rPr>
        <w:t xml:space="preserve">Following Y3 reporting, Y4 milestones may require a % increase to represent the additional, new results to be achieved in this year. For example, new trainees who had not been engaged in Y3. </w:t>
      </w:r>
    </w:p>
    <w:p w:rsidRPr="00CB3379" w:rsidR="00CB3379" w:rsidP="001D265D" w:rsidRDefault="00CB3379" w14:paraId="72771B15" w14:textId="77777777">
      <w:pPr>
        <w:numPr>
          <w:ilvl w:val="2"/>
          <w:numId w:val="34"/>
        </w:numPr>
        <w:spacing w:after="240" w:line="280" w:lineRule="atLeast"/>
        <w:ind w:left="1074" w:right="-472"/>
        <w:textAlignment w:val="baseline"/>
        <w:rPr>
          <w:rFonts w:ascii="Segoe UI" w:hAnsi="Segoe UI" w:eastAsia="MS Mincho"/>
          <w:sz w:val="20"/>
          <w:szCs w:val="20"/>
        </w:rPr>
      </w:pPr>
      <w:r w:rsidRPr="00CB3379">
        <w:rPr>
          <w:rFonts w:ascii="Segoe UI" w:hAnsi="Segoe UI"/>
          <w:b/>
          <w:sz w:val="20"/>
          <w:szCs w:val="20"/>
          <w:lang w:eastAsia="en-GB"/>
        </w:rPr>
        <w:t>Proposed Y3 scoring threshold</w:t>
      </w:r>
      <w:r w:rsidRPr="00CB3379">
        <w:rPr>
          <w:rFonts w:ascii="Segoe UI" w:hAnsi="Segoe UI"/>
          <w:sz w:val="20"/>
          <w:szCs w:val="20"/>
          <w:lang w:eastAsia="en-GB"/>
        </w:rPr>
        <w:t>: 50% of Y4 target = B, 60% of Y4 target = A</w:t>
      </w:r>
    </w:p>
    <w:p w:rsidRPr="00CB3379" w:rsidR="00CB3379" w:rsidP="00CB3379" w:rsidRDefault="00CB3379" w14:paraId="5E56F1AF" w14:textId="77777777">
      <w:pPr>
        <w:spacing w:after="240" w:line="280" w:lineRule="atLeast"/>
        <w:rPr>
          <w:rFonts w:ascii="Segoe UI" w:hAnsi="Segoe UI" w:eastAsia="Segoe UI"/>
          <w:sz w:val="20"/>
          <w:szCs w:val="20"/>
        </w:rPr>
      </w:pPr>
    </w:p>
    <w:p w:rsidR="0014225B" w:rsidP="0014225B" w:rsidRDefault="0014225B" w14:paraId="195FA37C" w14:textId="77777777">
      <w:pPr>
        <w:ind w:left="840" w:hanging="840"/>
        <w:textAlignment w:val="baseline"/>
        <w:rPr>
          <w:rFonts w:ascii="Segoe UI" w:hAnsi="Segoe UI" w:cs="Segoe UI"/>
          <w:b/>
          <w:bCs/>
          <w:sz w:val="40"/>
          <w:szCs w:val="40"/>
          <w:lang w:eastAsia="en-GB"/>
        </w:rPr>
      </w:pPr>
    </w:p>
    <w:p w:rsidRPr="0014225B" w:rsidR="0014225B" w:rsidP="0014225B" w:rsidRDefault="0014225B" w14:paraId="53925981" w14:textId="44F8D712">
      <w:pPr>
        <w:ind w:left="840" w:hanging="840"/>
        <w:textAlignment w:val="baseline"/>
        <w:rPr>
          <w:rFonts w:ascii="Segoe UI" w:hAnsi="Segoe UI" w:cs="Segoe UI"/>
          <w:b/>
          <w:bCs/>
          <w:sz w:val="18"/>
          <w:szCs w:val="18"/>
          <w:lang w:eastAsia="en-GB"/>
        </w:rPr>
      </w:pPr>
      <w:r w:rsidRPr="0014225B">
        <w:rPr>
          <w:rFonts w:ascii="Segoe UI" w:hAnsi="Segoe UI" w:cs="Segoe UI"/>
          <w:b/>
          <w:bCs/>
          <w:sz w:val="40"/>
          <w:szCs w:val="40"/>
          <w:lang w:eastAsia="en-GB"/>
        </w:rPr>
        <w:t>OCPP Indicator reporting </w:t>
      </w:r>
    </w:p>
    <w:p w:rsidRPr="0014225B" w:rsidR="0014225B" w:rsidP="0014225B" w:rsidRDefault="0014225B" w14:paraId="30808E45" w14:textId="77777777">
      <w:pPr>
        <w:ind w:left="840" w:hanging="840"/>
        <w:textAlignment w:val="baseline"/>
        <w:rPr>
          <w:rFonts w:ascii="Segoe UI" w:hAnsi="Segoe UI" w:cs="Segoe UI"/>
          <w:b/>
          <w:bCs/>
          <w:sz w:val="18"/>
          <w:szCs w:val="18"/>
          <w:lang w:eastAsia="en-GB"/>
        </w:rPr>
      </w:pPr>
      <w:r w:rsidRPr="0014225B">
        <w:rPr>
          <w:rFonts w:ascii="Segoe UI" w:hAnsi="Segoe UI" w:cs="Segoe UI"/>
          <w:b/>
          <w:bCs/>
          <w:sz w:val="28"/>
          <w:szCs w:val="28"/>
          <w:lang w:eastAsia="en-GB"/>
        </w:rPr>
        <w:t>July 23 – June 24 mapping </w:t>
      </w:r>
    </w:p>
    <w:p w:rsidRPr="0014225B" w:rsidR="0014225B" w:rsidP="0014225B" w:rsidRDefault="0014225B" w14:paraId="4EDEBE37" w14:textId="77777777">
      <w:pPr>
        <w:textAlignment w:val="baseline"/>
        <w:rPr>
          <w:rFonts w:ascii="Segoe UI" w:hAnsi="Segoe UI" w:cs="Segoe UI"/>
          <w:sz w:val="18"/>
          <w:szCs w:val="18"/>
          <w:lang w:eastAsia="en-GB"/>
        </w:rPr>
      </w:pPr>
      <w:r w:rsidRPr="0014225B">
        <w:rPr>
          <w:rFonts w:ascii="Segoe UI" w:hAnsi="Segoe UI" w:cs="Segoe UI"/>
          <w:sz w:val="20"/>
          <w:szCs w:val="20"/>
          <w:lang w:eastAsia="en-GB"/>
        </w:rPr>
        <w:t> </w:t>
      </w:r>
    </w:p>
    <w:tbl>
      <w:tblPr>
        <w:tblW w:w="0" w:type="dxa"/>
        <w:tblInd w:w="-87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84"/>
        <w:gridCol w:w="916"/>
        <w:gridCol w:w="1133"/>
        <w:gridCol w:w="1289"/>
        <w:gridCol w:w="2409"/>
        <w:gridCol w:w="1249"/>
      </w:tblGrid>
      <w:tr w:rsidRPr="0014225B" w:rsidR="0014225B" w:rsidTr="0014225B" w14:paraId="5B4CC347" w14:textId="77777777">
        <w:trPr>
          <w:trHeight w:val="300"/>
        </w:trPr>
        <w:tc>
          <w:tcPr>
            <w:tcW w:w="466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523412F4" w14:textId="77777777">
            <w:pPr>
              <w:textAlignment w:val="baseline"/>
              <w:rPr>
                <w:rFonts w:ascii="Times New Roman" w:hAnsi="Times New Roman"/>
                <w:lang w:eastAsia="en-GB"/>
              </w:rPr>
            </w:pPr>
            <w:r w:rsidRPr="0014225B">
              <w:rPr>
                <w:rFonts w:ascii="Segoe UI" w:hAnsi="Segoe UI" w:cs="Segoe UI"/>
                <w:b/>
                <w:bCs/>
                <w:sz w:val="16"/>
                <w:szCs w:val="16"/>
                <w:lang w:val="da-DK" w:eastAsia="en-GB"/>
              </w:rPr>
              <w:t>Indicator</w:t>
            </w:r>
            <w:r w:rsidRPr="0014225B">
              <w:rPr>
                <w:rFonts w:ascii="Segoe UI" w:hAnsi="Segoe UI" w:cs="Segoe UI"/>
                <w:sz w:val="16"/>
                <w:szCs w:val="16"/>
                <w:lang w:eastAsia="en-GB"/>
              </w:rPr>
              <w:t>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32C805B7" w14:textId="77777777">
            <w:pPr>
              <w:textAlignment w:val="baseline"/>
              <w:rPr>
                <w:rFonts w:ascii="Times New Roman" w:hAnsi="Times New Roman"/>
                <w:lang w:eastAsia="en-GB"/>
              </w:rPr>
            </w:pPr>
            <w:r w:rsidRPr="0014225B">
              <w:rPr>
                <w:rFonts w:ascii="Segoe UI" w:hAnsi="Segoe UI" w:cs="Segoe UI"/>
                <w:b/>
                <w:bCs/>
                <w:sz w:val="16"/>
                <w:szCs w:val="16"/>
                <w:lang w:val="da-DK" w:eastAsia="en-GB"/>
              </w:rPr>
              <w:t>Included in previous logframe</w:t>
            </w:r>
            <w:r w:rsidRPr="0014225B">
              <w:rPr>
                <w:rFonts w:ascii="Segoe UI" w:hAnsi="Segoe UI" w:cs="Segoe UI"/>
                <w:sz w:val="16"/>
                <w:szCs w:val="16"/>
                <w:lang w:eastAsia="en-GB"/>
              </w:rPr>
              <w:t> </w:t>
            </w:r>
          </w:p>
        </w:tc>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3E90069C" w14:textId="77777777">
            <w:pPr>
              <w:textAlignment w:val="baseline"/>
              <w:rPr>
                <w:rFonts w:ascii="Times New Roman" w:hAnsi="Times New Roman"/>
                <w:lang w:eastAsia="en-GB"/>
              </w:rPr>
            </w:pPr>
            <w:r w:rsidRPr="0014225B">
              <w:rPr>
                <w:rFonts w:ascii="Segoe UI" w:hAnsi="Segoe UI" w:cs="Segoe UI"/>
                <w:b/>
                <w:bCs/>
                <w:sz w:val="16"/>
                <w:szCs w:val="16"/>
                <w:lang w:val="da-DK" w:eastAsia="en-GB"/>
              </w:rPr>
              <w:t>Previous logframe milestone</w:t>
            </w:r>
            <w:r w:rsidRPr="0014225B">
              <w:rPr>
                <w:rFonts w:ascii="Segoe UI" w:hAnsi="Segoe UI" w:cs="Segoe UI"/>
                <w:sz w:val="16"/>
                <w:szCs w:val="16"/>
                <w:lang w:eastAsia="en-GB"/>
              </w:rPr>
              <w:t>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365A734D" w14:textId="77777777">
            <w:pPr>
              <w:textAlignment w:val="baseline"/>
              <w:rPr>
                <w:rFonts w:ascii="Times New Roman" w:hAnsi="Times New Roman"/>
                <w:lang w:eastAsia="en-GB"/>
              </w:rPr>
            </w:pPr>
            <w:r w:rsidRPr="0014225B">
              <w:rPr>
                <w:rFonts w:ascii="Segoe UI" w:hAnsi="Segoe UI" w:cs="Segoe UI"/>
                <w:b/>
                <w:bCs/>
                <w:sz w:val="16"/>
                <w:szCs w:val="16"/>
                <w:lang w:eastAsia="en-GB"/>
              </w:rPr>
              <w:t>Type of milestone (updated logframe) </w:t>
            </w:r>
            <w:r w:rsidRPr="0014225B">
              <w:rPr>
                <w:rFonts w:ascii="Segoe UI" w:hAnsi="Segoe UI" w:cs="Segoe UI"/>
                <w:sz w:val="16"/>
                <w:szCs w:val="16"/>
                <w:lang w:eastAsia="en-GB"/>
              </w:rPr>
              <w:t> </w:t>
            </w:r>
          </w:p>
        </w:tc>
        <w:tc>
          <w:tcPr>
            <w:tcW w:w="424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470628A3" w14:textId="77777777">
            <w:pPr>
              <w:textAlignment w:val="baseline"/>
              <w:rPr>
                <w:rFonts w:ascii="Times New Roman" w:hAnsi="Times New Roman"/>
                <w:lang w:eastAsia="en-GB"/>
              </w:rPr>
            </w:pPr>
            <w:r w:rsidRPr="0014225B">
              <w:rPr>
                <w:rFonts w:ascii="Segoe UI" w:hAnsi="Segoe UI" w:cs="Segoe UI"/>
                <w:b/>
                <w:bCs/>
                <w:sz w:val="16"/>
                <w:szCs w:val="16"/>
                <w:lang w:eastAsia="en-GB"/>
              </w:rPr>
              <w:t>Assumed data availability for reporting 23/24</w:t>
            </w:r>
            <w:r w:rsidRPr="0014225B">
              <w:rPr>
                <w:rFonts w:ascii="Segoe UI" w:hAnsi="Segoe UI" w:cs="Segoe UI"/>
                <w:sz w:val="16"/>
                <w:szCs w:val="16"/>
                <w:lang w:eastAsia="en-GB"/>
              </w:rPr>
              <w:t> </w:t>
            </w:r>
          </w:p>
          <w:p w:rsidRPr="0014225B" w:rsidR="0014225B" w:rsidP="0014225B" w:rsidRDefault="0014225B" w14:paraId="5251E2FC" w14:textId="77777777">
            <w:pPr>
              <w:textAlignment w:val="baseline"/>
              <w:rPr>
                <w:rFonts w:ascii="Times New Roman" w:hAnsi="Times New Roman"/>
                <w:lang w:eastAsia="en-GB"/>
              </w:rPr>
            </w:pPr>
            <w:r w:rsidRPr="0014225B">
              <w:rPr>
                <w:rFonts w:ascii="Segoe UI" w:hAnsi="Segoe UI" w:cs="Segoe UI"/>
                <w:sz w:val="16"/>
                <w:szCs w:val="16"/>
                <w:lang w:eastAsia="en-GB"/>
              </w:rPr>
              <w:t>1 = Full data set expected </w:t>
            </w:r>
          </w:p>
          <w:p w:rsidRPr="0014225B" w:rsidR="0014225B" w:rsidP="0014225B" w:rsidRDefault="0014225B" w14:paraId="2A7DBB5C" w14:textId="77777777">
            <w:pPr>
              <w:textAlignment w:val="baseline"/>
              <w:rPr>
                <w:rFonts w:ascii="Times New Roman" w:hAnsi="Times New Roman"/>
                <w:lang w:eastAsia="en-GB"/>
              </w:rPr>
            </w:pPr>
            <w:r w:rsidRPr="0014225B">
              <w:rPr>
                <w:rFonts w:ascii="Segoe UI" w:hAnsi="Segoe UI" w:cs="Segoe UI"/>
                <w:sz w:val="16"/>
                <w:szCs w:val="16"/>
                <w:lang w:eastAsia="en-GB"/>
              </w:rPr>
              <w:t>2 = Partial availability </w:t>
            </w:r>
          </w:p>
          <w:p w:rsidRPr="0014225B" w:rsidR="0014225B" w:rsidP="0014225B" w:rsidRDefault="0014225B" w14:paraId="34897BC9" w14:textId="77777777">
            <w:pPr>
              <w:textAlignment w:val="baseline"/>
              <w:rPr>
                <w:rFonts w:ascii="Times New Roman" w:hAnsi="Times New Roman"/>
                <w:lang w:eastAsia="en-GB"/>
              </w:rPr>
            </w:pPr>
            <w:r w:rsidRPr="0014225B">
              <w:rPr>
                <w:rFonts w:ascii="Segoe UI" w:hAnsi="Segoe UI" w:cs="Segoe UI"/>
                <w:sz w:val="16"/>
                <w:szCs w:val="16"/>
                <w:lang w:eastAsia="en-GB"/>
              </w:rPr>
              <w:t>3 = Unlikely to report against this indicator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195E8CD0" w14:textId="77777777">
            <w:pPr>
              <w:textAlignment w:val="baseline"/>
              <w:rPr>
                <w:rFonts w:ascii="Times New Roman" w:hAnsi="Times New Roman"/>
                <w:lang w:eastAsia="en-GB"/>
              </w:rPr>
            </w:pPr>
            <w:r w:rsidRPr="0014225B">
              <w:rPr>
                <w:rFonts w:ascii="Segoe UI" w:hAnsi="Segoe UI" w:cs="Segoe UI"/>
                <w:b/>
                <w:bCs/>
                <w:sz w:val="16"/>
                <w:szCs w:val="16"/>
                <w:lang w:eastAsia="en-GB"/>
              </w:rPr>
              <w:t>Proposed annual review reporting threshold</w:t>
            </w:r>
            <w:r w:rsidRPr="0014225B">
              <w:rPr>
                <w:rFonts w:ascii="Segoe UI" w:hAnsi="Segoe UI" w:cs="Segoe UI"/>
                <w:sz w:val="16"/>
                <w:szCs w:val="16"/>
                <w:lang w:eastAsia="en-GB"/>
              </w:rPr>
              <w:t> </w:t>
            </w:r>
          </w:p>
        </w:tc>
      </w:tr>
      <w:tr w:rsidRPr="0014225B" w:rsidR="0014225B" w:rsidTr="0014225B" w14:paraId="64AFE8C4" w14:textId="77777777">
        <w:trPr>
          <w:trHeight w:val="300"/>
        </w:trPr>
        <w:tc>
          <w:tcPr>
            <w:tcW w:w="466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2AEC7215" w14:textId="77777777">
            <w:pPr>
              <w:textAlignment w:val="baseline"/>
              <w:rPr>
                <w:rFonts w:ascii="Times New Roman" w:hAnsi="Times New Roman"/>
                <w:lang w:eastAsia="en-GB"/>
              </w:rPr>
            </w:pPr>
            <w:r w:rsidRPr="0014225B">
              <w:rPr>
                <w:rFonts w:ascii="Segoe UI" w:hAnsi="Segoe UI" w:cs="Segoe UI"/>
                <w:sz w:val="16"/>
                <w:szCs w:val="16"/>
                <w:lang w:eastAsia="en-GB"/>
              </w:rPr>
              <w:t>OP1.1 Participants report increased knowledge and capacity following training and /or mentoring </w:t>
            </w:r>
          </w:p>
        </w:tc>
        <w:tc>
          <w:tcPr>
            <w:tcW w:w="1125" w:type="dxa"/>
            <w:tcBorders>
              <w:top w:val="single" w:color="auto" w:sz="6" w:space="0"/>
              <w:left w:val="single" w:color="auto" w:sz="6" w:space="0"/>
              <w:bottom w:val="single" w:color="auto" w:sz="6" w:space="0"/>
              <w:right w:val="single" w:color="auto" w:sz="6" w:space="0"/>
            </w:tcBorders>
            <w:shd w:val="clear" w:color="auto" w:fill="92D050"/>
            <w:hideMark/>
          </w:tcPr>
          <w:p w:rsidRPr="0014225B" w:rsidR="0014225B" w:rsidP="0014225B" w:rsidRDefault="0014225B" w14:paraId="4BE149B3" w14:textId="77777777">
            <w:pPr>
              <w:textAlignment w:val="baseline"/>
              <w:rPr>
                <w:rFonts w:ascii="Times New Roman" w:hAnsi="Times New Roman"/>
                <w:lang w:eastAsia="en-GB"/>
              </w:rPr>
            </w:pPr>
            <w:r w:rsidRPr="0014225B">
              <w:rPr>
                <w:rFonts w:ascii="Segoe UI" w:hAnsi="Segoe UI" w:cs="Segoe UI"/>
                <w:sz w:val="16"/>
                <w:szCs w:val="16"/>
                <w:lang w:val="da-DK" w:eastAsia="en-GB"/>
              </w:rPr>
              <w:t>Outcome 2</w:t>
            </w:r>
            <w:r w:rsidRPr="0014225B">
              <w:rPr>
                <w:rFonts w:ascii="Segoe UI" w:hAnsi="Segoe UI" w:cs="Segoe UI"/>
                <w:sz w:val="16"/>
                <w:szCs w:val="16"/>
                <w:lang w:eastAsia="en-GB"/>
              </w:rPr>
              <w:t> </w:t>
            </w:r>
          </w:p>
        </w:tc>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1CD5291A" w14:textId="77777777">
            <w:pPr>
              <w:textAlignment w:val="baseline"/>
              <w:rPr>
                <w:rFonts w:ascii="Times New Roman" w:hAnsi="Times New Roman"/>
                <w:lang w:eastAsia="en-GB"/>
              </w:rPr>
            </w:pPr>
            <w:r w:rsidRPr="0014225B">
              <w:rPr>
                <w:rFonts w:ascii="Segoe UI" w:hAnsi="Segoe UI" w:cs="Segoe UI"/>
                <w:sz w:val="16"/>
                <w:szCs w:val="16"/>
                <w:lang w:val="da-DK" w:eastAsia="en-GB"/>
              </w:rPr>
              <w:t>None</w:t>
            </w:r>
            <w:r w:rsidRPr="0014225B">
              <w:rPr>
                <w:rFonts w:ascii="Segoe UI" w:hAnsi="Segoe UI" w:cs="Segoe UI"/>
                <w:sz w:val="16"/>
                <w:szCs w:val="16"/>
                <w:lang w:eastAsia="en-GB"/>
              </w:rPr>
              <w:t>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38969274" w14:textId="77777777">
            <w:pPr>
              <w:textAlignment w:val="baseline"/>
              <w:rPr>
                <w:rFonts w:ascii="Times New Roman" w:hAnsi="Times New Roman"/>
                <w:lang w:eastAsia="en-GB"/>
              </w:rPr>
            </w:pPr>
            <w:r w:rsidRPr="0014225B">
              <w:rPr>
                <w:rFonts w:ascii="Segoe UI" w:hAnsi="Segoe UI" w:cs="Segoe UI"/>
                <w:sz w:val="16"/>
                <w:szCs w:val="16"/>
                <w:lang w:val="da-DK" w:eastAsia="en-GB"/>
              </w:rPr>
              <w:t>Flat</w:t>
            </w:r>
            <w:r w:rsidRPr="0014225B">
              <w:rPr>
                <w:rFonts w:ascii="Segoe UI" w:hAnsi="Segoe UI" w:cs="Segoe UI"/>
                <w:sz w:val="16"/>
                <w:szCs w:val="16"/>
                <w:lang w:eastAsia="en-GB"/>
              </w:rPr>
              <w:t> </w:t>
            </w:r>
          </w:p>
        </w:tc>
        <w:tc>
          <w:tcPr>
            <w:tcW w:w="4245" w:type="dxa"/>
            <w:tcBorders>
              <w:top w:val="single" w:color="auto" w:sz="6" w:space="0"/>
              <w:left w:val="single" w:color="auto" w:sz="6" w:space="0"/>
              <w:bottom w:val="single" w:color="auto" w:sz="6" w:space="0"/>
              <w:right w:val="single" w:color="auto" w:sz="6" w:space="0"/>
            </w:tcBorders>
            <w:shd w:val="clear" w:color="auto" w:fill="FFD579"/>
            <w:hideMark/>
          </w:tcPr>
          <w:p w:rsidRPr="0014225B" w:rsidR="0014225B" w:rsidP="0014225B" w:rsidRDefault="0014225B" w14:paraId="037D34FA" w14:textId="77777777">
            <w:pPr>
              <w:textAlignment w:val="baseline"/>
              <w:rPr>
                <w:rFonts w:ascii="Times New Roman" w:hAnsi="Times New Roman"/>
                <w:lang w:eastAsia="en-GB"/>
              </w:rPr>
            </w:pPr>
            <w:r w:rsidRPr="0014225B">
              <w:rPr>
                <w:rFonts w:ascii="Segoe UI" w:hAnsi="Segoe UI" w:cs="Segoe UI"/>
                <w:b/>
                <w:bCs/>
                <w:sz w:val="16"/>
                <w:szCs w:val="16"/>
                <w:lang w:eastAsia="en-GB"/>
              </w:rPr>
              <w:t>2:</w:t>
            </w:r>
            <w:r w:rsidRPr="0014225B">
              <w:rPr>
                <w:rFonts w:ascii="Segoe UI" w:hAnsi="Segoe UI" w:cs="Segoe UI"/>
                <w:sz w:val="16"/>
                <w:szCs w:val="16"/>
                <w:lang w:eastAsia="en-GB"/>
              </w:rPr>
              <w:t xml:space="preserve"> although this was previously an indicator in the logframe, it is not clear that these data have been routinely collected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7565FD36" w14:textId="77777777">
            <w:pPr>
              <w:textAlignment w:val="baseline"/>
              <w:rPr>
                <w:rFonts w:ascii="Times New Roman" w:hAnsi="Times New Roman"/>
                <w:lang w:eastAsia="en-GB"/>
              </w:rPr>
            </w:pPr>
            <w:r w:rsidRPr="0014225B">
              <w:rPr>
                <w:rFonts w:ascii="Segoe UI" w:hAnsi="Segoe UI" w:cs="Segoe UI"/>
                <w:sz w:val="16"/>
                <w:szCs w:val="16"/>
                <w:lang w:val="da-DK" w:eastAsia="en-GB"/>
              </w:rPr>
              <w:t>As per indicator</w:t>
            </w:r>
            <w:r w:rsidRPr="0014225B">
              <w:rPr>
                <w:rFonts w:ascii="Segoe UI" w:hAnsi="Segoe UI" w:cs="Segoe UI"/>
                <w:sz w:val="16"/>
                <w:szCs w:val="16"/>
                <w:lang w:eastAsia="en-GB"/>
              </w:rPr>
              <w:t> </w:t>
            </w:r>
          </w:p>
        </w:tc>
      </w:tr>
      <w:tr w:rsidRPr="0014225B" w:rsidR="0014225B" w:rsidTr="0014225B" w14:paraId="4F22B8C6" w14:textId="77777777">
        <w:trPr>
          <w:trHeight w:val="300"/>
        </w:trPr>
        <w:tc>
          <w:tcPr>
            <w:tcW w:w="466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4B8193A0" w14:textId="77777777">
            <w:pPr>
              <w:textAlignment w:val="baseline"/>
              <w:rPr>
                <w:rFonts w:ascii="Times New Roman" w:hAnsi="Times New Roman"/>
                <w:lang w:eastAsia="en-GB"/>
              </w:rPr>
            </w:pPr>
            <w:r w:rsidRPr="0014225B">
              <w:rPr>
                <w:rFonts w:ascii="Segoe UI" w:hAnsi="Segoe UI" w:cs="Segoe UI"/>
                <w:sz w:val="16"/>
                <w:szCs w:val="16"/>
                <w:lang w:eastAsia="en-GB"/>
              </w:rPr>
              <w:t>OP1.2 Target organisations / institutions in partner countries have increased access to functioning marine scientific equipment and staff trained in its use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45093498" w14:textId="77777777">
            <w:pPr>
              <w:textAlignment w:val="baseline"/>
              <w:rPr>
                <w:rFonts w:ascii="Times New Roman" w:hAnsi="Times New Roman"/>
                <w:lang w:eastAsia="en-GB"/>
              </w:rPr>
            </w:pPr>
            <w:r w:rsidRPr="0014225B">
              <w:rPr>
                <w:rFonts w:ascii="Segoe UI" w:hAnsi="Segoe UI" w:cs="Segoe UI"/>
                <w:sz w:val="16"/>
                <w:szCs w:val="16"/>
                <w:lang w:eastAsia="en-GB"/>
              </w:rPr>
              <w:t> </w:t>
            </w:r>
          </w:p>
        </w:tc>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0D339266" w14:textId="77777777">
            <w:pPr>
              <w:textAlignment w:val="baseline"/>
              <w:rPr>
                <w:rFonts w:ascii="Times New Roman" w:hAnsi="Times New Roman"/>
                <w:lang w:eastAsia="en-GB"/>
              </w:rPr>
            </w:pPr>
            <w:r w:rsidRPr="0014225B">
              <w:rPr>
                <w:rFonts w:ascii="Segoe UI" w:hAnsi="Segoe UI" w:cs="Segoe UI"/>
                <w:sz w:val="16"/>
                <w:szCs w:val="16"/>
                <w:lang w:eastAsia="en-GB"/>
              </w:rPr>
              <w:t>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0E840B1B" w14:textId="77777777">
            <w:pPr>
              <w:textAlignment w:val="baseline"/>
              <w:rPr>
                <w:rFonts w:ascii="Times New Roman" w:hAnsi="Times New Roman"/>
                <w:lang w:eastAsia="en-GB"/>
              </w:rPr>
            </w:pPr>
            <w:r w:rsidRPr="0014225B">
              <w:rPr>
                <w:rFonts w:ascii="Segoe UI" w:hAnsi="Segoe UI" w:cs="Segoe UI"/>
                <w:sz w:val="16"/>
                <w:szCs w:val="16"/>
                <w:lang w:val="da-DK" w:eastAsia="en-GB"/>
              </w:rPr>
              <w:t>Cumulative: discrete annual</w:t>
            </w:r>
            <w:r w:rsidRPr="0014225B">
              <w:rPr>
                <w:rFonts w:ascii="Segoe UI" w:hAnsi="Segoe UI" w:cs="Segoe UI"/>
                <w:sz w:val="16"/>
                <w:szCs w:val="16"/>
                <w:lang w:eastAsia="en-GB"/>
              </w:rPr>
              <w:t> </w:t>
            </w:r>
          </w:p>
        </w:tc>
        <w:tc>
          <w:tcPr>
            <w:tcW w:w="4245" w:type="dxa"/>
            <w:tcBorders>
              <w:top w:val="single" w:color="auto" w:sz="6" w:space="0"/>
              <w:left w:val="single" w:color="auto" w:sz="6" w:space="0"/>
              <w:bottom w:val="single" w:color="auto" w:sz="6" w:space="0"/>
              <w:right w:val="single" w:color="auto" w:sz="6" w:space="0"/>
            </w:tcBorders>
            <w:shd w:val="clear" w:color="auto" w:fill="FF7E79"/>
            <w:hideMark/>
          </w:tcPr>
          <w:p w:rsidRPr="0014225B" w:rsidR="0014225B" w:rsidP="0014225B" w:rsidRDefault="0014225B" w14:paraId="7AAAB930" w14:textId="77777777">
            <w:pPr>
              <w:textAlignment w:val="baseline"/>
              <w:rPr>
                <w:rFonts w:ascii="Times New Roman" w:hAnsi="Times New Roman"/>
                <w:lang w:eastAsia="en-GB"/>
              </w:rPr>
            </w:pPr>
            <w:r w:rsidRPr="0014225B">
              <w:rPr>
                <w:rFonts w:ascii="Segoe UI" w:hAnsi="Segoe UI" w:cs="Segoe UI"/>
                <w:b/>
                <w:bCs/>
                <w:sz w:val="16"/>
                <w:szCs w:val="16"/>
                <w:lang w:eastAsia="en-GB"/>
              </w:rPr>
              <w:t xml:space="preserve">3: </w:t>
            </w:r>
            <w:r w:rsidRPr="0014225B">
              <w:rPr>
                <w:rFonts w:ascii="Segoe UI" w:hAnsi="Segoe UI" w:cs="Segoe UI"/>
                <w:sz w:val="16"/>
                <w:szCs w:val="16"/>
                <w:lang w:eastAsia="en-GB"/>
              </w:rPr>
              <w:t>Currently experiencing difficulties accessing asset register data + teams would need to carry out new assessments for all equipment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028F50FD" w14:textId="77777777">
            <w:pPr>
              <w:textAlignment w:val="baseline"/>
              <w:rPr>
                <w:rFonts w:ascii="Times New Roman" w:hAnsi="Times New Roman"/>
                <w:lang w:eastAsia="en-GB"/>
              </w:rPr>
            </w:pPr>
            <w:r w:rsidRPr="0014225B">
              <w:rPr>
                <w:rFonts w:ascii="Segoe UI" w:hAnsi="Segoe UI" w:cs="Segoe UI"/>
                <w:sz w:val="16"/>
                <w:szCs w:val="16"/>
                <w:lang w:eastAsia="en-GB"/>
              </w:rPr>
              <w:t>60% of Y4 target = B, 70% of Y4 target = A </w:t>
            </w:r>
          </w:p>
        </w:tc>
      </w:tr>
      <w:tr w:rsidRPr="0014225B" w:rsidR="0014225B" w:rsidTr="0014225B" w14:paraId="49B8BC90" w14:textId="77777777">
        <w:trPr>
          <w:trHeight w:val="300"/>
        </w:trPr>
        <w:tc>
          <w:tcPr>
            <w:tcW w:w="466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02176CFC" w14:textId="77777777">
            <w:pPr>
              <w:textAlignment w:val="baseline"/>
              <w:rPr>
                <w:rFonts w:ascii="Times New Roman" w:hAnsi="Times New Roman"/>
                <w:lang w:eastAsia="en-GB"/>
              </w:rPr>
            </w:pPr>
            <w:r w:rsidRPr="0014225B">
              <w:rPr>
                <w:rFonts w:ascii="Segoe UI" w:hAnsi="Segoe UI" w:cs="Segoe UI"/>
                <w:sz w:val="16"/>
                <w:szCs w:val="16"/>
                <w:lang w:eastAsia="en-GB"/>
              </w:rPr>
              <w:t>OP1.3 Number of individuals receiving TA support  </w:t>
            </w:r>
          </w:p>
        </w:tc>
        <w:tc>
          <w:tcPr>
            <w:tcW w:w="1125" w:type="dxa"/>
            <w:tcBorders>
              <w:top w:val="single" w:color="auto" w:sz="6" w:space="0"/>
              <w:left w:val="single" w:color="auto" w:sz="6" w:space="0"/>
              <w:bottom w:val="single" w:color="auto" w:sz="6" w:space="0"/>
              <w:right w:val="single" w:color="auto" w:sz="6" w:space="0"/>
            </w:tcBorders>
            <w:shd w:val="clear" w:color="auto" w:fill="92D050"/>
            <w:hideMark/>
          </w:tcPr>
          <w:p w:rsidRPr="0014225B" w:rsidR="0014225B" w:rsidP="0014225B" w:rsidRDefault="0014225B" w14:paraId="57BCBCFD" w14:textId="77777777">
            <w:pPr>
              <w:textAlignment w:val="baseline"/>
              <w:rPr>
                <w:rFonts w:ascii="Times New Roman" w:hAnsi="Times New Roman"/>
                <w:lang w:eastAsia="en-GB"/>
              </w:rPr>
            </w:pPr>
            <w:r w:rsidRPr="0014225B">
              <w:rPr>
                <w:rFonts w:ascii="Segoe UI" w:hAnsi="Segoe UI" w:cs="Segoe UI"/>
                <w:sz w:val="16"/>
                <w:szCs w:val="16"/>
                <w:lang w:val="da-DK" w:eastAsia="en-GB"/>
              </w:rPr>
              <w:t>Output 1.1</w:t>
            </w:r>
            <w:r w:rsidRPr="0014225B">
              <w:rPr>
                <w:rFonts w:ascii="Segoe UI" w:hAnsi="Segoe UI" w:cs="Segoe UI"/>
                <w:sz w:val="16"/>
                <w:szCs w:val="16"/>
                <w:lang w:eastAsia="en-GB"/>
              </w:rPr>
              <w:t> </w:t>
            </w:r>
          </w:p>
          <w:p w:rsidRPr="0014225B" w:rsidR="0014225B" w:rsidP="0014225B" w:rsidRDefault="0014225B" w14:paraId="7EAB0DA6" w14:textId="77777777">
            <w:pPr>
              <w:textAlignment w:val="baseline"/>
              <w:rPr>
                <w:rFonts w:ascii="Times New Roman" w:hAnsi="Times New Roman"/>
                <w:lang w:eastAsia="en-GB"/>
              </w:rPr>
            </w:pPr>
            <w:r w:rsidRPr="0014225B">
              <w:rPr>
                <w:rFonts w:ascii="Segoe UI" w:hAnsi="Segoe UI" w:cs="Segoe UI"/>
                <w:sz w:val="16"/>
                <w:szCs w:val="16"/>
                <w:lang w:val="da-DK" w:eastAsia="en-GB"/>
              </w:rPr>
              <w:t>Output 5.2</w:t>
            </w:r>
            <w:r w:rsidRPr="0014225B">
              <w:rPr>
                <w:rFonts w:ascii="Segoe UI" w:hAnsi="Segoe UI" w:cs="Segoe UI"/>
                <w:sz w:val="16"/>
                <w:szCs w:val="16"/>
                <w:lang w:eastAsia="en-GB"/>
              </w:rPr>
              <w:t> </w:t>
            </w:r>
          </w:p>
        </w:tc>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0337A50D" w14:textId="77777777">
            <w:pPr>
              <w:textAlignment w:val="baseline"/>
              <w:rPr>
                <w:rFonts w:ascii="Times New Roman" w:hAnsi="Times New Roman"/>
                <w:lang w:eastAsia="en-GB"/>
              </w:rPr>
            </w:pPr>
            <w:r w:rsidRPr="0014225B">
              <w:rPr>
                <w:rFonts w:ascii="Segoe UI" w:hAnsi="Segoe UI" w:cs="Segoe UI"/>
                <w:sz w:val="16"/>
                <w:szCs w:val="16"/>
                <w:lang w:val="da-DK" w:eastAsia="en-GB"/>
              </w:rPr>
              <w:t>171 – ALBs</w:t>
            </w:r>
            <w:r w:rsidRPr="0014225B">
              <w:rPr>
                <w:rFonts w:ascii="Segoe UI" w:hAnsi="Segoe UI" w:cs="Segoe UI"/>
                <w:sz w:val="16"/>
                <w:szCs w:val="16"/>
                <w:lang w:eastAsia="en-GB"/>
              </w:rPr>
              <w:t> </w:t>
            </w:r>
          </w:p>
          <w:p w:rsidRPr="0014225B" w:rsidR="0014225B" w:rsidP="0014225B" w:rsidRDefault="0014225B" w14:paraId="08C38E10" w14:textId="77777777">
            <w:pPr>
              <w:textAlignment w:val="baseline"/>
              <w:rPr>
                <w:rFonts w:ascii="Times New Roman" w:hAnsi="Times New Roman"/>
                <w:lang w:eastAsia="en-GB"/>
              </w:rPr>
            </w:pPr>
            <w:r w:rsidRPr="0014225B">
              <w:rPr>
                <w:rFonts w:ascii="Segoe UI" w:hAnsi="Segoe UI" w:cs="Segoe UI"/>
                <w:sz w:val="16"/>
                <w:szCs w:val="16"/>
                <w:lang w:val="da-DK" w:eastAsia="en-GB"/>
              </w:rPr>
              <w:t>1 – ALBs??</w:t>
            </w:r>
            <w:r w:rsidRPr="0014225B">
              <w:rPr>
                <w:rFonts w:ascii="Segoe UI" w:hAnsi="Segoe UI" w:cs="Segoe UI"/>
                <w:sz w:val="16"/>
                <w:szCs w:val="16"/>
                <w:lang w:eastAsia="en-GB"/>
              </w:rPr>
              <w:t>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512DA0FB" w14:textId="77777777">
            <w:pPr>
              <w:textAlignment w:val="baseline"/>
              <w:rPr>
                <w:rFonts w:ascii="Times New Roman" w:hAnsi="Times New Roman"/>
                <w:lang w:eastAsia="en-GB"/>
              </w:rPr>
            </w:pPr>
            <w:r w:rsidRPr="0014225B">
              <w:rPr>
                <w:rFonts w:ascii="Segoe UI" w:hAnsi="Segoe UI" w:cs="Segoe UI"/>
                <w:sz w:val="16"/>
                <w:szCs w:val="16"/>
                <w:lang w:eastAsia="en-GB"/>
              </w:rPr>
              <w:t>Cumulative: year-on-year overlap </w:t>
            </w:r>
          </w:p>
        </w:tc>
        <w:tc>
          <w:tcPr>
            <w:tcW w:w="4245" w:type="dxa"/>
            <w:tcBorders>
              <w:top w:val="single" w:color="auto" w:sz="6" w:space="0"/>
              <w:left w:val="single" w:color="auto" w:sz="6" w:space="0"/>
              <w:bottom w:val="single" w:color="auto" w:sz="6" w:space="0"/>
              <w:right w:val="single" w:color="auto" w:sz="6" w:space="0"/>
            </w:tcBorders>
            <w:shd w:val="clear" w:color="auto" w:fill="92D050"/>
            <w:hideMark/>
          </w:tcPr>
          <w:p w:rsidRPr="0014225B" w:rsidR="0014225B" w:rsidP="0014225B" w:rsidRDefault="0014225B" w14:paraId="5E858B3F" w14:textId="77777777">
            <w:pPr>
              <w:textAlignment w:val="baseline"/>
              <w:rPr>
                <w:rFonts w:ascii="Times New Roman" w:hAnsi="Times New Roman"/>
                <w:lang w:eastAsia="en-GB"/>
              </w:rPr>
            </w:pPr>
            <w:r w:rsidRPr="0014225B">
              <w:rPr>
                <w:rFonts w:ascii="Segoe UI" w:hAnsi="Segoe UI" w:cs="Segoe UI"/>
                <w:b/>
                <w:bCs/>
                <w:sz w:val="16"/>
                <w:szCs w:val="16"/>
                <w:lang w:eastAsia="en-GB"/>
              </w:rPr>
              <w:t xml:space="preserve">1: </w:t>
            </w:r>
            <w:r w:rsidRPr="0014225B">
              <w:rPr>
                <w:rFonts w:ascii="Segoe UI" w:hAnsi="Segoe UI" w:cs="Segoe UI"/>
                <w:sz w:val="16"/>
                <w:szCs w:val="16"/>
                <w:lang w:eastAsia="en-GB"/>
              </w:rPr>
              <w:t>Technically, data should be available to report against this indicator as it is in the previous logframe. However, will not be able to report to ICF standard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443BEB25" w14:textId="77777777">
            <w:pPr>
              <w:textAlignment w:val="baseline"/>
              <w:rPr>
                <w:rFonts w:ascii="Times New Roman" w:hAnsi="Times New Roman"/>
                <w:lang w:eastAsia="en-GB"/>
              </w:rPr>
            </w:pPr>
            <w:r w:rsidRPr="0014225B">
              <w:rPr>
                <w:rFonts w:ascii="Segoe UI" w:hAnsi="Segoe UI" w:cs="Segoe UI"/>
                <w:sz w:val="16"/>
                <w:szCs w:val="16"/>
                <w:lang w:eastAsia="en-GB"/>
              </w:rPr>
              <w:t>50% of Y4 target = B, 60% of Y4 target = A </w:t>
            </w:r>
          </w:p>
        </w:tc>
      </w:tr>
      <w:tr w:rsidRPr="0014225B" w:rsidR="0014225B" w:rsidTr="0014225B" w14:paraId="2189A6DE" w14:textId="77777777">
        <w:trPr>
          <w:trHeight w:val="300"/>
        </w:trPr>
        <w:tc>
          <w:tcPr>
            <w:tcW w:w="466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4F26BD26" w14:textId="77777777">
            <w:pPr>
              <w:textAlignment w:val="baseline"/>
              <w:rPr>
                <w:rFonts w:ascii="Times New Roman" w:hAnsi="Times New Roman"/>
                <w:lang w:eastAsia="en-GB"/>
              </w:rPr>
            </w:pPr>
            <w:r w:rsidRPr="0014225B">
              <w:rPr>
                <w:rFonts w:ascii="Segoe UI" w:hAnsi="Segoe UI" w:cs="Segoe UI"/>
                <w:sz w:val="16"/>
                <w:szCs w:val="16"/>
                <w:lang w:eastAsia="en-GB"/>
              </w:rPr>
              <w:t>OP1.4 Number of organisations receiving TA support  </w:t>
            </w:r>
          </w:p>
        </w:tc>
        <w:tc>
          <w:tcPr>
            <w:tcW w:w="1125" w:type="dxa"/>
            <w:tcBorders>
              <w:top w:val="single" w:color="auto" w:sz="6" w:space="0"/>
              <w:left w:val="single" w:color="auto" w:sz="6" w:space="0"/>
              <w:bottom w:val="single" w:color="auto" w:sz="6" w:space="0"/>
              <w:right w:val="single" w:color="auto" w:sz="6" w:space="0"/>
            </w:tcBorders>
            <w:shd w:val="clear" w:color="auto" w:fill="92D050"/>
            <w:hideMark/>
          </w:tcPr>
          <w:p w:rsidRPr="0014225B" w:rsidR="0014225B" w:rsidP="0014225B" w:rsidRDefault="0014225B" w14:paraId="1C3336AB" w14:textId="77777777">
            <w:pPr>
              <w:textAlignment w:val="baseline"/>
              <w:rPr>
                <w:rFonts w:ascii="Times New Roman" w:hAnsi="Times New Roman"/>
                <w:lang w:eastAsia="en-GB"/>
              </w:rPr>
            </w:pPr>
            <w:r w:rsidRPr="0014225B">
              <w:rPr>
                <w:rFonts w:ascii="Segoe UI" w:hAnsi="Segoe UI" w:cs="Segoe UI"/>
                <w:sz w:val="16"/>
                <w:szCs w:val="16"/>
                <w:lang w:val="da-DK" w:eastAsia="en-GB"/>
              </w:rPr>
              <w:t>Output 1.2 </w:t>
            </w:r>
            <w:r w:rsidRPr="0014225B">
              <w:rPr>
                <w:rFonts w:ascii="Segoe UI" w:hAnsi="Segoe UI" w:cs="Segoe UI"/>
                <w:sz w:val="16"/>
                <w:szCs w:val="16"/>
                <w:lang w:eastAsia="en-GB"/>
              </w:rPr>
              <w:t> </w:t>
            </w:r>
          </w:p>
          <w:p w:rsidRPr="0014225B" w:rsidR="0014225B" w:rsidP="0014225B" w:rsidRDefault="0014225B" w14:paraId="73C50C1E" w14:textId="77777777">
            <w:pPr>
              <w:textAlignment w:val="baseline"/>
              <w:rPr>
                <w:rFonts w:ascii="Times New Roman" w:hAnsi="Times New Roman"/>
                <w:lang w:eastAsia="en-GB"/>
              </w:rPr>
            </w:pPr>
            <w:r w:rsidRPr="0014225B">
              <w:rPr>
                <w:rFonts w:ascii="Segoe UI" w:hAnsi="Segoe UI" w:cs="Segoe UI"/>
                <w:sz w:val="16"/>
                <w:szCs w:val="16"/>
                <w:lang w:val="da-DK" w:eastAsia="en-GB"/>
              </w:rPr>
              <w:t>Output 2.2</w:t>
            </w:r>
            <w:r w:rsidRPr="0014225B">
              <w:rPr>
                <w:rFonts w:ascii="Segoe UI" w:hAnsi="Segoe UI" w:cs="Segoe UI"/>
                <w:sz w:val="16"/>
                <w:szCs w:val="16"/>
                <w:lang w:eastAsia="en-GB"/>
              </w:rPr>
              <w:t> </w:t>
            </w:r>
          </w:p>
        </w:tc>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696EDE78" w14:textId="77777777">
            <w:pPr>
              <w:textAlignment w:val="baseline"/>
              <w:rPr>
                <w:rFonts w:ascii="Times New Roman" w:hAnsi="Times New Roman"/>
                <w:lang w:eastAsia="en-GB"/>
              </w:rPr>
            </w:pPr>
            <w:r w:rsidRPr="0014225B">
              <w:rPr>
                <w:rFonts w:ascii="Segoe UI" w:hAnsi="Segoe UI" w:cs="Segoe UI"/>
                <w:sz w:val="16"/>
                <w:szCs w:val="16"/>
                <w:lang w:val="da-DK" w:eastAsia="en-GB"/>
              </w:rPr>
              <w:t>25 – ALBs</w:t>
            </w:r>
            <w:r w:rsidRPr="0014225B">
              <w:rPr>
                <w:rFonts w:ascii="Segoe UI" w:hAnsi="Segoe UI" w:cs="Segoe UI"/>
                <w:sz w:val="16"/>
                <w:szCs w:val="16"/>
                <w:lang w:eastAsia="en-GB"/>
              </w:rPr>
              <w:t> </w:t>
            </w:r>
          </w:p>
          <w:p w:rsidRPr="0014225B" w:rsidR="0014225B" w:rsidP="0014225B" w:rsidRDefault="0014225B" w14:paraId="5D59A04C" w14:textId="77777777">
            <w:pPr>
              <w:textAlignment w:val="baseline"/>
              <w:rPr>
                <w:rFonts w:ascii="Times New Roman" w:hAnsi="Times New Roman"/>
                <w:lang w:eastAsia="en-GB"/>
              </w:rPr>
            </w:pPr>
            <w:r w:rsidRPr="0014225B">
              <w:rPr>
                <w:rFonts w:ascii="Segoe UI" w:hAnsi="Segoe UI" w:cs="Segoe UI"/>
                <w:sz w:val="16"/>
                <w:szCs w:val="16"/>
                <w:lang w:val="da-DK" w:eastAsia="en-GB"/>
              </w:rPr>
              <w:t>7 - ALBs</w:t>
            </w:r>
            <w:r w:rsidRPr="0014225B">
              <w:rPr>
                <w:rFonts w:ascii="Segoe UI" w:hAnsi="Segoe UI" w:cs="Segoe UI"/>
                <w:sz w:val="16"/>
                <w:szCs w:val="16"/>
                <w:lang w:eastAsia="en-GB"/>
              </w:rPr>
              <w:t>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5267635E" w14:textId="77777777">
            <w:pPr>
              <w:textAlignment w:val="baseline"/>
              <w:rPr>
                <w:rFonts w:ascii="Times New Roman" w:hAnsi="Times New Roman"/>
                <w:lang w:eastAsia="en-GB"/>
              </w:rPr>
            </w:pPr>
            <w:r w:rsidRPr="0014225B">
              <w:rPr>
                <w:rFonts w:ascii="Segoe UI" w:hAnsi="Segoe UI" w:cs="Segoe UI"/>
                <w:sz w:val="16"/>
                <w:szCs w:val="16"/>
                <w:lang w:eastAsia="en-GB"/>
              </w:rPr>
              <w:t>Cumulative: year-on-year overlap </w:t>
            </w:r>
          </w:p>
        </w:tc>
        <w:tc>
          <w:tcPr>
            <w:tcW w:w="4245" w:type="dxa"/>
            <w:tcBorders>
              <w:top w:val="single" w:color="auto" w:sz="6" w:space="0"/>
              <w:left w:val="single" w:color="auto" w:sz="6" w:space="0"/>
              <w:bottom w:val="single" w:color="auto" w:sz="6" w:space="0"/>
              <w:right w:val="single" w:color="auto" w:sz="6" w:space="0"/>
            </w:tcBorders>
            <w:shd w:val="clear" w:color="auto" w:fill="92D050"/>
            <w:hideMark/>
          </w:tcPr>
          <w:p w:rsidRPr="0014225B" w:rsidR="0014225B" w:rsidP="0014225B" w:rsidRDefault="0014225B" w14:paraId="635BEC3B" w14:textId="77777777">
            <w:pPr>
              <w:textAlignment w:val="baseline"/>
              <w:rPr>
                <w:rFonts w:ascii="Times New Roman" w:hAnsi="Times New Roman"/>
                <w:lang w:eastAsia="en-GB"/>
              </w:rPr>
            </w:pPr>
            <w:r w:rsidRPr="0014225B">
              <w:rPr>
                <w:rFonts w:ascii="Segoe UI" w:hAnsi="Segoe UI" w:cs="Segoe UI"/>
                <w:b/>
                <w:bCs/>
                <w:sz w:val="16"/>
                <w:szCs w:val="16"/>
                <w:lang w:eastAsia="en-GB"/>
              </w:rPr>
              <w:t xml:space="preserve">1: </w:t>
            </w:r>
            <w:r w:rsidRPr="0014225B">
              <w:rPr>
                <w:rFonts w:ascii="Segoe UI" w:hAnsi="Segoe UI" w:cs="Segoe UI"/>
                <w:sz w:val="16"/>
                <w:szCs w:val="16"/>
                <w:lang w:eastAsia="en-GB"/>
              </w:rPr>
              <w:t>Technically, data should be available to report against this indicator as it is in the previous logframe. However, will not be able to report to ICF standard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58828087" w14:textId="77777777">
            <w:pPr>
              <w:textAlignment w:val="baseline"/>
              <w:rPr>
                <w:rFonts w:ascii="Times New Roman" w:hAnsi="Times New Roman"/>
                <w:lang w:eastAsia="en-GB"/>
              </w:rPr>
            </w:pPr>
            <w:r w:rsidRPr="0014225B">
              <w:rPr>
                <w:rFonts w:ascii="Segoe UI" w:hAnsi="Segoe UI" w:cs="Segoe UI"/>
                <w:sz w:val="16"/>
                <w:szCs w:val="16"/>
                <w:lang w:eastAsia="en-GB"/>
              </w:rPr>
              <w:t>50% of Y4 target = B, 60% of Y4 target = A </w:t>
            </w:r>
          </w:p>
        </w:tc>
      </w:tr>
      <w:tr w:rsidRPr="0014225B" w:rsidR="0014225B" w:rsidTr="0014225B" w14:paraId="10DD3F7E" w14:textId="77777777">
        <w:trPr>
          <w:trHeight w:val="300"/>
        </w:trPr>
        <w:tc>
          <w:tcPr>
            <w:tcW w:w="466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38D354BC" w14:textId="77777777">
            <w:pPr>
              <w:textAlignment w:val="baseline"/>
              <w:rPr>
                <w:rFonts w:ascii="Times New Roman" w:hAnsi="Times New Roman"/>
                <w:lang w:eastAsia="en-GB"/>
              </w:rPr>
            </w:pPr>
            <w:r w:rsidRPr="0014225B">
              <w:rPr>
                <w:rFonts w:ascii="Segoe UI" w:hAnsi="Segoe UI" w:cs="Segoe UI"/>
                <w:sz w:val="16"/>
                <w:szCs w:val="16"/>
                <w:lang w:eastAsia="en-GB"/>
              </w:rPr>
              <w:t>OP2.1 Number of outputs (policy briefs, roadmaps, recommendations or guidelines) developed that contribute to sustainable management  </w:t>
            </w:r>
          </w:p>
        </w:tc>
        <w:tc>
          <w:tcPr>
            <w:tcW w:w="1125" w:type="dxa"/>
            <w:tcBorders>
              <w:top w:val="single" w:color="auto" w:sz="6" w:space="0"/>
              <w:left w:val="single" w:color="auto" w:sz="6" w:space="0"/>
              <w:bottom w:val="single" w:color="auto" w:sz="6" w:space="0"/>
              <w:right w:val="single" w:color="auto" w:sz="6" w:space="0"/>
            </w:tcBorders>
            <w:shd w:val="clear" w:color="auto" w:fill="92D050"/>
            <w:hideMark/>
          </w:tcPr>
          <w:p w:rsidRPr="0014225B" w:rsidR="0014225B" w:rsidP="0014225B" w:rsidRDefault="0014225B" w14:paraId="1E669215" w14:textId="77777777">
            <w:pPr>
              <w:textAlignment w:val="baseline"/>
              <w:rPr>
                <w:rFonts w:ascii="Times New Roman" w:hAnsi="Times New Roman"/>
                <w:lang w:eastAsia="en-GB"/>
              </w:rPr>
            </w:pPr>
            <w:r w:rsidRPr="0014225B">
              <w:rPr>
                <w:rFonts w:ascii="Segoe UI" w:hAnsi="Segoe UI" w:cs="Segoe UI"/>
                <w:sz w:val="16"/>
                <w:szCs w:val="16"/>
                <w:lang w:val="da-DK" w:eastAsia="en-GB"/>
              </w:rPr>
              <w:t>Output 1.3 ?</w:t>
            </w:r>
            <w:r w:rsidRPr="0014225B">
              <w:rPr>
                <w:rFonts w:ascii="Segoe UI" w:hAnsi="Segoe UI" w:cs="Segoe UI"/>
                <w:sz w:val="16"/>
                <w:szCs w:val="16"/>
                <w:lang w:eastAsia="en-GB"/>
              </w:rPr>
              <w:t> </w:t>
            </w:r>
          </w:p>
        </w:tc>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5FFEE4AD" w14:textId="77777777">
            <w:pPr>
              <w:textAlignment w:val="baseline"/>
              <w:rPr>
                <w:rFonts w:ascii="Times New Roman" w:hAnsi="Times New Roman"/>
                <w:lang w:eastAsia="en-GB"/>
              </w:rPr>
            </w:pPr>
            <w:r w:rsidRPr="0014225B">
              <w:rPr>
                <w:rFonts w:ascii="Segoe UI" w:hAnsi="Segoe UI" w:cs="Segoe UI"/>
                <w:sz w:val="16"/>
                <w:szCs w:val="16"/>
                <w:lang w:val="da-DK" w:eastAsia="en-GB"/>
              </w:rPr>
              <w:t>15 - ALBs</w:t>
            </w:r>
            <w:r w:rsidRPr="0014225B">
              <w:rPr>
                <w:rFonts w:ascii="Segoe UI" w:hAnsi="Segoe UI" w:cs="Segoe UI"/>
                <w:sz w:val="16"/>
                <w:szCs w:val="16"/>
                <w:lang w:eastAsia="en-GB"/>
              </w:rPr>
              <w:t>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5097B1C4" w14:textId="77777777">
            <w:pPr>
              <w:textAlignment w:val="baseline"/>
              <w:rPr>
                <w:rFonts w:ascii="Times New Roman" w:hAnsi="Times New Roman"/>
                <w:lang w:eastAsia="en-GB"/>
              </w:rPr>
            </w:pPr>
            <w:r w:rsidRPr="0014225B">
              <w:rPr>
                <w:rFonts w:ascii="Segoe UI" w:hAnsi="Segoe UI" w:cs="Segoe UI"/>
                <w:sz w:val="16"/>
                <w:szCs w:val="16"/>
                <w:lang w:val="da-DK" w:eastAsia="en-GB"/>
              </w:rPr>
              <w:t>Cumulative: discrete annual</w:t>
            </w:r>
            <w:r w:rsidRPr="0014225B">
              <w:rPr>
                <w:rFonts w:ascii="Segoe UI" w:hAnsi="Segoe UI" w:cs="Segoe UI"/>
                <w:sz w:val="16"/>
                <w:szCs w:val="16"/>
                <w:lang w:eastAsia="en-GB"/>
              </w:rPr>
              <w:t> </w:t>
            </w:r>
          </w:p>
        </w:tc>
        <w:tc>
          <w:tcPr>
            <w:tcW w:w="4245" w:type="dxa"/>
            <w:tcBorders>
              <w:top w:val="single" w:color="auto" w:sz="6" w:space="0"/>
              <w:left w:val="single" w:color="auto" w:sz="6" w:space="0"/>
              <w:bottom w:val="single" w:color="auto" w:sz="6" w:space="0"/>
              <w:right w:val="single" w:color="auto" w:sz="6" w:space="0"/>
            </w:tcBorders>
            <w:shd w:val="clear" w:color="auto" w:fill="92D050"/>
            <w:hideMark/>
          </w:tcPr>
          <w:p w:rsidRPr="0014225B" w:rsidR="0014225B" w:rsidP="0014225B" w:rsidRDefault="0014225B" w14:paraId="668B7BC6" w14:textId="77777777">
            <w:pPr>
              <w:textAlignment w:val="baseline"/>
              <w:rPr>
                <w:rFonts w:ascii="Times New Roman" w:hAnsi="Times New Roman"/>
                <w:lang w:eastAsia="en-GB"/>
              </w:rPr>
            </w:pPr>
            <w:r w:rsidRPr="0014225B">
              <w:rPr>
                <w:rFonts w:ascii="Segoe UI" w:hAnsi="Segoe UI" w:cs="Segoe UI"/>
                <w:b/>
                <w:bCs/>
                <w:sz w:val="16"/>
                <w:szCs w:val="16"/>
                <w:lang w:eastAsia="en-GB"/>
              </w:rPr>
              <w:t xml:space="preserve">1: </w:t>
            </w:r>
            <w:r w:rsidRPr="0014225B">
              <w:rPr>
                <w:rFonts w:ascii="Segoe UI" w:hAnsi="Segoe UI" w:cs="Segoe UI"/>
                <w:sz w:val="16"/>
                <w:szCs w:val="16"/>
                <w:lang w:eastAsia="en-GB"/>
              </w:rPr>
              <w:t>Teams should be able to access and compile this information + it was in the previous logframe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10185764" w14:textId="77777777">
            <w:pPr>
              <w:textAlignment w:val="baseline"/>
              <w:rPr>
                <w:rFonts w:ascii="Times New Roman" w:hAnsi="Times New Roman"/>
                <w:lang w:eastAsia="en-GB"/>
              </w:rPr>
            </w:pPr>
            <w:r w:rsidRPr="0014225B">
              <w:rPr>
                <w:rFonts w:ascii="Segoe UI" w:hAnsi="Segoe UI" w:cs="Segoe UI"/>
                <w:sz w:val="16"/>
                <w:szCs w:val="16"/>
                <w:lang w:eastAsia="en-GB"/>
              </w:rPr>
              <w:t>60% of Y4 target = B, 70% of Y4 target = A </w:t>
            </w:r>
          </w:p>
        </w:tc>
      </w:tr>
      <w:tr w:rsidRPr="0014225B" w:rsidR="0014225B" w:rsidTr="0014225B" w14:paraId="24EDE311" w14:textId="77777777">
        <w:trPr>
          <w:trHeight w:val="300"/>
        </w:trPr>
        <w:tc>
          <w:tcPr>
            <w:tcW w:w="466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12D9860A" w14:textId="77777777">
            <w:pPr>
              <w:textAlignment w:val="baseline"/>
              <w:rPr>
                <w:rFonts w:ascii="Times New Roman" w:hAnsi="Times New Roman"/>
                <w:lang w:eastAsia="en-GB"/>
              </w:rPr>
            </w:pPr>
            <w:r w:rsidRPr="0014225B">
              <w:rPr>
                <w:rFonts w:ascii="Segoe UI" w:hAnsi="Segoe UI" w:cs="Segoe UI"/>
                <w:sz w:val="16"/>
                <w:szCs w:val="16"/>
                <w:lang w:eastAsia="en-GB"/>
              </w:rPr>
              <w:t>OP2.2 % of outputs developed that included inclusive consultation processes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3DF7E920" w14:textId="77777777">
            <w:pPr>
              <w:textAlignment w:val="baseline"/>
              <w:rPr>
                <w:rFonts w:ascii="Times New Roman" w:hAnsi="Times New Roman"/>
                <w:lang w:eastAsia="en-GB"/>
              </w:rPr>
            </w:pPr>
            <w:r w:rsidRPr="0014225B">
              <w:rPr>
                <w:rFonts w:ascii="Segoe UI" w:hAnsi="Segoe UI" w:cs="Segoe UI"/>
                <w:sz w:val="16"/>
                <w:szCs w:val="16"/>
                <w:lang w:eastAsia="en-GB"/>
              </w:rPr>
              <w:t> </w:t>
            </w:r>
          </w:p>
        </w:tc>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6AB75301" w14:textId="77777777">
            <w:pPr>
              <w:textAlignment w:val="baseline"/>
              <w:rPr>
                <w:rFonts w:ascii="Times New Roman" w:hAnsi="Times New Roman"/>
                <w:lang w:eastAsia="en-GB"/>
              </w:rPr>
            </w:pPr>
            <w:r w:rsidRPr="0014225B">
              <w:rPr>
                <w:rFonts w:ascii="Segoe UI" w:hAnsi="Segoe UI" w:cs="Segoe UI"/>
                <w:sz w:val="16"/>
                <w:szCs w:val="16"/>
                <w:lang w:eastAsia="en-GB"/>
              </w:rPr>
              <w:t>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15F83A29" w14:textId="77777777">
            <w:pPr>
              <w:textAlignment w:val="baseline"/>
              <w:rPr>
                <w:rFonts w:ascii="Times New Roman" w:hAnsi="Times New Roman"/>
                <w:lang w:eastAsia="en-GB"/>
              </w:rPr>
            </w:pPr>
            <w:r w:rsidRPr="0014225B">
              <w:rPr>
                <w:rFonts w:ascii="Segoe UI" w:hAnsi="Segoe UI" w:cs="Segoe UI"/>
                <w:sz w:val="16"/>
                <w:szCs w:val="16"/>
                <w:lang w:val="da-DK" w:eastAsia="en-GB"/>
              </w:rPr>
              <w:t>Flat</w:t>
            </w:r>
            <w:r w:rsidRPr="0014225B">
              <w:rPr>
                <w:rFonts w:ascii="Segoe UI" w:hAnsi="Segoe UI" w:cs="Segoe UI"/>
                <w:sz w:val="16"/>
                <w:szCs w:val="16"/>
                <w:lang w:eastAsia="en-GB"/>
              </w:rPr>
              <w:t> </w:t>
            </w:r>
          </w:p>
        </w:tc>
        <w:tc>
          <w:tcPr>
            <w:tcW w:w="4245" w:type="dxa"/>
            <w:tcBorders>
              <w:top w:val="single" w:color="auto" w:sz="6" w:space="0"/>
              <w:left w:val="single" w:color="auto" w:sz="6" w:space="0"/>
              <w:bottom w:val="single" w:color="auto" w:sz="6" w:space="0"/>
              <w:right w:val="single" w:color="auto" w:sz="6" w:space="0"/>
            </w:tcBorders>
            <w:shd w:val="clear" w:color="auto" w:fill="FFD579"/>
            <w:hideMark/>
          </w:tcPr>
          <w:p w:rsidRPr="0014225B" w:rsidR="0014225B" w:rsidP="0014225B" w:rsidRDefault="0014225B" w14:paraId="6EDC06D7" w14:textId="77777777">
            <w:pPr>
              <w:textAlignment w:val="baseline"/>
              <w:rPr>
                <w:rFonts w:ascii="Times New Roman" w:hAnsi="Times New Roman"/>
                <w:lang w:eastAsia="en-GB"/>
              </w:rPr>
            </w:pPr>
            <w:r w:rsidRPr="0014225B">
              <w:rPr>
                <w:rFonts w:ascii="Segoe UI" w:hAnsi="Segoe UI" w:cs="Segoe UI"/>
                <w:b/>
                <w:bCs/>
                <w:sz w:val="16"/>
                <w:szCs w:val="16"/>
                <w:lang w:eastAsia="en-GB"/>
              </w:rPr>
              <w:t>2: </w:t>
            </w:r>
            <w:r w:rsidRPr="0014225B">
              <w:rPr>
                <w:rFonts w:ascii="Segoe UI" w:hAnsi="Segoe UI" w:cs="Segoe UI"/>
                <w:sz w:val="16"/>
                <w:szCs w:val="16"/>
                <w:lang w:eastAsia="en-GB"/>
              </w:rPr>
              <w:t xml:space="preserve"> Potential to test the monitoring tool for this output but unlikely to report full dataset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09FF5F0B" w14:textId="77777777">
            <w:pPr>
              <w:textAlignment w:val="baseline"/>
              <w:rPr>
                <w:rFonts w:ascii="Times New Roman" w:hAnsi="Times New Roman"/>
                <w:lang w:eastAsia="en-GB"/>
              </w:rPr>
            </w:pPr>
            <w:r w:rsidRPr="0014225B">
              <w:rPr>
                <w:rFonts w:ascii="Segoe UI" w:hAnsi="Segoe UI" w:cs="Segoe UI"/>
                <w:sz w:val="16"/>
                <w:szCs w:val="16"/>
                <w:lang w:val="da-DK" w:eastAsia="en-GB"/>
              </w:rPr>
              <w:t>As per indicator</w:t>
            </w:r>
            <w:r w:rsidRPr="0014225B">
              <w:rPr>
                <w:rFonts w:ascii="Segoe UI" w:hAnsi="Segoe UI" w:cs="Segoe UI"/>
                <w:sz w:val="16"/>
                <w:szCs w:val="16"/>
                <w:lang w:eastAsia="en-GB"/>
              </w:rPr>
              <w:t> </w:t>
            </w:r>
          </w:p>
        </w:tc>
      </w:tr>
      <w:tr w:rsidRPr="0014225B" w:rsidR="0014225B" w:rsidTr="0014225B" w14:paraId="06A882BC" w14:textId="77777777">
        <w:trPr>
          <w:trHeight w:val="300"/>
        </w:trPr>
        <w:tc>
          <w:tcPr>
            <w:tcW w:w="466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552CD43F" w14:textId="77777777">
            <w:pPr>
              <w:textAlignment w:val="baseline"/>
              <w:rPr>
                <w:rFonts w:ascii="Times New Roman" w:hAnsi="Times New Roman"/>
                <w:lang w:eastAsia="en-GB"/>
              </w:rPr>
            </w:pPr>
            <w:r w:rsidRPr="0014225B">
              <w:rPr>
                <w:rFonts w:ascii="Segoe UI" w:hAnsi="Segoe UI" w:cs="Segoe UI"/>
                <w:sz w:val="16"/>
                <w:szCs w:val="16"/>
                <w:lang w:eastAsia="en-GB"/>
              </w:rPr>
              <w:t>OP3.1 Number of datasets or monitoring systems developed or improved; ocean accounts compiled; educational resources produced </w:t>
            </w:r>
          </w:p>
        </w:tc>
        <w:tc>
          <w:tcPr>
            <w:tcW w:w="1125" w:type="dxa"/>
            <w:tcBorders>
              <w:top w:val="single" w:color="auto" w:sz="6" w:space="0"/>
              <w:left w:val="single" w:color="auto" w:sz="6" w:space="0"/>
              <w:bottom w:val="single" w:color="auto" w:sz="6" w:space="0"/>
              <w:right w:val="single" w:color="auto" w:sz="6" w:space="0"/>
            </w:tcBorders>
            <w:shd w:val="clear" w:color="auto" w:fill="92D050"/>
            <w:hideMark/>
          </w:tcPr>
          <w:p w:rsidRPr="0014225B" w:rsidR="0014225B" w:rsidP="0014225B" w:rsidRDefault="0014225B" w14:paraId="33D76342" w14:textId="77777777">
            <w:pPr>
              <w:textAlignment w:val="baseline"/>
              <w:rPr>
                <w:rFonts w:ascii="Times New Roman" w:hAnsi="Times New Roman"/>
                <w:lang w:eastAsia="en-GB"/>
              </w:rPr>
            </w:pPr>
            <w:r w:rsidRPr="0014225B">
              <w:rPr>
                <w:rFonts w:ascii="Segoe UI" w:hAnsi="Segoe UI" w:cs="Segoe UI"/>
                <w:sz w:val="16"/>
                <w:szCs w:val="16"/>
                <w:lang w:val="da-DK" w:eastAsia="en-GB"/>
              </w:rPr>
              <w:t>Output 3.3</w:t>
            </w:r>
            <w:r w:rsidRPr="0014225B">
              <w:rPr>
                <w:rFonts w:ascii="Segoe UI" w:hAnsi="Segoe UI" w:cs="Segoe UI"/>
                <w:sz w:val="16"/>
                <w:szCs w:val="16"/>
                <w:lang w:eastAsia="en-GB"/>
              </w:rPr>
              <w:t> </w:t>
            </w:r>
          </w:p>
        </w:tc>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6907A3CE" w14:textId="77777777">
            <w:pPr>
              <w:textAlignment w:val="baseline"/>
              <w:rPr>
                <w:rFonts w:ascii="Times New Roman" w:hAnsi="Times New Roman"/>
                <w:lang w:eastAsia="en-GB"/>
              </w:rPr>
            </w:pPr>
            <w:r w:rsidRPr="0014225B">
              <w:rPr>
                <w:rFonts w:ascii="Segoe UI" w:hAnsi="Segoe UI" w:cs="Segoe UI"/>
                <w:sz w:val="16"/>
                <w:szCs w:val="16"/>
                <w:lang w:val="da-DK" w:eastAsia="en-GB"/>
              </w:rPr>
              <w:t>19 – ALBs</w:t>
            </w:r>
            <w:r w:rsidRPr="0014225B">
              <w:rPr>
                <w:rFonts w:ascii="Segoe UI" w:hAnsi="Segoe UI" w:cs="Segoe UI"/>
                <w:sz w:val="16"/>
                <w:szCs w:val="16"/>
                <w:lang w:eastAsia="en-GB"/>
              </w:rPr>
              <w:t> </w:t>
            </w:r>
          </w:p>
          <w:p w:rsidRPr="0014225B" w:rsidR="0014225B" w:rsidP="0014225B" w:rsidRDefault="0014225B" w14:paraId="652404F4" w14:textId="77777777">
            <w:pPr>
              <w:textAlignment w:val="baseline"/>
              <w:rPr>
                <w:rFonts w:ascii="Times New Roman" w:hAnsi="Times New Roman"/>
                <w:lang w:eastAsia="en-GB"/>
              </w:rPr>
            </w:pPr>
            <w:r w:rsidRPr="0014225B">
              <w:rPr>
                <w:rFonts w:ascii="Segoe UI" w:hAnsi="Segoe UI" w:cs="Segoe UI"/>
                <w:sz w:val="16"/>
                <w:szCs w:val="16"/>
                <w:lang w:val="da-DK" w:eastAsia="en-GB"/>
              </w:rPr>
              <w:t>9 - FOA</w:t>
            </w:r>
            <w:r w:rsidRPr="0014225B">
              <w:rPr>
                <w:rFonts w:ascii="Segoe UI" w:hAnsi="Segoe UI" w:cs="Segoe UI"/>
                <w:sz w:val="16"/>
                <w:szCs w:val="16"/>
                <w:lang w:eastAsia="en-GB"/>
              </w:rPr>
              <w:t>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31DEECCB" w14:textId="77777777">
            <w:pPr>
              <w:textAlignment w:val="baseline"/>
              <w:rPr>
                <w:rFonts w:ascii="Times New Roman" w:hAnsi="Times New Roman"/>
                <w:lang w:eastAsia="en-GB"/>
              </w:rPr>
            </w:pPr>
            <w:r w:rsidRPr="0014225B">
              <w:rPr>
                <w:rFonts w:ascii="Segoe UI" w:hAnsi="Segoe UI" w:cs="Segoe UI"/>
                <w:sz w:val="16"/>
                <w:szCs w:val="16"/>
                <w:lang w:val="da-DK" w:eastAsia="en-GB"/>
              </w:rPr>
              <w:t>Cumulative: discrete annual</w:t>
            </w:r>
            <w:r w:rsidRPr="0014225B">
              <w:rPr>
                <w:rFonts w:ascii="Segoe UI" w:hAnsi="Segoe UI" w:cs="Segoe UI"/>
                <w:sz w:val="16"/>
                <w:szCs w:val="16"/>
                <w:lang w:eastAsia="en-GB"/>
              </w:rPr>
              <w:t> </w:t>
            </w:r>
          </w:p>
        </w:tc>
        <w:tc>
          <w:tcPr>
            <w:tcW w:w="4245" w:type="dxa"/>
            <w:tcBorders>
              <w:top w:val="single" w:color="auto" w:sz="6" w:space="0"/>
              <w:left w:val="single" w:color="auto" w:sz="6" w:space="0"/>
              <w:bottom w:val="single" w:color="auto" w:sz="6" w:space="0"/>
              <w:right w:val="single" w:color="auto" w:sz="6" w:space="0"/>
            </w:tcBorders>
            <w:shd w:val="clear" w:color="auto" w:fill="92D050"/>
            <w:hideMark/>
          </w:tcPr>
          <w:p w:rsidRPr="0014225B" w:rsidR="0014225B" w:rsidP="0014225B" w:rsidRDefault="0014225B" w14:paraId="502EEDA7" w14:textId="77777777">
            <w:pPr>
              <w:textAlignment w:val="baseline"/>
              <w:rPr>
                <w:rFonts w:ascii="Times New Roman" w:hAnsi="Times New Roman"/>
                <w:lang w:eastAsia="en-GB"/>
              </w:rPr>
            </w:pPr>
            <w:r w:rsidRPr="0014225B">
              <w:rPr>
                <w:rFonts w:ascii="Segoe UI" w:hAnsi="Segoe UI" w:cs="Segoe UI"/>
                <w:b/>
                <w:bCs/>
                <w:sz w:val="16"/>
                <w:szCs w:val="16"/>
                <w:lang w:eastAsia="en-GB"/>
              </w:rPr>
              <w:t xml:space="preserve">1: </w:t>
            </w:r>
            <w:r w:rsidRPr="0014225B">
              <w:rPr>
                <w:rFonts w:ascii="Segoe UI" w:hAnsi="Segoe UI" w:cs="Segoe UI"/>
                <w:sz w:val="16"/>
                <w:szCs w:val="16"/>
                <w:lang w:eastAsia="en-GB"/>
              </w:rPr>
              <w:t>Technically, data should be available to report against this indicator as it is in the previous logframe.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33600B91" w14:textId="77777777">
            <w:pPr>
              <w:textAlignment w:val="baseline"/>
              <w:rPr>
                <w:rFonts w:ascii="Times New Roman" w:hAnsi="Times New Roman"/>
                <w:lang w:eastAsia="en-GB"/>
              </w:rPr>
            </w:pPr>
            <w:r w:rsidRPr="0014225B">
              <w:rPr>
                <w:rFonts w:ascii="Segoe UI" w:hAnsi="Segoe UI" w:cs="Segoe UI"/>
                <w:sz w:val="16"/>
                <w:szCs w:val="16"/>
                <w:lang w:eastAsia="en-GB"/>
              </w:rPr>
              <w:t>60% of Y4 target = B, 70% of Y4 target = A </w:t>
            </w:r>
          </w:p>
        </w:tc>
      </w:tr>
      <w:tr w:rsidRPr="0014225B" w:rsidR="0014225B" w:rsidTr="0014225B" w14:paraId="2392B476" w14:textId="77777777">
        <w:trPr>
          <w:trHeight w:val="300"/>
        </w:trPr>
        <w:tc>
          <w:tcPr>
            <w:tcW w:w="466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09AC1D99" w14:textId="77777777">
            <w:pPr>
              <w:textAlignment w:val="baseline"/>
              <w:rPr>
                <w:rFonts w:ascii="Times New Roman" w:hAnsi="Times New Roman"/>
                <w:lang w:eastAsia="en-GB"/>
              </w:rPr>
            </w:pPr>
            <w:r w:rsidRPr="0014225B">
              <w:rPr>
                <w:rFonts w:ascii="Segoe UI" w:hAnsi="Segoe UI" w:cs="Segoe UI"/>
                <w:sz w:val="16"/>
                <w:szCs w:val="16"/>
                <w:lang w:eastAsia="en-GB"/>
              </w:rPr>
              <w:t>OP3.2 Number of scholars who enrolled and % who achieved a qualification (Masters, PhD) in relevant topics </w:t>
            </w:r>
          </w:p>
        </w:tc>
        <w:tc>
          <w:tcPr>
            <w:tcW w:w="1125" w:type="dxa"/>
            <w:tcBorders>
              <w:top w:val="single" w:color="auto" w:sz="6" w:space="0"/>
              <w:left w:val="single" w:color="auto" w:sz="6" w:space="0"/>
              <w:bottom w:val="single" w:color="auto" w:sz="6" w:space="0"/>
              <w:right w:val="single" w:color="auto" w:sz="6" w:space="0"/>
            </w:tcBorders>
            <w:shd w:val="clear" w:color="auto" w:fill="92D050"/>
            <w:hideMark/>
          </w:tcPr>
          <w:p w:rsidRPr="0014225B" w:rsidR="0014225B" w:rsidP="0014225B" w:rsidRDefault="0014225B" w14:paraId="2AF82C02" w14:textId="77777777">
            <w:pPr>
              <w:textAlignment w:val="baseline"/>
              <w:rPr>
                <w:rFonts w:ascii="Times New Roman" w:hAnsi="Times New Roman"/>
                <w:lang w:eastAsia="en-GB"/>
              </w:rPr>
            </w:pPr>
            <w:r w:rsidRPr="0014225B">
              <w:rPr>
                <w:rFonts w:ascii="Segoe UI" w:hAnsi="Segoe UI" w:cs="Segoe UI"/>
                <w:sz w:val="16"/>
                <w:szCs w:val="16"/>
                <w:lang w:val="da-DK" w:eastAsia="en-GB"/>
              </w:rPr>
              <w:t>Output 3.4</w:t>
            </w:r>
            <w:r w:rsidRPr="0014225B">
              <w:rPr>
                <w:rFonts w:ascii="Segoe UI" w:hAnsi="Segoe UI" w:cs="Segoe UI"/>
                <w:sz w:val="16"/>
                <w:szCs w:val="16"/>
                <w:lang w:eastAsia="en-GB"/>
              </w:rPr>
              <w:t> </w:t>
            </w:r>
          </w:p>
        </w:tc>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0DBD0FC3" w14:textId="77777777">
            <w:pPr>
              <w:textAlignment w:val="baseline"/>
              <w:rPr>
                <w:rFonts w:ascii="Times New Roman" w:hAnsi="Times New Roman"/>
                <w:lang w:eastAsia="en-GB"/>
              </w:rPr>
            </w:pPr>
            <w:r w:rsidRPr="0014225B">
              <w:rPr>
                <w:rFonts w:ascii="Segoe UI" w:hAnsi="Segoe UI" w:cs="Segoe UI"/>
                <w:sz w:val="16"/>
                <w:szCs w:val="16"/>
                <w:lang w:val="da-DK" w:eastAsia="en-GB"/>
              </w:rPr>
              <w:t>24 - ALBs</w:t>
            </w:r>
            <w:r w:rsidRPr="0014225B">
              <w:rPr>
                <w:rFonts w:ascii="Segoe UI" w:hAnsi="Segoe UI" w:cs="Segoe UI"/>
                <w:sz w:val="16"/>
                <w:szCs w:val="16"/>
                <w:lang w:eastAsia="en-GB"/>
              </w:rPr>
              <w:t>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291266CF" w14:textId="77777777">
            <w:pPr>
              <w:textAlignment w:val="baseline"/>
              <w:rPr>
                <w:rFonts w:ascii="Times New Roman" w:hAnsi="Times New Roman"/>
                <w:lang w:eastAsia="en-GB"/>
              </w:rPr>
            </w:pPr>
            <w:r w:rsidRPr="0014225B">
              <w:rPr>
                <w:rFonts w:ascii="Segoe UI" w:hAnsi="Segoe UI" w:cs="Segoe UI"/>
                <w:sz w:val="16"/>
                <w:szCs w:val="16"/>
                <w:lang w:eastAsia="en-GB"/>
              </w:rPr>
              <w:t>Cumulative: year-on-year overlap </w:t>
            </w:r>
          </w:p>
        </w:tc>
        <w:tc>
          <w:tcPr>
            <w:tcW w:w="4245" w:type="dxa"/>
            <w:tcBorders>
              <w:top w:val="single" w:color="auto" w:sz="6" w:space="0"/>
              <w:left w:val="single" w:color="auto" w:sz="6" w:space="0"/>
              <w:bottom w:val="single" w:color="auto" w:sz="6" w:space="0"/>
              <w:right w:val="single" w:color="auto" w:sz="6" w:space="0"/>
            </w:tcBorders>
            <w:shd w:val="clear" w:color="auto" w:fill="92D050"/>
            <w:hideMark/>
          </w:tcPr>
          <w:p w:rsidRPr="0014225B" w:rsidR="0014225B" w:rsidP="0014225B" w:rsidRDefault="0014225B" w14:paraId="41FEEB2A" w14:textId="77777777">
            <w:pPr>
              <w:textAlignment w:val="baseline"/>
              <w:rPr>
                <w:rFonts w:ascii="Times New Roman" w:hAnsi="Times New Roman"/>
                <w:lang w:eastAsia="en-GB"/>
              </w:rPr>
            </w:pPr>
            <w:r w:rsidRPr="0014225B">
              <w:rPr>
                <w:rFonts w:ascii="Segoe UI" w:hAnsi="Segoe UI" w:cs="Segoe UI"/>
                <w:b/>
                <w:bCs/>
                <w:sz w:val="16"/>
                <w:szCs w:val="16"/>
                <w:lang w:eastAsia="en-GB"/>
              </w:rPr>
              <w:t xml:space="preserve">1: </w:t>
            </w:r>
            <w:r w:rsidRPr="0014225B">
              <w:rPr>
                <w:rFonts w:ascii="Segoe UI" w:hAnsi="Segoe UI" w:cs="Segoe UI"/>
                <w:sz w:val="16"/>
                <w:szCs w:val="16"/>
                <w:lang w:eastAsia="en-GB"/>
              </w:rPr>
              <w:t>Data should be easily accessible for this indicator, and it was in the previous logframe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6B908D89" w14:textId="77777777">
            <w:pPr>
              <w:textAlignment w:val="baseline"/>
              <w:rPr>
                <w:rFonts w:ascii="Times New Roman" w:hAnsi="Times New Roman"/>
                <w:lang w:eastAsia="en-GB"/>
              </w:rPr>
            </w:pPr>
            <w:r w:rsidRPr="0014225B">
              <w:rPr>
                <w:rFonts w:ascii="Segoe UI" w:hAnsi="Segoe UI" w:cs="Segoe UI"/>
                <w:sz w:val="16"/>
                <w:szCs w:val="16"/>
                <w:lang w:eastAsia="en-GB"/>
              </w:rPr>
              <w:t>50% of Y4 target = B, 60% of Y4 target = A </w:t>
            </w:r>
          </w:p>
        </w:tc>
      </w:tr>
      <w:tr w:rsidRPr="0014225B" w:rsidR="0014225B" w:rsidTr="0014225B" w14:paraId="791F50C8" w14:textId="77777777">
        <w:trPr>
          <w:trHeight w:val="300"/>
        </w:trPr>
        <w:tc>
          <w:tcPr>
            <w:tcW w:w="466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4E21D7BA" w14:textId="77777777">
            <w:pPr>
              <w:textAlignment w:val="baseline"/>
              <w:rPr>
                <w:rFonts w:ascii="Times New Roman" w:hAnsi="Times New Roman"/>
                <w:lang w:eastAsia="en-GB"/>
              </w:rPr>
            </w:pPr>
            <w:r w:rsidRPr="0014225B">
              <w:rPr>
                <w:rFonts w:ascii="Segoe UI" w:hAnsi="Segoe UI" w:cs="Segoe UI"/>
                <w:sz w:val="16"/>
                <w:szCs w:val="16"/>
                <w:lang w:eastAsia="en-GB"/>
              </w:rPr>
              <w:t>OP3.3 Scientific papers, reports, strategies, tools and/or databases developed or published which are freely available </w:t>
            </w:r>
          </w:p>
        </w:tc>
        <w:tc>
          <w:tcPr>
            <w:tcW w:w="1125" w:type="dxa"/>
            <w:tcBorders>
              <w:top w:val="single" w:color="auto" w:sz="6" w:space="0"/>
              <w:left w:val="single" w:color="auto" w:sz="6" w:space="0"/>
              <w:bottom w:val="single" w:color="auto" w:sz="6" w:space="0"/>
              <w:right w:val="single" w:color="auto" w:sz="6" w:space="0"/>
            </w:tcBorders>
            <w:shd w:val="clear" w:color="auto" w:fill="92D050"/>
            <w:hideMark/>
          </w:tcPr>
          <w:p w:rsidRPr="0014225B" w:rsidR="0014225B" w:rsidP="0014225B" w:rsidRDefault="0014225B" w14:paraId="035DD1A4" w14:textId="77777777">
            <w:pPr>
              <w:textAlignment w:val="baseline"/>
              <w:rPr>
                <w:rFonts w:ascii="Times New Roman" w:hAnsi="Times New Roman"/>
                <w:lang w:eastAsia="en-GB"/>
              </w:rPr>
            </w:pPr>
            <w:r w:rsidRPr="0014225B">
              <w:rPr>
                <w:rFonts w:ascii="Segoe UI" w:hAnsi="Segoe UI" w:cs="Segoe UI"/>
                <w:sz w:val="16"/>
                <w:szCs w:val="16"/>
                <w:lang w:val="da-DK" w:eastAsia="en-GB"/>
              </w:rPr>
              <w:t>Output 5.3</w:t>
            </w:r>
            <w:r w:rsidRPr="0014225B">
              <w:rPr>
                <w:rFonts w:ascii="Segoe UI" w:hAnsi="Segoe UI" w:cs="Segoe UI"/>
                <w:sz w:val="16"/>
                <w:szCs w:val="16"/>
                <w:lang w:eastAsia="en-GB"/>
              </w:rPr>
              <w:t> </w:t>
            </w:r>
          </w:p>
        </w:tc>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4140369A" w14:textId="77777777">
            <w:pPr>
              <w:textAlignment w:val="baseline"/>
              <w:rPr>
                <w:rFonts w:ascii="Times New Roman" w:hAnsi="Times New Roman"/>
                <w:lang w:eastAsia="en-GB"/>
              </w:rPr>
            </w:pPr>
            <w:r w:rsidRPr="0014225B">
              <w:rPr>
                <w:rFonts w:ascii="Segoe UI" w:hAnsi="Segoe UI" w:cs="Segoe UI"/>
                <w:sz w:val="16"/>
                <w:szCs w:val="16"/>
                <w:lang w:val="da-DK" w:eastAsia="en-GB"/>
              </w:rPr>
              <w:t>ALBs = 14</w:t>
            </w:r>
            <w:r w:rsidRPr="0014225B">
              <w:rPr>
                <w:rFonts w:ascii="Segoe UI" w:hAnsi="Segoe UI" w:cs="Segoe UI"/>
                <w:sz w:val="16"/>
                <w:szCs w:val="16"/>
                <w:lang w:eastAsia="en-GB"/>
              </w:rPr>
              <w:t> </w:t>
            </w:r>
          </w:p>
          <w:p w:rsidRPr="0014225B" w:rsidR="0014225B" w:rsidP="0014225B" w:rsidRDefault="0014225B" w14:paraId="577B8A5C" w14:textId="77777777">
            <w:pPr>
              <w:textAlignment w:val="baseline"/>
              <w:rPr>
                <w:rFonts w:ascii="Times New Roman" w:hAnsi="Times New Roman"/>
                <w:lang w:eastAsia="en-GB"/>
              </w:rPr>
            </w:pPr>
            <w:r w:rsidRPr="0014225B">
              <w:rPr>
                <w:rFonts w:ascii="Segoe UI" w:hAnsi="Segoe UI" w:cs="Segoe UI"/>
                <w:sz w:val="16"/>
                <w:szCs w:val="16"/>
                <w:lang w:val="da-DK" w:eastAsia="en-GB"/>
              </w:rPr>
              <w:t>FOA= 5 (or 11)</w:t>
            </w:r>
            <w:r w:rsidRPr="0014225B">
              <w:rPr>
                <w:rFonts w:ascii="Segoe UI" w:hAnsi="Segoe UI" w:cs="Segoe UI"/>
                <w:sz w:val="16"/>
                <w:szCs w:val="16"/>
                <w:lang w:eastAsia="en-GB"/>
              </w:rPr>
              <w:t>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3977D226" w14:textId="77777777">
            <w:pPr>
              <w:textAlignment w:val="baseline"/>
              <w:rPr>
                <w:rFonts w:ascii="Times New Roman" w:hAnsi="Times New Roman"/>
                <w:lang w:eastAsia="en-GB"/>
              </w:rPr>
            </w:pPr>
            <w:r w:rsidRPr="0014225B">
              <w:rPr>
                <w:rFonts w:ascii="Segoe UI" w:hAnsi="Segoe UI" w:cs="Segoe UI"/>
                <w:sz w:val="16"/>
                <w:szCs w:val="16"/>
                <w:lang w:val="da-DK" w:eastAsia="en-GB"/>
              </w:rPr>
              <w:t>Cumulative: discrete annual</w:t>
            </w:r>
            <w:r w:rsidRPr="0014225B">
              <w:rPr>
                <w:rFonts w:ascii="Segoe UI" w:hAnsi="Segoe UI" w:cs="Segoe UI"/>
                <w:sz w:val="16"/>
                <w:szCs w:val="16"/>
                <w:lang w:eastAsia="en-GB"/>
              </w:rPr>
              <w:t> </w:t>
            </w:r>
          </w:p>
        </w:tc>
        <w:tc>
          <w:tcPr>
            <w:tcW w:w="4245" w:type="dxa"/>
            <w:tcBorders>
              <w:top w:val="single" w:color="auto" w:sz="6" w:space="0"/>
              <w:left w:val="single" w:color="auto" w:sz="6" w:space="0"/>
              <w:bottom w:val="single" w:color="auto" w:sz="6" w:space="0"/>
              <w:right w:val="single" w:color="auto" w:sz="6" w:space="0"/>
            </w:tcBorders>
            <w:shd w:val="clear" w:color="auto" w:fill="92D050"/>
            <w:hideMark/>
          </w:tcPr>
          <w:p w:rsidRPr="0014225B" w:rsidR="0014225B" w:rsidP="0014225B" w:rsidRDefault="0014225B" w14:paraId="44C5D6C5" w14:textId="77777777">
            <w:pPr>
              <w:textAlignment w:val="baseline"/>
              <w:rPr>
                <w:rFonts w:ascii="Times New Roman" w:hAnsi="Times New Roman"/>
                <w:lang w:eastAsia="en-GB"/>
              </w:rPr>
            </w:pPr>
            <w:r w:rsidRPr="0014225B">
              <w:rPr>
                <w:rFonts w:ascii="Segoe UI" w:hAnsi="Segoe UI" w:cs="Segoe UI"/>
                <w:b/>
                <w:bCs/>
                <w:sz w:val="16"/>
                <w:szCs w:val="16"/>
                <w:lang w:eastAsia="en-GB"/>
              </w:rPr>
              <w:t xml:space="preserve">1: </w:t>
            </w:r>
            <w:r w:rsidRPr="0014225B">
              <w:rPr>
                <w:rFonts w:ascii="Segoe UI" w:hAnsi="Segoe UI" w:cs="Segoe UI"/>
                <w:sz w:val="16"/>
                <w:szCs w:val="16"/>
                <w:lang w:eastAsia="en-GB"/>
              </w:rPr>
              <w:t>Data should be easily accessible for this indicator, and it was in the previous logframe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74CD0AAC" w14:textId="77777777">
            <w:pPr>
              <w:textAlignment w:val="baseline"/>
              <w:rPr>
                <w:rFonts w:ascii="Times New Roman" w:hAnsi="Times New Roman"/>
                <w:lang w:eastAsia="en-GB"/>
              </w:rPr>
            </w:pPr>
            <w:r w:rsidRPr="0014225B">
              <w:rPr>
                <w:rFonts w:ascii="Segoe UI" w:hAnsi="Segoe UI" w:cs="Segoe UI"/>
                <w:sz w:val="16"/>
                <w:szCs w:val="16"/>
                <w:lang w:eastAsia="en-GB"/>
              </w:rPr>
              <w:t>60% of Y4 target = B, 70% of Y4 target = A </w:t>
            </w:r>
          </w:p>
        </w:tc>
      </w:tr>
      <w:tr w:rsidRPr="0014225B" w:rsidR="0014225B" w:rsidTr="0014225B" w14:paraId="6FA281C2" w14:textId="77777777">
        <w:trPr>
          <w:trHeight w:val="315"/>
        </w:trPr>
        <w:tc>
          <w:tcPr>
            <w:tcW w:w="466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416B02DD" w14:textId="77777777">
            <w:pPr>
              <w:textAlignment w:val="baseline"/>
              <w:rPr>
                <w:rFonts w:ascii="Times New Roman" w:hAnsi="Times New Roman"/>
                <w:lang w:eastAsia="en-GB"/>
              </w:rPr>
            </w:pPr>
            <w:r w:rsidRPr="0014225B">
              <w:rPr>
                <w:rFonts w:ascii="Segoe UI" w:hAnsi="Segoe UI" w:cs="Segoe UI"/>
                <w:sz w:val="16"/>
                <w:szCs w:val="16"/>
                <w:lang w:eastAsia="en-GB"/>
              </w:rPr>
              <w:t>OP4.1 MoUs or similar agreement between OCPP and partner country stakeholders signed </w:t>
            </w:r>
          </w:p>
        </w:tc>
        <w:tc>
          <w:tcPr>
            <w:tcW w:w="1125" w:type="dxa"/>
            <w:tcBorders>
              <w:top w:val="single" w:color="auto" w:sz="6" w:space="0"/>
              <w:left w:val="single" w:color="auto" w:sz="6" w:space="0"/>
              <w:bottom w:val="single" w:color="auto" w:sz="6" w:space="0"/>
              <w:right w:val="single" w:color="auto" w:sz="6" w:space="0"/>
            </w:tcBorders>
            <w:shd w:val="clear" w:color="auto" w:fill="92D050"/>
            <w:hideMark/>
          </w:tcPr>
          <w:p w:rsidRPr="0014225B" w:rsidR="0014225B" w:rsidP="0014225B" w:rsidRDefault="0014225B" w14:paraId="4159BC04" w14:textId="77777777">
            <w:pPr>
              <w:textAlignment w:val="baseline"/>
              <w:rPr>
                <w:rFonts w:ascii="Times New Roman" w:hAnsi="Times New Roman"/>
                <w:lang w:eastAsia="en-GB"/>
              </w:rPr>
            </w:pPr>
            <w:r w:rsidRPr="0014225B">
              <w:rPr>
                <w:rFonts w:ascii="Segoe UI" w:hAnsi="Segoe UI" w:cs="Segoe UI"/>
                <w:sz w:val="16"/>
                <w:szCs w:val="16"/>
                <w:lang w:val="da-DK" w:eastAsia="en-GB"/>
              </w:rPr>
              <w:t>Output 4.1</w:t>
            </w:r>
            <w:r w:rsidRPr="0014225B">
              <w:rPr>
                <w:rFonts w:ascii="Segoe UI" w:hAnsi="Segoe UI" w:cs="Segoe UI"/>
                <w:sz w:val="16"/>
                <w:szCs w:val="16"/>
                <w:lang w:eastAsia="en-GB"/>
              </w:rPr>
              <w:t> </w:t>
            </w:r>
          </w:p>
        </w:tc>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2A8EB63A" w14:textId="77777777">
            <w:pPr>
              <w:textAlignment w:val="baseline"/>
              <w:rPr>
                <w:rFonts w:ascii="Times New Roman" w:hAnsi="Times New Roman"/>
                <w:lang w:eastAsia="en-GB"/>
              </w:rPr>
            </w:pPr>
            <w:r w:rsidRPr="0014225B">
              <w:rPr>
                <w:rFonts w:ascii="Segoe UI" w:hAnsi="Segoe UI" w:cs="Segoe UI"/>
                <w:sz w:val="16"/>
                <w:szCs w:val="16"/>
                <w:lang w:val="da-DK" w:eastAsia="en-GB"/>
              </w:rPr>
              <w:t>10 – ALBs</w:t>
            </w:r>
            <w:r w:rsidRPr="0014225B">
              <w:rPr>
                <w:rFonts w:ascii="Segoe UI" w:hAnsi="Segoe UI" w:cs="Segoe UI"/>
                <w:sz w:val="16"/>
                <w:szCs w:val="16"/>
                <w:lang w:eastAsia="en-GB"/>
              </w:rPr>
              <w:t> </w:t>
            </w:r>
          </w:p>
          <w:p w:rsidRPr="0014225B" w:rsidR="0014225B" w:rsidP="0014225B" w:rsidRDefault="0014225B" w14:paraId="3FF1A191" w14:textId="77777777">
            <w:pPr>
              <w:textAlignment w:val="baseline"/>
              <w:rPr>
                <w:rFonts w:ascii="Times New Roman" w:hAnsi="Times New Roman"/>
                <w:lang w:eastAsia="en-GB"/>
              </w:rPr>
            </w:pPr>
            <w:r w:rsidRPr="0014225B">
              <w:rPr>
                <w:rFonts w:ascii="Segoe UI" w:hAnsi="Segoe UI" w:cs="Segoe UI"/>
                <w:sz w:val="16"/>
                <w:szCs w:val="16"/>
                <w:lang w:val="da-DK" w:eastAsia="en-GB"/>
              </w:rPr>
              <w:t>6 - Defra</w:t>
            </w:r>
            <w:r w:rsidRPr="0014225B">
              <w:rPr>
                <w:rFonts w:ascii="Segoe UI" w:hAnsi="Segoe UI" w:cs="Segoe UI"/>
                <w:sz w:val="16"/>
                <w:szCs w:val="16"/>
                <w:lang w:eastAsia="en-GB"/>
              </w:rPr>
              <w:t>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33D010FE" w14:textId="77777777">
            <w:pPr>
              <w:textAlignment w:val="baseline"/>
              <w:rPr>
                <w:rFonts w:ascii="Times New Roman" w:hAnsi="Times New Roman"/>
                <w:lang w:eastAsia="en-GB"/>
              </w:rPr>
            </w:pPr>
            <w:r w:rsidRPr="0014225B">
              <w:rPr>
                <w:rFonts w:ascii="Segoe UI" w:hAnsi="Segoe UI" w:cs="Segoe UI"/>
                <w:sz w:val="16"/>
                <w:szCs w:val="16"/>
                <w:lang w:val="da-DK" w:eastAsia="en-GB"/>
              </w:rPr>
              <w:t>Cumulative: discrete annual </w:t>
            </w:r>
            <w:r w:rsidRPr="0014225B">
              <w:rPr>
                <w:rFonts w:ascii="Segoe UI" w:hAnsi="Segoe UI" w:cs="Segoe UI"/>
                <w:sz w:val="16"/>
                <w:szCs w:val="16"/>
                <w:lang w:eastAsia="en-GB"/>
              </w:rPr>
              <w:t> </w:t>
            </w:r>
          </w:p>
        </w:tc>
        <w:tc>
          <w:tcPr>
            <w:tcW w:w="4245" w:type="dxa"/>
            <w:tcBorders>
              <w:top w:val="single" w:color="auto" w:sz="6" w:space="0"/>
              <w:left w:val="single" w:color="auto" w:sz="6" w:space="0"/>
              <w:bottom w:val="single" w:color="auto" w:sz="6" w:space="0"/>
              <w:right w:val="single" w:color="auto" w:sz="6" w:space="0"/>
            </w:tcBorders>
            <w:shd w:val="clear" w:color="auto" w:fill="92D050"/>
            <w:hideMark/>
          </w:tcPr>
          <w:p w:rsidRPr="0014225B" w:rsidR="0014225B" w:rsidP="0014225B" w:rsidRDefault="0014225B" w14:paraId="5028A788" w14:textId="77777777">
            <w:pPr>
              <w:textAlignment w:val="baseline"/>
              <w:rPr>
                <w:rFonts w:ascii="Times New Roman" w:hAnsi="Times New Roman"/>
                <w:lang w:eastAsia="en-GB"/>
              </w:rPr>
            </w:pPr>
            <w:r w:rsidRPr="0014225B">
              <w:rPr>
                <w:rFonts w:ascii="Segoe UI" w:hAnsi="Segoe UI" w:cs="Segoe UI"/>
                <w:b/>
                <w:bCs/>
                <w:sz w:val="16"/>
                <w:szCs w:val="16"/>
                <w:lang w:eastAsia="en-GB"/>
              </w:rPr>
              <w:t xml:space="preserve">1: </w:t>
            </w:r>
            <w:r w:rsidRPr="0014225B">
              <w:rPr>
                <w:rFonts w:ascii="Segoe UI" w:hAnsi="Segoe UI" w:cs="Segoe UI"/>
                <w:sz w:val="16"/>
                <w:szCs w:val="16"/>
                <w:lang w:eastAsia="en-GB"/>
              </w:rPr>
              <w:t>Data should be easily accessible for this indicator, and it was in the previous logframe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42AFDC48" w14:textId="77777777">
            <w:pPr>
              <w:textAlignment w:val="baseline"/>
              <w:rPr>
                <w:rFonts w:ascii="Times New Roman" w:hAnsi="Times New Roman"/>
                <w:lang w:eastAsia="en-GB"/>
              </w:rPr>
            </w:pPr>
            <w:r w:rsidRPr="0014225B">
              <w:rPr>
                <w:rFonts w:ascii="Segoe UI" w:hAnsi="Segoe UI" w:cs="Segoe UI"/>
                <w:sz w:val="16"/>
                <w:szCs w:val="16"/>
                <w:lang w:eastAsia="en-GB"/>
              </w:rPr>
              <w:t>50% of Y4 target = B, 60% of Y4 target = A </w:t>
            </w:r>
          </w:p>
        </w:tc>
      </w:tr>
      <w:tr w:rsidRPr="0014225B" w:rsidR="0014225B" w:rsidTr="0014225B" w14:paraId="4D935702" w14:textId="77777777">
        <w:trPr>
          <w:trHeight w:val="300"/>
        </w:trPr>
        <w:tc>
          <w:tcPr>
            <w:tcW w:w="466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4858D3E1" w14:textId="77777777">
            <w:pPr>
              <w:textAlignment w:val="baseline"/>
              <w:rPr>
                <w:rFonts w:ascii="Times New Roman" w:hAnsi="Times New Roman"/>
                <w:lang w:eastAsia="en-GB"/>
              </w:rPr>
            </w:pPr>
            <w:r w:rsidRPr="0014225B">
              <w:rPr>
                <w:rFonts w:ascii="Segoe UI" w:hAnsi="Segoe UI" w:cs="Segoe UI"/>
                <w:sz w:val="16"/>
                <w:szCs w:val="16"/>
                <w:lang w:eastAsia="en-GB"/>
              </w:rPr>
              <w:t>OP4.2 Number of public- private sector partnerships or business clusters mobilised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12C547DE" w14:textId="77777777">
            <w:pPr>
              <w:textAlignment w:val="baseline"/>
              <w:rPr>
                <w:rFonts w:ascii="Times New Roman" w:hAnsi="Times New Roman"/>
                <w:lang w:eastAsia="en-GB"/>
              </w:rPr>
            </w:pPr>
            <w:r w:rsidRPr="0014225B">
              <w:rPr>
                <w:rFonts w:ascii="Segoe UI" w:hAnsi="Segoe UI" w:cs="Segoe UI"/>
                <w:sz w:val="16"/>
                <w:szCs w:val="16"/>
                <w:lang w:eastAsia="en-GB"/>
              </w:rPr>
              <w:t> </w:t>
            </w:r>
          </w:p>
        </w:tc>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3562BD0E" w14:textId="77777777">
            <w:pPr>
              <w:textAlignment w:val="baseline"/>
              <w:rPr>
                <w:rFonts w:ascii="Times New Roman" w:hAnsi="Times New Roman"/>
                <w:lang w:eastAsia="en-GB"/>
              </w:rPr>
            </w:pPr>
            <w:r w:rsidRPr="0014225B">
              <w:rPr>
                <w:rFonts w:ascii="Segoe UI" w:hAnsi="Segoe UI" w:cs="Segoe UI"/>
                <w:sz w:val="16"/>
                <w:szCs w:val="16"/>
                <w:lang w:eastAsia="en-GB"/>
              </w:rPr>
              <w:t>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27FB9EC6" w14:textId="77777777">
            <w:pPr>
              <w:textAlignment w:val="baseline"/>
              <w:rPr>
                <w:rFonts w:ascii="Times New Roman" w:hAnsi="Times New Roman"/>
                <w:lang w:eastAsia="en-GB"/>
              </w:rPr>
            </w:pPr>
            <w:r w:rsidRPr="0014225B">
              <w:rPr>
                <w:rFonts w:ascii="Segoe UI" w:hAnsi="Segoe UI" w:cs="Segoe UI"/>
                <w:sz w:val="16"/>
                <w:szCs w:val="16"/>
                <w:lang w:val="da-DK" w:eastAsia="en-GB"/>
              </w:rPr>
              <w:t>Cumulative: discrete annual </w:t>
            </w:r>
            <w:r w:rsidRPr="0014225B">
              <w:rPr>
                <w:rFonts w:ascii="Segoe UI" w:hAnsi="Segoe UI" w:cs="Segoe UI"/>
                <w:sz w:val="16"/>
                <w:szCs w:val="16"/>
                <w:lang w:eastAsia="en-GB"/>
              </w:rPr>
              <w:t> </w:t>
            </w:r>
          </w:p>
        </w:tc>
        <w:tc>
          <w:tcPr>
            <w:tcW w:w="4245" w:type="dxa"/>
            <w:tcBorders>
              <w:top w:val="single" w:color="auto" w:sz="6" w:space="0"/>
              <w:left w:val="single" w:color="auto" w:sz="6" w:space="0"/>
              <w:bottom w:val="single" w:color="auto" w:sz="6" w:space="0"/>
              <w:right w:val="single" w:color="auto" w:sz="6" w:space="0"/>
            </w:tcBorders>
            <w:shd w:val="clear" w:color="auto" w:fill="92D050"/>
            <w:hideMark/>
          </w:tcPr>
          <w:p w:rsidRPr="0014225B" w:rsidR="0014225B" w:rsidP="0014225B" w:rsidRDefault="0014225B" w14:paraId="7B06DFDA" w14:textId="77777777">
            <w:pPr>
              <w:textAlignment w:val="baseline"/>
              <w:rPr>
                <w:rFonts w:ascii="Times New Roman" w:hAnsi="Times New Roman"/>
                <w:lang w:eastAsia="en-GB"/>
              </w:rPr>
            </w:pPr>
            <w:r w:rsidRPr="0014225B">
              <w:rPr>
                <w:rFonts w:ascii="Segoe UI" w:hAnsi="Segoe UI" w:cs="Segoe UI"/>
                <w:b/>
                <w:bCs/>
                <w:sz w:val="16"/>
                <w:szCs w:val="16"/>
                <w:lang w:eastAsia="en-GB"/>
              </w:rPr>
              <w:t xml:space="preserve">1: </w:t>
            </w:r>
            <w:r w:rsidRPr="0014225B">
              <w:rPr>
                <w:rFonts w:ascii="Segoe UI" w:hAnsi="Segoe UI" w:cs="Segoe UI"/>
                <w:sz w:val="16"/>
                <w:szCs w:val="16"/>
                <w:lang w:eastAsia="en-GB"/>
              </w:rPr>
              <w:t>Data should be accessible for this indicator (mainly FOA reporting)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51C6AACD" w14:textId="77777777">
            <w:pPr>
              <w:textAlignment w:val="baseline"/>
              <w:rPr>
                <w:rFonts w:ascii="Times New Roman" w:hAnsi="Times New Roman"/>
                <w:lang w:eastAsia="en-GB"/>
              </w:rPr>
            </w:pPr>
            <w:r w:rsidRPr="0014225B">
              <w:rPr>
                <w:rFonts w:ascii="Segoe UI" w:hAnsi="Segoe UI" w:cs="Segoe UI"/>
                <w:sz w:val="16"/>
                <w:szCs w:val="16"/>
                <w:lang w:eastAsia="en-GB"/>
              </w:rPr>
              <w:t>50% of Y4 target = B, 60% of Y4 target = A </w:t>
            </w:r>
          </w:p>
        </w:tc>
      </w:tr>
      <w:tr w:rsidRPr="0014225B" w:rsidR="0014225B" w:rsidTr="0014225B" w14:paraId="73B69B75" w14:textId="77777777">
        <w:trPr>
          <w:trHeight w:val="300"/>
        </w:trPr>
        <w:tc>
          <w:tcPr>
            <w:tcW w:w="466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287DCE15" w14:textId="77777777">
            <w:pPr>
              <w:textAlignment w:val="baseline"/>
              <w:rPr>
                <w:rFonts w:ascii="Times New Roman" w:hAnsi="Times New Roman"/>
                <w:lang w:eastAsia="en-GB"/>
              </w:rPr>
            </w:pPr>
            <w:r w:rsidRPr="0014225B">
              <w:rPr>
                <w:rFonts w:ascii="Segoe UI" w:hAnsi="Segoe UI" w:cs="Segoe UI"/>
                <w:sz w:val="16"/>
                <w:szCs w:val="16"/>
                <w:lang w:eastAsia="en-GB"/>
              </w:rPr>
              <w:t>OP4.3 Number of in-country coalitions, governance structures, networks or task forces established, engaged or strengthened </w:t>
            </w:r>
          </w:p>
        </w:tc>
        <w:tc>
          <w:tcPr>
            <w:tcW w:w="1125" w:type="dxa"/>
            <w:tcBorders>
              <w:top w:val="single" w:color="auto" w:sz="6" w:space="0"/>
              <w:left w:val="single" w:color="auto" w:sz="6" w:space="0"/>
              <w:bottom w:val="single" w:color="auto" w:sz="6" w:space="0"/>
              <w:right w:val="single" w:color="auto" w:sz="6" w:space="0"/>
            </w:tcBorders>
            <w:shd w:val="clear" w:color="auto" w:fill="92D050"/>
            <w:hideMark/>
          </w:tcPr>
          <w:p w:rsidRPr="0014225B" w:rsidR="0014225B" w:rsidP="0014225B" w:rsidRDefault="0014225B" w14:paraId="7D57B3BF" w14:textId="77777777">
            <w:pPr>
              <w:textAlignment w:val="baseline"/>
              <w:rPr>
                <w:rFonts w:ascii="Times New Roman" w:hAnsi="Times New Roman"/>
                <w:lang w:eastAsia="en-GB"/>
              </w:rPr>
            </w:pPr>
            <w:r w:rsidRPr="0014225B">
              <w:rPr>
                <w:rFonts w:ascii="Segoe UI" w:hAnsi="Segoe UI" w:cs="Segoe UI"/>
                <w:sz w:val="16"/>
                <w:szCs w:val="16"/>
                <w:lang w:val="da-DK" w:eastAsia="en-GB"/>
              </w:rPr>
              <w:t>Output 3.1</w:t>
            </w:r>
            <w:r w:rsidRPr="0014225B">
              <w:rPr>
                <w:rFonts w:ascii="Segoe UI" w:hAnsi="Segoe UI" w:cs="Segoe UI"/>
                <w:sz w:val="16"/>
                <w:szCs w:val="16"/>
                <w:lang w:eastAsia="en-GB"/>
              </w:rPr>
              <w:t> </w:t>
            </w:r>
          </w:p>
        </w:tc>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2897A877" w14:textId="77777777">
            <w:pPr>
              <w:textAlignment w:val="baseline"/>
              <w:rPr>
                <w:rFonts w:ascii="Times New Roman" w:hAnsi="Times New Roman"/>
                <w:lang w:eastAsia="en-GB"/>
              </w:rPr>
            </w:pPr>
            <w:r w:rsidRPr="0014225B">
              <w:rPr>
                <w:rFonts w:ascii="Segoe UI" w:hAnsi="Segoe UI" w:cs="Segoe UI"/>
                <w:sz w:val="16"/>
                <w:szCs w:val="16"/>
                <w:lang w:val="da-DK" w:eastAsia="en-GB"/>
              </w:rPr>
              <w:t>28 – ALBs</w:t>
            </w:r>
            <w:r w:rsidRPr="0014225B">
              <w:rPr>
                <w:rFonts w:ascii="Segoe UI" w:hAnsi="Segoe UI" w:cs="Segoe UI"/>
                <w:sz w:val="16"/>
                <w:szCs w:val="16"/>
                <w:lang w:eastAsia="en-GB"/>
              </w:rPr>
              <w:t> </w:t>
            </w:r>
          </w:p>
          <w:p w:rsidRPr="0014225B" w:rsidR="0014225B" w:rsidP="0014225B" w:rsidRDefault="0014225B" w14:paraId="5D269D4B" w14:textId="77777777">
            <w:pPr>
              <w:textAlignment w:val="baseline"/>
              <w:rPr>
                <w:rFonts w:ascii="Times New Roman" w:hAnsi="Times New Roman"/>
                <w:lang w:eastAsia="en-GB"/>
              </w:rPr>
            </w:pPr>
            <w:r w:rsidRPr="0014225B">
              <w:rPr>
                <w:rFonts w:ascii="Segoe UI" w:hAnsi="Segoe UI" w:cs="Segoe UI"/>
                <w:sz w:val="16"/>
                <w:szCs w:val="16"/>
                <w:lang w:val="da-DK" w:eastAsia="en-GB"/>
              </w:rPr>
              <w:t>2 - FOA</w:t>
            </w:r>
            <w:r w:rsidRPr="0014225B">
              <w:rPr>
                <w:rFonts w:ascii="Segoe UI" w:hAnsi="Segoe UI" w:cs="Segoe UI"/>
                <w:sz w:val="16"/>
                <w:szCs w:val="16"/>
                <w:lang w:eastAsia="en-GB"/>
              </w:rPr>
              <w:t>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2D6D2BB3" w14:textId="77777777">
            <w:pPr>
              <w:textAlignment w:val="baseline"/>
              <w:rPr>
                <w:rFonts w:ascii="Times New Roman" w:hAnsi="Times New Roman"/>
                <w:lang w:eastAsia="en-GB"/>
              </w:rPr>
            </w:pPr>
            <w:r w:rsidRPr="0014225B">
              <w:rPr>
                <w:rFonts w:ascii="Segoe UI" w:hAnsi="Segoe UI" w:cs="Segoe UI"/>
                <w:sz w:val="16"/>
                <w:szCs w:val="16"/>
                <w:lang w:eastAsia="en-GB"/>
              </w:rPr>
              <w:t>Cumulative: year-on-year overlap </w:t>
            </w:r>
          </w:p>
        </w:tc>
        <w:tc>
          <w:tcPr>
            <w:tcW w:w="4245" w:type="dxa"/>
            <w:tcBorders>
              <w:top w:val="single" w:color="auto" w:sz="6" w:space="0"/>
              <w:left w:val="single" w:color="auto" w:sz="6" w:space="0"/>
              <w:bottom w:val="single" w:color="auto" w:sz="6" w:space="0"/>
              <w:right w:val="single" w:color="auto" w:sz="6" w:space="0"/>
            </w:tcBorders>
            <w:shd w:val="clear" w:color="auto" w:fill="92D050"/>
            <w:hideMark/>
          </w:tcPr>
          <w:p w:rsidRPr="0014225B" w:rsidR="0014225B" w:rsidP="0014225B" w:rsidRDefault="0014225B" w14:paraId="5032499E" w14:textId="77777777">
            <w:pPr>
              <w:textAlignment w:val="baseline"/>
              <w:rPr>
                <w:rFonts w:ascii="Times New Roman" w:hAnsi="Times New Roman"/>
                <w:lang w:eastAsia="en-GB"/>
              </w:rPr>
            </w:pPr>
            <w:r w:rsidRPr="0014225B">
              <w:rPr>
                <w:rFonts w:ascii="Segoe UI" w:hAnsi="Segoe UI" w:cs="Segoe UI"/>
                <w:b/>
                <w:bCs/>
                <w:sz w:val="16"/>
                <w:szCs w:val="16"/>
                <w:lang w:eastAsia="en-GB"/>
              </w:rPr>
              <w:t xml:space="preserve">1: </w:t>
            </w:r>
            <w:r w:rsidRPr="0014225B">
              <w:rPr>
                <w:rFonts w:ascii="Segoe UI" w:hAnsi="Segoe UI" w:cs="Segoe UI"/>
                <w:sz w:val="16"/>
                <w:szCs w:val="16"/>
                <w:lang w:eastAsia="en-GB"/>
              </w:rPr>
              <w:t>Data should be easily accessible for this indicator, and it was in the previous logframe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343F1933" w14:textId="77777777">
            <w:pPr>
              <w:textAlignment w:val="baseline"/>
              <w:rPr>
                <w:rFonts w:ascii="Times New Roman" w:hAnsi="Times New Roman"/>
                <w:lang w:eastAsia="en-GB"/>
              </w:rPr>
            </w:pPr>
            <w:r w:rsidRPr="0014225B">
              <w:rPr>
                <w:rFonts w:ascii="Segoe UI" w:hAnsi="Segoe UI" w:cs="Segoe UI"/>
                <w:sz w:val="16"/>
                <w:szCs w:val="16"/>
                <w:lang w:eastAsia="en-GB"/>
              </w:rPr>
              <w:t>50% of Y4 target = B, 60% of Y4 target = A </w:t>
            </w:r>
          </w:p>
        </w:tc>
      </w:tr>
      <w:tr w:rsidRPr="0014225B" w:rsidR="0014225B" w:rsidTr="0014225B" w14:paraId="16142985" w14:textId="77777777">
        <w:trPr>
          <w:trHeight w:val="300"/>
        </w:trPr>
        <w:tc>
          <w:tcPr>
            <w:tcW w:w="466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3F76C0DA" w14:textId="77777777">
            <w:pPr>
              <w:textAlignment w:val="baseline"/>
              <w:rPr>
                <w:rFonts w:ascii="Times New Roman" w:hAnsi="Times New Roman"/>
                <w:lang w:eastAsia="en-GB"/>
              </w:rPr>
            </w:pPr>
            <w:r w:rsidRPr="0014225B">
              <w:rPr>
                <w:rFonts w:ascii="Segoe UI" w:hAnsi="Segoe UI" w:cs="Segoe UI"/>
                <w:sz w:val="16"/>
                <w:szCs w:val="16"/>
                <w:lang w:eastAsia="en-GB"/>
              </w:rPr>
              <w:t>OP5.1 Number of pilots designed and tested by stakeholder networks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49D15405" w14:textId="77777777">
            <w:pPr>
              <w:textAlignment w:val="baseline"/>
              <w:rPr>
                <w:rFonts w:ascii="Times New Roman" w:hAnsi="Times New Roman"/>
                <w:lang w:eastAsia="en-GB"/>
              </w:rPr>
            </w:pPr>
            <w:r w:rsidRPr="0014225B">
              <w:rPr>
                <w:rFonts w:ascii="Segoe UI" w:hAnsi="Segoe UI" w:cs="Segoe UI"/>
                <w:sz w:val="16"/>
                <w:szCs w:val="16"/>
                <w:lang w:eastAsia="en-GB"/>
              </w:rPr>
              <w:t> </w:t>
            </w:r>
          </w:p>
        </w:tc>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7E912213" w14:textId="77777777">
            <w:pPr>
              <w:textAlignment w:val="baseline"/>
              <w:rPr>
                <w:rFonts w:ascii="Times New Roman" w:hAnsi="Times New Roman"/>
                <w:lang w:eastAsia="en-GB"/>
              </w:rPr>
            </w:pPr>
            <w:r w:rsidRPr="0014225B">
              <w:rPr>
                <w:rFonts w:ascii="Segoe UI" w:hAnsi="Segoe UI" w:cs="Segoe UI"/>
                <w:sz w:val="16"/>
                <w:szCs w:val="16"/>
                <w:lang w:eastAsia="en-GB"/>
              </w:rPr>
              <w:t>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20D52013" w14:textId="77777777">
            <w:pPr>
              <w:textAlignment w:val="baseline"/>
              <w:rPr>
                <w:rFonts w:ascii="Times New Roman" w:hAnsi="Times New Roman"/>
                <w:lang w:eastAsia="en-GB"/>
              </w:rPr>
            </w:pPr>
            <w:r w:rsidRPr="0014225B">
              <w:rPr>
                <w:rFonts w:ascii="Segoe UI" w:hAnsi="Segoe UI" w:cs="Segoe UI"/>
                <w:sz w:val="16"/>
                <w:szCs w:val="16"/>
                <w:lang w:eastAsia="en-GB"/>
              </w:rPr>
              <w:t>Cumulative: year-on-year overlap </w:t>
            </w:r>
          </w:p>
        </w:tc>
        <w:tc>
          <w:tcPr>
            <w:tcW w:w="4245" w:type="dxa"/>
            <w:tcBorders>
              <w:top w:val="single" w:color="auto" w:sz="6" w:space="0"/>
              <w:left w:val="single" w:color="auto" w:sz="6" w:space="0"/>
              <w:bottom w:val="single" w:color="auto" w:sz="6" w:space="0"/>
              <w:right w:val="single" w:color="auto" w:sz="6" w:space="0"/>
            </w:tcBorders>
            <w:shd w:val="clear" w:color="auto" w:fill="92D050"/>
            <w:hideMark/>
          </w:tcPr>
          <w:p w:rsidRPr="0014225B" w:rsidR="0014225B" w:rsidP="0014225B" w:rsidRDefault="0014225B" w14:paraId="2B3C4568" w14:textId="77777777">
            <w:pPr>
              <w:textAlignment w:val="baseline"/>
              <w:rPr>
                <w:rFonts w:ascii="Times New Roman" w:hAnsi="Times New Roman"/>
                <w:lang w:eastAsia="en-GB"/>
              </w:rPr>
            </w:pPr>
            <w:r w:rsidRPr="0014225B">
              <w:rPr>
                <w:rFonts w:ascii="Segoe UI" w:hAnsi="Segoe UI" w:cs="Segoe UI"/>
                <w:b/>
                <w:bCs/>
                <w:sz w:val="16"/>
                <w:szCs w:val="16"/>
                <w:lang w:eastAsia="en-GB"/>
              </w:rPr>
              <w:t xml:space="preserve">1: </w:t>
            </w:r>
            <w:r w:rsidRPr="0014225B">
              <w:rPr>
                <w:rFonts w:ascii="Segoe UI" w:hAnsi="Segoe UI" w:cs="Segoe UI"/>
                <w:sz w:val="16"/>
                <w:szCs w:val="16"/>
                <w:lang w:eastAsia="en-GB"/>
              </w:rPr>
              <w:t>Data should be accessible for this indicator (mainly FOA reporting)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423F6BB7" w14:textId="77777777">
            <w:pPr>
              <w:textAlignment w:val="baseline"/>
              <w:rPr>
                <w:rFonts w:ascii="Times New Roman" w:hAnsi="Times New Roman"/>
                <w:lang w:eastAsia="en-GB"/>
              </w:rPr>
            </w:pPr>
            <w:r w:rsidRPr="0014225B">
              <w:rPr>
                <w:rFonts w:ascii="Segoe UI" w:hAnsi="Segoe UI" w:cs="Segoe UI"/>
                <w:sz w:val="16"/>
                <w:szCs w:val="16"/>
                <w:lang w:eastAsia="en-GB"/>
              </w:rPr>
              <w:t>50% of Y4 target = B, 60% of Y4 target = A </w:t>
            </w:r>
          </w:p>
        </w:tc>
      </w:tr>
      <w:tr w:rsidRPr="0014225B" w:rsidR="0014225B" w:rsidTr="0014225B" w14:paraId="17895ED4" w14:textId="77777777">
        <w:trPr>
          <w:trHeight w:val="300"/>
        </w:trPr>
        <w:tc>
          <w:tcPr>
            <w:tcW w:w="466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1E898539" w14:textId="77777777">
            <w:pPr>
              <w:textAlignment w:val="baseline"/>
              <w:rPr>
                <w:rFonts w:ascii="Times New Roman" w:hAnsi="Times New Roman"/>
                <w:lang w:eastAsia="en-GB"/>
              </w:rPr>
            </w:pPr>
            <w:r w:rsidRPr="0014225B">
              <w:rPr>
                <w:rFonts w:ascii="Segoe UI" w:hAnsi="Segoe UI" w:cs="Segoe UI"/>
                <w:sz w:val="16"/>
                <w:szCs w:val="16"/>
                <w:lang w:eastAsia="en-GB"/>
              </w:rPr>
              <w:t>OP5.2 Number of initiatives planned to take to scale that support value chain improvement and equitable market access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1CC88E23" w14:textId="77777777">
            <w:pPr>
              <w:textAlignment w:val="baseline"/>
              <w:rPr>
                <w:rFonts w:ascii="Times New Roman" w:hAnsi="Times New Roman"/>
                <w:lang w:eastAsia="en-GB"/>
              </w:rPr>
            </w:pPr>
            <w:r w:rsidRPr="0014225B">
              <w:rPr>
                <w:rFonts w:ascii="Segoe UI" w:hAnsi="Segoe UI" w:cs="Segoe UI"/>
                <w:sz w:val="16"/>
                <w:szCs w:val="16"/>
                <w:lang w:eastAsia="en-GB"/>
              </w:rPr>
              <w:t> </w:t>
            </w:r>
          </w:p>
        </w:tc>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5501918E" w14:textId="77777777">
            <w:pPr>
              <w:textAlignment w:val="baseline"/>
              <w:rPr>
                <w:rFonts w:ascii="Times New Roman" w:hAnsi="Times New Roman"/>
                <w:lang w:eastAsia="en-GB"/>
              </w:rPr>
            </w:pPr>
            <w:r w:rsidRPr="0014225B">
              <w:rPr>
                <w:rFonts w:ascii="Segoe UI" w:hAnsi="Segoe UI" w:cs="Segoe UI"/>
                <w:sz w:val="16"/>
                <w:szCs w:val="16"/>
                <w:lang w:eastAsia="en-GB"/>
              </w:rPr>
              <w:t>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3839E14F" w14:textId="77777777">
            <w:pPr>
              <w:textAlignment w:val="baseline"/>
              <w:rPr>
                <w:rFonts w:ascii="Times New Roman" w:hAnsi="Times New Roman"/>
                <w:lang w:eastAsia="en-GB"/>
              </w:rPr>
            </w:pPr>
            <w:r w:rsidRPr="0014225B">
              <w:rPr>
                <w:rFonts w:ascii="Segoe UI" w:hAnsi="Segoe UI" w:cs="Segoe UI"/>
                <w:sz w:val="16"/>
                <w:szCs w:val="16"/>
                <w:lang w:eastAsia="en-GB"/>
              </w:rPr>
              <w:t>Cumulative: year-on-year overlap </w:t>
            </w:r>
          </w:p>
        </w:tc>
        <w:tc>
          <w:tcPr>
            <w:tcW w:w="4245" w:type="dxa"/>
            <w:tcBorders>
              <w:top w:val="single" w:color="auto" w:sz="6" w:space="0"/>
              <w:left w:val="single" w:color="auto" w:sz="6" w:space="0"/>
              <w:bottom w:val="single" w:color="auto" w:sz="6" w:space="0"/>
              <w:right w:val="single" w:color="auto" w:sz="6" w:space="0"/>
            </w:tcBorders>
            <w:shd w:val="clear" w:color="auto" w:fill="92D050"/>
            <w:hideMark/>
          </w:tcPr>
          <w:p w:rsidRPr="0014225B" w:rsidR="0014225B" w:rsidP="0014225B" w:rsidRDefault="0014225B" w14:paraId="1F855CAF" w14:textId="77777777">
            <w:pPr>
              <w:textAlignment w:val="baseline"/>
              <w:rPr>
                <w:rFonts w:ascii="Times New Roman" w:hAnsi="Times New Roman"/>
                <w:lang w:eastAsia="en-GB"/>
              </w:rPr>
            </w:pPr>
            <w:r w:rsidRPr="0014225B">
              <w:rPr>
                <w:rFonts w:ascii="Segoe UI" w:hAnsi="Segoe UI" w:cs="Segoe UI"/>
                <w:b/>
                <w:bCs/>
                <w:sz w:val="16"/>
                <w:szCs w:val="16"/>
                <w:lang w:eastAsia="en-GB"/>
              </w:rPr>
              <w:t xml:space="preserve">1: </w:t>
            </w:r>
            <w:r w:rsidRPr="0014225B">
              <w:rPr>
                <w:rFonts w:ascii="Segoe UI" w:hAnsi="Segoe UI" w:cs="Segoe UI"/>
                <w:sz w:val="16"/>
                <w:szCs w:val="16"/>
                <w:lang w:eastAsia="en-GB"/>
              </w:rPr>
              <w:t>Data should be accessible for this indicator (mainly FOA reporting)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5A4155E7" w14:textId="77777777">
            <w:pPr>
              <w:textAlignment w:val="baseline"/>
              <w:rPr>
                <w:rFonts w:ascii="Times New Roman" w:hAnsi="Times New Roman"/>
                <w:lang w:eastAsia="en-GB"/>
              </w:rPr>
            </w:pPr>
            <w:r w:rsidRPr="0014225B">
              <w:rPr>
                <w:rFonts w:ascii="Segoe UI" w:hAnsi="Segoe UI" w:cs="Segoe UI"/>
                <w:sz w:val="16"/>
                <w:szCs w:val="16"/>
                <w:lang w:eastAsia="en-GB"/>
              </w:rPr>
              <w:t>50% of Y4 target = B, 60% of Y4 target = A </w:t>
            </w:r>
          </w:p>
        </w:tc>
      </w:tr>
      <w:tr w:rsidRPr="0014225B" w:rsidR="0014225B" w:rsidTr="0014225B" w14:paraId="5D8E0A18" w14:textId="77777777">
        <w:trPr>
          <w:trHeight w:val="300"/>
        </w:trPr>
        <w:tc>
          <w:tcPr>
            <w:tcW w:w="466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0C07B1AD" w14:textId="77777777">
            <w:pPr>
              <w:textAlignment w:val="baseline"/>
              <w:rPr>
                <w:rFonts w:ascii="Times New Roman" w:hAnsi="Times New Roman"/>
                <w:lang w:eastAsia="en-GB"/>
              </w:rPr>
            </w:pPr>
            <w:r w:rsidRPr="0014225B">
              <w:rPr>
                <w:rFonts w:ascii="Segoe UI" w:hAnsi="Segoe UI" w:cs="Segoe UI"/>
                <w:sz w:val="16"/>
                <w:szCs w:val="16"/>
                <w:lang w:eastAsia="en-GB"/>
              </w:rPr>
              <w:t>OP6.1 Number of scoping missions/reports that include detailed stakeholder mapping, GESI analysis and safeguarding risk assessment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1E37F857" w14:textId="77777777">
            <w:pPr>
              <w:textAlignment w:val="baseline"/>
              <w:rPr>
                <w:rFonts w:ascii="Times New Roman" w:hAnsi="Times New Roman"/>
                <w:lang w:eastAsia="en-GB"/>
              </w:rPr>
            </w:pPr>
            <w:r w:rsidRPr="0014225B">
              <w:rPr>
                <w:rFonts w:ascii="Segoe UI" w:hAnsi="Segoe UI" w:cs="Segoe UI"/>
                <w:sz w:val="16"/>
                <w:szCs w:val="16"/>
                <w:lang w:eastAsia="en-GB"/>
              </w:rPr>
              <w:t> </w:t>
            </w:r>
          </w:p>
        </w:tc>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643EE7D0" w14:textId="77777777">
            <w:pPr>
              <w:textAlignment w:val="baseline"/>
              <w:rPr>
                <w:rFonts w:ascii="Times New Roman" w:hAnsi="Times New Roman"/>
                <w:lang w:eastAsia="en-GB"/>
              </w:rPr>
            </w:pPr>
            <w:r w:rsidRPr="0014225B">
              <w:rPr>
                <w:rFonts w:ascii="Segoe UI" w:hAnsi="Segoe UI" w:cs="Segoe UI"/>
                <w:sz w:val="16"/>
                <w:szCs w:val="16"/>
                <w:lang w:eastAsia="en-GB"/>
              </w:rPr>
              <w:t>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5C4FF7F8" w14:textId="77777777">
            <w:pPr>
              <w:textAlignment w:val="baseline"/>
              <w:rPr>
                <w:rFonts w:ascii="Times New Roman" w:hAnsi="Times New Roman"/>
                <w:lang w:eastAsia="en-GB"/>
              </w:rPr>
            </w:pPr>
            <w:r w:rsidRPr="0014225B">
              <w:rPr>
                <w:rFonts w:ascii="Segoe UI" w:hAnsi="Segoe UI" w:cs="Segoe UI"/>
                <w:sz w:val="16"/>
                <w:szCs w:val="16"/>
                <w:lang w:val="da-DK" w:eastAsia="en-GB"/>
              </w:rPr>
              <w:t>Cumulative: discrete annual</w:t>
            </w:r>
            <w:r w:rsidRPr="0014225B">
              <w:rPr>
                <w:rFonts w:ascii="Segoe UI" w:hAnsi="Segoe UI" w:cs="Segoe UI"/>
                <w:sz w:val="16"/>
                <w:szCs w:val="16"/>
                <w:lang w:eastAsia="en-GB"/>
              </w:rPr>
              <w:t> </w:t>
            </w:r>
          </w:p>
        </w:tc>
        <w:tc>
          <w:tcPr>
            <w:tcW w:w="4245" w:type="dxa"/>
            <w:tcBorders>
              <w:top w:val="single" w:color="auto" w:sz="6" w:space="0"/>
              <w:left w:val="single" w:color="auto" w:sz="6" w:space="0"/>
              <w:bottom w:val="single" w:color="auto" w:sz="6" w:space="0"/>
              <w:right w:val="single" w:color="auto" w:sz="6" w:space="0"/>
            </w:tcBorders>
            <w:shd w:val="clear" w:color="auto" w:fill="FF7E79"/>
            <w:hideMark/>
          </w:tcPr>
          <w:p w:rsidRPr="0014225B" w:rsidR="0014225B" w:rsidP="0014225B" w:rsidRDefault="0014225B" w14:paraId="02E8C408" w14:textId="77777777">
            <w:pPr>
              <w:textAlignment w:val="baseline"/>
              <w:rPr>
                <w:rFonts w:ascii="Times New Roman" w:hAnsi="Times New Roman"/>
                <w:lang w:eastAsia="en-GB"/>
              </w:rPr>
            </w:pPr>
            <w:r w:rsidRPr="0014225B">
              <w:rPr>
                <w:rFonts w:ascii="Segoe UI" w:hAnsi="Segoe UI" w:cs="Segoe UI"/>
                <w:b/>
                <w:bCs/>
                <w:sz w:val="16"/>
                <w:szCs w:val="16"/>
                <w:lang w:eastAsia="en-GB"/>
              </w:rPr>
              <w:t xml:space="preserve">3: </w:t>
            </w:r>
            <w:r w:rsidRPr="0014225B">
              <w:rPr>
                <w:rFonts w:ascii="Segoe UI" w:hAnsi="Segoe UI" w:cs="Segoe UI"/>
                <w:sz w:val="16"/>
                <w:szCs w:val="16"/>
                <w:lang w:eastAsia="en-GB"/>
              </w:rPr>
              <w:t>The definition and scope of this indicator is now under discussion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36B51FB4" w14:textId="77777777">
            <w:pPr>
              <w:textAlignment w:val="baseline"/>
              <w:rPr>
                <w:rFonts w:ascii="Times New Roman" w:hAnsi="Times New Roman"/>
                <w:lang w:eastAsia="en-GB"/>
              </w:rPr>
            </w:pPr>
            <w:r w:rsidRPr="0014225B">
              <w:rPr>
                <w:rFonts w:ascii="Segoe UI" w:hAnsi="Segoe UI" w:cs="Segoe UI"/>
                <w:sz w:val="16"/>
                <w:szCs w:val="16"/>
                <w:lang w:eastAsia="en-GB"/>
              </w:rPr>
              <w:t> </w:t>
            </w:r>
          </w:p>
        </w:tc>
      </w:tr>
      <w:tr w:rsidRPr="0014225B" w:rsidR="0014225B" w:rsidTr="0014225B" w14:paraId="09EB3720" w14:textId="77777777">
        <w:trPr>
          <w:trHeight w:val="300"/>
        </w:trPr>
        <w:tc>
          <w:tcPr>
            <w:tcW w:w="466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2D261310" w14:textId="77777777">
            <w:pPr>
              <w:textAlignment w:val="baseline"/>
              <w:rPr>
                <w:rFonts w:ascii="Times New Roman" w:hAnsi="Times New Roman"/>
                <w:lang w:eastAsia="en-GB"/>
              </w:rPr>
            </w:pPr>
            <w:r w:rsidRPr="0014225B">
              <w:rPr>
                <w:rFonts w:ascii="Segoe UI" w:hAnsi="Segoe UI" w:cs="Segoe UI"/>
                <w:sz w:val="16"/>
                <w:szCs w:val="16"/>
                <w:lang w:eastAsia="en-GB"/>
              </w:rPr>
              <w:t>OP6.2 Number of intervention plans that reflect GESI recommendations and safeguarding measures </w:t>
            </w:r>
          </w:p>
        </w:tc>
        <w:tc>
          <w:tcPr>
            <w:tcW w:w="112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28B60636" w14:textId="77777777">
            <w:pPr>
              <w:textAlignment w:val="baseline"/>
              <w:rPr>
                <w:rFonts w:ascii="Times New Roman" w:hAnsi="Times New Roman"/>
                <w:lang w:eastAsia="en-GB"/>
              </w:rPr>
            </w:pPr>
            <w:r w:rsidRPr="0014225B">
              <w:rPr>
                <w:rFonts w:ascii="Segoe UI" w:hAnsi="Segoe UI" w:cs="Segoe UI"/>
                <w:sz w:val="16"/>
                <w:szCs w:val="16"/>
                <w:lang w:eastAsia="en-GB"/>
              </w:rPr>
              <w:t> </w:t>
            </w:r>
          </w:p>
        </w:tc>
        <w:tc>
          <w:tcPr>
            <w:tcW w:w="1545"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6A18FE56" w14:textId="77777777">
            <w:pPr>
              <w:textAlignment w:val="baseline"/>
              <w:rPr>
                <w:rFonts w:ascii="Times New Roman" w:hAnsi="Times New Roman"/>
                <w:lang w:eastAsia="en-GB"/>
              </w:rPr>
            </w:pPr>
            <w:r w:rsidRPr="0014225B">
              <w:rPr>
                <w:rFonts w:ascii="Segoe UI" w:hAnsi="Segoe UI" w:cs="Segoe UI"/>
                <w:sz w:val="16"/>
                <w:szCs w:val="16"/>
                <w:lang w:eastAsia="en-GB"/>
              </w:rPr>
              <w:t>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5BE21656" w14:textId="77777777">
            <w:pPr>
              <w:textAlignment w:val="baseline"/>
              <w:rPr>
                <w:rFonts w:ascii="Times New Roman" w:hAnsi="Times New Roman"/>
                <w:lang w:eastAsia="en-GB"/>
              </w:rPr>
            </w:pPr>
            <w:r w:rsidRPr="0014225B">
              <w:rPr>
                <w:rFonts w:ascii="Segoe UI" w:hAnsi="Segoe UI" w:cs="Segoe UI"/>
                <w:sz w:val="16"/>
                <w:szCs w:val="16"/>
                <w:lang w:val="da-DK" w:eastAsia="en-GB"/>
              </w:rPr>
              <w:t>Cumulative: discrete annual</w:t>
            </w:r>
            <w:r w:rsidRPr="0014225B">
              <w:rPr>
                <w:rFonts w:ascii="Segoe UI" w:hAnsi="Segoe UI" w:cs="Segoe UI"/>
                <w:sz w:val="16"/>
                <w:szCs w:val="16"/>
                <w:lang w:eastAsia="en-GB"/>
              </w:rPr>
              <w:t> </w:t>
            </w:r>
          </w:p>
        </w:tc>
        <w:tc>
          <w:tcPr>
            <w:tcW w:w="4245" w:type="dxa"/>
            <w:tcBorders>
              <w:top w:val="single" w:color="auto" w:sz="6" w:space="0"/>
              <w:left w:val="single" w:color="auto" w:sz="6" w:space="0"/>
              <w:bottom w:val="single" w:color="auto" w:sz="6" w:space="0"/>
              <w:right w:val="single" w:color="auto" w:sz="6" w:space="0"/>
            </w:tcBorders>
            <w:shd w:val="clear" w:color="auto" w:fill="FF7E79"/>
            <w:hideMark/>
          </w:tcPr>
          <w:p w:rsidRPr="0014225B" w:rsidR="0014225B" w:rsidP="0014225B" w:rsidRDefault="0014225B" w14:paraId="0B7FCD11" w14:textId="77777777">
            <w:pPr>
              <w:textAlignment w:val="baseline"/>
              <w:rPr>
                <w:rFonts w:ascii="Times New Roman" w:hAnsi="Times New Roman"/>
                <w:lang w:eastAsia="en-GB"/>
              </w:rPr>
            </w:pPr>
            <w:r w:rsidRPr="0014225B">
              <w:rPr>
                <w:rFonts w:ascii="Segoe UI" w:hAnsi="Segoe UI" w:cs="Segoe UI"/>
                <w:b/>
                <w:bCs/>
                <w:sz w:val="16"/>
                <w:szCs w:val="16"/>
                <w:lang w:eastAsia="en-GB"/>
              </w:rPr>
              <w:t xml:space="preserve">3: </w:t>
            </w:r>
            <w:r w:rsidRPr="0014225B">
              <w:rPr>
                <w:rFonts w:ascii="Segoe UI" w:hAnsi="Segoe UI" w:cs="Segoe UI"/>
                <w:sz w:val="16"/>
                <w:szCs w:val="16"/>
                <w:lang w:eastAsia="en-GB"/>
              </w:rPr>
              <w:t>The definition and scope of this indicator is now under discussion </w:t>
            </w:r>
          </w:p>
        </w:tc>
        <w:tc>
          <w:tcPr>
            <w:tcW w:w="1830" w:type="dxa"/>
            <w:tcBorders>
              <w:top w:val="single" w:color="auto" w:sz="6" w:space="0"/>
              <w:left w:val="single" w:color="auto" w:sz="6" w:space="0"/>
              <w:bottom w:val="single" w:color="auto" w:sz="6" w:space="0"/>
              <w:right w:val="single" w:color="auto" w:sz="6" w:space="0"/>
            </w:tcBorders>
            <w:shd w:val="clear" w:color="auto" w:fill="auto"/>
            <w:hideMark/>
          </w:tcPr>
          <w:p w:rsidRPr="0014225B" w:rsidR="0014225B" w:rsidP="0014225B" w:rsidRDefault="0014225B" w14:paraId="40EAC743" w14:textId="77777777">
            <w:pPr>
              <w:textAlignment w:val="baseline"/>
              <w:rPr>
                <w:rFonts w:ascii="Times New Roman" w:hAnsi="Times New Roman"/>
                <w:lang w:eastAsia="en-GB"/>
              </w:rPr>
            </w:pPr>
            <w:r w:rsidRPr="0014225B">
              <w:rPr>
                <w:rFonts w:ascii="Segoe UI" w:hAnsi="Segoe UI" w:cs="Segoe UI"/>
                <w:sz w:val="16"/>
                <w:szCs w:val="16"/>
                <w:lang w:eastAsia="en-GB"/>
              </w:rPr>
              <w:t> </w:t>
            </w:r>
          </w:p>
        </w:tc>
      </w:tr>
    </w:tbl>
    <w:p w:rsidR="00875B2D" w:rsidRDefault="00875B2D" w14:paraId="28087919" w14:textId="2D3CBF61">
      <w:pPr>
        <w:spacing w:after="160" w:line="259" w:lineRule="auto"/>
        <w:rPr>
          <w:rFonts w:cs="Arial"/>
          <w:b/>
          <w:bCs/>
          <w:sz w:val="20"/>
        </w:rPr>
      </w:pPr>
    </w:p>
    <w:p w:rsidR="009E1F5F" w:rsidP="67879893" w:rsidRDefault="009E1F5F" w14:paraId="0A4A3C70" w14:textId="286DC08D">
      <w:pPr>
        <w:pStyle w:val="Normal"/>
        <w:spacing w:after="160" w:line="259" w:lineRule="auto"/>
        <w:rPr>
          <w:rFonts w:cs="Arial"/>
          <w:b w:val="1"/>
          <w:bCs w:val="1"/>
          <w:sz w:val="20"/>
          <w:szCs w:val="20"/>
        </w:rPr>
        <w:sectPr w:rsidR="009E1F5F" w:rsidSect="00434A5E">
          <w:headerReference w:type="even" r:id="rId16"/>
          <w:headerReference w:type="default" r:id="rId17"/>
          <w:footerReference w:type="even" r:id="rId18"/>
          <w:footerReference w:type="default" r:id="rId19"/>
          <w:headerReference w:type="first" r:id="rId20"/>
          <w:footerReference w:type="first" r:id="rId21"/>
          <w:pgSz w:w="11906" w:h="16838" w:orient="portrait"/>
          <w:pgMar w:top="709" w:right="1440" w:bottom="709" w:left="1440" w:header="708" w:footer="708" w:gutter="0"/>
          <w:cols w:space="708"/>
          <w:docGrid w:linePitch="360"/>
        </w:sectPr>
      </w:pPr>
    </w:p>
    <w:p w:rsidR="00CB3379" w:rsidRDefault="00875B2D" w14:paraId="22CCFE19" w14:textId="47C0B246">
      <w:pPr>
        <w:spacing w:after="160" w:line="259" w:lineRule="auto"/>
        <w:rPr>
          <w:rFonts w:cs="Arial"/>
          <w:b/>
          <w:bCs/>
        </w:rPr>
      </w:pPr>
      <w:r w:rsidRPr="00A8496E">
        <w:rPr>
          <w:rFonts w:cs="Arial"/>
          <w:b/>
          <w:bCs/>
        </w:rPr>
        <w:t xml:space="preserve">ANNEX </w:t>
      </w:r>
      <w:r w:rsidRPr="00A8496E" w:rsidR="0079676C">
        <w:rPr>
          <w:rFonts w:cs="Arial"/>
          <w:b/>
          <w:bCs/>
        </w:rPr>
        <w:t>B</w:t>
      </w:r>
      <w:r w:rsidRPr="00A8496E" w:rsidR="008A4BB7">
        <w:rPr>
          <w:rFonts w:cs="Arial"/>
          <w:b/>
          <w:bCs/>
        </w:rPr>
        <w:t xml:space="preserve"> – OCPP Theory of Change</w:t>
      </w:r>
    </w:p>
    <w:p w:rsidR="00CF65B6" w:rsidRDefault="00CF65B6" w14:paraId="2A501449" w14:textId="6531C82F">
      <w:pPr>
        <w:spacing w:after="160" w:line="259" w:lineRule="auto"/>
        <w:rPr>
          <w:rFonts w:cs="Arial"/>
          <w:b w:val="1"/>
          <w:bCs w:val="1"/>
        </w:rPr>
        <w:sectPr w:rsidR="00CF65B6" w:rsidSect="009E1F5F">
          <w:pgSz w:w="16838" w:h="11906" w:orient="landscape"/>
          <w:pgMar w:top="1440" w:right="709" w:bottom="1440" w:left="709" w:header="708" w:footer="708" w:gutter="0"/>
          <w:cols w:space="708"/>
          <w:docGrid w:linePitch="360"/>
        </w:sectPr>
      </w:pPr>
      <w:r w:rsidR="00993FE7">
        <w:drawing>
          <wp:inline wp14:editId="6F2F68E8" wp14:anchorId="54832E5A">
            <wp:extent cx="9515475" cy="5352322"/>
            <wp:effectExtent l="0" t="0" r="0" b="1270"/>
            <wp:docPr id="1859928271" name="Picture 7" title=""/>
            <wp:cNvGraphicFramePr>
              <a:graphicFrameLocks noChangeAspect="1"/>
            </wp:cNvGraphicFramePr>
            <a:graphic>
              <a:graphicData uri="http://schemas.openxmlformats.org/drawingml/2006/picture">
                <pic:pic>
                  <pic:nvPicPr>
                    <pic:cNvPr id="0" name="Picture 7"/>
                    <pic:cNvPicPr/>
                  </pic:nvPicPr>
                  <pic:blipFill>
                    <a:blip r:embed="R5ac7293e196947d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515475" cy="5352322"/>
                    </a:xfrm>
                    <a:prstGeom prst="rect">
                      <a:avLst/>
                    </a:prstGeom>
                  </pic:spPr>
                </pic:pic>
              </a:graphicData>
            </a:graphic>
          </wp:inline>
        </w:drawing>
      </w:r>
    </w:p>
    <w:p w:rsidR="00C6610A" w:rsidRDefault="00CF65B6" w14:paraId="6D590E68" w14:textId="3A49B371">
      <w:pPr>
        <w:spacing w:after="160" w:line="259" w:lineRule="auto"/>
        <w:rPr>
          <w:rFonts w:cs="Arial"/>
          <w:b/>
          <w:bCs/>
        </w:rPr>
      </w:pPr>
      <w:r>
        <w:rPr>
          <w:rFonts w:cs="Arial"/>
          <w:b/>
          <w:bCs/>
        </w:rPr>
        <w:t xml:space="preserve">ANNEX C </w:t>
      </w:r>
      <w:r w:rsidR="00FD3484">
        <w:rPr>
          <w:rFonts w:cs="Arial"/>
          <w:b/>
          <w:bCs/>
        </w:rPr>
        <w:t>–</w:t>
      </w:r>
      <w:r>
        <w:rPr>
          <w:rFonts w:cs="Arial"/>
          <w:b/>
          <w:bCs/>
        </w:rPr>
        <w:t xml:space="preserve"> </w:t>
      </w:r>
      <w:r w:rsidR="00FD3484">
        <w:rPr>
          <w:rFonts w:cs="Arial"/>
          <w:b/>
          <w:bCs/>
        </w:rPr>
        <w:t>OCPP Theory of Change Narrative</w:t>
      </w:r>
    </w:p>
    <w:p w:rsidRPr="00F41AF2" w:rsidR="00F41AF2" w:rsidP="00F41AF2" w:rsidRDefault="00F41AF2" w14:paraId="648617E2" w14:textId="77777777">
      <w:pPr>
        <w:keepNext/>
        <w:keepLines/>
        <w:numPr>
          <w:ilvl w:val="1"/>
          <w:numId w:val="0"/>
        </w:numPr>
        <w:suppressAutoHyphens/>
        <w:spacing w:before="180" w:line="320" w:lineRule="atLeast"/>
        <w:ind w:left="851" w:hanging="851"/>
        <w:outlineLvl w:val="1"/>
        <w:rPr>
          <w:rFonts w:ascii="Segoe UI" w:hAnsi="Segoe UI" w:eastAsia="MS Gothic" w:cs="Arial"/>
          <w:b/>
          <w:szCs w:val="26"/>
        </w:rPr>
      </w:pPr>
      <w:bookmarkStart w:name="_Toc149463831" w:id="1"/>
      <w:r w:rsidRPr="00F41AF2">
        <w:rPr>
          <w:rFonts w:ascii="Segoe UI" w:hAnsi="Segoe UI" w:eastAsia="MS Gothic" w:cs="Arial"/>
          <w:b/>
          <w:szCs w:val="26"/>
        </w:rPr>
        <w:t>Overarching objectives of the OCPP</w:t>
      </w:r>
      <w:bookmarkEnd w:id="1"/>
    </w:p>
    <w:p w:rsidRPr="00F41AF2" w:rsidR="00F41AF2" w:rsidP="00F41AF2" w:rsidRDefault="00F41AF2" w14:paraId="074F34D0" w14:textId="77777777">
      <w:pPr>
        <w:spacing w:after="240" w:line="280" w:lineRule="atLeast"/>
        <w:jc w:val="both"/>
        <w:rPr>
          <w:rFonts w:ascii="Segoe UI" w:hAnsi="Segoe UI" w:eastAsia="Segoe UI"/>
          <w:sz w:val="20"/>
          <w:szCs w:val="20"/>
        </w:rPr>
      </w:pPr>
      <w:r w:rsidRPr="00F41AF2">
        <w:rPr>
          <w:rFonts w:ascii="Segoe UI" w:hAnsi="Segoe UI" w:eastAsia="Segoe UI"/>
          <w:sz w:val="20"/>
          <w:szCs w:val="20"/>
        </w:rPr>
        <w:t>The OCPP seeks to improve marine science capacity and capabilities across the three themes: biodiversity, seafood and pollution. It recognises the ocean supports the global population’s economic, social, and environmental needs, with over three billion people depending on marine and coastal biodiversity for their livelihoods.</w:t>
      </w:r>
      <w:r w:rsidRPr="00F41AF2">
        <w:rPr>
          <w:rFonts w:ascii="Segoe UI" w:hAnsi="Segoe UI" w:eastAsia="Segoe UI"/>
          <w:sz w:val="20"/>
          <w:szCs w:val="20"/>
          <w:vertAlign w:val="superscript"/>
        </w:rPr>
        <w:footnoteReference w:id="7"/>
      </w:r>
      <w:r w:rsidRPr="00F41AF2">
        <w:rPr>
          <w:rFonts w:ascii="Segoe UI" w:hAnsi="Segoe UI" w:eastAsia="Segoe UI"/>
          <w:sz w:val="20"/>
          <w:szCs w:val="20"/>
        </w:rPr>
        <w:t xml:space="preserve"> Careful management of the ocean is therefore a key feature of a sustainable future and ocean science is crucial to understand and monitor the ocean, predict its health status and support sustainable and equitable marine decision-making.</w:t>
      </w:r>
      <w:r w:rsidRPr="00F41AF2">
        <w:rPr>
          <w:rFonts w:ascii="Segoe UI" w:hAnsi="Segoe UI" w:eastAsia="Segoe UI"/>
          <w:sz w:val="20"/>
          <w:szCs w:val="20"/>
          <w:vertAlign w:val="superscript"/>
        </w:rPr>
        <w:footnoteReference w:id="8"/>
      </w:r>
      <w:r w:rsidRPr="00F41AF2">
        <w:rPr>
          <w:rFonts w:ascii="Segoe UI" w:hAnsi="Segoe UI" w:eastAsia="Segoe UI"/>
          <w:sz w:val="20"/>
          <w:szCs w:val="20"/>
        </w:rPr>
        <w:t xml:space="preserve"> </w:t>
      </w:r>
    </w:p>
    <w:p w:rsidRPr="00F41AF2" w:rsidR="00F41AF2" w:rsidP="00F41AF2" w:rsidRDefault="00F41AF2" w14:paraId="04A9BEC5" w14:textId="77777777">
      <w:pPr>
        <w:spacing w:after="240" w:line="280" w:lineRule="atLeast"/>
        <w:jc w:val="both"/>
        <w:rPr>
          <w:rFonts w:ascii="Segoe UI" w:hAnsi="Segoe UI" w:eastAsia="Segoe UI"/>
          <w:sz w:val="20"/>
          <w:szCs w:val="20"/>
        </w:rPr>
      </w:pPr>
      <w:r w:rsidRPr="00F41AF2">
        <w:rPr>
          <w:rFonts w:ascii="Segoe UI" w:hAnsi="Segoe UI" w:eastAsia="Segoe UI"/>
          <w:sz w:val="20"/>
          <w:szCs w:val="20"/>
        </w:rPr>
        <w:t>The OCPP expands on the TA methodology delivered through the Commonwealth Litter Programme, that aims to increase knowledge and capacity of stakeholders to tackle marine challenges through science-based policy and education.</w:t>
      </w:r>
      <w:r w:rsidRPr="00F41AF2">
        <w:rPr>
          <w:rFonts w:ascii="Segoe UI" w:hAnsi="Segoe UI" w:eastAsia="Segoe UI"/>
          <w:sz w:val="20"/>
          <w:szCs w:val="20"/>
          <w:vertAlign w:val="superscript"/>
        </w:rPr>
        <w:footnoteReference w:id="9"/>
      </w:r>
      <w:r w:rsidRPr="00F41AF2">
        <w:rPr>
          <w:rFonts w:ascii="Segoe UI" w:hAnsi="Segoe UI" w:eastAsia="Segoe UI"/>
          <w:sz w:val="20"/>
          <w:szCs w:val="20"/>
        </w:rPr>
        <w:t xml:space="preserve"> The OCPP enables partnership countries to strengthen marine science expertise, develop science-based policy and management tools, and create educational resources for coastal communities. The programme is intended to be demand-led, with the bilateral Delivery Partners working in collaboration with partner countries to create bespoke delivery plans for TA tailored to need. For FOA and GOAP, this reflects the programme’s understanding that local ownership for TA programmes is essential in order to ensure success.</w:t>
      </w:r>
      <w:r w:rsidRPr="00F41AF2">
        <w:rPr>
          <w:rFonts w:ascii="Segoe UI" w:hAnsi="Segoe UI" w:eastAsia="Segoe UI"/>
          <w:sz w:val="20"/>
          <w:szCs w:val="20"/>
          <w:vertAlign w:val="superscript"/>
        </w:rPr>
        <w:footnoteReference w:id="10"/>
      </w:r>
      <w:r w:rsidRPr="00F41AF2">
        <w:rPr>
          <w:rFonts w:ascii="Segoe UI" w:hAnsi="Segoe UI" w:eastAsia="Segoe UI"/>
          <w:sz w:val="20"/>
          <w:szCs w:val="20"/>
        </w:rPr>
        <w:t xml:space="preserve"> Furthermore, the programme’s activities of capacity building and/or providing technical assistance are aligned to the outcomes of the BPF: Marine Protected Areas, International and large-scale fisheries, Solid waste and other forms of marine pollution, Illegal Unregulated and Unreported fishing, sustainable aquaculture.  </w:t>
      </w:r>
    </w:p>
    <w:p w:rsidRPr="00F41AF2" w:rsidR="00F41AF2" w:rsidP="00F41AF2" w:rsidRDefault="00F41AF2" w14:paraId="7F084FAC" w14:textId="77777777">
      <w:pPr>
        <w:keepNext/>
        <w:keepLines/>
        <w:numPr>
          <w:ilvl w:val="1"/>
          <w:numId w:val="0"/>
        </w:numPr>
        <w:suppressAutoHyphens/>
        <w:spacing w:before="180" w:line="320" w:lineRule="atLeast"/>
        <w:ind w:left="851" w:hanging="851"/>
        <w:outlineLvl w:val="1"/>
        <w:rPr>
          <w:rFonts w:ascii="Segoe UI" w:hAnsi="Segoe UI" w:eastAsia="MS Gothic" w:cs="Arial"/>
          <w:b/>
          <w:szCs w:val="26"/>
        </w:rPr>
      </w:pPr>
      <w:bookmarkStart w:name="_Toc149463832" w:id="2"/>
      <w:r w:rsidRPr="00F41AF2">
        <w:rPr>
          <w:rFonts w:ascii="Segoe UI" w:hAnsi="Segoe UI" w:eastAsia="MS Gothic" w:cs="Arial"/>
          <w:b/>
          <w:szCs w:val="26"/>
        </w:rPr>
        <w:t>OCPP Outcome and Intermediate Outcome level changes</w:t>
      </w:r>
      <w:bookmarkEnd w:id="2"/>
    </w:p>
    <w:p w:rsidRPr="00F41AF2" w:rsidR="00F41AF2" w:rsidP="00F41AF2" w:rsidRDefault="00F41AF2" w14:paraId="7CE57DF4" w14:textId="77777777">
      <w:pPr>
        <w:spacing w:after="240" w:line="280" w:lineRule="atLeast"/>
        <w:jc w:val="both"/>
        <w:rPr>
          <w:rFonts w:ascii="Segoe UI" w:hAnsi="Segoe UI" w:eastAsia="Segoe UI"/>
          <w:sz w:val="20"/>
          <w:szCs w:val="20"/>
        </w:rPr>
      </w:pPr>
      <w:r w:rsidRPr="00F41AF2">
        <w:rPr>
          <w:rFonts w:ascii="Segoe UI" w:hAnsi="Segoe UI" w:eastAsia="Segoe UI"/>
          <w:sz w:val="20"/>
          <w:szCs w:val="20"/>
        </w:rPr>
        <w:t>The programme’s stated Outcome is:</w:t>
      </w:r>
    </w:p>
    <w:p w:rsidRPr="00F41AF2" w:rsidR="00F41AF2" w:rsidP="00F41AF2" w:rsidRDefault="00F41AF2" w14:paraId="0B1DFF3E" w14:textId="77777777">
      <w:pPr>
        <w:spacing w:after="240" w:line="280" w:lineRule="atLeast"/>
        <w:ind w:left="1304"/>
        <w:jc w:val="both"/>
        <w:rPr>
          <w:rFonts w:ascii="Segoe UI" w:hAnsi="Segoe UI" w:eastAsia="Segoe UI"/>
          <w:sz w:val="20"/>
          <w:szCs w:val="20"/>
        </w:rPr>
      </w:pPr>
      <w:r w:rsidRPr="00F41AF2">
        <w:rPr>
          <w:rFonts w:ascii="Segoe UI" w:hAnsi="Segoe UI" w:eastAsia="Segoe UI"/>
          <w:sz w:val="20"/>
          <w:szCs w:val="20"/>
        </w:rPr>
        <w:t>‘Partner country stakeholders take enhanced collaborative action to effectively and sustainably manage and protect their marine environments’</w:t>
      </w:r>
    </w:p>
    <w:p w:rsidRPr="00F41AF2" w:rsidR="00F41AF2" w:rsidP="00F41AF2" w:rsidRDefault="00F41AF2" w14:paraId="18D59BE8" w14:textId="77777777">
      <w:pPr>
        <w:spacing w:after="240" w:line="280" w:lineRule="atLeast"/>
        <w:jc w:val="both"/>
        <w:rPr>
          <w:rFonts w:ascii="Segoe UI" w:hAnsi="Segoe UI" w:eastAsia="Segoe UI"/>
          <w:sz w:val="20"/>
          <w:szCs w:val="20"/>
        </w:rPr>
      </w:pPr>
      <w:r w:rsidRPr="00F41AF2">
        <w:rPr>
          <w:rFonts w:ascii="Segoe UI" w:hAnsi="Segoe UI" w:eastAsia="Segoe UI"/>
          <w:sz w:val="20"/>
          <w:szCs w:val="20"/>
        </w:rPr>
        <w:t>To reach that Outcome, the intervention must first result in the implementation of the following:</w:t>
      </w:r>
    </w:p>
    <w:p w:rsidRPr="00F41AF2" w:rsidR="00F41AF2" w:rsidP="00F41AF2" w:rsidRDefault="00F41AF2" w14:paraId="55CAD777" w14:textId="77777777">
      <w:pPr>
        <w:numPr>
          <w:ilvl w:val="1"/>
          <w:numId w:val="0"/>
        </w:numPr>
        <w:spacing w:line="280" w:lineRule="atLeast"/>
        <w:ind w:left="284" w:hanging="142"/>
        <w:contextualSpacing/>
        <w:rPr>
          <w:rFonts w:ascii="Segoe UI" w:hAnsi="Segoe UI" w:eastAsia="Segoe UI"/>
          <w:sz w:val="20"/>
          <w:szCs w:val="20"/>
        </w:rPr>
      </w:pPr>
      <w:r w:rsidRPr="00F41AF2">
        <w:rPr>
          <w:rFonts w:ascii="Segoe UI" w:hAnsi="Segoe UI" w:eastAsia="Segoe UI"/>
          <w:sz w:val="20"/>
          <w:szCs w:val="20"/>
        </w:rPr>
        <w:t>Improved policies and practices that protect and conserve marine environment effectively implemented by partner countries, with strengthened preparedness to respond to emergencies</w:t>
      </w:r>
    </w:p>
    <w:p w:rsidRPr="00F41AF2" w:rsidR="00F41AF2" w:rsidP="00F41AF2" w:rsidRDefault="00F41AF2" w14:paraId="61B8D54F" w14:textId="77777777">
      <w:pPr>
        <w:numPr>
          <w:ilvl w:val="1"/>
          <w:numId w:val="0"/>
        </w:numPr>
        <w:spacing w:line="280" w:lineRule="atLeast"/>
        <w:ind w:left="284" w:hanging="142"/>
        <w:contextualSpacing/>
        <w:rPr>
          <w:rFonts w:ascii="Segoe UI" w:hAnsi="Segoe UI" w:eastAsia="Segoe UI"/>
          <w:sz w:val="20"/>
          <w:szCs w:val="20"/>
        </w:rPr>
      </w:pPr>
      <w:r w:rsidRPr="00F41AF2">
        <w:rPr>
          <w:rFonts w:ascii="Segoe UI" w:hAnsi="Segoe UI" w:eastAsia="Segoe UI"/>
          <w:sz w:val="20"/>
          <w:szCs w:val="20"/>
        </w:rPr>
        <w:t>Enhanced and inclusive regulations that protect and conserve marine environment effectively enforced by partner countries</w:t>
      </w:r>
    </w:p>
    <w:p w:rsidRPr="00F41AF2" w:rsidR="00F41AF2" w:rsidP="00F41AF2" w:rsidRDefault="00F41AF2" w14:paraId="0ADC12D1" w14:textId="77777777">
      <w:pPr>
        <w:numPr>
          <w:ilvl w:val="1"/>
          <w:numId w:val="0"/>
        </w:numPr>
        <w:spacing w:line="280" w:lineRule="atLeast"/>
        <w:ind w:left="284" w:hanging="142"/>
        <w:contextualSpacing/>
        <w:rPr>
          <w:rFonts w:ascii="Segoe UI" w:hAnsi="Segoe UI" w:eastAsia="Segoe UI"/>
          <w:sz w:val="20"/>
          <w:szCs w:val="20"/>
        </w:rPr>
      </w:pPr>
      <w:r w:rsidRPr="00F41AF2">
        <w:rPr>
          <w:rFonts w:ascii="Segoe UI" w:hAnsi="Segoe UI" w:eastAsia="Segoe UI"/>
          <w:sz w:val="20"/>
          <w:szCs w:val="20"/>
        </w:rPr>
        <w:t>Enhanced and inclusive community ownership, resourcing, and public-private partnerships and action [including scale up of successful innovations] to effectively manage their marine environment </w:t>
      </w:r>
    </w:p>
    <w:p w:rsidRPr="00F41AF2" w:rsidR="00F41AF2" w:rsidP="00F41AF2" w:rsidRDefault="00F41AF2" w14:paraId="37CA8A9B" w14:textId="77777777">
      <w:pPr>
        <w:spacing w:after="240" w:line="280" w:lineRule="atLeast"/>
        <w:jc w:val="both"/>
        <w:rPr>
          <w:rFonts w:ascii="Segoe UI" w:hAnsi="Segoe UI" w:eastAsia="Segoe UI"/>
          <w:sz w:val="20"/>
          <w:szCs w:val="20"/>
        </w:rPr>
      </w:pPr>
    </w:p>
    <w:p w:rsidRPr="00F41AF2" w:rsidR="00F41AF2" w:rsidP="00F41AF2" w:rsidRDefault="00F41AF2" w14:paraId="70343C5D" w14:textId="77777777">
      <w:pPr>
        <w:spacing w:after="240" w:line="280" w:lineRule="atLeast"/>
        <w:jc w:val="both"/>
        <w:rPr>
          <w:rFonts w:ascii="Segoe UI" w:hAnsi="Segoe UI" w:eastAsia="Segoe UI"/>
          <w:sz w:val="20"/>
          <w:szCs w:val="20"/>
        </w:rPr>
      </w:pPr>
      <w:r w:rsidRPr="00F41AF2">
        <w:rPr>
          <w:rFonts w:ascii="Segoe UI" w:hAnsi="Segoe UI" w:eastAsia="Segoe UI"/>
          <w:sz w:val="20"/>
          <w:szCs w:val="20"/>
        </w:rPr>
        <w:t xml:space="preserve">At the Intermediate Outcome level, which is more in control of the programme to influence, the OCPP will result in: </w:t>
      </w:r>
    </w:p>
    <w:p w:rsidRPr="00F41AF2" w:rsidR="00F41AF2" w:rsidP="00F41AF2" w:rsidRDefault="00F41AF2" w14:paraId="1EFCB6BF" w14:textId="77777777">
      <w:pPr>
        <w:spacing w:after="240" w:line="280" w:lineRule="atLeast"/>
        <w:ind w:left="1304"/>
        <w:jc w:val="both"/>
        <w:rPr>
          <w:rFonts w:ascii="Segoe UI" w:hAnsi="Segoe UI" w:eastAsia="Segoe UI"/>
          <w:sz w:val="20"/>
          <w:szCs w:val="20"/>
        </w:rPr>
      </w:pPr>
      <w:r w:rsidRPr="00F41AF2">
        <w:rPr>
          <w:rFonts w:ascii="Segoe UI" w:hAnsi="Segoe UI" w:eastAsia="Segoe UI"/>
          <w:sz w:val="20"/>
          <w:szCs w:val="20"/>
        </w:rPr>
        <w:t>‘Improved policies and regulation with enhanced capabilities and inclusive governance in place to implement and enforce these’</w:t>
      </w:r>
    </w:p>
    <w:p w:rsidRPr="00F41AF2" w:rsidR="00F41AF2" w:rsidP="00F41AF2" w:rsidRDefault="00F41AF2" w14:paraId="5FFB73B5" w14:textId="77777777">
      <w:pPr>
        <w:spacing w:after="240" w:line="280" w:lineRule="atLeast"/>
        <w:jc w:val="both"/>
        <w:rPr>
          <w:rFonts w:ascii="Segoe UI" w:hAnsi="Segoe UI" w:eastAsia="Segoe UI"/>
          <w:sz w:val="20"/>
          <w:szCs w:val="20"/>
        </w:rPr>
      </w:pPr>
      <w:r w:rsidRPr="00F41AF2">
        <w:rPr>
          <w:rFonts w:ascii="Segoe UI" w:hAnsi="Segoe UI" w:eastAsia="Segoe UI"/>
          <w:sz w:val="20"/>
          <w:szCs w:val="20"/>
        </w:rPr>
        <w:t>To reach this Intermediate Outcome level, the programme must result in the uptake/adoption of:</w:t>
      </w:r>
    </w:p>
    <w:p w:rsidRPr="00F41AF2" w:rsidR="00F41AF2" w:rsidP="00F41AF2" w:rsidRDefault="00F41AF2" w14:paraId="4C92DB0B" w14:textId="77777777">
      <w:pPr>
        <w:numPr>
          <w:ilvl w:val="1"/>
          <w:numId w:val="0"/>
        </w:numPr>
        <w:spacing w:line="280" w:lineRule="atLeast"/>
        <w:ind w:left="284" w:hanging="142"/>
        <w:contextualSpacing/>
        <w:rPr>
          <w:rFonts w:ascii="Segoe UI" w:hAnsi="Segoe UI" w:eastAsia="Segoe UI"/>
          <w:sz w:val="20"/>
          <w:szCs w:val="20"/>
        </w:rPr>
      </w:pPr>
      <w:r w:rsidRPr="00F41AF2">
        <w:rPr>
          <w:rFonts w:ascii="Segoe UI" w:hAnsi="Segoe UI" w:eastAsia="Segoe UI"/>
          <w:sz w:val="20"/>
          <w:szCs w:val="20"/>
        </w:rPr>
        <w:t>Partner country governments have the necessary human and organisational capabilities to implement improved policies, regulations, and approaches for sustainable marine environment management and emergency response</w:t>
      </w:r>
    </w:p>
    <w:p w:rsidRPr="00F41AF2" w:rsidR="00F41AF2" w:rsidP="00F41AF2" w:rsidRDefault="00F41AF2" w14:paraId="38EA0B3D" w14:textId="77777777">
      <w:pPr>
        <w:numPr>
          <w:ilvl w:val="1"/>
          <w:numId w:val="0"/>
        </w:numPr>
        <w:spacing w:line="280" w:lineRule="atLeast"/>
        <w:ind w:left="284" w:hanging="142"/>
        <w:contextualSpacing/>
        <w:rPr>
          <w:rFonts w:ascii="Segoe UI" w:hAnsi="Segoe UI" w:eastAsia="Segoe UI"/>
          <w:sz w:val="20"/>
          <w:szCs w:val="20"/>
        </w:rPr>
      </w:pPr>
      <w:r w:rsidRPr="00F41AF2">
        <w:rPr>
          <w:rFonts w:ascii="Segoe UI" w:hAnsi="Segoe UI" w:eastAsia="Segoe UI"/>
          <w:sz w:val="20"/>
          <w:szCs w:val="20"/>
        </w:rPr>
        <w:t>Partner country governments have improved policies, regulation frameworks, and approaches for sustainable marine environmental management &amp; emergency response</w:t>
      </w:r>
    </w:p>
    <w:p w:rsidRPr="00F41AF2" w:rsidR="00F41AF2" w:rsidP="00F41AF2" w:rsidRDefault="00F41AF2" w14:paraId="05BDFFA0" w14:textId="77777777">
      <w:pPr>
        <w:numPr>
          <w:ilvl w:val="1"/>
          <w:numId w:val="0"/>
        </w:numPr>
        <w:spacing w:line="280" w:lineRule="atLeast"/>
        <w:ind w:left="284" w:hanging="142"/>
        <w:contextualSpacing/>
        <w:rPr>
          <w:rFonts w:ascii="Segoe UI" w:hAnsi="Segoe UI" w:eastAsia="Segoe UI"/>
          <w:sz w:val="20"/>
          <w:szCs w:val="20"/>
        </w:rPr>
      </w:pPr>
      <w:r w:rsidRPr="00F41AF2">
        <w:rPr>
          <w:rFonts w:ascii="Segoe UI" w:hAnsi="Segoe UI" w:eastAsia="Segoe UI"/>
          <w:sz w:val="20"/>
          <w:szCs w:val="20"/>
        </w:rPr>
        <w:t>Community ownership and / or support from public-private partnerships for policies, regulations and practices that support effective management of the marine environment</w:t>
      </w:r>
    </w:p>
    <w:p w:rsidRPr="00F41AF2" w:rsidR="00F41AF2" w:rsidP="00F41AF2" w:rsidRDefault="00F41AF2" w14:paraId="65045625" w14:textId="77777777">
      <w:pPr>
        <w:spacing w:after="240" w:line="280" w:lineRule="atLeast"/>
        <w:rPr>
          <w:rFonts w:ascii="Segoe UI" w:hAnsi="Segoe UI" w:eastAsia="Segoe UI"/>
          <w:sz w:val="20"/>
          <w:szCs w:val="20"/>
        </w:rPr>
      </w:pPr>
    </w:p>
    <w:p w:rsidRPr="00F41AF2" w:rsidR="00F41AF2" w:rsidP="00F41AF2" w:rsidRDefault="00F41AF2" w14:paraId="7269AC0B" w14:textId="77777777">
      <w:pPr>
        <w:keepNext/>
        <w:keepLines/>
        <w:numPr>
          <w:ilvl w:val="1"/>
          <w:numId w:val="0"/>
        </w:numPr>
        <w:suppressAutoHyphens/>
        <w:spacing w:before="180" w:line="320" w:lineRule="atLeast"/>
        <w:ind w:left="851" w:hanging="851"/>
        <w:jc w:val="both"/>
        <w:outlineLvl w:val="1"/>
        <w:rPr>
          <w:rFonts w:ascii="Segoe UI" w:hAnsi="Segoe UI" w:eastAsia="MS Gothic" w:cs="Arial"/>
          <w:b/>
          <w:szCs w:val="26"/>
          <w:lang w:eastAsia="en-GB"/>
        </w:rPr>
      </w:pPr>
      <w:bookmarkStart w:name="_Toc149463833" w:id="3"/>
      <w:r w:rsidRPr="00F41AF2">
        <w:rPr>
          <w:rFonts w:ascii="Segoe UI" w:hAnsi="Segoe UI" w:eastAsia="MS Gothic" w:cs="Arial"/>
          <w:b/>
          <w:szCs w:val="26"/>
          <w:lang w:eastAsia="en-GB"/>
        </w:rPr>
        <w:t>Gender, Equity and Social Inclusion within the marine environment and OCPP</w:t>
      </w:r>
      <w:bookmarkEnd w:id="3"/>
    </w:p>
    <w:p w:rsidRPr="00F41AF2" w:rsidR="00F41AF2" w:rsidP="00F41AF2" w:rsidRDefault="00F41AF2" w14:paraId="5AFA23B2" w14:textId="77777777">
      <w:pPr>
        <w:spacing w:after="240" w:line="280" w:lineRule="atLeast"/>
        <w:jc w:val="both"/>
        <w:rPr>
          <w:rFonts w:ascii="Segoe UI" w:hAnsi="Segoe UI" w:eastAsia="Segoe UI" w:cs="Segoe UI"/>
          <w:sz w:val="20"/>
          <w:szCs w:val="20"/>
        </w:rPr>
      </w:pPr>
      <w:r w:rsidRPr="00F41AF2">
        <w:rPr>
          <w:rFonts w:ascii="Segoe UI" w:hAnsi="Segoe UI" w:eastAsia="Segoe UI" w:cs="Segoe UI"/>
          <w:sz w:val="20"/>
          <w:szCs w:val="20"/>
          <w:lang w:eastAsia="en-GB"/>
        </w:rPr>
        <w:t xml:space="preserve">Marginalised groups such as women, girls and indigenous people across OCPP societies have </w:t>
      </w:r>
      <w:r w:rsidRPr="00F41AF2">
        <w:rPr>
          <w:rFonts w:ascii="Segoe UI" w:hAnsi="Segoe UI" w:eastAsia="Segoe UI" w:cs="Segoe UI"/>
          <w:sz w:val="20"/>
          <w:szCs w:val="20"/>
        </w:rPr>
        <w:t xml:space="preserve">specific coastal-marine resource knowledge, capabilities, needs, and priorities that are </w:t>
      </w:r>
      <w:r w:rsidRPr="00F41AF2">
        <w:rPr>
          <w:rFonts w:ascii="Segoe UI" w:hAnsi="Segoe UI" w:eastAsia="Segoe UI" w:cs="Segoe UI"/>
          <w:sz w:val="20"/>
          <w:szCs w:val="20"/>
          <w:lang w:eastAsia="en-GB"/>
        </w:rPr>
        <w:t>linked to marine resource uses. H</w:t>
      </w:r>
      <w:r w:rsidRPr="00F41AF2">
        <w:rPr>
          <w:rFonts w:ascii="Segoe UI" w:hAnsi="Segoe UI" w:eastAsia="Segoe UI" w:cs="Segoe UI"/>
          <w:sz w:val="20"/>
          <w:szCs w:val="20"/>
        </w:rPr>
        <w:t>istorically, the work and contributions of women, indigenous groups and workers in the informal sectors have been routinely ignored or underestimated in coastal and marine research, management and policymaking.</w:t>
      </w:r>
      <w:r w:rsidRPr="00F41AF2">
        <w:rPr>
          <w:rFonts w:ascii="Segoe UI" w:hAnsi="Segoe UI" w:eastAsia="Segoe UI" w:cs="Segoe UI"/>
          <w:sz w:val="20"/>
          <w:szCs w:val="20"/>
          <w:vertAlign w:val="superscript"/>
        </w:rPr>
        <w:footnoteReference w:id="11"/>
      </w:r>
      <w:r w:rsidRPr="00F41AF2">
        <w:rPr>
          <w:rFonts w:ascii="Segoe UI" w:hAnsi="Segoe UI" w:eastAsia="Segoe UI" w:cs="Segoe UI"/>
          <w:sz w:val="20"/>
          <w:szCs w:val="20"/>
        </w:rPr>
        <w:t xml:space="preserve"> Consequently, there is increasing societal pressure to promote, mainstream and sustain integrated, gender-transformative, participatory approaches to coastal-marine science and management and development. What is largely absent from these calls is practical guidance and the tools for materialising the gender equality and social inclusion (GESI) needs within programmes like the OCPP and bridging existing inequities in their management, technical and scientific roles. </w:t>
      </w:r>
    </w:p>
    <w:p w:rsidRPr="00F41AF2" w:rsidR="00F41AF2" w:rsidP="00F41AF2" w:rsidRDefault="00F41AF2" w14:paraId="49384DB0" w14:textId="77777777">
      <w:pPr>
        <w:spacing w:after="240" w:line="280" w:lineRule="atLeast"/>
        <w:jc w:val="both"/>
        <w:rPr>
          <w:rFonts w:ascii="Segoe UI" w:hAnsi="Segoe UI" w:eastAsia="Segoe UI" w:cs="Segoe UI"/>
          <w:sz w:val="20"/>
          <w:szCs w:val="20"/>
        </w:rPr>
      </w:pPr>
      <w:r w:rsidRPr="00F41AF2">
        <w:rPr>
          <w:rFonts w:ascii="Segoe UI" w:hAnsi="Segoe UI" w:eastAsia="Calibri" w:cs="Segoe UI"/>
          <w:sz w:val="20"/>
          <w:szCs w:val="20"/>
        </w:rPr>
        <w:t xml:space="preserve">Gender equality is defined here as the state of being equal in status, rights and opportunities, and of being valued equally, regardless of sex or gender identity and/or expression. Gender equality is part of a broader goal to ensure no one is left behind and that everybody – irrespective of their age, disability, race, religion, ethnicity, location, sexual orientation, gender identity or any other characteristic – enjoys equal opportunities, human rights and development outcomes. </w:t>
      </w:r>
    </w:p>
    <w:p w:rsidRPr="00F41AF2" w:rsidR="00F41AF2" w:rsidP="00F41AF2" w:rsidRDefault="00F41AF2" w14:paraId="1009339B" w14:textId="77777777">
      <w:pPr>
        <w:spacing w:after="240" w:line="280" w:lineRule="atLeast"/>
        <w:jc w:val="both"/>
        <w:rPr>
          <w:rFonts w:ascii="Segoe UI" w:hAnsi="Segoe UI" w:eastAsia="Segoe UI" w:cs="Segoe UI"/>
          <w:sz w:val="20"/>
          <w:szCs w:val="20"/>
        </w:rPr>
      </w:pPr>
      <w:r w:rsidRPr="00F41AF2">
        <w:rPr>
          <w:rFonts w:ascii="Segoe UI" w:hAnsi="Segoe UI" w:eastAsia="Segoe UI" w:cs="Segoe UI"/>
          <w:sz w:val="20"/>
          <w:szCs w:val="20"/>
        </w:rPr>
        <w:t>There are several UK policies that promote and protect gender equality: the Equality Act 2010 provides the legal framework to protect the rights of individuals and advance equal opportunity for all; and more recently, the FCDO published the International Women and Girls Strategy 2023-2030, which contains five principles guiding its approach to ensure that no one is left behind and recognises the extreme challenges for those facing multiple dimensions of disadvantage.</w:t>
      </w:r>
      <w:r w:rsidRPr="00F41AF2">
        <w:rPr>
          <w:rFonts w:ascii="Segoe UI" w:hAnsi="Segoe UI" w:eastAsia="Segoe UI" w:cs="Segoe UI"/>
          <w:sz w:val="20"/>
          <w:szCs w:val="20"/>
          <w:vertAlign w:val="superscript"/>
        </w:rPr>
        <w:footnoteReference w:id="12"/>
      </w:r>
      <w:r w:rsidRPr="00F41AF2">
        <w:rPr>
          <w:rFonts w:ascii="Segoe UI" w:hAnsi="Segoe UI" w:eastAsia="Segoe UI" w:cs="Segoe UI"/>
          <w:sz w:val="20"/>
          <w:szCs w:val="20"/>
        </w:rPr>
        <w:t xml:space="preserve"> Besides national constitutions upholding equal rights for women and men, there are several internationally binding agreements (e.g., CEDAW</w:t>
      </w:r>
      <w:r w:rsidRPr="00F41AF2">
        <w:rPr>
          <w:rFonts w:ascii="Segoe UI" w:hAnsi="Segoe UI" w:eastAsia="Segoe UI" w:cs="Segoe UI"/>
          <w:sz w:val="20"/>
          <w:szCs w:val="20"/>
          <w:vertAlign w:val="superscript"/>
        </w:rPr>
        <w:footnoteReference w:id="13"/>
      </w:r>
      <w:r w:rsidRPr="00F41AF2">
        <w:rPr>
          <w:rFonts w:ascii="Segoe UI" w:hAnsi="Segoe UI" w:eastAsia="Segoe UI" w:cs="Segoe UI"/>
          <w:sz w:val="20"/>
          <w:szCs w:val="20"/>
        </w:rPr>
        <w:t>, ILO</w:t>
      </w:r>
      <w:r w:rsidRPr="00F41AF2">
        <w:rPr>
          <w:rFonts w:ascii="Segoe UI" w:hAnsi="Segoe UI" w:eastAsia="Segoe UI" w:cs="Segoe UI"/>
          <w:sz w:val="20"/>
          <w:szCs w:val="20"/>
          <w:vertAlign w:val="superscript"/>
        </w:rPr>
        <w:footnoteReference w:id="14"/>
      </w:r>
      <w:r w:rsidRPr="00F41AF2">
        <w:rPr>
          <w:rFonts w:ascii="Segoe UI" w:hAnsi="Segoe UI" w:eastAsia="Segoe UI" w:cs="Segoe UI"/>
          <w:sz w:val="20"/>
          <w:szCs w:val="20"/>
        </w:rPr>
        <w:t xml:space="preserve"> articles, etc.) to which all countries are signatories, while the voluntary and SDG# 5</w:t>
      </w:r>
      <w:r w:rsidRPr="00F41AF2">
        <w:rPr>
          <w:rFonts w:ascii="Segoe UI" w:hAnsi="Segoe UI" w:eastAsia="Segoe UI" w:cs="Segoe UI"/>
          <w:sz w:val="20"/>
          <w:szCs w:val="20"/>
          <w:vertAlign w:val="superscript"/>
        </w:rPr>
        <w:footnoteReference w:id="15"/>
      </w:r>
      <w:r w:rsidRPr="00F41AF2">
        <w:rPr>
          <w:rFonts w:ascii="Segoe UI" w:hAnsi="Segoe UI" w:eastAsia="Segoe UI" w:cs="Segoe UI"/>
          <w:sz w:val="20"/>
          <w:szCs w:val="20"/>
        </w:rPr>
        <w:t xml:space="preserve"> aims to achieve gender equality and empower women and girls. </w:t>
      </w:r>
    </w:p>
    <w:p w:rsidRPr="00F41AF2" w:rsidR="00F41AF2" w:rsidP="00F41AF2" w:rsidRDefault="00F41AF2" w14:paraId="4C0D6C8B" w14:textId="77777777">
      <w:pPr>
        <w:spacing w:after="240" w:line="280" w:lineRule="atLeast"/>
        <w:jc w:val="both"/>
        <w:rPr>
          <w:rFonts w:ascii="Segoe UI" w:hAnsi="Segoe UI" w:eastAsia="Calibri" w:cs="Segoe UI"/>
          <w:sz w:val="20"/>
          <w:szCs w:val="20"/>
        </w:rPr>
      </w:pPr>
      <w:r w:rsidRPr="00F41AF2">
        <w:rPr>
          <w:rFonts w:ascii="Segoe UI" w:hAnsi="Segoe UI" w:eastAsia="Segoe UI" w:cs="Segoe UI"/>
          <w:sz w:val="20"/>
          <w:szCs w:val="20"/>
        </w:rPr>
        <w:t xml:space="preserve">The revised ToC presented within this narrative is aligned with the UK’s policies promoting gender equality. Each of the three OCPP thematic areas will require context-specific applications of GESI. </w:t>
      </w:r>
      <w:r w:rsidRPr="00F41AF2">
        <w:rPr>
          <w:rFonts w:ascii="Segoe UI" w:hAnsi="Segoe UI" w:eastAsia="Calibri" w:cs="Segoe UI"/>
          <w:sz w:val="20"/>
          <w:szCs w:val="20"/>
        </w:rPr>
        <w:t>The OCPP should look to empower, or strengthen women and girls’ knowledge and decision-making, improve their access to resources, build their capabilities and increase their economic, social and political opportunities</w:t>
      </w:r>
      <w:r w:rsidRPr="00F41AF2">
        <w:rPr>
          <w:rFonts w:ascii="Segoe UI" w:hAnsi="Segoe UI" w:eastAsia="Calibri" w:cs="Segoe UI"/>
          <w:b/>
          <w:bCs/>
          <w:sz w:val="20"/>
          <w:szCs w:val="20"/>
        </w:rPr>
        <w:t xml:space="preserve"> </w:t>
      </w:r>
      <w:r w:rsidRPr="00F41AF2">
        <w:rPr>
          <w:rFonts w:ascii="Segoe UI" w:hAnsi="Segoe UI" w:eastAsia="Calibri" w:cs="Segoe UI"/>
          <w:sz w:val="20"/>
          <w:szCs w:val="20"/>
        </w:rPr>
        <w:t>within the context of the programme’s reach.</w:t>
      </w:r>
    </w:p>
    <w:p w:rsidRPr="00F41AF2" w:rsidR="00F41AF2" w:rsidP="00F41AF2" w:rsidRDefault="00F41AF2" w14:paraId="3A09E2EB" w14:textId="77777777">
      <w:pPr>
        <w:keepNext/>
        <w:keepLines/>
        <w:suppressAutoHyphens/>
        <w:spacing w:before="480" w:after="240" w:line="360" w:lineRule="atLeast"/>
        <w:ind w:left="851" w:hanging="851"/>
        <w:outlineLvl w:val="0"/>
        <w:rPr>
          <w:rFonts w:ascii="Segoe UI" w:hAnsi="Segoe UI" w:eastAsia="MS Gothic" w:cs="Arial"/>
          <w:b/>
          <w:sz w:val="28"/>
          <w:szCs w:val="32"/>
        </w:rPr>
      </w:pPr>
      <w:bookmarkStart w:name="_Toc149463834" w:id="4"/>
      <w:r w:rsidRPr="00F41AF2">
        <w:rPr>
          <w:rFonts w:ascii="Segoe UI" w:hAnsi="Segoe UI" w:eastAsia="MS Gothic" w:cs="Arial"/>
          <w:b/>
          <w:sz w:val="28"/>
          <w:szCs w:val="32"/>
        </w:rPr>
        <w:t>Problem Statement and Constraints</w:t>
      </w:r>
      <w:bookmarkEnd w:id="4"/>
    </w:p>
    <w:p w:rsidRPr="00F41AF2" w:rsidR="00F41AF2" w:rsidP="00F41AF2" w:rsidRDefault="00F41AF2" w14:paraId="285323B8" w14:textId="77777777">
      <w:pPr>
        <w:spacing w:after="240" w:line="280" w:lineRule="atLeast"/>
        <w:jc w:val="both"/>
        <w:rPr>
          <w:rFonts w:ascii="Segoe UI" w:hAnsi="Segoe UI" w:eastAsia="Segoe UI"/>
          <w:sz w:val="20"/>
          <w:szCs w:val="20"/>
        </w:rPr>
      </w:pPr>
      <w:r w:rsidRPr="00F41AF2">
        <w:rPr>
          <w:rFonts w:ascii="Segoe UI" w:hAnsi="Segoe UI" w:eastAsia="Segoe UI"/>
          <w:sz w:val="20"/>
          <w:szCs w:val="20"/>
        </w:rPr>
        <w:t>The problem statement of a ToC sets out the issues, challenges, or problems that the intervention intends to address, and the constraints to addressing that problem. For the OCPP, the following Problem Statement has been identified:</w:t>
      </w:r>
    </w:p>
    <w:p w:rsidRPr="00F41AF2" w:rsidR="00F41AF2" w:rsidP="001D265D" w:rsidRDefault="00F41AF2" w14:paraId="188E1539" w14:textId="77777777">
      <w:pPr>
        <w:numPr>
          <w:ilvl w:val="0"/>
          <w:numId w:val="38"/>
        </w:numPr>
        <w:tabs>
          <w:tab w:val="left" w:pos="720"/>
        </w:tabs>
        <w:spacing w:after="240" w:line="280" w:lineRule="atLeast"/>
        <w:jc w:val="both"/>
        <w:rPr>
          <w:rFonts w:ascii="Segoe UI" w:hAnsi="Segoe UI" w:eastAsia="Segoe UI"/>
          <w:sz w:val="20"/>
          <w:szCs w:val="20"/>
        </w:rPr>
      </w:pPr>
      <w:r w:rsidRPr="00F41AF2">
        <w:rPr>
          <w:rFonts w:ascii="Segoe UI" w:hAnsi="Segoe UI" w:eastAsia="Segoe UI"/>
          <w:sz w:val="20"/>
          <w:szCs w:val="20"/>
        </w:rPr>
        <w:t xml:space="preserve">The oceans are negatively impacted by a breadth of human activities, endangering fragile environments and the livelihoods and wellbeing of vulnerable communities that rely on them. </w:t>
      </w:r>
    </w:p>
    <w:p w:rsidRPr="00F41AF2" w:rsidR="00F41AF2" w:rsidP="001D265D" w:rsidRDefault="00F41AF2" w14:paraId="1DD0FB35" w14:textId="77777777">
      <w:pPr>
        <w:numPr>
          <w:ilvl w:val="0"/>
          <w:numId w:val="38"/>
        </w:numPr>
        <w:tabs>
          <w:tab w:val="left" w:pos="720"/>
        </w:tabs>
        <w:spacing w:after="240" w:line="280" w:lineRule="atLeast"/>
        <w:jc w:val="both"/>
        <w:rPr>
          <w:rFonts w:ascii="Segoe UI" w:hAnsi="Segoe UI" w:eastAsia="Segoe UI"/>
          <w:sz w:val="20"/>
          <w:szCs w:val="20"/>
        </w:rPr>
      </w:pPr>
      <w:r w:rsidRPr="00F41AF2">
        <w:rPr>
          <w:rFonts w:ascii="Segoe UI" w:hAnsi="Segoe UI" w:eastAsia="Segoe UI"/>
          <w:sz w:val="20"/>
          <w:szCs w:val="20"/>
        </w:rPr>
        <w:t xml:space="preserve">Partner country stakeholders often require increased capacity to generate and use scientific knowledge to inform robust policymaking and implement actions to address ocean pollution, biodiversity loss, access to sustainable seafood and the impacts of climate change. </w:t>
      </w:r>
    </w:p>
    <w:p w:rsidRPr="00F41AF2" w:rsidR="00F41AF2" w:rsidP="00F41AF2" w:rsidRDefault="00F41AF2" w14:paraId="7541EF60" w14:textId="2216B5A6">
      <w:pPr>
        <w:spacing w:after="240" w:line="280" w:lineRule="atLeast"/>
        <w:jc w:val="both"/>
        <w:rPr>
          <w:rFonts w:ascii="Segoe UI" w:hAnsi="Segoe UI" w:eastAsia="Segoe UI"/>
          <w:sz w:val="20"/>
          <w:szCs w:val="20"/>
        </w:rPr>
      </w:pPr>
      <w:r w:rsidRPr="3B640063" w:rsidR="00F41AF2">
        <w:rPr>
          <w:rFonts w:ascii="Segoe UI" w:hAnsi="Segoe UI" w:eastAsia="Segoe UI"/>
          <w:sz w:val="20"/>
          <w:szCs w:val="20"/>
        </w:rPr>
        <w:t>The following constraints were identified:</w:t>
      </w:r>
    </w:p>
    <w:p w:rsidRPr="00F41AF2" w:rsidR="00F41AF2" w:rsidP="001D265D" w:rsidRDefault="00F41AF2" w14:paraId="7D892EE1" w14:textId="13F37FE6">
      <w:pPr>
        <w:numPr>
          <w:ilvl w:val="0"/>
          <w:numId w:val="39"/>
        </w:numPr>
        <w:spacing w:after="240" w:line="280" w:lineRule="atLeast"/>
        <w:jc w:val="both"/>
        <w:rPr>
          <w:rFonts w:ascii="Segoe UI" w:hAnsi="Segoe UI" w:eastAsia="Segoe UI"/>
          <w:sz w:val="20"/>
          <w:szCs w:val="20"/>
        </w:rPr>
      </w:pPr>
      <w:r w:rsidRPr="3B640063" w:rsidR="00F41AF2">
        <w:rPr>
          <w:rFonts w:ascii="Segoe UI" w:hAnsi="Segoe UI" w:eastAsia="Segoe UI"/>
          <w:sz w:val="20"/>
          <w:szCs w:val="20"/>
        </w:rPr>
        <w:t>Funding for research, resulting in knowledge and evidence gaps to support new policies.</w:t>
      </w:r>
    </w:p>
    <w:p w:rsidRPr="00F41AF2" w:rsidR="00F41AF2" w:rsidP="001D265D" w:rsidRDefault="00F41AF2" w14:paraId="12D87B6E" w14:textId="351BECBF">
      <w:pPr>
        <w:numPr>
          <w:ilvl w:val="0"/>
          <w:numId w:val="39"/>
        </w:numPr>
        <w:spacing w:after="240" w:line="280" w:lineRule="atLeast"/>
        <w:jc w:val="both"/>
        <w:rPr>
          <w:rFonts w:ascii="Segoe UI" w:hAnsi="Segoe UI" w:eastAsia="Segoe UI"/>
          <w:sz w:val="20"/>
          <w:szCs w:val="20"/>
        </w:rPr>
      </w:pPr>
      <w:r w:rsidRPr="3B640063" w:rsidR="00F41AF2">
        <w:rPr>
          <w:rFonts w:ascii="Segoe UI" w:hAnsi="Segoe UI" w:eastAsia="Segoe UI"/>
          <w:sz w:val="20"/>
          <w:szCs w:val="20"/>
        </w:rPr>
        <w:t xml:space="preserve">Capacity levels for science, technology, and governance, including lack of physical resources and limited access to training. </w:t>
      </w:r>
    </w:p>
    <w:p w:rsidRPr="00F41AF2" w:rsidR="00F41AF2" w:rsidP="001D265D" w:rsidRDefault="00F41AF2" w14:paraId="1603F106" w14:textId="4DEFAAD0">
      <w:pPr>
        <w:numPr>
          <w:ilvl w:val="0"/>
          <w:numId w:val="39"/>
        </w:numPr>
        <w:spacing w:after="240" w:line="280" w:lineRule="atLeast"/>
        <w:jc w:val="both"/>
        <w:rPr>
          <w:rFonts w:ascii="Segoe UI" w:hAnsi="Segoe UI" w:eastAsia="Segoe UI"/>
          <w:sz w:val="20"/>
          <w:szCs w:val="20"/>
        </w:rPr>
      </w:pPr>
      <w:r w:rsidRPr="3B640063" w:rsidR="00F41AF2">
        <w:rPr>
          <w:rFonts w:ascii="Segoe UI" w:hAnsi="Segoe UI" w:eastAsia="Segoe UI"/>
          <w:sz w:val="20"/>
          <w:szCs w:val="20"/>
        </w:rPr>
        <w:t xml:space="preserve">Knowledge exchange of importance of healthy ocean ecosystems and local context. </w:t>
      </w:r>
    </w:p>
    <w:p w:rsidRPr="00F41AF2" w:rsidR="00F41AF2" w:rsidP="001D265D" w:rsidRDefault="00F41AF2" w14:paraId="3042204A" w14:textId="5A83960A">
      <w:pPr>
        <w:numPr>
          <w:ilvl w:val="0"/>
          <w:numId w:val="39"/>
        </w:numPr>
        <w:spacing w:after="240" w:line="280" w:lineRule="atLeast"/>
        <w:jc w:val="both"/>
        <w:rPr>
          <w:rFonts w:ascii="Segoe UI" w:hAnsi="Segoe UI" w:eastAsia="Segoe UI"/>
          <w:sz w:val="20"/>
          <w:szCs w:val="20"/>
        </w:rPr>
      </w:pPr>
      <w:r w:rsidRPr="3B640063" w:rsidR="00F41AF2">
        <w:rPr>
          <w:rFonts w:ascii="Segoe UI" w:hAnsi="Segoe UI" w:eastAsia="Segoe UI"/>
          <w:sz w:val="20"/>
          <w:szCs w:val="20"/>
        </w:rPr>
        <w:t>Capabilities for effective evidence interpretation and policy response / implementation.</w:t>
      </w:r>
    </w:p>
    <w:p w:rsidRPr="00F41AF2" w:rsidR="00F41AF2" w:rsidP="242D0D8E" w:rsidRDefault="00F41AF2" w14:paraId="73DD77B1" w14:textId="106F8D2A">
      <w:pPr>
        <w:numPr>
          <w:ilvl w:val="0"/>
          <w:numId w:val="39"/>
        </w:numPr>
        <w:spacing w:after="240" w:line="280" w:lineRule="atLeast"/>
        <w:jc w:val="both"/>
        <w:rPr>
          <w:rFonts w:ascii="Segoe UI" w:hAnsi="Segoe UI" w:eastAsia="Segoe UI" w:cs="Segoe UI"/>
          <w:sz w:val="22"/>
          <w:szCs w:val="22"/>
        </w:rPr>
      </w:pPr>
      <w:r w:rsidRPr="242D0D8E" w:rsidR="00F41AF2">
        <w:rPr>
          <w:rFonts w:ascii="Segoe UI" w:hAnsi="Segoe UI" w:eastAsia="Segoe UI"/>
          <w:sz w:val="20"/>
          <w:szCs w:val="20"/>
        </w:rPr>
        <w:t>Competing priorities, particularly in lower income developing countries, that would deprioritise marine conservation, sustainable fisheries, and climate challenges</w:t>
      </w:r>
      <w:r w:rsidRPr="242D0D8E" w:rsidR="3030B41A">
        <w:rPr>
          <w:rFonts w:ascii="Segoe UI" w:hAnsi="Segoe UI" w:eastAsia="Segoe UI"/>
          <w:sz w:val="20"/>
          <w:szCs w:val="20"/>
        </w:rPr>
        <w:t xml:space="preserve"> </w:t>
      </w:r>
      <w:r w:rsidRPr="242D0D8E" w:rsidR="3030B41A">
        <w:rPr>
          <w:rFonts w:ascii="Segoe UI" w:hAnsi="Segoe UI" w:eastAsia="Segoe UI" w:cs="Segoe UI"/>
          <w:sz w:val="20"/>
          <w:szCs w:val="20"/>
        </w:rPr>
        <w:t>for economic development in the near term, but leaving vulnerable communities worse off in the long term.</w:t>
      </w:r>
    </w:p>
    <w:p w:rsidRPr="00F41AF2" w:rsidR="00F41AF2" w:rsidP="001D265D" w:rsidRDefault="00F41AF2" w14:paraId="1245C614" w14:textId="7B33A0BB">
      <w:pPr>
        <w:numPr>
          <w:ilvl w:val="0"/>
          <w:numId w:val="39"/>
        </w:numPr>
        <w:spacing w:after="240" w:line="280" w:lineRule="atLeast"/>
        <w:jc w:val="both"/>
        <w:rPr>
          <w:rFonts w:ascii="Segoe UI" w:hAnsi="Segoe UI" w:eastAsia="Segoe UI"/>
          <w:sz w:val="20"/>
          <w:szCs w:val="20"/>
        </w:rPr>
      </w:pPr>
      <w:r w:rsidRPr="3B640063" w:rsidR="00F41AF2">
        <w:rPr>
          <w:rFonts w:ascii="Segoe UI" w:hAnsi="Segoe UI" w:eastAsia="Segoe UI"/>
          <w:sz w:val="20"/>
          <w:szCs w:val="20"/>
        </w:rPr>
        <w:t xml:space="preserve">Lack of clear and consistent economic arguments for the importance of conservation. </w:t>
      </w:r>
    </w:p>
    <w:p w:rsidRPr="00F41AF2" w:rsidR="00F41AF2" w:rsidP="00F41AF2" w:rsidRDefault="00F41AF2" w14:paraId="19CC9BA6" w14:textId="77777777">
      <w:pPr>
        <w:keepNext/>
        <w:keepLines/>
        <w:suppressAutoHyphens/>
        <w:spacing w:before="480" w:after="240" w:line="360" w:lineRule="atLeast"/>
        <w:ind w:left="851" w:hanging="851"/>
        <w:jc w:val="both"/>
        <w:outlineLvl w:val="0"/>
        <w:rPr>
          <w:rFonts w:ascii="Segoe UI" w:hAnsi="Segoe UI" w:eastAsia="MS Gothic" w:cs="Arial"/>
          <w:b/>
          <w:sz w:val="28"/>
          <w:szCs w:val="32"/>
        </w:rPr>
      </w:pPr>
      <w:bookmarkStart w:name="_Toc149463835" w:id="5"/>
      <w:r w:rsidRPr="00F41AF2">
        <w:rPr>
          <w:rFonts w:ascii="Segoe UI" w:hAnsi="Segoe UI" w:eastAsia="MS Gothic" w:cs="Arial"/>
          <w:b/>
          <w:sz w:val="28"/>
          <w:szCs w:val="32"/>
        </w:rPr>
        <w:t>Causal Pathways</w:t>
      </w:r>
      <w:bookmarkEnd w:id="5"/>
    </w:p>
    <w:p w:rsidRPr="00F41AF2" w:rsidR="00F41AF2" w:rsidP="00F41AF2" w:rsidRDefault="00F41AF2" w14:paraId="597BF37D" w14:textId="77777777">
      <w:pPr>
        <w:spacing w:after="240" w:line="280" w:lineRule="atLeast"/>
        <w:jc w:val="both"/>
        <w:rPr>
          <w:rFonts w:ascii="Segoe UI" w:hAnsi="Segoe UI" w:eastAsia="Segoe UI"/>
          <w:sz w:val="20"/>
          <w:szCs w:val="20"/>
        </w:rPr>
      </w:pPr>
      <w:r w:rsidRPr="00F41AF2">
        <w:rPr>
          <w:rFonts w:ascii="Segoe UI" w:hAnsi="Segoe UI" w:eastAsia="Segoe UI"/>
          <w:sz w:val="20"/>
          <w:szCs w:val="20"/>
        </w:rPr>
        <w:t>There are four pathways to change (causal pathways) for the OCPP:</w:t>
      </w:r>
    </w:p>
    <w:p w:rsidRPr="00F41AF2" w:rsidR="00F41AF2" w:rsidP="001D265D" w:rsidRDefault="00F41AF2" w14:paraId="0338E77E" w14:textId="77777777">
      <w:pPr>
        <w:numPr>
          <w:ilvl w:val="0"/>
          <w:numId w:val="41"/>
        </w:numPr>
        <w:spacing w:after="240" w:line="280" w:lineRule="atLeast"/>
        <w:jc w:val="both"/>
        <w:rPr>
          <w:rFonts w:ascii="Segoe UI" w:hAnsi="Segoe UI" w:eastAsia="Segoe UI"/>
          <w:sz w:val="20"/>
          <w:szCs w:val="20"/>
        </w:rPr>
      </w:pPr>
      <w:r w:rsidRPr="00F41AF2">
        <w:rPr>
          <w:rFonts w:ascii="Segoe UI" w:hAnsi="Segoe UI" w:eastAsia="Segoe UI"/>
          <w:sz w:val="20"/>
          <w:szCs w:val="20"/>
        </w:rPr>
        <w:t>Capacity building</w:t>
      </w:r>
    </w:p>
    <w:p w:rsidRPr="00F41AF2" w:rsidR="00F41AF2" w:rsidP="001D265D" w:rsidRDefault="00F41AF2" w14:paraId="39158186" w14:textId="77777777">
      <w:pPr>
        <w:numPr>
          <w:ilvl w:val="0"/>
          <w:numId w:val="41"/>
        </w:numPr>
        <w:spacing w:after="240" w:line="280" w:lineRule="atLeast"/>
        <w:jc w:val="both"/>
        <w:rPr>
          <w:rFonts w:ascii="Segoe UI" w:hAnsi="Segoe UI" w:eastAsia="Segoe UI"/>
          <w:sz w:val="20"/>
          <w:szCs w:val="20"/>
        </w:rPr>
      </w:pPr>
      <w:r w:rsidRPr="00F41AF2">
        <w:rPr>
          <w:rFonts w:ascii="Segoe UI" w:hAnsi="Segoe UI" w:eastAsia="Segoe UI"/>
          <w:sz w:val="20"/>
          <w:szCs w:val="20"/>
        </w:rPr>
        <w:t>Governance and regulation</w:t>
      </w:r>
    </w:p>
    <w:p w:rsidRPr="00F41AF2" w:rsidR="00F41AF2" w:rsidP="001D265D" w:rsidRDefault="00F41AF2" w14:paraId="0916C6BB" w14:textId="77777777">
      <w:pPr>
        <w:numPr>
          <w:ilvl w:val="0"/>
          <w:numId w:val="41"/>
        </w:numPr>
        <w:spacing w:after="240" w:line="280" w:lineRule="atLeast"/>
        <w:jc w:val="both"/>
        <w:rPr>
          <w:rFonts w:ascii="Segoe UI" w:hAnsi="Segoe UI" w:eastAsia="Segoe UI"/>
          <w:sz w:val="20"/>
          <w:szCs w:val="20"/>
        </w:rPr>
      </w:pPr>
      <w:r w:rsidRPr="00F41AF2">
        <w:rPr>
          <w:rFonts w:ascii="Segoe UI" w:hAnsi="Segoe UI" w:eastAsia="Segoe UI"/>
          <w:sz w:val="20"/>
          <w:szCs w:val="20"/>
        </w:rPr>
        <w:t>Science, education and knowledge exchange</w:t>
      </w:r>
    </w:p>
    <w:p w:rsidRPr="00F41AF2" w:rsidR="00F41AF2" w:rsidP="001D265D" w:rsidRDefault="00F41AF2" w14:paraId="49D29E45" w14:textId="77777777">
      <w:pPr>
        <w:numPr>
          <w:ilvl w:val="0"/>
          <w:numId w:val="41"/>
        </w:numPr>
        <w:spacing w:after="240" w:line="280" w:lineRule="atLeast"/>
        <w:jc w:val="both"/>
        <w:rPr>
          <w:rFonts w:ascii="Segoe UI" w:hAnsi="Segoe UI" w:eastAsia="Segoe UI"/>
          <w:sz w:val="20"/>
          <w:szCs w:val="20"/>
        </w:rPr>
      </w:pPr>
      <w:r w:rsidRPr="00F41AF2">
        <w:rPr>
          <w:rFonts w:ascii="Segoe UI" w:hAnsi="Segoe UI" w:eastAsia="Segoe UI"/>
          <w:sz w:val="20"/>
          <w:szCs w:val="20"/>
        </w:rPr>
        <w:t>Value chain and market access improvements for seafood</w:t>
      </w:r>
    </w:p>
    <w:p w:rsidRPr="00F41AF2" w:rsidR="00F41AF2" w:rsidP="00F41AF2" w:rsidRDefault="00F41AF2" w14:paraId="300E8898" w14:textId="54EECD7C">
      <w:pPr>
        <w:spacing w:line="280" w:lineRule="atLeast"/>
        <w:jc w:val="both"/>
        <w:rPr>
          <w:rFonts w:ascii="Segoe UI" w:hAnsi="Segoe UI" w:eastAsia="Segoe UI"/>
          <w:sz w:val="20"/>
          <w:szCs w:val="20"/>
        </w:rPr>
      </w:pPr>
      <w:r w:rsidRPr="00F41AF2" w:rsidR="00F41AF2">
        <w:rPr>
          <w:rFonts w:ascii="Segoe UI" w:hAnsi="Segoe UI" w:eastAsia="Segoe UI"/>
          <w:sz w:val="20"/>
          <w:szCs w:val="20"/>
        </w:rPr>
        <w:t xml:space="preserve">The causal pathways </w:t>
      </w:r>
      <w:r w:rsidRPr="00F41AF2" w:rsidR="00F41AF2">
        <w:rPr>
          <w:rFonts w:ascii="Segoe UI" w:hAnsi="Segoe UI" w:eastAsia="Segoe UI"/>
          <w:sz w:val="20"/>
          <w:szCs w:val="20"/>
        </w:rPr>
        <w:t xml:space="preserve">demonstrate</w:t>
      </w:r>
      <w:r w:rsidRPr="00F41AF2" w:rsidR="00F41AF2">
        <w:rPr>
          <w:rFonts w:ascii="Segoe UI" w:hAnsi="Segoe UI" w:eastAsia="Segoe UI"/>
          <w:sz w:val="20"/>
          <w:szCs w:val="20"/>
        </w:rPr>
        <w:t xml:space="preserve"> the linkages between OCPP’s activities and inputs and the sequence necessary for creating the expected changes in marine science and management </w:t>
      </w:r>
      <w:r w:rsidRPr="00F41AF2" w:rsidR="00F41AF2">
        <w:rPr>
          <w:rFonts w:ascii="Segoe UI" w:hAnsi="Segoe UI" w:eastAsia="Segoe UI"/>
          <w:sz w:val="20"/>
          <w:szCs w:val="20"/>
        </w:rPr>
        <w:t xml:space="preserve">capacity</w:t>
      </w:r>
      <w:r w:rsidRPr="00F41AF2" w:rsidR="00F41AF2">
        <w:rPr>
          <w:rFonts w:ascii="Segoe UI" w:hAnsi="Segoe UI" w:eastAsia="Segoe UI"/>
          <w:sz w:val="20"/>
          <w:szCs w:val="20"/>
        </w:rPr>
        <w:t xml:space="preserve"> and capabilities within partnership countries and regional or global partnerships. The outcome of OCPP increasing the </w:t>
      </w:r>
      <w:r w:rsidRPr="00F41AF2" w:rsidR="00F41AF2">
        <w:rPr>
          <w:rFonts w:ascii="Segoe UI" w:hAnsi="Segoe UI" w:eastAsia="Segoe UI"/>
          <w:sz w:val="20"/>
          <w:szCs w:val="20"/>
        </w:rPr>
        <w:t xml:space="preserve">capacity</w:t>
      </w:r>
      <w:r w:rsidRPr="00F41AF2" w:rsidR="00F41AF2">
        <w:rPr>
          <w:rFonts w:ascii="Segoe UI" w:hAnsi="Segoe UI" w:eastAsia="Segoe UI"/>
          <w:sz w:val="20"/>
          <w:szCs w:val="20"/>
        </w:rPr>
        <w:t xml:space="preserve"> and capability of partnership countries and regional/global partnerships is expected to result in effective and sustainable management of marine environments. The causal pathways are also the avenues in which OCPP will address the identified constraints and problem statement. For example, through providing technical </w:t>
      </w:r>
      <w:r w:rsidRPr="00F41AF2" w:rsidR="00F41AF2">
        <w:rPr>
          <w:rFonts w:ascii="Segoe UI" w:hAnsi="Segoe UI" w:eastAsia="Segoe UI"/>
          <w:sz w:val="20"/>
          <w:szCs w:val="20"/>
        </w:rPr>
        <w:t xml:space="preserve">assistance</w:t>
      </w:r>
      <w:r w:rsidRPr="00F41AF2" w:rsidR="00F41AF2">
        <w:rPr>
          <w:rFonts w:ascii="Segoe UI" w:hAnsi="Segoe UI" w:eastAsia="Segoe UI"/>
          <w:sz w:val="20"/>
          <w:szCs w:val="20"/>
        </w:rPr>
        <w:t xml:space="preserve"> on marine pollution, the OCPP should enact a positive change and increase a country’s </w:t>
      </w:r>
      <w:r w:rsidRPr="00F41AF2" w:rsidR="00F41AF2">
        <w:rPr>
          <w:rFonts w:ascii="Segoe UI" w:hAnsi="Segoe UI" w:eastAsia="Segoe UI"/>
          <w:sz w:val="20"/>
          <w:szCs w:val="20"/>
        </w:rPr>
        <w:t xml:space="preserve">capacity</w:t>
      </w:r>
      <w:r w:rsidRPr="00F41AF2" w:rsidR="00F41AF2">
        <w:rPr>
          <w:rFonts w:ascii="Segoe UI" w:hAnsi="Segoe UI" w:eastAsia="Segoe UI"/>
          <w:sz w:val="20"/>
          <w:szCs w:val="20"/>
        </w:rPr>
        <w:t xml:space="preserve"> (i.e. resources) and capability (i.e. ability) to respond to marine pollution. The change that is expected to occur along these pathways is not linear, nor does each pathway </w:t>
      </w:r>
      <w:r w:rsidRPr="00F41AF2" w:rsidR="00F41AF2">
        <w:rPr>
          <w:rFonts w:ascii="Segoe UI" w:hAnsi="Segoe UI" w:eastAsia="Segoe UI"/>
          <w:sz w:val="20"/>
          <w:szCs w:val="20"/>
        </w:rPr>
        <w:t xml:space="preserve">operate</w:t>
      </w:r>
      <w:r w:rsidRPr="00F41AF2" w:rsidR="00F41AF2">
        <w:rPr>
          <w:rFonts w:ascii="Segoe UI" w:hAnsi="Segoe UI" w:eastAsia="Segoe UI"/>
          <w:sz w:val="20"/>
          <w:szCs w:val="20"/>
        </w:rPr>
        <w:t xml:space="preserve"> in isolation; they should collectively support each other and result in synergies. Technical </w:t>
      </w:r>
      <w:r w:rsidRPr="00F41AF2" w:rsidR="00F41AF2">
        <w:rPr>
          <w:rFonts w:ascii="Segoe UI" w:hAnsi="Segoe UI" w:eastAsia="Segoe UI"/>
          <w:sz w:val="20"/>
          <w:szCs w:val="20"/>
        </w:rPr>
        <w:t xml:space="preserve">assistance</w:t>
      </w:r>
      <w:r w:rsidRPr="00F41AF2" w:rsidR="00F41AF2">
        <w:rPr>
          <w:rFonts w:ascii="Segoe UI" w:hAnsi="Segoe UI" w:eastAsia="Segoe UI"/>
          <w:sz w:val="20"/>
          <w:szCs w:val="20"/>
        </w:rPr>
        <w:t xml:space="preserve"> for marine pollution could involve both training in-country scientists and providing access to better datasets to support in-country work, while simultaneously working with country governments and ministries to strengthen policies around marine pollution. Cross-cutting these four causal pathways is the critical linkage of GESI and safeguarding that the OCPP intervention design must consider. </w:t>
      </w:r>
    </w:p>
    <w:p w:rsidRPr="00F41AF2" w:rsidR="00F41AF2" w:rsidP="00F41AF2" w:rsidRDefault="00F41AF2" w14:paraId="389B0CA8" w14:textId="77777777">
      <w:pPr>
        <w:spacing w:line="280" w:lineRule="atLeast"/>
        <w:jc w:val="both"/>
        <w:rPr>
          <w:rFonts w:ascii="Segoe UI" w:hAnsi="Segoe UI" w:eastAsia="Segoe UI"/>
          <w:sz w:val="20"/>
          <w:szCs w:val="20"/>
        </w:rPr>
      </w:pPr>
    </w:p>
    <w:p w:rsidRPr="00F41AF2" w:rsidR="00F41AF2" w:rsidP="00F41AF2" w:rsidRDefault="00F41AF2" w14:paraId="2F414FEA" w14:textId="77777777">
      <w:pPr>
        <w:spacing w:after="240" w:line="280" w:lineRule="atLeast"/>
        <w:rPr>
          <w:rFonts w:ascii="Segoe UI" w:hAnsi="Segoe UI" w:eastAsia="Segoe UI"/>
          <w:sz w:val="20"/>
          <w:szCs w:val="20"/>
        </w:rPr>
      </w:pPr>
      <w:r w:rsidRPr="00F41AF2">
        <w:rPr>
          <w:rFonts w:ascii="Segoe UI" w:hAnsi="Segoe UI" w:eastAsia="Segoe UI"/>
          <w:sz w:val="20"/>
          <w:szCs w:val="20"/>
        </w:rPr>
        <w:t>Evidence for the efficacy of these causal pathways is linked with interdependent inputs (i.e. the activities or resources provided by the programme) that result in the OCPP’s outputs. The inputs for OCPP include:</w:t>
      </w:r>
    </w:p>
    <w:p w:rsidRPr="00F41AF2" w:rsidR="00F41AF2" w:rsidP="001D265D" w:rsidRDefault="00F41AF2" w14:paraId="77A39766" w14:textId="77777777">
      <w:pPr>
        <w:numPr>
          <w:ilvl w:val="0"/>
          <w:numId w:val="40"/>
        </w:numPr>
        <w:spacing w:after="240" w:line="280" w:lineRule="atLeast"/>
        <w:contextualSpacing/>
        <w:jc w:val="both"/>
        <w:rPr>
          <w:rFonts w:ascii="Segoe UI" w:hAnsi="Segoe UI" w:eastAsia="Segoe UI"/>
          <w:sz w:val="20"/>
          <w:szCs w:val="20"/>
        </w:rPr>
      </w:pPr>
      <w:r w:rsidRPr="00F41AF2">
        <w:rPr>
          <w:rFonts w:ascii="Segoe UI" w:hAnsi="Segoe UI" w:eastAsia="Segoe UI"/>
          <w:sz w:val="20"/>
          <w:szCs w:val="20"/>
        </w:rPr>
        <w:t>ODA funding</w:t>
      </w:r>
    </w:p>
    <w:p w:rsidRPr="00F41AF2" w:rsidR="00F41AF2" w:rsidP="001D265D" w:rsidRDefault="00F41AF2" w14:paraId="59F42AA0" w14:textId="77777777">
      <w:pPr>
        <w:numPr>
          <w:ilvl w:val="0"/>
          <w:numId w:val="40"/>
        </w:numPr>
        <w:spacing w:after="240" w:line="280" w:lineRule="atLeast"/>
        <w:contextualSpacing/>
        <w:jc w:val="both"/>
        <w:rPr>
          <w:rFonts w:ascii="Segoe UI" w:hAnsi="Segoe UI" w:eastAsia="Segoe UI"/>
          <w:sz w:val="20"/>
          <w:szCs w:val="20"/>
        </w:rPr>
      </w:pPr>
      <w:r w:rsidRPr="00F41AF2">
        <w:rPr>
          <w:rFonts w:ascii="Segoe UI" w:hAnsi="Segoe UI" w:eastAsia="Segoe UI"/>
          <w:sz w:val="20"/>
          <w:szCs w:val="20"/>
        </w:rPr>
        <w:t>Research and evidence</w:t>
      </w:r>
    </w:p>
    <w:p w:rsidRPr="00F41AF2" w:rsidR="00F41AF2" w:rsidP="001D265D" w:rsidRDefault="00F41AF2" w14:paraId="07141EA9" w14:textId="77777777">
      <w:pPr>
        <w:numPr>
          <w:ilvl w:val="0"/>
          <w:numId w:val="40"/>
        </w:numPr>
        <w:spacing w:after="240" w:line="280" w:lineRule="atLeast"/>
        <w:contextualSpacing/>
        <w:jc w:val="both"/>
        <w:rPr>
          <w:rFonts w:ascii="Segoe UI" w:hAnsi="Segoe UI" w:eastAsia="Segoe UI"/>
          <w:sz w:val="20"/>
          <w:szCs w:val="20"/>
        </w:rPr>
      </w:pPr>
      <w:r w:rsidRPr="00F41AF2">
        <w:rPr>
          <w:rFonts w:ascii="Segoe UI" w:hAnsi="Segoe UI" w:eastAsia="Segoe UI"/>
          <w:sz w:val="20"/>
          <w:szCs w:val="20"/>
        </w:rPr>
        <w:t>Technical expertise</w:t>
      </w:r>
    </w:p>
    <w:p w:rsidRPr="00F41AF2" w:rsidR="00F41AF2" w:rsidP="001D265D" w:rsidRDefault="00F41AF2" w14:paraId="29E8E767" w14:textId="77777777">
      <w:pPr>
        <w:numPr>
          <w:ilvl w:val="0"/>
          <w:numId w:val="40"/>
        </w:numPr>
        <w:spacing w:after="240" w:line="280" w:lineRule="atLeast"/>
        <w:contextualSpacing/>
        <w:jc w:val="both"/>
        <w:rPr>
          <w:rFonts w:ascii="Segoe UI" w:hAnsi="Segoe UI" w:eastAsia="Segoe UI"/>
          <w:sz w:val="20"/>
          <w:szCs w:val="20"/>
        </w:rPr>
      </w:pPr>
      <w:r w:rsidRPr="00F41AF2">
        <w:rPr>
          <w:rFonts w:ascii="Segoe UI" w:hAnsi="Segoe UI" w:eastAsia="Segoe UI"/>
          <w:sz w:val="20"/>
          <w:szCs w:val="20"/>
        </w:rPr>
        <w:t>Assets and equipment</w:t>
      </w:r>
    </w:p>
    <w:p w:rsidRPr="00F41AF2" w:rsidR="00F41AF2" w:rsidP="001D265D" w:rsidRDefault="00F41AF2" w14:paraId="6702221F" w14:textId="77777777">
      <w:pPr>
        <w:numPr>
          <w:ilvl w:val="0"/>
          <w:numId w:val="40"/>
        </w:numPr>
        <w:spacing w:after="240" w:line="280" w:lineRule="atLeast"/>
        <w:contextualSpacing/>
        <w:jc w:val="both"/>
        <w:rPr>
          <w:rFonts w:ascii="Segoe UI" w:hAnsi="Segoe UI" w:eastAsia="Segoe UI"/>
          <w:sz w:val="20"/>
          <w:szCs w:val="20"/>
        </w:rPr>
      </w:pPr>
      <w:r w:rsidRPr="00F41AF2">
        <w:rPr>
          <w:rFonts w:ascii="Segoe UI" w:hAnsi="Segoe UI" w:eastAsia="Segoe UI"/>
          <w:sz w:val="20"/>
          <w:szCs w:val="20"/>
        </w:rPr>
        <w:t>UK leadership</w:t>
      </w:r>
    </w:p>
    <w:p w:rsidRPr="00F41AF2" w:rsidR="00F41AF2" w:rsidP="001D265D" w:rsidRDefault="00F41AF2" w14:paraId="57E3F8F2" w14:textId="77777777">
      <w:pPr>
        <w:numPr>
          <w:ilvl w:val="0"/>
          <w:numId w:val="40"/>
        </w:numPr>
        <w:spacing w:after="240" w:line="280" w:lineRule="atLeast"/>
        <w:contextualSpacing/>
        <w:jc w:val="both"/>
        <w:rPr>
          <w:rFonts w:ascii="Segoe UI" w:hAnsi="Segoe UI" w:eastAsia="Segoe UI"/>
          <w:sz w:val="20"/>
          <w:szCs w:val="20"/>
        </w:rPr>
      </w:pPr>
      <w:r w:rsidRPr="00F41AF2">
        <w:rPr>
          <w:rFonts w:ascii="Segoe UI" w:hAnsi="Segoe UI" w:eastAsia="Segoe UI"/>
          <w:sz w:val="20"/>
          <w:szCs w:val="20"/>
        </w:rPr>
        <w:t>Partner country government leadership</w:t>
      </w:r>
    </w:p>
    <w:p w:rsidRPr="00F41AF2" w:rsidR="00F41AF2" w:rsidP="001D265D" w:rsidRDefault="00F41AF2" w14:paraId="5FD23527" w14:textId="77777777">
      <w:pPr>
        <w:numPr>
          <w:ilvl w:val="0"/>
          <w:numId w:val="40"/>
        </w:numPr>
        <w:spacing w:after="240" w:line="280" w:lineRule="atLeast"/>
        <w:contextualSpacing/>
        <w:jc w:val="both"/>
        <w:rPr>
          <w:rFonts w:ascii="Segoe UI" w:hAnsi="Segoe UI" w:eastAsia="Segoe UI"/>
          <w:sz w:val="20"/>
          <w:szCs w:val="20"/>
        </w:rPr>
      </w:pPr>
      <w:r w:rsidRPr="00F41AF2">
        <w:rPr>
          <w:rFonts w:ascii="Segoe UI" w:hAnsi="Segoe UI" w:eastAsia="Segoe UI"/>
          <w:sz w:val="20"/>
          <w:szCs w:val="20"/>
        </w:rPr>
        <w:t>Global and regional delivery</w:t>
      </w:r>
    </w:p>
    <w:p w:rsidRPr="00F41AF2" w:rsidR="00F41AF2" w:rsidP="001D265D" w:rsidRDefault="00F41AF2" w14:paraId="1E4DFFD2" w14:textId="77777777">
      <w:pPr>
        <w:numPr>
          <w:ilvl w:val="0"/>
          <w:numId w:val="40"/>
        </w:numPr>
        <w:spacing w:after="240" w:line="280" w:lineRule="atLeast"/>
        <w:contextualSpacing/>
        <w:jc w:val="both"/>
        <w:rPr>
          <w:rFonts w:ascii="Segoe UI" w:hAnsi="Segoe UI" w:eastAsia="Segoe UI"/>
          <w:sz w:val="20"/>
          <w:szCs w:val="20"/>
        </w:rPr>
      </w:pPr>
      <w:r w:rsidRPr="00F41AF2">
        <w:rPr>
          <w:rFonts w:ascii="Segoe UI" w:hAnsi="Segoe UI" w:eastAsia="Segoe UI"/>
          <w:sz w:val="20"/>
          <w:szCs w:val="20"/>
        </w:rPr>
        <w:t>Consultations, knowledge processes and participation from local communities.</w:t>
      </w:r>
    </w:p>
    <w:p w:rsidRPr="00F41AF2" w:rsidR="00F41AF2" w:rsidP="00F41AF2" w:rsidRDefault="00F41AF2" w14:paraId="315BEF49" w14:textId="77777777">
      <w:pPr>
        <w:spacing w:after="240" w:line="280" w:lineRule="atLeast"/>
        <w:jc w:val="both"/>
        <w:rPr>
          <w:rFonts w:ascii="Segoe UI" w:hAnsi="Segoe UI" w:eastAsia="Segoe UI"/>
          <w:sz w:val="20"/>
          <w:szCs w:val="20"/>
        </w:rPr>
      </w:pPr>
      <w:r w:rsidRPr="00F41AF2">
        <w:rPr>
          <w:rFonts w:ascii="Segoe UI" w:hAnsi="Segoe UI" w:eastAsia="Segoe UI"/>
          <w:sz w:val="20"/>
          <w:szCs w:val="20"/>
        </w:rPr>
        <w:t>The evidence provided in the section below underpins each of the four causal pathways and provides rationale for how these pathways leverage the inputs that result in outputs. This evidence shows how the causal pathways are plausible mechanisms to deliver envisaged results.</w:t>
      </w:r>
      <w:r w:rsidRPr="00F41AF2">
        <w:rPr>
          <w:rFonts w:ascii="Segoe UI" w:hAnsi="Segoe UI" w:eastAsia="Segoe UI" w:cs="Segoe UI"/>
          <w:sz w:val="18"/>
          <w:szCs w:val="18"/>
        </w:rPr>
        <w:t xml:space="preserve"> </w:t>
      </w:r>
    </w:p>
    <w:p w:rsidRPr="00F41AF2" w:rsidR="00F41AF2" w:rsidP="00F41AF2" w:rsidRDefault="00F41AF2" w14:paraId="2EF78EC0" w14:textId="77777777">
      <w:pPr>
        <w:keepNext/>
        <w:keepLines/>
        <w:numPr>
          <w:ilvl w:val="2"/>
          <w:numId w:val="0"/>
        </w:numPr>
        <w:suppressAutoHyphens/>
        <w:spacing w:before="180" w:line="280" w:lineRule="atLeast"/>
        <w:ind w:left="851" w:hanging="851"/>
        <w:outlineLvl w:val="2"/>
        <w:rPr>
          <w:rFonts w:ascii="Segoe UI" w:hAnsi="Segoe UI" w:eastAsia="MS Gothic" w:cs="Arial"/>
          <w:b/>
          <w:sz w:val="20"/>
        </w:rPr>
      </w:pPr>
      <w:bookmarkStart w:name="_Toc149463836" w:id="6"/>
      <w:r w:rsidRPr="00F41AF2">
        <w:rPr>
          <w:rFonts w:ascii="Segoe UI" w:hAnsi="Segoe UI" w:eastAsia="MS Gothic" w:cs="Arial"/>
          <w:b/>
          <w:sz w:val="20"/>
        </w:rPr>
        <w:t>Capacity building:</w:t>
      </w:r>
      <w:bookmarkEnd w:id="6"/>
      <w:r w:rsidRPr="00F41AF2">
        <w:rPr>
          <w:rFonts w:ascii="Segoe UI" w:hAnsi="Segoe UI" w:eastAsia="MS Gothic" w:cs="Arial"/>
          <w:b/>
          <w:sz w:val="20"/>
        </w:rPr>
        <w:t xml:space="preserve"> </w:t>
      </w:r>
    </w:p>
    <w:p w:rsidRPr="00F41AF2" w:rsidR="00F41AF2" w:rsidP="00F41AF2" w:rsidRDefault="00F41AF2" w14:paraId="6A2C1D4F" w14:textId="5674CA04">
      <w:pPr>
        <w:spacing w:after="240" w:line="280" w:lineRule="atLeast"/>
        <w:jc w:val="both"/>
        <w:rPr>
          <w:rFonts w:ascii="Segoe UI" w:hAnsi="Segoe UI" w:eastAsia="Segoe UI"/>
          <w:sz w:val="20"/>
          <w:szCs w:val="20"/>
        </w:rPr>
      </w:pPr>
      <w:r w:rsidRPr="00F41AF2">
        <w:rPr>
          <w:rFonts w:ascii="Segoe UI" w:hAnsi="Segoe UI" w:eastAsia="Segoe UI"/>
          <w:noProof/>
          <w:sz w:val="20"/>
          <w:szCs w:val="20"/>
        </w:rPr>
        <mc:AlternateContent>
          <mc:Choice Requires="wps">
            <w:drawing>
              <wp:anchor distT="0" distB="0" distL="114300" distR="114300" simplePos="0" relativeHeight="251658242" behindDoc="0" locked="0" layoutInCell="1" allowOverlap="1" wp14:anchorId="47DD3415" wp14:editId="74F64455">
                <wp:simplePos x="0" y="0"/>
                <wp:positionH relativeFrom="column">
                  <wp:posOffset>3686810</wp:posOffset>
                </wp:positionH>
                <wp:positionV relativeFrom="paragraph">
                  <wp:posOffset>81915</wp:posOffset>
                </wp:positionV>
                <wp:extent cx="2391410" cy="2941955"/>
                <wp:effectExtent l="10795" t="12700" r="7620" b="7620"/>
                <wp:wrapSquare wrapText="bothSides"/>
                <wp:docPr id="44644468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2941955"/>
                        </a:xfrm>
                        <a:prstGeom prst="rect">
                          <a:avLst/>
                        </a:prstGeom>
                        <a:solidFill>
                          <a:srgbClr val="FFFFFF"/>
                        </a:solidFill>
                        <a:ln w="6350">
                          <a:solidFill>
                            <a:srgbClr val="000000"/>
                          </a:solidFill>
                          <a:miter lim="800000"/>
                          <a:headEnd/>
                          <a:tailEnd/>
                        </a:ln>
                      </wps:spPr>
                      <wps:txbx>
                        <w:txbxContent>
                          <w:p w:rsidRPr="00466517" w:rsidR="00F41AF2" w:rsidP="00F41AF2" w:rsidRDefault="00F41AF2" w14:paraId="6DE3A818" w14:textId="77777777">
                            <w:pPr>
                              <w:jc w:val="center"/>
                              <w:rPr>
                                <w:b/>
                                <w:bCs/>
                              </w:rPr>
                            </w:pPr>
                            <w:r w:rsidRPr="00466517">
                              <w:rPr>
                                <w:b/>
                                <w:bCs/>
                              </w:rPr>
                              <w:t xml:space="preserve">Capacity building </w:t>
                            </w:r>
                            <w:r>
                              <w:rPr>
                                <w:b/>
                                <w:bCs/>
                              </w:rPr>
                              <w:t xml:space="preserve">examples </w:t>
                            </w:r>
                            <w:r w:rsidRPr="00466517">
                              <w:rPr>
                                <w:b/>
                                <w:bCs/>
                              </w:rPr>
                              <w:t>across themes</w:t>
                            </w:r>
                          </w:p>
                          <w:p w:rsidR="00F41AF2" w:rsidP="00F41AF2" w:rsidRDefault="00F41AF2" w14:paraId="51B490F6" w14:textId="77777777">
                            <w:r w:rsidRPr="00466517">
                              <w:rPr>
                                <w:b/>
                                <w:bCs/>
                              </w:rPr>
                              <w:t xml:space="preserve">Marine pollution: </w:t>
                            </w:r>
                            <w:r>
                              <w:t>Reactive emergency response, laboratory training, waste management workshops, training in statistical modelling</w:t>
                            </w:r>
                          </w:p>
                          <w:p w:rsidR="00F41AF2" w:rsidP="00F41AF2" w:rsidRDefault="00F41AF2" w14:paraId="172A0B1B" w14:textId="77777777">
                            <w:r w:rsidRPr="00466517">
                              <w:rPr>
                                <w:b/>
                                <w:bCs/>
                              </w:rPr>
                              <w:t>Biodiversity:</w:t>
                            </w:r>
                            <w:r>
                              <w:t xml:space="preserve"> Development and delivery of Marine Protected Area (MPA) training programmes. IUU enforcement training</w:t>
                            </w:r>
                          </w:p>
                          <w:p w:rsidRPr="008E2487" w:rsidR="00F41AF2" w:rsidP="00F41AF2" w:rsidRDefault="00F41AF2" w14:paraId="42F8C733" w14:textId="77777777">
                            <w:r w:rsidRPr="00466517">
                              <w:rPr>
                                <w:b/>
                                <w:bCs/>
                              </w:rPr>
                              <w:t>Sustainable seafood:</w:t>
                            </w:r>
                            <w:r>
                              <w:t xml:space="preserve"> Compliance and enforcement training; fisheries management training.</w:t>
                            </w:r>
                          </w:p>
                          <w:p w:rsidR="00F41AF2" w:rsidP="00F41AF2" w:rsidRDefault="00F41AF2" w14:paraId="5CFED8CD"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7E3DF19">
              <v:shape id="Text Box 14" style="position:absolute;left:0;text-align:left;margin-left:290.3pt;margin-top:6.45pt;width:188.3pt;height:231.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" w14:anchorId="47DD3415">
                <v:textbox>
                  <w:txbxContent>
                    <w:p w:rsidRPr="00466517" w:rsidR="00F41AF2" w:rsidP="00F41AF2" w:rsidRDefault="00F41AF2" w14:paraId="58BB5DD5" w14:textId="77777777">
                      <w:pPr>
                        <w:jc w:val="center"/>
                        <w:rPr>
                          <w:b/>
                          <w:bCs/>
                        </w:rPr>
                      </w:pPr>
                      <w:r w:rsidRPr="00466517">
                        <w:rPr>
                          <w:b/>
                          <w:bCs/>
                        </w:rPr>
                        <w:t xml:space="preserve">Capacity building </w:t>
                      </w:r>
                      <w:r>
                        <w:rPr>
                          <w:b/>
                          <w:bCs/>
                        </w:rPr>
                        <w:t xml:space="preserve">examples </w:t>
                      </w:r>
                      <w:r w:rsidRPr="00466517">
                        <w:rPr>
                          <w:b/>
                          <w:bCs/>
                        </w:rPr>
                        <w:t>across themes</w:t>
                      </w:r>
                    </w:p>
                    <w:p w:rsidR="00F41AF2" w:rsidP="00F41AF2" w:rsidRDefault="00F41AF2" w14:paraId="0F4DA889" w14:textId="77777777">
                      <w:r w:rsidRPr="00466517">
                        <w:rPr>
                          <w:b/>
                          <w:bCs/>
                        </w:rPr>
                        <w:t xml:space="preserve">Marine pollution: </w:t>
                      </w:r>
                      <w:r>
                        <w:t>Reactive emergency response, laboratory training, waste management workshops, training in statistical modelling</w:t>
                      </w:r>
                    </w:p>
                    <w:p w:rsidR="00F41AF2" w:rsidP="00F41AF2" w:rsidRDefault="00F41AF2" w14:paraId="6CAAF6CC" w14:textId="77777777">
                      <w:r w:rsidRPr="00466517">
                        <w:rPr>
                          <w:b/>
                          <w:bCs/>
                        </w:rPr>
                        <w:t>Biodiversity:</w:t>
                      </w:r>
                      <w:r>
                        <w:t xml:space="preserve"> Development and delivery of Marine Protected Area (MPA) training programmes. IUU enforcement training</w:t>
                      </w:r>
                    </w:p>
                    <w:p w:rsidRPr="008E2487" w:rsidR="00F41AF2" w:rsidP="00F41AF2" w:rsidRDefault="00F41AF2" w14:paraId="656623C2" w14:textId="77777777">
                      <w:r w:rsidRPr="00466517">
                        <w:rPr>
                          <w:b/>
                          <w:bCs/>
                        </w:rPr>
                        <w:t>Sustainable seafood:</w:t>
                      </w:r>
                      <w:r>
                        <w:t xml:space="preserve"> Compliance and enforcement training; fisheries management training.</w:t>
                      </w:r>
                    </w:p>
                    <w:p w:rsidR="00F41AF2" w:rsidP="00F41AF2" w:rsidRDefault="00F41AF2" w14:paraId="672A6659" w14:textId="77777777"/>
                  </w:txbxContent>
                </v:textbox>
                <w10:wrap type="square"/>
              </v:shape>
            </w:pict>
          </mc:Fallback>
        </mc:AlternateContent>
      </w:r>
      <w:r w:rsidRPr="00F41AF2">
        <w:rPr>
          <w:rFonts w:ascii="Segoe UI" w:hAnsi="Segoe UI" w:eastAsia="Segoe UI"/>
          <w:sz w:val="20"/>
          <w:szCs w:val="20"/>
        </w:rPr>
        <w:t xml:space="preserve">This pathway enables and develops capacity and capability in scientific knowledge and the provision of scientific equipment and assets. Training and technical assistance (TA) supports partner country stakeholders in sustainable marine ecosystem science, management, and impact monitoring (including the provision of and training in the use of scientific equipment, infrastructure, and data). The capacity building is delivered to, or in partnership with, key institutions across partner countries. For example, in Sri Lanka, Bangladesh, and Belize the OCPP has supported the set up or capacity building of researchers/scientists of laboratories. Individuals at a senior or </w:t>
      </w:r>
      <w:r w:rsidRPr="00F41AF2" w:rsidR="001F2B79">
        <w:rPr>
          <w:rFonts w:ascii="Segoe UI" w:hAnsi="Segoe UI" w:eastAsia="Segoe UI"/>
          <w:sz w:val="20"/>
          <w:szCs w:val="20"/>
        </w:rPr>
        <w:t>decision-making</w:t>
      </w:r>
      <w:r w:rsidRPr="00F41AF2">
        <w:rPr>
          <w:rFonts w:ascii="Segoe UI" w:hAnsi="Segoe UI" w:eastAsia="Segoe UI"/>
          <w:sz w:val="20"/>
          <w:szCs w:val="20"/>
        </w:rPr>
        <w:t xml:space="preserve"> level within partner country ministries are also trained in marine science and/or management. OCPP funds and delivers both proactive and reactive emergency response capacity building, training and the provision of equipment for multiple countries within its portfolio to respond to marine pollution incidents. T</w:t>
      </w:r>
      <w:r w:rsidRPr="00F41AF2">
        <w:rPr>
          <w:rFonts w:ascii="Segoe UI" w:hAnsi="Segoe UI" w:eastAsia="Segoe UI"/>
          <w:sz w:val="20"/>
          <w:szCs w:val="20"/>
          <w:lang w:eastAsia="en-GB"/>
        </w:rPr>
        <w:t xml:space="preserve">he emergency response work involves an element of reactive work and is therefore dependent upon the occurrence. </w:t>
      </w:r>
    </w:p>
    <w:p w:rsidRPr="00F41AF2" w:rsidR="00F41AF2" w:rsidP="00F41AF2" w:rsidRDefault="00F41AF2" w14:paraId="396D5D6E" w14:textId="77777777">
      <w:pPr>
        <w:spacing w:after="240" w:line="280" w:lineRule="atLeast"/>
        <w:jc w:val="both"/>
        <w:rPr>
          <w:rFonts w:ascii="Segoe UI" w:hAnsi="Segoe UI" w:eastAsia="Segoe UI"/>
          <w:sz w:val="20"/>
          <w:szCs w:val="20"/>
        </w:rPr>
      </w:pPr>
      <w:r w:rsidRPr="00F41AF2">
        <w:rPr>
          <w:rFonts w:ascii="Segoe UI" w:hAnsi="Segoe UI" w:eastAsia="Segoe UI"/>
          <w:sz w:val="20"/>
          <w:szCs w:val="20"/>
        </w:rPr>
        <w:t>Capacity building through the delivery of Technical Assistance is one potential mechanism to catalyse change on a wider scale.</w:t>
      </w:r>
      <w:r w:rsidRPr="00F41AF2">
        <w:rPr>
          <w:rFonts w:ascii="Segoe UI" w:hAnsi="Segoe UI" w:eastAsia="Segoe UI"/>
          <w:sz w:val="20"/>
          <w:szCs w:val="20"/>
          <w:vertAlign w:val="superscript"/>
        </w:rPr>
        <w:footnoteReference w:id="16"/>
      </w:r>
      <w:r w:rsidRPr="00F41AF2">
        <w:rPr>
          <w:rFonts w:ascii="Segoe UI" w:hAnsi="Segoe UI" w:eastAsia="Segoe UI"/>
          <w:sz w:val="20"/>
          <w:szCs w:val="20"/>
        </w:rPr>
        <w:t xml:space="preserve"> The OCPP further expands on the proven Technical Assistance methodology demonstrated by the CLiP programme, which provided long-term, collaborative capacity building and technical assistance that supported CLiP countries to become regional centres of expertise.</w:t>
      </w:r>
      <w:r w:rsidRPr="00F41AF2">
        <w:rPr>
          <w:rFonts w:ascii="Segoe UI" w:hAnsi="Segoe UI" w:eastAsia="Segoe UI"/>
          <w:sz w:val="20"/>
          <w:szCs w:val="20"/>
          <w:vertAlign w:val="superscript"/>
        </w:rPr>
        <w:footnoteReference w:id="17"/>
      </w:r>
      <w:r w:rsidRPr="00F41AF2">
        <w:rPr>
          <w:rFonts w:ascii="Segoe UI" w:hAnsi="Segoe UI" w:eastAsia="Segoe UI"/>
          <w:sz w:val="20"/>
          <w:szCs w:val="20"/>
        </w:rPr>
        <w:t xml:space="preserve"> Under GOAP, OCPP supports the delivery of convening and capacity building activities that will build a global community of practice for ocean accounting, including: capacity building Q&amp;A sessions for interested ocean accounting pilot projects, global and regional dialogues on ocean accounting, and consultations with other projects and initiatives supported by the BPF.</w:t>
      </w:r>
    </w:p>
    <w:p w:rsidRPr="00F41AF2" w:rsidR="00F41AF2" w:rsidP="00F41AF2" w:rsidRDefault="00F41AF2" w14:paraId="33A616DC" w14:textId="77777777">
      <w:pPr>
        <w:spacing w:after="240" w:line="280" w:lineRule="atLeast"/>
        <w:jc w:val="both"/>
        <w:rPr>
          <w:rFonts w:ascii="Segoe UI" w:hAnsi="Segoe UI" w:eastAsia="Segoe UI"/>
          <w:i/>
          <w:iCs/>
          <w:sz w:val="20"/>
          <w:szCs w:val="20"/>
        </w:rPr>
      </w:pPr>
      <w:r w:rsidRPr="00F41AF2">
        <w:rPr>
          <w:rFonts w:ascii="Segoe UI" w:hAnsi="Segoe UI" w:eastAsia="Segoe UI"/>
          <w:sz w:val="20"/>
          <w:szCs w:val="20"/>
        </w:rPr>
        <w:t>Capacity building activities should follow recommendations from the Kunming-Montreal Biodiversity Framework</w:t>
      </w:r>
      <w:r w:rsidRPr="00F41AF2">
        <w:rPr>
          <w:rFonts w:ascii="Segoe UI" w:hAnsi="Segoe UI" w:eastAsia="Segoe UI"/>
          <w:sz w:val="20"/>
          <w:szCs w:val="20"/>
          <w:vertAlign w:val="superscript"/>
        </w:rPr>
        <w:footnoteReference w:id="18"/>
      </w:r>
      <w:r w:rsidRPr="00F41AF2">
        <w:rPr>
          <w:rFonts w:ascii="Segoe UI" w:hAnsi="Segoe UI" w:eastAsia="Segoe UI"/>
          <w:sz w:val="20"/>
          <w:szCs w:val="20"/>
        </w:rPr>
        <w:t xml:space="preserve"> for the Convention on Biological Diversity (CBD), and they must be participatory. Science often misses the value of integrating gendered and indigenous knowledge systems in marine resources management. Indeed, participatory, gender transformative approaches have proven to be effective in marine environmental management contexts</w:t>
      </w:r>
      <w:r w:rsidRPr="00F41AF2">
        <w:rPr>
          <w:rFonts w:ascii="Segoe UI" w:hAnsi="Segoe UI" w:eastAsia="Segoe UI"/>
          <w:sz w:val="20"/>
          <w:szCs w:val="20"/>
          <w:vertAlign w:val="superscript"/>
        </w:rPr>
        <w:footnoteReference w:id="19"/>
      </w:r>
      <w:r w:rsidRPr="00F41AF2">
        <w:rPr>
          <w:rFonts w:ascii="Segoe UI" w:hAnsi="Segoe UI" w:eastAsia="Segoe UI"/>
          <w:sz w:val="20"/>
          <w:szCs w:val="20"/>
        </w:rPr>
        <w:t xml:space="preserve">. </w:t>
      </w:r>
    </w:p>
    <w:p w:rsidRPr="00F41AF2" w:rsidR="00F41AF2" w:rsidP="00F41AF2" w:rsidRDefault="00F41AF2" w14:paraId="05C7BDDB" w14:textId="77777777">
      <w:pPr>
        <w:keepNext/>
        <w:keepLines/>
        <w:numPr>
          <w:ilvl w:val="2"/>
          <w:numId w:val="0"/>
        </w:numPr>
        <w:suppressAutoHyphens/>
        <w:spacing w:before="180" w:line="280" w:lineRule="atLeast"/>
        <w:ind w:left="851" w:hanging="851"/>
        <w:outlineLvl w:val="2"/>
        <w:rPr>
          <w:rFonts w:ascii="Segoe UI" w:hAnsi="Segoe UI" w:eastAsia="MS Gothic" w:cs="Arial"/>
          <w:b/>
          <w:sz w:val="20"/>
        </w:rPr>
      </w:pPr>
      <w:bookmarkStart w:name="_Toc149463837" w:id="7"/>
      <w:r w:rsidRPr="00F41AF2">
        <w:rPr>
          <w:rFonts w:ascii="Segoe UI" w:hAnsi="Segoe UI" w:eastAsia="MS Gothic" w:cs="Arial"/>
          <w:b/>
          <w:sz w:val="20"/>
        </w:rPr>
        <w:t>Governance &amp; regulation</w:t>
      </w:r>
      <w:bookmarkEnd w:id="7"/>
    </w:p>
    <w:p w:rsidRPr="00F41AF2" w:rsidR="00F41AF2" w:rsidP="00F41AF2" w:rsidRDefault="00F41AF2" w14:paraId="5ACB3C6B" w14:textId="3FD8A4CC">
      <w:pPr>
        <w:spacing w:after="240" w:line="280" w:lineRule="atLeast"/>
        <w:jc w:val="both"/>
        <w:rPr>
          <w:rFonts w:ascii="Segoe UI" w:hAnsi="Segoe UI" w:eastAsia="Segoe UI"/>
          <w:sz w:val="20"/>
          <w:szCs w:val="20"/>
        </w:rPr>
      </w:pPr>
      <w:r w:rsidRPr="00F41AF2">
        <w:rPr>
          <w:rFonts w:ascii="Segoe UI" w:hAnsi="Segoe UI" w:eastAsia="Segoe UI"/>
          <w:sz w:val="20"/>
          <w:szCs w:val="20"/>
        </w:rPr>
        <w:t>This pathway supports the development and implementation of evidence-informed, locally relevant policy and regulations in partner countries.</w:t>
      </w:r>
      <w:r w:rsidRPr="00F41AF2">
        <w:rPr>
          <w:rFonts w:ascii="Segoe UI" w:hAnsi="Segoe UI" w:eastAsia="Segoe UI"/>
          <w:i/>
          <w:iCs/>
          <w:sz w:val="20"/>
          <w:szCs w:val="20"/>
        </w:rPr>
        <w:t xml:space="preserve">  </w:t>
      </w:r>
      <w:r w:rsidRPr="00F41AF2">
        <w:rPr>
          <w:rFonts w:ascii="Segoe UI" w:hAnsi="Segoe UI" w:eastAsia="Segoe UI"/>
          <w:sz w:val="20"/>
          <w:szCs w:val="20"/>
        </w:rPr>
        <w:t xml:space="preserve">For the OCPP, this could </w:t>
      </w:r>
      <w:r w:rsidRPr="00F41AF2" w:rsidR="001F2B79">
        <w:rPr>
          <w:rFonts w:ascii="Segoe UI" w:hAnsi="Segoe UI" w:eastAsia="Segoe UI"/>
          <w:sz w:val="20"/>
          <w:szCs w:val="20"/>
        </w:rPr>
        <w:t>include</w:t>
      </w:r>
      <w:r w:rsidRPr="00F41AF2">
        <w:rPr>
          <w:rFonts w:ascii="Segoe UI" w:hAnsi="Segoe UI" w:eastAsia="Segoe UI"/>
          <w:sz w:val="20"/>
          <w:szCs w:val="20"/>
        </w:rPr>
        <w:t xml:space="preserve"> establishing frameworks with partner countries, either with a formal agreement such as an MoU, or developing less binding strategies and plans, depending on the socio-political context of the country. Within a country, the OCPP helps national or regional ministries and governments establish policies or frameworks focused on Marine Spatial Planning workplans; Protected Area Management Effectiveness (PAME) assessment frameworks; Smart MPA Management Plans, and the establishment of thematic-specific implementation roadmaps. For example, in Ghana the OCPP has established a draft Marine Spatial Plan (2023-2025) with relevant Ghanian Ministries. This also covers developing integrated models and approaches for sustainable ecosystem management and emergency response preparedness, including natural capital accounting, models for inclusive local marine ecosystem governance and spatial planning, national and local planning and budgeting, as well as ecosystem-based adaptation measures. </w:t>
      </w:r>
    </w:p>
    <w:p w:rsidRPr="00F41AF2" w:rsidR="00F41AF2" w:rsidP="00F41AF2" w:rsidRDefault="00F41AF2" w14:paraId="41D9C81C" w14:textId="1E0AF02F">
      <w:pPr>
        <w:spacing w:after="240" w:line="280" w:lineRule="atLeast"/>
        <w:jc w:val="both"/>
        <w:rPr>
          <w:rFonts w:ascii="Segoe UI" w:hAnsi="Segoe UI" w:eastAsia="Segoe UI"/>
          <w:sz w:val="20"/>
          <w:szCs w:val="20"/>
        </w:rPr>
      </w:pPr>
      <w:r w:rsidRPr="00F41AF2">
        <w:rPr>
          <w:rFonts w:ascii="Segoe UI" w:hAnsi="Segoe UI" w:eastAsia="Segoe UI"/>
          <w:noProof/>
          <w:sz w:val="20"/>
          <w:szCs w:val="20"/>
        </w:rPr>
        <mc:AlternateContent>
          <mc:Choice Requires="wps">
            <w:drawing>
              <wp:anchor distT="0" distB="0" distL="114300" distR="114300" simplePos="0" relativeHeight="251658241" behindDoc="0" locked="0" layoutInCell="1" allowOverlap="1" wp14:anchorId="0C23E798" wp14:editId="49F02D69">
                <wp:simplePos x="0" y="0"/>
                <wp:positionH relativeFrom="column">
                  <wp:posOffset>3875405</wp:posOffset>
                </wp:positionH>
                <wp:positionV relativeFrom="paragraph">
                  <wp:posOffset>54610</wp:posOffset>
                </wp:positionV>
                <wp:extent cx="2391410" cy="2353310"/>
                <wp:effectExtent l="8890" t="7620" r="9525" b="10795"/>
                <wp:wrapSquare wrapText="bothSides"/>
                <wp:docPr id="64109958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2353310"/>
                        </a:xfrm>
                        <a:prstGeom prst="rect">
                          <a:avLst/>
                        </a:prstGeom>
                        <a:solidFill>
                          <a:srgbClr val="FFFFFF"/>
                        </a:solidFill>
                        <a:ln w="6350">
                          <a:solidFill>
                            <a:srgbClr val="000000"/>
                          </a:solidFill>
                          <a:miter lim="800000"/>
                          <a:headEnd/>
                          <a:tailEnd/>
                        </a:ln>
                      </wps:spPr>
                      <wps:txbx>
                        <w:txbxContent>
                          <w:p w:rsidR="00F41AF2" w:rsidP="00F41AF2" w:rsidRDefault="00F41AF2" w14:paraId="37D0122E" w14:textId="77777777">
                            <w:pPr>
                              <w:jc w:val="center"/>
                              <w:rPr>
                                <w:b/>
                                <w:bCs/>
                              </w:rPr>
                            </w:pPr>
                            <w:r>
                              <w:rPr>
                                <w:b/>
                                <w:bCs/>
                              </w:rPr>
                              <w:t>Governance &amp; Regulation</w:t>
                            </w:r>
                            <w:r w:rsidRPr="00466517">
                              <w:rPr>
                                <w:b/>
                                <w:bCs/>
                              </w:rPr>
                              <w:t xml:space="preserve"> </w:t>
                            </w:r>
                            <w:r>
                              <w:rPr>
                                <w:b/>
                                <w:bCs/>
                              </w:rPr>
                              <w:t xml:space="preserve">examples </w:t>
                            </w:r>
                            <w:r w:rsidRPr="00466517">
                              <w:rPr>
                                <w:b/>
                                <w:bCs/>
                              </w:rPr>
                              <w:t>across themes</w:t>
                            </w:r>
                          </w:p>
                          <w:p w:rsidRPr="00FA7E5D" w:rsidR="00F41AF2" w:rsidP="00F41AF2" w:rsidRDefault="00F41AF2" w14:paraId="44564328" w14:textId="77777777">
                            <w:pPr>
                              <w:jc w:val="center"/>
                              <w:rPr>
                                <w:b/>
                                <w:bCs/>
                              </w:rPr>
                            </w:pPr>
                            <w:r w:rsidRPr="00466517">
                              <w:rPr>
                                <w:b/>
                                <w:bCs/>
                              </w:rPr>
                              <w:t xml:space="preserve">Marine pollution: </w:t>
                            </w:r>
                            <w:r>
                              <w:t>Best practice guidance; State of the Environment report</w:t>
                            </w:r>
                          </w:p>
                          <w:p w:rsidR="00F41AF2" w:rsidP="00F41AF2" w:rsidRDefault="00F41AF2" w14:paraId="3C5B2435" w14:textId="77777777">
                            <w:r w:rsidRPr="00466517">
                              <w:rPr>
                                <w:b/>
                                <w:bCs/>
                              </w:rPr>
                              <w:t>Biodiversity:</w:t>
                            </w:r>
                            <w:r>
                              <w:t xml:space="preserve"> Marine spatial planning framework and guidance, MPA management plans</w:t>
                            </w:r>
                          </w:p>
                          <w:p w:rsidRPr="008926C7" w:rsidR="00F41AF2" w:rsidP="00F41AF2" w:rsidRDefault="00F41AF2" w14:paraId="0F88D475" w14:textId="77777777">
                            <w:r w:rsidRPr="00466517">
                              <w:rPr>
                                <w:b/>
                                <w:bCs/>
                              </w:rPr>
                              <w:t>Sustainable seafood:</w:t>
                            </w:r>
                            <w:r>
                              <w:rPr>
                                <w:b/>
                                <w:bCs/>
                              </w:rPr>
                              <w:t xml:space="preserve"> </w:t>
                            </w:r>
                            <w:r>
                              <w:t>Gov to gov support on fish health; fishery assessment support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4D38D44">
              <v:shape id="Text Box 13" style="position:absolute;left:0;text-align:left;margin-left:305.15pt;margin-top:4.3pt;width:188.3pt;height:185.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" w14:anchorId="0C23E798">
                <v:textbox>
                  <w:txbxContent>
                    <w:p w:rsidR="00F41AF2" w:rsidP="00F41AF2" w:rsidRDefault="00F41AF2" w14:paraId="00F8E3B3" w14:textId="77777777">
                      <w:pPr>
                        <w:jc w:val="center"/>
                        <w:rPr>
                          <w:b/>
                          <w:bCs/>
                        </w:rPr>
                      </w:pPr>
                      <w:r>
                        <w:rPr>
                          <w:b/>
                          <w:bCs/>
                        </w:rPr>
                        <w:t>Governance &amp; Regulation</w:t>
                      </w:r>
                      <w:r w:rsidRPr="00466517">
                        <w:rPr>
                          <w:b/>
                          <w:bCs/>
                        </w:rPr>
                        <w:t xml:space="preserve"> </w:t>
                      </w:r>
                      <w:r>
                        <w:rPr>
                          <w:b/>
                          <w:bCs/>
                        </w:rPr>
                        <w:t xml:space="preserve">examples </w:t>
                      </w:r>
                      <w:r w:rsidRPr="00466517">
                        <w:rPr>
                          <w:b/>
                          <w:bCs/>
                        </w:rPr>
                        <w:t>across themes</w:t>
                      </w:r>
                    </w:p>
                    <w:p w:rsidRPr="00FA7E5D" w:rsidR="00F41AF2" w:rsidP="00F41AF2" w:rsidRDefault="00F41AF2" w14:paraId="14019609" w14:textId="77777777">
                      <w:pPr>
                        <w:jc w:val="center"/>
                        <w:rPr>
                          <w:b/>
                          <w:bCs/>
                        </w:rPr>
                      </w:pPr>
                      <w:r w:rsidRPr="00466517">
                        <w:rPr>
                          <w:b/>
                          <w:bCs/>
                        </w:rPr>
                        <w:t xml:space="preserve">Marine pollution: </w:t>
                      </w:r>
                      <w:r>
                        <w:t>Best practice guidance; State of the Environment report</w:t>
                      </w:r>
                    </w:p>
                    <w:p w:rsidR="00F41AF2" w:rsidP="00F41AF2" w:rsidRDefault="00F41AF2" w14:paraId="5B78A4D7" w14:textId="77777777">
                      <w:r w:rsidRPr="00466517">
                        <w:rPr>
                          <w:b/>
                          <w:bCs/>
                        </w:rPr>
                        <w:t>Biodiversity:</w:t>
                      </w:r>
                      <w:r>
                        <w:t xml:space="preserve"> Marine spatial planning framework and guidance, MPA management plans</w:t>
                      </w:r>
                    </w:p>
                    <w:p w:rsidRPr="008926C7" w:rsidR="00F41AF2" w:rsidP="00F41AF2" w:rsidRDefault="00F41AF2" w14:paraId="47A10C83" w14:textId="77777777">
                      <w:r w:rsidRPr="00466517">
                        <w:rPr>
                          <w:b/>
                          <w:bCs/>
                        </w:rPr>
                        <w:t>Sustainable seafood:</w:t>
                      </w:r>
                      <w:r>
                        <w:rPr>
                          <w:b/>
                          <w:bCs/>
                        </w:rPr>
                        <w:t xml:space="preserve"> </w:t>
                      </w:r>
                      <w:r>
                        <w:t>Gov to gov support on fish health; fishery assessment support</w:t>
                      </w:r>
                    </w:p>
                  </w:txbxContent>
                </v:textbox>
                <w10:wrap type="square"/>
              </v:shape>
            </w:pict>
          </mc:Fallback>
        </mc:AlternateContent>
      </w:r>
      <w:r w:rsidRPr="00F41AF2">
        <w:rPr>
          <w:rFonts w:ascii="Segoe UI" w:hAnsi="Segoe UI" w:eastAsia="Segoe UI"/>
          <w:sz w:val="20"/>
          <w:szCs w:val="20"/>
        </w:rPr>
        <w:t>By providing donor funding, Technical Assistance, and establishing relationships (be it bilaterally with partner governments/ministries, or through strategic/multilateral partnerships as delivered by GOAP and FOA), the OCPP equips partner countries with tools to improve and inform policy and governance. The support is also catalyst to protect the marine environment and realise connected benefits of food security, sustainable incomes and climate resilience in coastal communities.</w:t>
      </w:r>
      <w:r w:rsidRPr="00F41AF2">
        <w:rPr>
          <w:rFonts w:ascii="Calibri" w:hAnsi="Calibri" w:eastAsia="Segoe UI" w:cs="Calibri"/>
          <w:color w:val="000000"/>
          <w:sz w:val="22"/>
          <w:szCs w:val="22"/>
          <w:shd w:val="clear" w:color="auto" w:fill="FFFFFF"/>
          <w:vertAlign w:val="superscript"/>
        </w:rPr>
        <w:footnoteReference w:id="20"/>
      </w:r>
      <w:r w:rsidRPr="00F41AF2">
        <w:rPr>
          <w:rFonts w:ascii="Calibri" w:hAnsi="Calibri" w:eastAsia="Segoe UI" w:cs="Calibri"/>
          <w:color w:val="000000"/>
          <w:sz w:val="22"/>
          <w:szCs w:val="22"/>
          <w:shd w:val="clear" w:color="auto" w:fill="FFFFFF"/>
        </w:rPr>
        <w:t>  </w:t>
      </w:r>
      <w:r w:rsidRPr="00F41AF2">
        <w:rPr>
          <w:rFonts w:ascii="Segoe UI" w:hAnsi="Segoe UI" w:eastAsia="Segoe UI"/>
          <w:sz w:val="20"/>
          <w:szCs w:val="20"/>
        </w:rPr>
        <w:t>The CLiP programme was found to be an essential channel for effective soft diplomacy and resulted in five partner countries signing MoUs with the UK to tackle specific marine issues.</w:t>
      </w:r>
      <w:r w:rsidRPr="00F41AF2">
        <w:rPr>
          <w:rFonts w:ascii="Segoe UI" w:hAnsi="Segoe UI" w:eastAsia="Segoe UI"/>
          <w:sz w:val="20"/>
          <w:szCs w:val="20"/>
          <w:vertAlign w:val="superscript"/>
        </w:rPr>
        <w:footnoteReference w:id="21"/>
      </w:r>
      <w:r w:rsidRPr="00F41AF2">
        <w:rPr>
          <w:rFonts w:ascii="Segoe UI" w:hAnsi="Segoe UI" w:eastAsia="Segoe UI"/>
          <w:sz w:val="20"/>
          <w:szCs w:val="20"/>
        </w:rPr>
        <w:t xml:space="preserve">  The OCPP, through funding GOAP, is enabling the development of ocean accounts that help decision makers track whether investments are building ocean wealth for future generations. All six of GOAP’s pilot countries are in the process of scoping, establishing, and/or drafting national ocean account plans with ministries, governing bodies or institutions involved in ocean accounting.</w:t>
      </w:r>
      <w:r w:rsidRPr="00F41AF2">
        <w:rPr>
          <w:rFonts w:ascii="Segoe UI" w:hAnsi="Segoe UI" w:eastAsia="Segoe UI"/>
          <w:sz w:val="20"/>
          <w:szCs w:val="20"/>
          <w:vertAlign w:val="superscript"/>
        </w:rPr>
        <w:footnoteReference w:id="22"/>
      </w:r>
      <w:r w:rsidRPr="00F41AF2">
        <w:rPr>
          <w:rFonts w:ascii="Segoe UI" w:hAnsi="Segoe UI" w:eastAsia="Segoe UI"/>
          <w:sz w:val="20"/>
          <w:szCs w:val="20"/>
        </w:rPr>
        <w:t xml:space="preserve">  For example, GOAP’s pilot in Vietnam has provided input into the country’s input into the drafting of Viet Nam’s Blue Economy Model to 2030.</w:t>
      </w:r>
      <w:r w:rsidRPr="00F41AF2">
        <w:rPr>
          <w:rFonts w:ascii="Segoe UI" w:hAnsi="Segoe UI" w:eastAsia="Segoe UI"/>
          <w:sz w:val="20"/>
          <w:szCs w:val="20"/>
          <w:vertAlign w:val="superscript"/>
        </w:rPr>
        <w:footnoteReference w:id="23"/>
      </w:r>
      <w:r w:rsidRPr="00F41AF2">
        <w:rPr>
          <w:rFonts w:ascii="Segoe UI" w:hAnsi="Segoe UI" w:eastAsia="Segoe UI"/>
          <w:sz w:val="20"/>
          <w:szCs w:val="20"/>
        </w:rPr>
        <w:t xml:space="preserve"> </w:t>
      </w:r>
    </w:p>
    <w:p w:rsidRPr="00F41AF2" w:rsidR="00F41AF2" w:rsidP="00F41AF2" w:rsidRDefault="00F41AF2" w14:paraId="5ADEC1F2" w14:textId="4396D7C1">
      <w:pPr>
        <w:spacing w:after="240" w:line="280" w:lineRule="atLeast"/>
        <w:jc w:val="both"/>
        <w:rPr>
          <w:rFonts w:ascii="Segoe UI" w:hAnsi="Segoe UI" w:eastAsia="Segoe UI"/>
          <w:sz w:val="20"/>
          <w:szCs w:val="20"/>
        </w:rPr>
      </w:pPr>
      <w:r w:rsidRPr="00F41AF2">
        <w:rPr>
          <w:rFonts w:ascii="Segoe UI" w:hAnsi="Segoe UI" w:eastAsia="Segoe UI"/>
          <w:sz w:val="20"/>
          <w:szCs w:val="20"/>
        </w:rPr>
        <w:t xml:space="preserve">FOA focuses on building partnerships and commitments to act on the opportunities and testing of solutions through its pilot projects. For example, through its implementation of the Blue Recovery Hubs in Fiji and Samoa have gathered support across different government agencies and have </w:t>
      </w:r>
      <w:r w:rsidRPr="00F41AF2" w:rsidR="00CC5950">
        <w:rPr>
          <w:rFonts w:ascii="Segoe UI" w:hAnsi="Segoe UI" w:eastAsia="Segoe UI"/>
          <w:sz w:val="20"/>
          <w:szCs w:val="20"/>
        </w:rPr>
        <w:t>opened</w:t>
      </w:r>
      <w:r w:rsidRPr="00F41AF2">
        <w:rPr>
          <w:rFonts w:ascii="Segoe UI" w:hAnsi="Segoe UI" w:eastAsia="Segoe UI"/>
          <w:sz w:val="20"/>
          <w:szCs w:val="20"/>
        </w:rPr>
        <w:t xml:space="preserve"> opportunities to scale up the concept of the Blue Recovery Hubs through regional institutions such as the Pacific Islands Forum.</w:t>
      </w:r>
      <w:r w:rsidRPr="00F41AF2">
        <w:rPr>
          <w:rFonts w:ascii="Segoe UI" w:hAnsi="Segoe UI" w:eastAsia="Segoe UI"/>
          <w:sz w:val="20"/>
          <w:szCs w:val="20"/>
          <w:vertAlign w:val="superscript"/>
        </w:rPr>
        <w:footnoteReference w:id="24"/>
      </w:r>
    </w:p>
    <w:p w:rsidRPr="00F41AF2" w:rsidR="00F41AF2" w:rsidP="00F41AF2" w:rsidRDefault="00F41AF2" w14:paraId="2EC350B5" w14:textId="77777777">
      <w:pPr>
        <w:spacing w:after="240" w:line="280" w:lineRule="atLeast"/>
        <w:jc w:val="both"/>
        <w:rPr>
          <w:rFonts w:ascii="Segoe UI" w:hAnsi="Segoe UI" w:eastAsia="Segoe UI"/>
          <w:sz w:val="20"/>
          <w:szCs w:val="20"/>
        </w:rPr>
      </w:pPr>
      <w:r w:rsidRPr="00F41AF2">
        <w:rPr>
          <w:rFonts w:ascii="Segoe UI" w:hAnsi="Segoe UI" w:eastAsia="Segoe UI"/>
          <w:sz w:val="20"/>
          <w:szCs w:val="20"/>
        </w:rPr>
        <w:t>Change at the policy and governance level is a complex and non-linear process, and highly dependent on context. Securing buy-in and ownership at the community and local level is essential for policies and regulations to be adhered to and implemented. Therefore, participatory approaches at the community level for OCPP are critical. There are m</w:t>
      </w:r>
      <w:r w:rsidRPr="00F41AF2">
        <w:rPr>
          <w:rFonts w:ascii="Segoe UI" w:hAnsi="Segoe UI" w:eastAsia="Segoe UI" w:cs="Segoe UI"/>
          <w:sz w:val="20"/>
          <w:szCs w:val="20"/>
        </w:rPr>
        <w:t>any examples of community-level stewardship of natural resources, where people’s connection to their surrounding landscapes and seascapes fosters care and this has resulted in unique cultural practices and resource management</w:t>
      </w:r>
      <w:r w:rsidRPr="00F41AF2">
        <w:rPr>
          <w:rFonts w:ascii="Segoe UI" w:hAnsi="Segoe UI" w:eastAsia="Segoe UI" w:cs="Segoe UI"/>
          <w:sz w:val="20"/>
          <w:szCs w:val="20"/>
          <w:vertAlign w:val="superscript"/>
        </w:rPr>
        <w:footnoteReference w:id="25"/>
      </w:r>
      <w:r w:rsidRPr="00F41AF2">
        <w:rPr>
          <w:rFonts w:ascii="Segoe UI" w:hAnsi="Segoe UI" w:eastAsia="Segoe UI" w:cs="Segoe UI"/>
          <w:sz w:val="20"/>
          <w:szCs w:val="20"/>
        </w:rPr>
        <w:t xml:space="preserve"> </w:t>
      </w:r>
      <w:r w:rsidRPr="00F41AF2">
        <w:rPr>
          <w:rFonts w:ascii="Segoe UI" w:hAnsi="Segoe UI" w:eastAsia="Segoe UI" w:cs="Segoe UI"/>
          <w:sz w:val="20"/>
          <w:szCs w:val="20"/>
          <w:vertAlign w:val="superscript"/>
        </w:rPr>
        <w:footnoteReference w:id="26"/>
      </w:r>
      <w:r w:rsidRPr="00F41AF2">
        <w:rPr>
          <w:rFonts w:ascii="Segoe UI" w:hAnsi="Segoe UI" w:eastAsia="Segoe UI" w:cs="Segoe UI"/>
          <w:sz w:val="20"/>
          <w:szCs w:val="20"/>
        </w:rPr>
        <w:t xml:space="preserve">. </w:t>
      </w:r>
      <w:r w:rsidRPr="00F41AF2">
        <w:rPr>
          <w:rFonts w:ascii="Segoe UI" w:hAnsi="Segoe UI" w:eastAsia="Segoe UI"/>
          <w:sz w:val="20"/>
          <w:szCs w:val="20"/>
        </w:rPr>
        <w:t xml:space="preserve">The inclusion of evidence from gendered, indigenous and local knowledge from coastal-marine the communities within the partner countries is crucial to ensure that planning, decision-making, as well as policy and regulatory changes can be implemented and sustained. Without inclusion at the grass roots level and understanding of the social and gender differentiations, policy changes made from the top down are at risk from not obtaining ownership from the communities whose lives are most affected by unsustainable practices, weak management, decision- and policymaking. </w:t>
      </w:r>
    </w:p>
    <w:p w:rsidRPr="00F41AF2" w:rsidR="00F41AF2" w:rsidP="00F41AF2" w:rsidRDefault="00F41AF2" w14:paraId="15FC09E5" w14:textId="77777777">
      <w:pPr>
        <w:keepNext/>
        <w:keepLines/>
        <w:numPr>
          <w:ilvl w:val="2"/>
          <w:numId w:val="0"/>
        </w:numPr>
        <w:suppressAutoHyphens/>
        <w:spacing w:before="180" w:line="280" w:lineRule="atLeast"/>
        <w:ind w:left="851" w:hanging="851"/>
        <w:outlineLvl w:val="2"/>
        <w:rPr>
          <w:rFonts w:ascii="Segoe UI" w:hAnsi="Segoe UI" w:eastAsia="MS Gothic" w:cs="Arial"/>
          <w:b/>
          <w:sz w:val="20"/>
        </w:rPr>
      </w:pPr>
      <w:bookmarkStart w:name="_Toc149463838" w:id="8"/>
      <w:r w:rsidRPr="00F41AF2">
        <w:rPr>
          <w:rFonts w:ascii="Segoe UI" w:hAnsi="Segoe UI" w:eastAsia="MS Gothic" w:cs="Arial"/>
          <w:b/>
          <w:sz w:val="20"/>
        </w:rPr>
        <w:t>Science, education &amp; knowledge exchange</w:t>
      </w:r>
      <w:bookmarkEnd w:id="8"/>
    </w:p>
    <w:p w:rsidRPr="00F41AF2" w:rsidR="00F41AF2" w:rsidP="00F41AF2" w:rsidRDefault="00F41AF2" w14:paraId="01145D61" w14:textId="5ED4828D">
      <w:pPr>
        <w:spacing w:after="240" w:line="280" w:lineRule="atLeast"/>
        <w:jc w:val="both"/>
        <w:rPr>
          <w:rFonts w:ascii="Segoe UI" w:hAnsi="Segoe UI" w:eastAsia="Segoe UI"/>
          <w:sz w:val="20"/>
          <w:szCs w:val="20"/>
        </w:rPr>
      </w:pPr>
      <w:r w:rsidRPr="00F41AF2">
        <w:rPr>
          <w:rFonts w:ascii="Segoe UI" w:hAnsi="Segoe UI" w:eastAsia="Segoe UI"/>
          <w:noProof/>
          <w:sz w:val="20"/>
          <w:szCs w:val="20"/>
        </w:rPr>
        <mc:AlternateContent>
          <mc:Choice Requires="wps">
            <w:drawing>
              <wp:anchor distT="0" distB="0" distL="114300" distR="114300" simplePos="0" relativeHeight="251658243" behindDoc="0" locked="0" layoutInCell="1" allowOverlap="1" wp14:anchorId="58785D27" wp14:editId="687B5764">
                <wp:simplePos x="0" y="0"/>
                <wp:positionH relativeFrom="column">
                  <wp:posOffset>3971290</wp:posOffset>
                </wp:positionH>
                <wp:positionV relativeFrom="paragraph">
                  <wp:posOffset>807720</wp:posOffset>
                </wp:positionV>
                <wp:extent cx="2447290" cy="2687320"/>
                <wp:effectExtent l="9525" t="8255" r="10160" b="9525"/>
                <wp:wrapSquare wrapText="bothSides"/>
                <wp:docPr id="16988324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2687320"/>
                        </a:xfrm>
                        <a:prstGeom prst="rect">
                          <a:avLst/>
                        </a:prstGeom>
                        <a:solidFill>
                          <a:srgbClr val="FFFFFF"/>
                        </a:solidFill>
                        <a:ln w="6350">
                          <a:solidFill>
                            <a:srgbClr val="000000"/>
                          </a:solidFill>
                          <a:miter lim="800000"/>
                          <a:headEnd/>
                          <a:tailEnd/>
                        </a:ln>
                      </wps:spPr>
                      <wps:txbx>
                        <w:txbxContent>
                          <w:p w:rsidRPr="00466517" w:rsidR="00F41AF2" w:rsidP="00F41AF2" w:rsidRDefault="00F41AF2" w14:paraId="0F4B3FC2" w14:textId="77777777">
                            <w:pPr>
                              <w:jc w:val="center"/>
                              <w:rPr>
                                <w:b/>
                                <w:bCs/>
                              </w:rPr>
                            </w:pPr>
                            <w:r>
                              <w:rPr>
                                <w:b/>
                                <w:bCs/>
                              </w:rPr>
                              <w:t>Science, education &amp; knowledge exchange</w:t>
                            </w:r>
                            <w:r w:rsidRPr="00466517">
                              <w:rPr>
                                <w:b/>
                                <w:bCs/>
                              </w:rPr>
                              <w:t xml:space="preserve"> </w:t>
                            </w:r>
                            <w:r>
                              <w:rPr>
                                <w:b/>
                                <w:bCs/>
                              </w:rPr>
                              <w:t xml:space="preserve">examples </w:t>
                            </w:r>
                            <w:r w:rsidRPr="00466517">
                              <w:rPr>
                                <w:b/>
                                <w:bCs/>
                              </w:rPr>
                              <w:t>across themes</w:t>
                            </w:r>
                          </w:p>
                          <w:p w:rsidR="00F41AF2" w:rsidP="00F41AF2" w:rsidRDefault="00F41AF2" w14:paraId="54D9B23E" w14:textId="77777777">
                            <w:r w:rsidRPr="00466517">
                              <w:rPr>
                                <w:b/>
                                <w:bCs/>
                              </w:rPr>
                              <w:t xml:space="preserve">Marine pollution: </w:t>
                            </w:r>
                            <w:r>
                              <w:t>Microplastic laboratories; water quality assessments; marine litter action plan development</w:t>
                            </w:r>
                          </w:p>
                          <w:p w:rsidR="00F41AF2" w:rsidP="00F41AF2" w:rsidRDefault="00F41AF2" w14:paraId="3E97DA47" w14:textId="77777777">
                            <w:r w:rsidRPr="00466517">
                              <w:rPr>
                                <w:b/>
                                <w:bCs/>
                              </w:rPr>
                              <w:t>Biodiversity:</w:t>
                            </w:r>
                            <w:r>
                              <w:t xml:space="preserve"> MPA communication &amp; awareness raising; marine habitat mapping; ecological data collection and management support</w:t>
                            </w:r>
                          </w:p>
                          <w:p w:rsidRPr="008E2487" w:rsidR="00F41AF2" w:rsidP="00F41AF2" w:rsidRDefault="00F41AF2" w14:paraId="629DA2E4" w14:textId="77777777">
                            <w:r w:rsidRPr="00466517">
                              <w:rPr>
                                <w:b/>
                                <w:bCs/>
                              </w:rPr>
                              <w:t>Sustainable seafood:</w:t>
                            </w:r>
                            <w:r>
                              <w:t xml:space="preserve"> Industry improvement assessments; feasibility studies.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214CBA4">
              <v:shape id="Text Box 12" style="position:absolute;left:0;text-align:left;margin-left:312.7pt;margin-top:63.6pt;width:192.7pt;height:211.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" w14:anchorId="58785D27">
                <v:textbox>
                  <w:txbxContent>
                    <w:p w:rsidRPr="00466517" w:rsidR="00F41AF2" w:rsidP="00F41AF2" w:rsidRDefault="00F41AF2" w14:paraId="31360DFF" w14:textId="77777777">
                      <w:pPr>
                        <w:jc w:val="center"/>
                        <w:rPr>
                          <w:b/>
                          <w:bCs/>
                        </w:rPr>
                      </w:pPr>
                      <w:r>
                        <w:rPr>
                          <w:b/>
                          <w:bCs/>
                        </w:rPr>
                        <w:t>Science, education &amp; knowledge exchange</w:t>
                      </w:r>
                      <w:r w:rsidRPr="00466517">
                        <w:rPr>
                          <w:b/>
                          <w:bCs/>
                        </w:rPr>
                        <w:t xml:space="preserve"> </w:t>
                      </w:r>
                      <w:r>
                        <w:rPr>
                          <w:b/>
                          <w:bCs/>
                        </w:rPr>
                        <w:t xml:space="preserve">examples </w:t>
                      </w:r>
                      <w:r w:rsidRPr="00466517">
                        <w:rPr>
                          <w:b/>
                          <w:bCs/>
                        </w:rPr>
                        <w:t>across themes</w:t>
                      </w:r>
                    </w:p>
                    <w:p w:rsidR="00F41AF2" w:rsidP="00F41AF2" w:rsidRDefault="00F41AF2" w14:paraId="54D515B8" w14:textId="77777777">
                      <w:r w:rsidRPr="00466517">
                        <w:rPr>
                          <w:b/>
                          <w:bCs/>
                        </w:rPr>
                        <w:t xml:space="preserve">Marine pollution: </w:t>
                      </w:r>
                      <w:r>
                        <w:t>Microplastic laboratories; water quality assessments; marine litter action plan development</w:t>
                      </w:r>
                    </w:p>
                    <w:p w:rsidR="00F41AF2" w:rsidP="00F41AF2" w:rsidRDefault="00F41AF2" w14:paraId="7F05FF23" w14:textId="77777777">
                      <w:r w:rsidRPr="00466517">
                        <w:rPr>
                          <w:b/>
                          <w:bCs/>
                        </w:rPr>
                        <w:t>Biodiversity:</w:t>
                      </w:r>
                      <w:r>
                        <w:t xml:space="preserve"> MPA communication &amp; awareness raising; marine habitat mapping; ecological data collection and management support</w:t>
                      </w:r>
                    </w:p>
                    <w:p w:rsidRPr="008E2487" w:rsidR="00F41AF2" w:rsidP="00F41AF2" w:rsidRDefault="00F41AF2" w14:paraId="06E98837" w14:textId="77777777">
                      <w:r w:rsidRPr="00466517">
                        <w:rPr>
                          <w:b/>
                          <w:bCs/>
                        </w:rPr>
                        <w:t>Sustainable seafood:</w:t>
                      </w:r>
                      <w:r>
                        <w:t xml:space="preserve"> Industry improvement assessments; feasibility studies.</w:t>
                      </w:r>
                    </w:p>
                  </w:txbxContent>
                </v:textbox>
                <w10:wrap type="square"/>
              </v:shape>
            </w:pict>
          </mc:Fallback>
        </mc:AlternateContent>
      </w:r>
      <w:r w:rsidRPr="00F41AF2">
        <w:rPr>
          <w:rFonts w:ascii="Segoe UI" w:hAnsi="Segoe UI" w:eastAsia="Segoe UI"/>
          <w:sz w:val="20"/>
          <w:szCs w:val="20"/>
        </w:rPr>
        <w:t xml:space="preserve">This pathway develops partnerships and engagements that enable science, education and knowledge exchange across multiple levels of stakeholders. The OCPP establishes, and/or strengthens ocean science-related networks between individuals, organisations (including universities), and ministries within partner countries, and between partner countries. This could be on Marine Spatial Planning, marine pollution and litter, or specific marine science and biodiversity thematic areas. Within a few OCPP partner countries (for example, Bangladesh) the programme funds direct scientific education input into universities. </w:t>
      </w:r>
    </w:p>
    <w:p w:rsidRPr="00F41AF2" w:rsidR="00F41AF2" w:rsidP="00F41AF2" w:rsidRDefault="00F41AF2" w14:paraId="054EF4C9" w14:textId="77777777">
      <w:pPr>
        <w:spacing w:after="240" w:line="280" w:lineRule="atLeast"/>
        <w:jc w:val="both"/>
        <w:rPr>
          <w:rFonts w:ascii="Segoe UI" w:hAnsi="Segoe UI" w:eastAsia="Segoe UI"/>
          <w:sz w:val="20"/>
          <w:szCs w:val="20"/>
        </w:rPr>
      </w:pPr>
      <w:r w:rsidRPr="00F41AF2">
        <w:rPr>
          <w:rFonts w:ascii="Segoe UI" w:hAnsi="Segoe UI" w:eastAsia="Segoe UI"/>
          <w:sz w:val="20"/>
          <w:szCs w:val="20"/>
        </w:rPr>
        <w:t xml:space="preserve">A prominent delivery of the programme is the funding of scholarships for MSc and PhD in partner countries to increase the capability of skilled and trained personnel who can provide science-based knowledge as a basis for decision-making. The scholarships are also to enable personnel able to develop new technologies, methodologies and products through research and innovation. Scholarships funded by the OCPP are managed by the Association of Commonwealth Universities (ACU). The scheme allows scholars to remain within the region to study, addressing challenges with capacity building and has allowed early career researchers to access advanced education opportunities. The scholars are drawn from government ministries, the national university and industry. The aim is that all will take their learning back to their communities and previous/new positions to enhance the region’s collective knowledge base in marine protection.  </w:t>
      </w:r>
    </w:p>
    <w:p w:rsidRPr="00F41AF2" w:rsidR="00F41AF2" w:rsidP="00F41AF2" w:rsidRDefault="00F41AF2" w14:paraId="41116C62" w14:textId="77777777">
      <w:pPr>
        <w:spacing w:after="240" w:line="280" w:lineRule="atLeast"/>
        <w:jc w:val="both"/>
        <w:rPr>
          <w:rFonts w:ascii="Calibri" w:hAnsi="Calibri" w:eastAsia="Segoe UI" w:cs="Calibri"/>
          <w:color w:val="000000"/>
          <w:sz w:val="22"/>
          <w:szCs w:val="22"/>
          <w:shd w:val="clear" w:color="auto" w:fill="FFFFFF"/>
        </w:rPr>
      </w:pPr>
      <w:r w:rsidRPr="00F41AF2">
        <w:rPr>
          <w:rFonts w:ascii="Segoe UI" w:hAnsi="Segoe UI" w:eastAsia="Segoe UI"/>
          <w:sz w:val="20"/>
          <w:szCs w:val="20"/>
        </w:rPr>
        <w:t xml:space="preserve">The programme establishes and works in partnership with countries, and also private-public groups and regional bodies, to deliver activities that are agreed and desired by the country or group. Local ownership or support for TA programmes is essential for the OCPP to be </w:t>
      </w:r>
      <w:r w:rsidRPr="00F41AF2">
        <w:rPr>
          <w:rFonts w:ascii="Segoe UI" w:hAnsi="Segoe UI" w:eastAsia="Segoe UI" w:cs="Segoe UI"/>
          <w:sz w:val="20"/>
          <w:szCs w:val="20"/>
        </w:rPr>
        <w:t>effective: where</w:t>
      </w:r>
      <w:r w:rsidRPr="00F41AF2">
        <w:rPr>
          <w:rFonts w:ascii="Segoe UI" w:hAnsi="Segoe UI" w:eastAsia="Segoe UI" w:cs="Segoe UI"/>
          <w:color w:val="000000"/>
          <w:sz w:val="20"/>
          <w:szCs w:val="20"/>
          <w:shd w:val="clear" w:color="auto" w:fill="FFFFFF"/>
        </w:rPr>
        <w:t xml:space="preserve"> the recipient country is the active party in identifying and selecting TA, the prospects of success are much higher.</w:t>
      </w:r>
      <w:r w:rsidRPr="00F41AF2">
        <w:rPr>
          <w:rFonts w:ascii="Calibri" w:hAnsi="Calibri" w:eastAsia="Segoe UI" w:cs="Calibri"/>
          <w:color w:val="000000"/>
          <w:sz w:val="22"/>
          <w:szCs w:val="22"/>
          <w:shd w:val="clear" w:color="auto" w:fill="FFFFFF"/>
        </w:rPr>
        <w:t xml:space="preserve"> </w:t>
      </w:r>
      <w:r w:rsidRPr="00F41AF2">
        <w:rPr>
          <w:rFonts w:ascii="Calibri" w:hAnsi="Calibri" w:eastAsia="Segoe UI" w:cs="Calibri"/>
          <w:color w:val="000000"/>
          <w:sz w:val="22"/>
          <w:szCs w:val="22"/>
          <w:shd w:val="clear" w:color="auto" w:fill="FFFFFF"/>
          <w:vertAlign w:val="superscript"/>
        </w:rPr>
        <w:footnoteReference w:id="27"/>
      </w:r>
      <w:r w:rsidRPr="00F41AF2">
        <w:rPr>
          <w:rFonts w:ascii="Calibri" w:hAnsi="Calibri" w:eastAsia="Segoe UI" w:cs="Calibri"/>
          <w:color w:val="000000"/>
          <w:sz w:val="22"/>
          <w:szCs w:val="22"/>
          <w:shd w:val="clear" w:color="auto" w:fill="FFFFFF"/>
        </w:rPr>
        <w:t xml:space="preserve"> </w:t>
      </w:r>
    </w:p>
    <w:p w:rsidRPr="00F41AF2" w:rsidR="00F41AF2" w:rsidP="00F41AF2" w:rsidRDefault="00F41AF2" w14:paraId="5477B4C3" w14:textId="5895EF80">
      <w:pPr>
        <w:spacing w:after="240" w:line="280" w:lineRule="atLeast"/>
        <w:jc w:val="both"/>
        <w:rPr>
          <w:rFonts w:ascii="Segoe UI" w:hAnsi="Segoe UI" w:eastAsia="Segoe UI"/>
          <w:sz w:val="20"/>
          <w:szCs w:val="20"/>
        </w:rPr>
      </w:pPr>
      <w:r w:rsidRPr="00F41AF2">
        <w:rPr>
          <w:rFonts w:ascii="Segoe UI" w:hAnsi="Segoe UI" w:eastAsia="Segoe UI"/>
          <w:sz w:val="20"/>
          <w:szCs w:val="20"/>
        </w:rPr>
        <w:t>The OCPP also works to increase awareness of issues of sustainable marine management at the community-level through engagement in knowledge sharing and community action events. For example, education and outreach events could be with fisherfolk within coastal communities on abandoned, lost or discarded fishing gear (ALDFG) to understand what fisherfolk believe will be the most successful in reducing the drivers on marine pollution (Ghana). The pathway aims to ensure relevant data and evidence are available to inform policy change and also behaviour change. The CLiP programme produced numerous locally generated scientific papers that led to local scientists gaining international exposure, which influenced local governments to recognise scientific evidence to inform policy change. The programme also resulted in the behaviour change of local communities through the programme’s knowledge exchange efforts.</w:t>
      </w:r>
      <w:r w:rsidRPr="00F41AF2">
        <w:rPr>
          <w:rFonts w:ascii="Calibri" w:hAnsi="Calibri" w:eastAsia="Segoe UI" w:cs="Calibri"/>
          <w:color w:val="000000"/>
          <w:sz w:val="22"/>
          <w:szCs w:val="22"/>
          <w:shd w:val="clear" w:color="auto" w:fill="FFFFFF"/>
          <w:vertAlign w:val="superscript"/>
        </w:rPr>
        <w:footnoteReference w:id="28"/>
      </w:r>
      <w:r w:rsidRPr="00F41AF2">
        <w:rPr>
          <w:rFonts w:ascii="Segoe UI" w:hAnsi="Segoe UI" w:eastAsia="Segoe UI"/>
          <w:sz w:val="20"/>
          <w:szCs w:val="20"/>
        </w:rPr>
        <w:t xml:space="preserve">  The OCPP has so far published 23 scientific papers or reports as a result of support delivered in OCPP partner countries. The OCPP’s support of GOAP specifically targets the co-creation of knowledge products that support the development of globally accepted and standardised ocean accounting practices. The programme has supported the publication of international analysis and reporting on </w:t>
      </w:r>
      <w:r w:rsidRPr="00F41AF2" w:rsidR="001F2B79">
        <w:rPr>
          <w:rFonts w:ascii="Segoe UI" w:hAnsi="Segoe UI" w:eastAsia="Segoe UI"/>
          <w:sz w:val="20"/>
          <w:szCs w:val="20"/>
        </w:rPr>
        <w:t>state-of-the-art</w:t>
      </w:r>
      <w:r w:rsidRPr="00F41AF2">
        <w:rPr>
          <w:rFonts w:ascii="Segoe UI" w:hAnsi="Segoe UI" w:eastAsia="Segoe UI"/>
          <w:sz w:val="20"/>
          <w:szCs w:val="20"/>
        </w:rPr>
        <w:t xml:space="preserve"> ocean accounting for:</w:t>
      </w:r>
    </w:p>
    <w:p w:rsidRPr="00F41AF2" w:rsidR="00F41AF2" w:rsidP="00F41AF2" w:rsidRDefault="00F41AF2" w14:paraId="0F5E9088" w14:textId="77777777">
      <w:pPr>
        <w:spacing w:line="280" w:lineRule="atLeast"/>
        <w:ind w:left="142" w:right="170" w:hanging="142"/>
        <w:contextualSpacing/>
        <w:rPr>
          <w:rFonts w:ascii="Segoe UI" w:hAnsi="Segoe UI" w:eastAsia="Segoe UI"/>
          <w:sz w:val="20"/>
          <w:szCs w:val="20"/>
        </w:rPr>
      </w:pPr>
      <w:r w:rsidRPr="00F41AF2">
        <w:rPr>
          <w:rFonts w:ascii="Segoe UI" w:hAnsi="Segoe UI" w:eastAsia="Segoe UI"/>
          <w:sz w:val="20"/>
          <w:szCs w:val="20"/>
        </w:rPr>
        <w:t xml:space="preserve">Publication of revised guidance on ocean accounting for sustainable development </w:t>
      </w:r>
    </w:p>
    <w:p w:rsidRPr="00F41AF2" w:rsidR="00F41AF2" w:rsidP="00F41AF2" w:rsidRDefault="00F41AF2" w14:paraId="39DB7644" w14:textId="77777777">
      <w:pPr>
        <w:spacing w:line="280" w:lineRule="atLeast"/>
        <w:ind w:left="142" w:right="170" w:hanging="142"/>
        <w:contextualSpacing/>
        <w:rPr>
          <w:rFonts w:ascii="Segoe UI" w:hAnsi="Segoe UI" w:eastAsia="Segoe UI"/>
          <w:sz w:val="20"/>
          <w:szCs w:val="20"/>
        </w:rPr>
      </w:pPr>
      <w:r w:rsidRPr="00F41AF2">
        <w:rPr>
          <w:rFonts w:ascii="Segoe UI" w:hAnsi="Segoe UI" w:eastAsia="Segoe UI"/>
          <w:sz w:val="20"/>
          <w:szCs w:val="20"/>
        </w:rPr>
        <w:t>Creation of a global ocean asset data package for ocean accounts that will provide global access to existing datasets along with guidance on how to use them</w:t>
      </w:r>
    </w:p>
    <w:p w:rsidRPr="00F41AF2" w:rsidR="00F41AF2" w:rsidP="00F41AF2" w:rsidRDefault="00F41AF2" w14:paraId="3354E5C5" w14:textId="77777777">
      <w:pPr>
        <w:spacing w:line="280" w:lineRule="atLeast"/>
        <w:ind w:left="142" w:right="170" w:hanging="142"/>
        <w:contextualSpacing/>
        <w:rPr>
          <w:rFonts w:ascii="Segoe UI" w:hAnsi="Segoe UI" w:eastAsia="Segoe UI"/>
          <w:sz w:val="20"/>
          <w:szCs w:val="20"/>
        </w:rPr>
      </w:pPr>
      <w:r w:rsidRPr="00F41AF2">
        <w:rPr>
          <w:rFonts w:ascii="Segoe UI" w:hAnsi="Segoe UI" w:eastAsia="Segoe UI"/>
          <w:sz w:val="20"/>
          <w:szCs w:val="20"/>
        </w:rPr>
        <w:t xml:space="preserve">Publication of guidelines for BPF projects on ocean data and reporting </w:t>
      </w:r>
    </w:p>
    <w:p w:rsidRPr="00F41AF2" w:rsidR="00F41AF2" w:rsidP="00F41AF2" w:rsidRDefault="00F41AF2" w14:paraId="5AFF92F4" w14:textId="77777777">
      <w:pPr>
        <w:spacing w:line="280" w:lineRule="atLeast"/>
        <w:ind w:left="142" w:right="170" w:hanging="142"/>
        <w:contextualSpacing/>
        <w:rPr>
          <w:rFonts w:ascii="Segoe UI" w:hAnsi="Segoe UI" w:eastAsia="Segoe UI"/>
          <w:sz w:val="20"/>
          <w:szCs w:val="20"/>
        </w:rPr>
      </w:pPr>
      <w:r w:rsidRPr="00F41AF2">
        <w:rPr>
          <w:rFonts w:ascii="Segoe UI" w:hAnsi="Segoe UI" w:eastAsia="Segoe UI"/>
          <w:sz w:val="20"/>
          <w:szCs w:val="20"/>
        </w:rPr>
        <w:t>Technical issue papers that address unresolved methodological challenges concerning ocean accounting.</w:t>
      </w:r>
      <w:r w:rsidRPr="00F41AF2">
        <w:rPr>
          <w:rFonts w:ascii="Segoe UI" w:hAnsi="Segoe UI" w:eastAsia="Segoe UI"/>
          <w:sz w:val="20"/>
          <w:szCs w:val="20"/>
          <w:vertAlign w:val="superscript"/>
        </w:rPr>
        <w:footnoteReference w:id="29"/>
      </w:r>
    </w:p>
    <w:p w:rsidRPr="00F41AF2" w:rsidR="00F41AF2" w:rsidP="00F41AF2" w:rsidRDefault="00F41AF2" w14:paraId="19B5730F" w14:textId="77777777">
      <w:pPr>
        <w:spacing w:after="240" w:line="280" w:lineRule="atLeast"/>
        <w:jc w:val="both"/>
        <w:rPr>
          <w:rFonts w:ascii="Segoe UI" w:hAnsi="Segoe UI" w:eastAsia="Segoe UI"/>
          <w:sz w:val="20"/>
          <w:szCs w:val="20"/>
        </w:rPr>
      </w:pPr>
    </w:p>
    <w:p w:rsidRPr="00F41AF2" w:rsidR="00F41AF2" w:rsidP="00F41AF2" w:rsidRDefault="00F41AF2" w14:paraId="610BC6D0" w14:textId="77777777">
      <w:pPr>
        <w:spacing w:after="240" w:line="280" w:lineRule="atLeast"/>
        <w:rPr>
          <w:rFonts w:ascii="Calibri" w:hAnsi="Calibri" w:eastAsia="Segoe UI" w:cs="Calibri"/>
          <w:color w:val="000000"/>
          <w:sz w:val="22"/>
          <w:szCs w:val="22"/>
          <w:shd w:val="clear" w:color="auto" w:fill="FFFFFF"/>
        </w:rPr>
      </w:pPr>
      <w:r w:rsidRPr="00F41AF2">
        <w:rPr>
          <w:rFonts w:ascii="Segoe UI" w:hAnsi="Segoe UI" w:eastAsia="Segoe UI"/>
          <w:sz w:val="20"/>
          <w:szCs w:val="20"/>
        </w:rPr>
        <w:t>FOA’s model of convening and developing public-private-science partnerships to catalyse pilots is based on the success and results of its sister-funded programme, Global Plastic Action Partnership (GPAP). Since GPAP’s launch in 2018, it has secured a commitment by Indonesia to reduce 70% of mismanaged waste by 2025 and a commitment by Vietnam to reduce marine plastic waste by 75% by 2030, amongst others</w:t>
      </w:r>
      <w:r w:rsidRPr="00F41AF2">
        <w:rPr>
          <w:rFonts w:ascii="Calibri" w:hAnsi="Calibri" w:eastAsia="Segoe UI" w:cs="Calibri"/>
          <w:color w:val="000000"/>
          <w:sz w:val="22"/>
          <w:szCs w:val="22"/>
        </w:rPr>
        <w:t>.</w:t>
      </w:r>
      <w:r w:rsidRPr="00F41AF2">
        <w:rPr>
          <w:rFonts w:ascii="Calibri" w:hAnsi="Calibri" w:eastAsia="Segoe UI" w:cs="Calibri"/>
          <w:color w:val="000000"/>
          <w:sz w:val="22"/>
          <w:szCs w:val="22"/>
          <w:shd w:val="clear" w:color="auto" w:fill="FFFFFF"/>
          <w:vertAlign w:val="superscript"/>
        </w:rPr>
        <w:footnoteReference w:id="30"/>
      </w:r>
      <w:r w:rsidRPr="00F41AF2">
        <w:rPr>
          <w:rFonts w:ascii="Calibri" w:hAnsi="Calibri" w:eastAsia="Segoe UI" w:cs="Calibri"/>
          <w:color w:val="000000"/>
          <w:sz w:val="22"/>
          <w:szCs w:val="22"/>
        </w:rPr>
        <w:t xml:space="preserve"> </w:t>
      </w:r>
    </w:p>
    <w:p w:rsidRPr="00F41AF2" w:rsidR="00F41AF2" w:rsidP="00F41AF2" w:rsidRDefault="00F41AF2" w14:paraId="1BD6F487" w14:textId="77777777">
      <w:pPr>
        <w:spacing w:after="240" w:line="280" w:lineRule="atLeast"/>
        <w:rPr>
          <w:rFonts w:ascii="Segoe UI" w:hAnsi="Segoe UI" w:eastAsia="Segoe UI"/>
          <w:sz w:val="20"/>
          <w:szCs w:val="20"/>
        </w:rPr>
      </w:pPr>
      <w:r w:rsidRPr="00F41AF2">
        <w:rPr>
          <w:rFonts w:ascii="Segoe UI" w:hAnsi="Segoe UI" w:eastAsia="Segoe UI"/>
          <w:sz w:val="20"/>
          <w:szCs w:val="20"/>
        </w:rPr>
        <w:t>Similarly, GOAP’s ability to generate evidence and facilitate pilots in ocean accounting has resulted in positive country feedback from Indonesia, which highlights how initial work in ocean accounting has facilitated coordination and inter-ministry approaches to manage the marine environment.</w:t>
      </w:r>
      <w:r w:rsidRPr="00F41AF2">
        <w:rPr>
          <w:rFonts w:ascii="Segoe UI" w:hAnsi="Segoe UI" w:eastAsia="Segoe UI"/>
          <w:sz w:val="20"/>
          <w:szCs w:val="20"/>
          <w:vertAlign w:val="superscript"/>
        </w:rPr>
        <w:footnoteReference w:id="31"/>
      </w:r>
    </w:p>
    <w:p w:rsidRPr="00F41AF2" w:rsidR="00F41AF2" w:rsidP="00F41AF2" w:rsidRDefault="00F41AF2" w14:paraId="206FA627" w14:textId="77777777">
      <w:pPr>
        <w:keepNext/>
        <w:keepLines/>
        <w:numPr>
          <w:ilvl w:val="2"/>
          <w:numId w:val="0"/>
        </w:numPr>
        <w:suppressAutoHyphens/>
        <w:spacing w:before="180" w:line="280" w:lineRule="atLeast"/>
        <w:ind w:left="851" w:hanging="851"/>
        <w:outlineLvl w:val="2"/>
        <w:rPr>
          <w:rFonts w:ascii="Segoe UI" w:hAnsi="Segoe UI" w:eastAsia="MS Gothic" w:cs="Arial"/>
          <w:b/>
          <w:sz w:val="20"/>
        </w:rPr>
      </w:pPr>
      <w:bookmarkStart w:name="_Toc149463839" w:id="9"/>
      <w:r w:rsidRPr="00F41AF2">
        <w:rPr>
          <w:rFonts w:ascii="Segoe UI" w:hAnsi="Segoe UI" w:eastAsia="MS Gothic" w:cs="Arial"/>
          <w:b/>
          <w:sz w:val="20"/>
        </w:rPr>
        <w:t>Value chain and market access</w:t>
      </w:r>
      <w:bookmarkEnd w:id="9"/>
      <w:r w:rsidRPr="00F41AF2">
        <w:rPr>
          <w:rFonts w:ascii="Segoe UI" w:hAnsi="Segoe UI" w:eastAsia="MS Gothic" w:cs="Arial"/>
          <w:b/>
          <w:sz w:val="20"/>
        </w:rPr>
        <w:t xml:space="preserve"> </w:t>
      </w:r>
    </w:p>
    <w:p w:rsidRPr="00F41AF2" w:rsidR="00F41AF2" w:rsidP="00F41AF2" w:rsidRDefault="00F41AF2" w14:paraId="7645E81A" w14:textId="319EDE82">
      <w:pPr>
        <w:spacing w:after="240" w:line="280" w:lineRule="atLeast"/>
        <w:jc w:val="both"/>
        <w:rPr>
          <w:rFonts w:ascii="Calibri" w:hAnsi="Calibri" w:eastAsia="Calibri" w:cs="Calibri"/>
          <w:color w:val="3A3A3A"/>
          <w:sz w:val="22"/>
          <w:szCs w:val="22"/>
          <w:lang w:val="en-US"/>
        </w:rPr>
      </w:pPr>
      <w:r w:rsidRPr="00F41AF2">
        <w:rPr>
          <w:rFonts w:ascii="Segoe UI" w:hAnsi="Segoe UI" w:eastAsia="Segoe UI"/>
          <w:noProof/>
          <w:sz w:val="20"/>
          <w:szCs w:val="20"/>
        </w:rPr>
        <mc:AlternateContent>
          <mc:Choice Requires="wps">
            <w:drawing>
              <wp:anchor distT="0" distB="0" distL="114300" distR="114300" simplePos="0" relativeHeight="251658244" behindDoc="0" locked="0" layoutInCell="1" allowOverlap="1" wp14:anchorId="1C9A7E15" wp14:editId="146CEBCD">
                <wp:simplePos x="0" y="0"/>
                <wp:positionH relativeFrom="column">
                  <wp:posOffset>3660775</wp:posOffset>
                </wp:positionH>
                <wp:positionV relativeFrom="paragraph">
                  <wp:posOffset>85090</wp:posOffset>
                </wp:positionV>
                <wp:extent cx="2391410" cy="2027555"/>
                <wp:effectExtent l="13335" t="6350" r="5080" b="13970"/>
                <wp:wrapSquare wrapText="bothSides"/>
                <wp:docPr id="102040648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2027555"/>
                        </a:xfrm>
                        <a:prstGeom prst="rect">
                          <a:avLst/>
                        </a:prstGeom>
                        <a:solidFill>
                          <a:srgbClr val="FFFFFF"/>
                        </a:solidFill>
                        <a:ln w="6350">
                          <a:solidFill>
                            <a:srgbClr val="000000"/>
                          </a:solidFill>
                          <a:miter lim="800000"/>
                          <a:headEnd/>
                          <a:tailEnd/>
                        </a:ln>
                      </wps:spPr>
                      <wps:txbx>
                        <w:txbxContent>
                          <w:p w:rsidRPr="00F237FB" w:rsidR="00F41AF2" w:rsidP="00F41AF2" w:rsidRDefault="00F41AF2" w14:paraId="547F0182" w14:textId="77777777">
                            <w:pPr>
                              <w:jc w:val="center"/>
                              <w:rPr>
                                <w:b/>
                                <w:bCs/>
                              </w:rPr>
                            </w:pPr>
                            <w:r>
                              <w:rPr>
                                <w:b/>
                                <w:bCs/>
                              </w:rPr>
                              <w:t xml:space="preserve">Value chain and market access examples </w:t>
                            </w:r>
                            <w:r w:rsidRPr="00466517">
                              <w:rPr>
                                <w:b/>
                                <w:bCs/>
                              </w:rPr>
                              <w:t>across themes</w:t>
                            </w:r>
                          </w:p>
                          <w:p w:rsidR="00F41AF2" w:rsidP="00F41AF2" w:rsidRDefault="00F41AF2" w14:paraId="2769BBA9" w14:textId="77777777">
                            <w:r w:rsidRPr="00466517">
                              <w:rPr>
                                <w:b/>
                                <w:bCs/>
                              </w:rPr>
                              <w:t xml:space="preserve">Marine pollution: </w:t>
                            </w:r>
                            <w:r>
                              <w:t>NA</w:t>
                            </w:r>
                          </w:p>
                          <w:p w:rsidR="00F41AF2" w:rsidP="00F41AF2" w:rsidRDefault="00F41AF2" w14:paraId="1E50F74C" w14:textId="77777777">
                            <w:r w:rsidRPr="00466517">
                              <w:rPr>
                                <w:b/>
                                <w:bCs/>
                              </w:rPr>
                              <w:t>Biodiversity:</w:t>
                            </w:r>
                            <w:r>
                              <w:rPr>
                                <w:b/>
                                <w:bCs/>
                              </w:rPr>
                              <w:t xml:space="preserve"> </w:t>
                            </w:r>
                            <w:r>
                              <w:t>NA</w:t>
                            </w:r>
                          </w:p>
                          <w:p w:rsidR="00F41AF2" w:rsidP="00F41AF2" w:rsidRDefault="00F41AF2" w14:paraId="232BDB3A" w14:textId="77777777">
                            <w:r w:rsidRPr="00466517">
                              <w:rPr>
                                <w:b/>
                                <w:bCs/>
                              </w:rPr>
                              <w:t>Sustainable seafood:</w:t>
                            </w:r>
                            <w:r>
                              <w:t xml:space="preserve"> Development of seaweed cultivation; solutions for maximising seafood by-product use; Global Sustainable Aquaculture roadmap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EE331E7">
              <v:shape id="Text Box 11" style="position:absolute;left:0;text-align:left;margin-left:288.25pt;margin-top:6.7pt;width:188.3pt;height:159.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" w14:anchorId="1C9A7E15">
                <v:textbox>
                  <w:txbxContent>
                    <w:p w:rsidRPr="00F237FB" w:rsidR="00F41AF2" w:rsidP="00F41AF2" w:rsidRDefault="00F41AF2" w14:paraId="1072C381" w14:textId="77777777">
                      <w:pPr>
                        <w:jc w:val="center"/>
                        <w:rPr>
                          <w:b/>
                          <w:bCs/>
                        </w:rPr>
                      </w:pPr>
                      <w:r>
                        <w:rPr>
                          <w:b/>
                          <w:bCs/>
                        </w:rPr>
                        <w:t xml:space="preserve">Value chain and market access examples </w:t>
                      </w:r>
                      <w:r w:rsidRPr="00466517">
                        <w:rPr>
                          <w:b/>
                          <w:bCs/>
                        </w:rPr>
                        <w:t>across themes</w:t>
                      </w:r>
                    </w:p>
                    <w:p w:rsidR="00F41AF2" w:rsidP="00F41AF2" w:rsidRDefault="00F41AF2" w14:paraId="5059E099" w14:textId="77777777">
                      <w:r w:rsidRPr="00466517">
                        <w:rPr>
                          <w:b/>
                          <w:bCs/>
                        </w:rPr>
                        <w:t xml:space="preserve">Marine pollution: </w:t>
                      </w:r>
                      <w:r>
                        <w:t>NA</w:t>
                      </w:r>
                    </w:p>
                    <w:p w:rsidR="00F41AF2" w:rsidP="00F41AF2" w:rsidRDefault="00F41AF2" w14:paraId="637EEAC1" w14:textId="77777777">
                      <w:r w:rsidRPr="00466517">
                        <w:rPr>
                          <w:b/>
                          <w:bCs/>
                        </w:rPr>
                        <w:t>Biodiversity:</w:t>
                      </w:r>
                      <w:r>
                        <w:rPr>
                          <w:b/>
                          <w:bCs/>
                        </w:rPr>
                        <w:t xml:space="preserve"> </w:t>
                      </w:r>
                      <w:r>
                        <w:t>NA</w:t>
                      </w:r>
                    </w:p>
                    <w:p w:rsidR="00F41AF2" w:rsidP="00F41AF2" w:rsidRDefault="00F41AF2" w14:paraId="4C65323A" w14:textId="77777777">
                      <w:r w:rsidRPr="00466517">
                        <w:rPr>
                          <w:b/>
                          <w:bCs/>
                        </w:rPr>
                        <w:t>Sustainable seafood:</w:t>
                      </w:r>
                      <w:r>
                        <w:t xml:space="preserve"> Development of seaweed cultivation; solutions for maximising seafood by-product use; Global Sustainable Aquaculture roadmap </w:t>
                      </w:r>
                    </w:p>
                  </w:txbxContent>
                </v:textbox>
                <w10:wrap type="square"/>
              </v:shape>
            </w:pict>
          </mc:Fallback>
        </mc:AlternateContent>
      </w:r>
      <w:r w:rsidRPr="00F41AF2">
        <w:rPr>
          <w:rFonts w:ascii="Segoe UI" w:hAnsi="Segoe UI" w:eastAsia="Segoe UI"/>
          <w:sz w:val="20"/>
          <w:szCs w:val="20"/>
        </w:rPr>
        <w:t xml:space="preserve">This pathway develops relationship and innovative pilots to test for sustainable and equitable ocean management through GOAP and FOA. </w:t>
      </w:r>
    </w:p>
    <w:p w:rsidRPr="00F41AF2" w:rsidR="00F41AF2" w:rsidP="00F41AF2" w:rsidRDefault="00F41AF2" w14:paraId="72E627A7" w14:textId="77777777">
      <w:pPr>
        <w:spacing w:after="240" w:line="280" w:lineRule="atLeast"/>
        <w:jc w:val="both"/>
        <w:rPr>
          <w:rFonts w:ascii="Segoe UI" w:hAnsi="Segoe UI" w:eastAsia="Segoe UI"/>
          <w:sz w:val="20"/>
          <w:szCs w:val="20"/>
        </w:rPr>
      </w:pPr>
      <w:r w:rsidRPr="00F41AF2">
        <w:rPr>
          <w:rFonts w:ascii="Segoe UI" w:hAnsi="Segoe UI" w:eastAsia="Segoe UI"/>
          <w:sz w:val="20"/>
          <w:szCs w:val="20"/>
        </w:rPr>
        <w:t>Market demand is a key driver of change within the seafood sector and companies that demand sustainable</w:t>
      </w:r>
      <w:r w:rsidRPr="00F41AF2">
        <w:rPr>
          <w:rFonts w:ascii="Calibri" w:hAnsi="Calibri" w:eastAsia="Calibri" w:cs="Calibri"/>
          <w:color w:val="3A3A3A"/>
          <w:sz w:val="22"/>
          <w:szCs w:val="22"/>
          <w:vertAlign w:val="superscript"/>
          <w:lang w:val="en-US"/>
        </w:rPr>
        <w:footnoteReference w:id="32"/>
      </w:r>
      <w:r w:rsidRPr="00F41AF2">
        <w:rPr>
          <w:rFonts w:ascii="Calibri" w:hAnsi="Calibri" w:eastAsia="Calibri" w:cs="Calibri"/>
          <w:color w:val="3A3A3A"/>
          <w:sz w:val="22"/>
          <w:szCs w:val="22"/>
          <w:lang w:val="en-US"/>
        </w:rPr>
        <w:t xml:space="preserve"> </w:t>
      </w:r>
      <w:r w:rsidRPr="00F41AF2">
        <w:rPr>
          <w:rFonts w:ascii="Segoe UI" w:hAnsi="Segoe UI" w:eastAsia="Segoe UI"/>
          <w:sz w:val="20"/>
          <w:szCs w:val="20"/>
        </w:rPr>
        <w:t>value chains can have a significant impact on the health of the world’s oceans, while protecting of millions of livelihoods, fostering the development of more sustainable capture fisheries and CBD-compliant aquaculture by encouraging better fisheries governance and adopting good fishing and fish-farming practices</w:t>
      </w:r>
      <w:r w:rsidRPr="00F41AF2">
        <w:rPr>
          <w:rFonts w:ascii="Segoe UI" w:hAnsi="Segoe UI" w:eastAsia="Segoe UI"/>
          <w:sz w:val="16"/>
          <w:szCs w:val="16"/>
          <w:vertAlign w:val="superscript"/>
          <w:lang w:val="en-US"/>
        </w:rPr>
        <w:footnoteReference w:id="33"/>
      </w:r>
      <w:r w:rsidRPr="00F41AF2">
        <w:rPr>
          <w:rFonts w:ascii="Calibri" w:hAnsi="Calibri" w:eastAsia="Calibri" w:cs="Calibri"/>
          <w:color w:val="3A3A3A"/>
          <w:sz w:val="22"/>
          <w:szCs w:val="22"/>
          <w:lang w:val="en-US"/>
        </w:rPr>
        <w:t>.</w:t>
      </w:r>
      <w:r w:rsidRPr="00F41AF2">
        <w:rPr>
          <w:rFonts w:ascii="Segoe UI" w:hAnsi="Segoe UI" w:eastAsia="Segoe UI"/>
          <w:sz w:val="20"/>
          <w:szCs w:val="20"/>
        </w:rPr>
        <w:t xml:space="preserve"> While there are many flaws in today’s sustainable seafood value chains</w:t>
      </w:r>
      <w:r w:rsidRPr="00F41AF2">
        <w:rPr>
          <w:rFonts w:ascii="Calibri" w:hAnsi="Calibri" w:eastAsia="Calibri" w:cs="Calibri"/>
          <w:color w:val="3A3A3A"/>
          <w:sz w:val="22"/>
          <w:szCs w:val="22"/>
          <w:vertAlign w:val="superscript"/>
          <w:lang w:val="en-US"/>
        </w:rPr>
        <w:footnoteReference w:id="34"/>
      </w:r>
      <w:r w:rsidRPr="00F41AF2">
        <w:rPr>
          <w:rFonts w:ascii="Calibri" w:hAnsi="Calibri" w:eastAsia="Calibri" w:cs="Calibri"/>
          <w:color w:val="3A3A3A"/>
          <w:sz w:val="22"/>
          <w:szCs w:val="22"/>
          <w:lang w:val="en-US"/>
        </w:rPr>
        <w:t xml:space="preserve">, </w:t>
      </w:r>
      <w:r w:rsidRPr="00F41AF2">
        <w:rPr>
          <w:rFonts w:ascii="Segoe UI" w:hAnsi="Segoe UI" w:eastAsia="Segoe UI"/>
          <w:sz w:val="20"/>
          <w:szCs w:val="20"/>
        </w:rPr>
        <w:t>those companies that are engaged to produce, process and/or retail marine commodities are committed to sustainability metrics and human wellbeing are those that hold the key to build successful businesses that help reduce some of the intrinsic risks to seafood production and supply.</w:t>
      </w:r>
    </w:p>
    <w:p w:rsidRPr="00F41AF2" w:rsidR="00F41AF2" w:rsidP="00F41AF2" w:rsidRDefault="00F41AF2" w14:paraId="028C1567" w14:textId="77777777">
      <w:pPr>
        <w:spacing w:after="240" w:line="280" w:lineRule="atLeast"/>
        <w:jc w:val="both"/>
        <w:rPr>
          <w:rFonts w:ascii="Segoe UI" w:hAnsi="Segoe UI" w:eastAsia="Segoe UI"/>
          <w:sz w:val="20"/>
          <w:szCs w:val="20"/>
        </w:rPr>
      </w:pPr>
      <w:r w:rsidRPr="00F41AF2">
        <w:rPr>
          <w:rFonts w:ascii="Segoe UI" w:hAnsi="Segoe UI" w:eastAsia="Segoe UI"/>
          <w:sz w:val="20"/>
          <w:szCs w:val="20"/>
        </w:rPr>
        <w:t>OCPP supports four FOA projects to develop impactful solutions that address some of the most pressing concerns of ocean sustainability, ranging from the full utilization of fish to make progress on reducing global seafood waste, supporting the increasing role of aquaculture to meet seafood demand, developing tools and partnerships to combat IUU fishing, and supporting developing countries in their ocean related post COVID-19 economic recovery plans. Reducing seafood loss and waste is critical to addressing nutrition and food security for a growing population within planetary boundaries.</w:t>
      </w:r>
      <w:r w:rsidRPr="00F41AF2">
        <w:rPr>
          <w:rFonts w:ascii="Segoe UI" w:hAnsi="Segoe UI" w:eastAsia="Segoe UI"/>
          <w:sz w:val="20"/>
          <w:szCs w:val="20"/>
          <w:vertAlign w:val="superscript"/>
        </w:rPr>
        <w:footnoteReference w:id="35"/>
      </w:r>
      <w:r w:rsidRPr="00F41AF2">
        <w:rPr>
          <w:rFonts w:ascii="Segoe UI" w:hAnsi="Segoe UI" w:eastAsia="Segoe UI"/>
          <w:sz w:val="20"/>
          <w:szCs w:val="20"/>
        </w:rPr>
        <w:t xml:space="preserve"> FOA’s Seafood Loss and Waste project is being piloted in Namibia and addresses the ethical imperative to use the whole fish, or 100% of seafood. This project has had an initial focus on seafood loss in Namibian hake fisheries and explores how to ensure that the value of seafood by-products, such as scales, frames, heads, and viscera, is efficiently and effectively captured and repurposed in economically viable and market-appropriate ways. </w:t>
      </w:r>
    </w:p>
    <w:p w:rsidRPr="00F41AF2" w:rsidR="00F41AF2" w:rsidP="00F41AF2" w:rsidRDefault="00F41AF2" w14:paraId="531DBAE7" w14:textId="4B5CB922">
      <w:pPr>
        <w:spacing w:after="240" w:line="280" w:lineRule="atLeast"/>
        <w:jc w:val="both"/>
        <w:rPr>
          <w:rFonts w:ascii="Segoe UI" w:hAnsi="Segoe UI" w:eastAsia="Segoe UI"/>
          <w:sz w:val="20"/>
          <w:szCs w:val="20"/>
        </w:rPr>
      </w:pPr>
      <w:r w:rsidRPr="00F41AF2">
        <w:rPr>
          <w:rFonts w:ascii="Segoe UI" w:hAnsi="Segoe UI" w:eastAsia="Segoe UI"/>
          <w:sz w:val="20"/>
          <w:szCs w:val="20"/>
        </w:rPr>
        <w:t xml:space="preserve">The evidence to support FOA’s projects is founded on FOA’s </w:t>
      </w:r>
      <w:r w:rsidRPr="00F41AF2" w:rsidR="001F2B79">
        <w:rPr>
          <w:rFonts w:ascii="Segoe UI" w:hAnsi="Segoe UI" w:eastAsia="Segoe UI"/>
          <w:sz w:val="20"/>
          <w:szCs w:val="20"/>
        </w:rPr>
        <w:t>previously evidenced</w:t>
      </w:r>
      <w:r w:rsidRPr="00F41AF2">
        <w:rPr>
          <w:rFonts w:ascii="Segoe UI" w:hAnsi="Segoe UI" w:eastAsia="Segoe UI"/>
          <w:sz w:val="20"/>
          <w:szCs w:val="20"/>
        </w:rPr>
        <w:t xml:space="preserve"> work. </w:t>
      </w:r>
      <w:r w:rsidRPr="00F41AF2">
        <w:rPr>
          <w:rFonts w:ascii="Segoe UI" w:hAnsi="Segoe UI" w:eastAsia="Segoe UI" w:cs="Segoe UI"/>
          <w:sz w:val="20"/>
          <w:szCs w:val="20"/>
        </w:rPr>
        <w:t>FOA championed the WEF’s Tuna 2020 Traceability Declaration, which mandates that by 2020 all tuna products should be fully traceable and come from socially and environmentally responsible sources. Through the launch of the Global Tuna Alliance (GTA) (a FOA initiative), FOA secured commitment to the declaration from key international supermarket and retailer brands including Tesco, Waitrose, Sainsburys, Asda, M&amp;S, Harrods and many others.</w:t>
      </w:r>
    </w:p>
    <w:p w:rsidRPr="00F41AF2" w:rsidR="00F41AF2" w:rsidP="00F41AF2" w:rsidRDefault="00F41AF2" w14:paraId="36980963" w14:textId="77777777">
      <w:pPr>
        <w:spacing w:after="240" w:line="280" w:lineRule="atLeast"/>
        <w:jc w:val="both"/>
        <w:rPr>
          <w:rFonts w:ascii="Segoe UI" w:hAnsi="Segoe UI" w:eastAsia="Segoe UI"/>
          <w:sz w:val="20"/>
          <w:szCs w:val="20"/>
        </w:rPr>
      </w:pPr>
      <w:r w:rsidRPr="00F41AF2">
        <w:rPr>
          <w:rFonts w:ascii="Segoe UI" w:hAnsi="Segoe UI" w:eastAsia="Segoe UI"/>
          <w:sz w:val="20"/>
          <w:szCs w:val="20"/>
        </w:rPr>
        <w:t xml:space="preserve">At the heart of this conceptual approach is the need to develop a Sustainable Seafood Policy (SSP) for seafood buyers, retailers, processors and fisherfolk to embark on an incremental process that leads to more responsible fishing economies. Integrating women and marginalised groups into the decision-making processes of the marine environment, particularly in sustainable aquaculture, enabling equal rights, responsibilities, and opportunities to marine resources as well as promoting safe workplaces especially in the seafood industry is paramount. </w:t>
      </w:r>
      <w:r w:rsidRPr="00F41AF2">
        <w:rPr>
          <w:rFonts w:ascii="Calibri" w:hAnsi="Calibri" w:eastAsia="Calibri" w:cs="Calibri"/>
          <w:color w:val="3A3A3A"/>
          <w:sz w:val="22"/>
          <w:szCs w:val="22"/>
          <w:lang w:val="en-US"/>
        </w:rPr>
        <w:t xml:space="preserve"> </w:t>
      </w:r>
      <w:r w:rsidRPr="00F41AF2">
        <w:rPr>
          <w:rFonts w:ascii="Segoe UI" w:hAnsi="Segoe UI" w:eastAsia="Segoe UI"/>
          <w:sz w:val="20"/>
          <w:szCs w:val="20"/>
        </w:rPr>
        <w:t>It requires engaging the private sector, women and other marginalised groups and market actors to develop market linkages for ‘producing certifiable sustainable seafood value chains</w:t>
      </w:r>
      <w:r w:rsidRPr="00F41AF2">
        <w:rPr>
          <w:rFonts w:ascii="Segoe UI" w:hAnsi="Segoe UI" w:eastAsia="Segoe UI"/>
          <w:sz w:val="20"/>
          <w:szCs w:val="20"/>
          <w:vertAlign w:val="superscript"/>
        </w:rPr>
        <w:footnoteReference w:id="36"/>
      </w:r>
      <w:r w:rsidRPr="00F41AF2">
        <w:rPr>
          <w:rFonts w:ascii="Segoe UI" w:hAnsi="Segoe UI" w:eastAsia="Segoe UI"/>
          <w:sz w:val="20"/>
          <w:szCs w:val="20"/>
        </w:rPr>
        <w:t xml:space="preserve">. </w:t>
      </w:r>
    </w:p>
    <w:p w:rsidRPr="00F41AF2" w:rsidR="00F41AF2" w:rsidP="00F41AF2" w:rsidRDefault="00F41AF2" w14:paraId="01ACE0CD" w14:textId="77777777">
      <w:pPr>
        <w:keepNext/>
        <w:keepLines/>
        <w:suppressAutoHyphens/>
        <w:spacing w:before="480" w:after="240" w:line="360" w:lineRule="atLeast"/>
        <w:ind w:left="851" w:hanging="851"/>
        <w:jc w:val="both"/>
        <w:outlineLvl w:val="0"/>
        <w:rPr>
          <w:rFonts w:ascii="Segoe UI" w:hAnsi="Segoe UI" w:eastAsia="MS Gothic" w:cs="Arial"/>
          <w:b/>
          <w:sz w:val="28"/>
          <w:szCs w:val="32"/>
        </w:rPr>
      </w:pPr>
      <w:bookmarkStart w:name="_Toc149463840" w:id="10"/>
      <w:r w:rsidRPr="00F41AF2">
        <w:rPr>
          <w:rFonts w:ascii="Segoe UI" w:hAnsi="Segoe UI" w:eastAsia="MS Gothic" w:cs="Arial"/>
          <w:b/>
          <w:sz w:val="28"/>
          <w:szCs w:val="32"/>
        </w:rPr>
        <w:t>Assumptions and Risks</w:t>
      </w:r>
      <w:bookmarkEnd w:id="10"/>
    </w:p>
    <w:p w:rsidRPr="00F41AF2" w:rsidR="00F41AF2" w:rsidP="00F41AF2" w:rsidRDefault="00F41AF2" w14:paraId="6038D709" w14:textId="77777777">
      <w:pPr>
        <w:spacing w:after="240" w:line="280" w:lineRule="atLeast"/>
        <w:jc w:val="both"/>
        <w:rPr>
          <w:rFonts w:ascii="Segoe UI" w:hAnsi="Segoe UI" w:eastAsia="Segoe UI"/>
          <w:sz w:val="20"/>
          <w:szCs w:val="20"/>
        </w:rPr>
      </w:pPr>
      <w:r w:rsidRPr="00F41AF2">
        <w:rPr>
          <w:rFonts w:ascii="Segoe UI" w:hAnsi="Segoe UI" w:eastAsia="Segoe UI"/>
          <w:sz w:val="20"/>
          <w:szCs w:val="20"/>
        </w:rPr>
        <w:t>There are some critical assumptions that must hold for the envisaged changes in these five pathways to be realised in practice. The below assumptions cover the cross-cutting elements of GESI, VfM, and the integration of GOAP/FOA.</w:t>
      </w:r>
    </w:p>
    <w:p w:rsidRPr="00F41AF2" w:rsidR="00F41AF2" w:rsidP="00F41AF2" w:rsidRDefault="00F41AF2" w14:paraId="7F9E67CF" w14:textId="77777777">
      <w:pPr>
        <w:spacing w:after="240" w:line="280" w:lineRule="atLeast"/>
        <w:jc w:val="both"/>
        <w:rPr>
          <w:rFonts w:ascii="Segoe UI" w:hAnsi="Segoe UI" w:eastAsia="Segoe UI"/>
          <w:sz w:val="20"/>
          <w:szCs w:val="20"/>
          <w:u w:val="single"/>
        </w:rPr>
      </w:pPr>
      <w:r w:rsidRPr="00F41AF2">
        <w:rPr>
          <w:rFonts w:ascii="Segoe UI" w:hAnsi="Segoe UI" w:eastAsia="Segoe UI"/>
          <w:sz w:val="20"/>
          <w:szCs w:val="20"/>
          <w:u w:val="single"/>
        </w:rPr>
        <w:t>Activities to Outputs</w:t>
      </w:r>
    </w:p>
    <w:p w:rsidRPr="00F41AF2" w:rsidR="00F41AF2" w:rsidP="00F41AF2" w:rsidRDefault="00F41AF2" w14:paraId="7B01647C" w14:textId="77777777">
      <w:pPr>
        <w:spacing w:line="280" w:lineRule="atLeast"/>
        <w:ind w:left="142" w:right="170" w:hanging="142"/>
        <w:contextualSpacing/>
        <w:jc w:val="both"/>
        <w:rPr>
          <w:rFonts w:ascii="Segoe UI" w:hAnsi="Segoe UI" w:eastAsia="Segoe UI"/>
          <w:sz w:val="20"/>
          <w:szCs w:val="20"/>
        </w:rPr>
      </w:pPr>
      <w:r w:rsidRPr="00F41AF2">
        <w:rPr>
          <w:rFonts w:ascii="Segoe UI" w:hAnsi="Segoe UI" w:eastAsia="Segoe UI"/>
          <w:sz w:val="20"/>
          <w:szCs w:val="20"/>
        </w:rPr>
        <w:t>Governments and stakeholders willing to engage OCPP and are committed to protecting the marine environment</w:t>
      </w:r>
    </w:p>
    <w:p w:rsidRPr="00F41AF2" w:rsidR="00F41AF2" w:rsidP="00F41AF2" w:rsidRDefault="00F41AF2" w14:paraId="7F78E5A6" w14:textId="77777777">
      <w:pPr>
        <w:spacing w:line="280" w:lineRule="atLeast"/>
        <w:ind w:left="142" w:right="170" w:hanging="142"/>
        <w:contextualSpacing/>
        <w:jc w:val="both"/>
        <w:rPr>
          <w:rFonts w:ascii="Segoe UI" w:hAnsi="Segoe UI" w:eastAsia="Segoe UI"/>
          <w:sz w:val="20"/>
          <w:szCs w:val="20"/>
        </w:rPr>
      </w:pPr>
      <w:r w:rsidRPr="00F41AF2">
        <w:rPr>
          <w:rFonts w:ascii="Segoe UI" w:hAnsi="Segoe UI" w:eastAsia="Segoe UI"/>
          <w:sz w:val="20"/>
          <w:szCs w:val="20"/>
        </w:rPr>
        <w:t>Delivery partners, UK Marine Science and policy community and the centres of excellence and stakeholders, have capacity to engage with the programme</w:t>
      </w:r>
    </w:p>
    <w:p w:rsidRPr="00F41AF2" w:rsidR="00F41AF2" w:rsidP="00F41AF2" w:rsidRDefault="00F41AF2" w14:paraId="5C0F1434" w14:textId="77777777">
      <w:pPr>
        <w:spacing w:line="280" w:lineRule="atLeast"/>
        <w:ind w:left="142" w:right="170" w:hanging="142"/>
        <w:contextualSpacing/>
        <w:jc w:val="both"/>
        <w:rPr>
          <w:rFonts w:ascii="Segoe UI" w:hAnsi="Segoe UI" w:eastAsia="Segoe UI"/>
          <w:sz w:val="20"/>
          <w:szCs w:val="20"/>
        </w:rPr>
      </w:pPr>
      <w:r w:rsidRPr="00F41AF2">
        <w:rPr>
          <w:rFonts w:ascii="Segoe UI" w:hAnsi="Segoe UI" w:eastAsia="Segoe UI"/>
          <w:sz w:val="20"/>
          <w:szCs w:val="20"/>
        </w:rPr>
        <w:t xml:space="preserve">Majority of required datasets are made available for composition of ocean accounts </w:t>
      </w:r>
    </w:p>
    <w:p w:rsidRPr="00F41AF2" w:rsidR="00F41AF2" w:rsidP="00F41AF2" w:rsidRDefault="00F41AF2" w14:paraId="4986F551" w14:textId="77777777">
      <w:pPr>
        <w:spacing w:line="280" w:lineRule="atLeast"/>
        <w:ind w:left="142" w:right="170" w:hanging="142"/>
        <w:contextualSpacing/>
        <w:jc w:val="both"/>
        <w:rPr>
          <w:rFonts w:ascii="Segoe UI" w:hAnsi="Segoe UI" w:eastAsia="Segoe UI"/>
          <w:sz w:val="20"/>
          <w:szCs w:val="20"/>
        </w:rPr>
      </w:pPr>
      <w:r w:rsidRPr="00F41AF2">
        <w:rPr>
          <w:rFonts w:ascii="Segoe UI" w:hAnsi="Segoe UI" w:eastAsia="Segoe UI"/>
          <w:sz w:val="20"/>
          <w:szCs w:val="20"/>
        </w:rPr>
        <w:t>Integrated coordination supports learning, adaptation and minimises duplication of work between Delivery Partners</w:t>
      </w:r>
    </w:p>
    <w:p w:rsidRPr="00F41AF2" w:rsidR="00F41AF2" w:rsidP="00F41AF2" w:rsidRDefault="00F41AF2" w14:paraId="597E09E1" w14:textId="77777777">
      <w:pPr>
        <w:spacing w:line="280" w:lineRule="atLeast"/>
        <w:ind w:left="142" w:right="170" w:hanging="142"/>
        <w:contextualSpacing/>
        <w:jc w:val="both"/>
        <w:rPr>
          <w:rFonts w:ascii="Segoe UI" w:hAnsi="Segoe UI" w:eastAsia="Segoe UI"/>
          <w:sz w:val="20"/>
          <w:szCs w:val="20"/>
        </w:rPr>
      </w:pPr>
    </w:p>
    <w:p w:rsidRPr="00F41AF2" w:rsidR="00F41AF2" w:rsidP="00F41AF2" w:rsidRDefault="00F41AF2" w14:paraId="534DD454" w14:textId="77777777">
      <w:pPr>
        <w:spacing w:line="280" w:lineRule="atLeast"/>
        <w:ind w:right="170"/>
        <w:contextualSpacing/>
        <w:jc w:val="both"/>
        <w:rPr>
          <w:rFonts w:ascii="Segoe UI" w:hAnsi="Segoe UI" w:eastAsia="Segoe UI"/>
          <w:sz w:val="20"/>
          <w:szCs w:val="20"/>
          <w:u w:val="single"/>
        </w:rPr>
      </w:pPr>
      <w:r w:rsidRPr="00F41AF2">
        <w:rPr>
          <w:rFonts w:ascii="Segoe UI" w:hAnsi="Segoe UI" w:eastAsia="Segoe UI"/>
          <w:sz w:val="20"/>
          <w:szCs w:val="20"/>
          <w:u w:val="single"/>
        </w:rPr>
        <w:t>Outputs to Intermediate Outcome</w:t>
      </w:r>
    </w:p>
    <w:p w:rsidRPr="00F41AF2" w:rsidR="00F41AF2" w:rsidP="00F41AF2" w:rsidRDefault="00F41AF2" w14:paraId="6BD78151" w14:textId="77777777">
      <w:pPr>
        <w:spacing w:line="280" w:lineRule="atLeast"/>
        <w:ind w:left="142" w:right="170" w:hanging="142"/>
        <w:contextualSpacing/>
        <w:jc w:val="both"/>
        <w:rPr>
          <w:rFonts w:ascii="Segoe UI" w:hAnsi="Segoe UI" w:eastAsia="Segoe UI"/>
          <w:sz w:val="20"/>
          <w:szCs w:val="20"/>
        </w:rPr>
      </w:pPr>
      <w:r w:rsidRPr="00F41AF2">
        <w:rPr>
          <w:rFonts w:ascii="Segoe UI" w:hAnsi="Segoe UI" w:eastAsia="Segoe UI"/>
          <w:sz w:val="20"/>
          <w:szCs w:val="20"/>
        </w:rPr>
        <w:t>Delivery of pathways and activities are effectively tailored to local contexts [FOA/GOAP: green; ALB: amber]</w:t>
      </w:r>
    </w:p>
    <w:p w:rsidRPr="00F41AF2" w:rsidR="00F41AF2" w:rsidP="00F41AF2" w:rsidRDefault="00F41AF2" w14:paraId="4588E25B" w14:textId="77777777">
      <w:pPr>
        <w:spacing w:line="280" w:lineRule="atLeast"/>
        <w:ind w:left="142" w:right="170" w:hanging="142"/>
        <w:contextualSpacing/>
        <w:jc w:val="both"/>
        <w:rPr>
          <w:rFonts w:ascii="Segoe UI" w:hAnsi="Segoe UI" w:eastAsia="Segoe UI"/>
          <w:sz w:val="20"/>
          <w:szCs w:val="20"/>
        </w:rPr>
      </w:pPr>
      <w:r w:rsidRPr="00F41AF2">
        <w:rPr>
          <w:rFonts w:ascii="Segoe UI" w:hAnsi="Segoe UI" w:eastAsia="Segoe UI"/>
          <w:sz w:val="20"/>
          <w:szCs w:val="20"/>
        </w:rPr>
        <w:t>Capacity, capability and evidence generated through the programme effectively translate into policy and management change [GOAP/FOA: green; ALB: amber]</w:t>
      </w:r>
    </w:p>
    <w:p w:rsidRPr="00F41AF2" w:rsidR="00F41AF2" w:rsidP="00F41AF2" w:rsidRDefault="00F41AF2" w14:paraId="2F60A67C" w14:textId="77777777">
      <w:pPr>
        <w:spacing w:line="280" w:lineRule="atLeast"/>
        <w:ind w:left="142" w:right="170" w:hanging="142"/>
        <w:contextualSpacing/>
        <w:jc w:val="both"/>
        <w:rPr>
          <w:rFonts w:ascii="Segoe UI" w:hAnsi="Segoe UI" w:eastAsia="Segoe UI"/>
          <w:sz w:val="20"/>
          <w:szCs w:val="20"/>
        </w:rPr>
      </w:pPr>
      <w:r w:rsidRPr="00F41AF2">
        <w:rPr>
          <w:rFonts w:ascii="Segoe UI" w:hAnsi="Segoe UI" w:eastAsia="Segoe UI"/>
          <w:sz w:val="20"/>
          <w:szCs w:val="20"/>
        </w:rPr>
        <w:t>Programme delivery adheres to Do No Harm principles, Safeguarding Principles and signed Frameworks [red for all]</w:t>
      </w:r>
    </w:p>
    <w:p w:rsidRPr="00F41AF2" w:rsidR="00F41AF2" w:rsidP="00F41AF2" w:rsidRDefault="00F41AF2" w14:paraId="29DFAC54" w14:textId="77777777">
      <w:pPr>
        <w:spacing w:line="280" w:lineRule="atLeast"/>
        <w:ind w:left="142" w:right="170" w:hanging="142"/>
        <w:contextualSpacing/>
        <w:jc w:val="both"/>
        <w:rPr>
          <w:rFonts w:ascii="Segoe UI" w:hAnsi="Segoe UI" w:eastAsia="Segoe UI"/>
          <w:sz w:val="20"/>
          <w:szCs w:val="20"/>
        </w:rPr>
      </w:pPr>
      <w:r w:rsidRPr="00F41AF2">
        <w:rPr>
          <w:rFonts w:ascii="Segoe UI" w:hAnsi="Segoe UI" w:eastAsia="Segoe UI"/>
          <w:sz w:val="20"/>
          <w:szCs w:val="20"/>
        </w:rPr>
        <w:t>HMG funding and priorities continue to support improvements in the marine environment and ocean economies [green]</w:t>
      </w:r>
    </w:p>
    <w:p w:rsidRPr="00F41AF2" w:rsidR="00F41AF2" w:rsidP="00F41AF2" w:rsidRDefault="00F41AF2" w14:paraId="04E2DEB9" w14:textId="77777777">
      <w:pPr>
        <w:spacing w:line="280" w:lineRule="atLeast"/>
        <w:ind w:left="142" w:right="170" w:hanging="142"/>
        <w:contextualSpacing/>
        <w:jc w:val="both"/>
        <w:rPr>
          <w:rFonts w:ascii="Segoe UI" w:hAnsi="Segoe UI" w:eastAsia="Segoe UI"/>
          <w:sz w:val="20"/>
          <w:szCs w:val="20"/>
        </w:rPr>
      </w:pPr>
      <w:r w:rsidRPr="00F41AF2">
        <w:rPr>
          <w:rFonts w:ascii="Segoe UI" w:hAnsi="Segoe UI" w:eastAsia="Segoe UI"/>
          <w:sz w:val="20"/>
          <w:szCs w:val="20"/>
        </w:rPr>
        <w:t>Assumptions are formulated adequately to ensure that they can help drive adaptive management principles that promote the systematic capture of lessons and related adjustments in the pathway toward achieving the OCPP’s objectives.  [amber]</w:t>
      </w:r>
    </w:p>
    <w:p w:rsidRPr="00F41AF2" w:rsidR="00F41AF2" w:rsidP="00F41AF2" w:rsidRDefault="00F41AF2" w14:paraId="0E870845" w14:textId="1F8B48FF">
      <w:pPr>
        <w:spacing w:line="280" w:lineRule="atLeast"/>
        <w:ind w:left="142" w:right="170" w:hanging="142"/>
        <w:contextualSpacing/>
        <w:jc w:val="both"/>
        <w:rPr>
          <w:rFonts w:ascii="Segoe UI" w:hAnsi="Segoe UI" w:eastAsia="Segoe UI"/>
          <w:sz w:val="20"/>
          <w:szCs w:val="20"/>
        </w:rPr>
      </w:pPr>
      <w:r w:rsidRPr="00F41AF2">
        <w:rPr>
          <w:rFonts w:ascii="Segoe UI" w:hAnsi="Segoe UI" w:eastAsia="Segoe UI"/>
          <w:sz w:val="20"/>
          <w:szCs w:val="20"/>
        </w:rPr>
        <w:t xml:space="preserve">All OCPP interventions are coherent with UK and partner country international agreements (e.g. CBD, ILO, CEDAW) to which all parties are </w:t>
      </w:r>
      <w:r w:rsidRPr="00F41AF2" w:rsidR="00A37B09">
        <w:rPr>
          <w:rFonts w:ascii="Segoe UI" w:hAnsi="Segoe UI" w:eastAsia="Segoe UI"/>
          <w:sz w:val="20"/>
          <w:szCs w:val="20"/>
        </w:rPr>
        <w:t>signatories’</w:t>
      </w:r>
      <w:r w:rsidRPr="00F41AF2">
        <w:rPr>
          <w:rFonts w:ascii="Segoe UI" w:hAnsi="Segoe UI" w:eastAsia="Segoe UI"/>
          <w:sz w:val="20"/>
          <w:szCs w:val="20"/>
        </w:rPr>
        <w:t xml:space="preserve"> policies [green]</w:t>
      </w:r>
    </w:p>
    <w:p w:rsidRPr="00F41AF2" w:rsidR="00F41AF2" w:rsidP="00F41AF2" w:rsidRDefault="00F41AF2" w14:paraId="6D550738" w14:textId="77777777">
      <w:pPr>
        <w:spacing w:line="280" w:lineRule="atLeast"/>
        <w:ind w:right="170"/>
        <w:contextualSpacing/>
        <w:jc w:val="both"/>
        <w:rPr>
          <w:rFonts w:ascii="Segoe UI" w:hAnsi="Segoe UI" w:eastAsia="Segoe UI"/>
          <w:sz w:val="20"/>
          <w:szCs w:val="20"/>
        </w:rPr>
      </w:pPr>
    </w:p>
    <w:p w:rsidRPr="00F41AF2" w:rsidR="00F41AF2" w:rsidP="00F41AF2" w:rsidRDefault="00F41AF2" w14:paraId="7202EC79" w14:textId="77777777">
      <w:pPr>
        <w:spacing w:line="280" w:lineRule="atLeast"/>
        <w:ind w:right="170"/>
        <w:contextualSpacing/>
        <w:jc w:val="both"/>
        <w:rPr>
          <w:rFonts w:ascii="Segoe UI" w:hAnsi="Segoe UI" w:eastAsia="Segoe UI"/>
          <w:sz w:val="20"/>
          <w:szCs w:val="20"/>
          <w:u w:val="single"/>
        </w:rPr>
      </w:pPr>
      <w:r w:rsidRPr="00F41AF2">
        <w:rPr>
          <w:rFonts w:ascii="Segoe UI" w:hAnsi="Segoe UI" w:eastAsia="Segoe UI"/>
          <w:sz w:val="20"/>
          <w:szCs w:val="20"/>
          <w:u w:val="single"/>
        </w:rPr>
        <w:t>Intermediate Outcomes to Outcomes</w:t>
      </w:r>
    </w:p>
    <w:p w:rsidRPr="00F41AF2" w:rsidR="00F41AF2" w:rsidP="00F41AF2" w:rsidRDefault="00F41AF2" w14:paraId="7536C4FB" w14:textId="77777777">
      <w:pPr>
        <w:spacing w:line="280" w:lineRule="atLeast"/>
        <w:ind w:left="142" w:right="170" w:hanging="142"/>
        <w:contextualSpacing/>
        <w:jc w:val="both"/>
        <w:rPr>
          <w:rFonts w:ascii="Segoe UI" w:hAnsi="Segoe UI" w:eastAsia="Segoe UI"/>
          <w:sz w:val="20"/>
          <w:szCs w:val="20"/>
        </w:rPr>
      </w:pPr>
      <w:r w:rsidRPr="00F41AF2">
        <w:rPr>
          <w:rFonts w:ascii="Segoe UI" w:hAnsi="Segoe UI" w:eastAsia="Segoe UI"/>
          <w:sz w:val="20"/>
          <w:szCs w:val="20"/>
        </w:rPr>
        <w:t xml:space="preserve">Communities, including women and marginalised groups, have the adequate social and economic incentives and motivations to build ownership and engage in action to improve stewardship of the marine environment and comply with improved management of the marine environment </w:t>
      </w:r>
    </w:p>
    <w:p w:rsidRPr="00F41AF2" w:rsidR="00F41AF2" w:rsidP="00F41AF2" w:rsidRDefault="00F41AF2" w14:paraId="512FC818" w14:textId="77777777">
      <w:pPr>
        <w:spacing w:line="280" w:lineRule="atLeast"/>
        <w:ind w:left="142" w:right="170" w:hanging="142"/>
        <w:contextualSpacing/>
        <w:jc w:val="both"/>
        <w:rPr>
          <w:rFonts w:ascii="Segoe UI" w:hAnsi="Segoe UI" w:eastAsia="Segoe UI"/>
          <w:sz w:val="20"/>
          <w:szCs w:val="20"/>
        </w:rPr>
      </w:pPr>
      <w:r w:rsidRPr="00F41AF2">
        <w:rPr>
          <w:rFonts w:ascii="Segoe UI" w:hAnsi="Segoe UI" w:eastAsia="Segoe UI"/>
          <w:sz w:val="20"/>
          <w:szCs w:val="20"/>
        </w:rPr>
        <w:t>Public-private funding and innovations in financing are available to support implementation of improved policy, regulatory framework, and improvement in the sustainable ocean economies in partner countries [green FOA and GOAP; ALBs amber]</w:t>
      </w:r>
    </w:p>
    <w:p w:rsidRPr="00F41AF2" w:rsidR="00F41AF2" w:rsidP="00F41AF2" w:rsidRDefault="00F41AF2" w14:paraId="311C24C0" w14:textId="77777777">
      <w:pPr>
        <w:spacing w:line="280" w:lineRule="atLeast"/>
        <w:ind w:left="142" w:right="170" w:hanging="142"/>
        <w:contextualSpacing/>
        <w:jc w:val="both"/>
        <w:rPr>
          <w:rFonts w:ascii="Segoe UI" w:hAnsi="Segoe UI" w:eastAsia="Segoe UI"/>
          <w:sz w:val="20"/>
          <w:szCs w:val="20"/>
        </w:rPr>
      </w:pPr>
      <w:r w:rsidRPr="00F41AF2">
        <w:rPr>
          <w:rFonts w:ascii="Segoe UI" w:hAnsi="Segoe UI" w:eastAsia="Segoe UI"/>
          <w:sz w:val="20"/>
          <w:szCs w:val="20"/>
        </w:rPr>
        <w:t>Interventions are targeting marginalised groups, including the poorest, and women and girls [red]</w:t>
      </w:r>
    </w:p>
    <w:p w:rsidRPr="00F41AF2" w:rsidR="00F41AF2" w:rsidP="00F41AF2" w:rsidRDefault="00F41AF2" w14:paraId="559A3B48" w14:textId="77777777">
      <w:pPr>
        <w:spacing w:line="280" w:lineRule="atLeast"/>
        <w:ind w:left="142" w:right="170"/>
        <w:contextualSpacing/>
        <w:jc w:val="both"/>
        <w:rPr>
          <w:rFonts w:ascii="Segoe UI" w:hAnsi="Segoe UI" w:eastAsia="Segoe UI"/>
          <w:sz w:val="20"/>
          <w:szCs w:val="20"/>
        </w:rPr>
      </w:pPr>
    </w:p>
    <w:p w:rsidRPr="00F41AF2" w:rsidR="00F41AF2" w:rsidP="00F41AF2" w:rsidRDefault="00F41AF2" w14:paraId="18E113F9" w14:textId="77777777">
      <w:pPr>
        <w:spacing w:after="240" w:line="280" w:lineRule="atLeast"/>
        <w:jc w:val="both"/>
        <w:rPr>
          <w:rFonts w:ascii="Segoe UI" w:hAnsi="Segoe UI" w:eastAsia="Segoe UI"/>
          <w:sz w:val="20"/>
          <w:szCs w:val="20"/>
          <w:u w:val="single"/>
        </w:rPr>
      </w:pPr>
      <w:r w:rsidRPr="00F41AF2">
        <w:rPr>
          <w:rFonts w:ascii="Segoe UI" w:hAnsi="Segoe UI" w:eastAsia="Segoe UI"/>
          <w:sz w:val="20"/>
          <w:szCs w:val="20"/>
          <w:u w:val="single"/>
        </w:rPr>
        <w:t>Outcome to Impact</w:t>
      </w:r>
    </w:p>
    <w:p w:rsidRPr="00F41AF2" w:rsidR="00F41AF2" w:rsidP="00F41AF2" w:rsidRDefault="00F41AF2" w14:paraId="0DC7F0A1" w14:textId="77777777">
      <w:pPr>
        <w:spacing w:line="280" w:lineRule="atLeast"/>
        <w:ind w:left="142" w:right="170" w:hanging="142"/>
        <w:contextualSpacing/>
        <w:jc w:val="both"/>
        <w:rPr>
          <w:rFonts w:ascii="Segoe UI" w:hAnsi="Segoe UI" w:eastAsia="Segoe UI"/>
          <w:sz w:val="20"/>
          <w:szCs w:val="20"/>
        </w:rPr>
      </w:pPr>
      <w:r w:rsidRPr="00F41AF2">
        <w:rPr>
          <w:rFonts w:ascii="Segoe UI" w:hAnsi="Segoe UI" w:eastAsia="Segoe UI"/>
          <w:sz w:val="20"/>
          <w:szCs w:val="20"/>
        </w:rPr>
        <w:t>Inclusive and empowered governance of the marine environment translates into benefits for coastal communities [insufficient evidence to assess whether these are holding]</w:t>
      </w:r>
    </w:p>
    <w:p w:rsidRPr="00F41AF2" w:rsidR="00F41AF2" w:rsidP="00F41AF2" w:rsidRDefault="00F41AF2" w14:paraId="4A671AAB" w14:textId="77777777">
      <w:pPr>
        <w:spacing w:line="280" w:lineRule="atLeast"/>
        <w:ind w:left="142" w:right="170" w:hanging="142"/>
        <w:contextualSpacing/>
        <w:jc w:val="both"/>
        <w:rPr>
          <w:rFonts w:ascii="Segoe UI" w:hAnsi="Segoe UI" w:eastAsia="Segoe UI"/>
          <w:sz w:val="20"/>
          <w:szCs w:val="20"/>
        </w:rPr>
      </w:pPr>
      <w:r w:rsidRPr="00F41AF2">
        <w:rPr>
          <w:rFonts w:ascii="Segoe UI" w:hAnsi="Segoe UI" w:eastAsia="Segoe UI"/>
          <w:sz w:val="20"/>
          <w:szCs w:val="20"/>
        </w:rPr>
        <w:t xml:space="preserve">Policy and management changes leads to livelihood and environmental (e.g., biodiversity resilience-building) benefits for direct and wider beneficiaries </w:t>
      </w:r>
    </w:p>
    <w:p w:rsidRPr="00F41AF2" w:rsidR="00F41AF2" w:rsidP="00F41AF2" w:rsidRDefault="00F41AF2" w14:paraId="7076E537" w14:textId="77777777">
      <w:pPr>
        <w:spacing w:line="280" w:lineRule="atLeast"/>
        <w:ind w:left="142" w:right="170" w:hanging="142"/>
        <w:contextualSpacing/>
        <w:jc w:val="both"/>
        <w:rPr>
          <w:rFonts w:ascii="Segoe UI" w:hAnsi="Segoe UI" w:eastAsia="Segoe UI"/>
          <w:sz w:val="20"/>
          <w:szCs w:val="20"/>
        </w:rPr>
      </w:pPr>
      <w:r w:rsidRPr="00F41AF2">
        <w:rPr>
          <w:rFonts w:ascii="Segoe UI" w:hAnsi="Segoe UI" w:eastAsia="Segoe UI"/>
          <w:sz w:val="20"/>
          <w:szCs w:val="20"/>
        </w:rPr>
        <w:t>Effective integration with and additionality to other BPF and other donor programmes</w:t>
      </w:r>
    </w:p>
    <w:p w:rsidRPr="00F41AF2" w:rsidR="00F41AF2" w:rsidP="00F41AF2" w:rsidRDefault="00F41AF2" w14:paraId="1C4459AE" w14:textId="77777777">
      <w:pPr>
        <w:spacing w:line="280" w:lineRule="atLeast"/>
        <w:ind w:left="142" w:right="170" w:hanging="142"/>
        <w:contextualSpacing/>
        <w:jc w:val="both"/>
        <w:rPr>
          <w:rFonts w:ascii="Segoe UI" w:hAnsi="Segoe UI" w:eastAsia="Segoe UI"/>
          <w:sz w:val="20"/>
          <w:szCs w:val="20"/>
        </w:rPr>
      </w:pPr>
      <w:r w:rsidRPr="00F41AF2">
        <w:rPr>
          <w:rFonts w:ascii="Segoe UI" w:hAnsi="Segoe UI" w:eastAsia="Segoe UI"/>
          <w:sz w:val="20"/>
          <w:szCs w:val="20"/>
        </w:rPr>
        <w:t>Co-benefits with wider BPF outcomes on critical marine habitats, small-scale fisheries and sustainable aquaculture that is coherent with the Convention on Biological Diversity and other international agreements.</w:t>
      </w:r>
    </w:p>
    <w:p w:rsidRPr="00F41AF2" w:rsidR="00F41AF2" w:rsidP="00F41AF2" w:rsidRDefault="00F41AF2" w14:paraId="053134DE" w14:textId="5B90770D">
      <w:pPr>
        <w:spacing w:line="280" w:lineRule="atLeast"/>
        <w:ind w:left="142" w:right="170" w:hanging="142"/>
        <w:contextualSpacing/>
        <w:jc w:val="both"/>
        <w:rPr>
          <w:rFonts w:ascii="Segoe UI" w:hAnsi="Segoe UI" w:eastAsia="Segoe UI"/>
          <w:sz w:val="20"/>
          <w:szCs w:val="20"/>
        </w:rPr>
      </w:pPr>
      <w:r w:rsidRPr="00F41AF2">
        <w:rPr>
          <w:rFonts w:ascii="Segoe UI" w:hAnsi="Segoe UI" w:eastAsia="Segoe UI"/>
          <w:sz w:val="20"/>
          <w:szCs w:val="20"/>
        </w:rPr>
        <w:t xml:space="preserve">Significant crises during the programme create a gap or shift that distract from </w:t>
      </w:r>
      <w:r w:rsidRPr="00F41AF2" w:rsidR="00A37B09">
        <w:rPr>
          <w:rFonts w:ascii="Segoe UI" w:hAnsi="Segoe UI" w:eastAsia="Segoe UI"/>
          <w:sz w:val="20"/>
          <w:szCs w:val="20"/>
        </w:rPr>
        <w:t>OCPP’s prioritisation</w:t>
      </w:r>
      <w:r w:rsidRPr="00F41AF2">
        <w:rPr>
          <w:rFonts w:ascii="Segoe UI" w:hAnsi="Segoe UI" w:eastAsia="Segoe UI"/>
          <w:sz w:val="20"/>
          <w:szCs w:val="20"/>
        </w:rPr>
        <w:t xml:space="preserve"> within partner countries’ </w:t>
      </w:r>
    </w:p>
    <w:p w:rsidRPr="00F41AF2" w:rsidR="00F41AF2" w:rsidP="00F41AF2" w:rsidRDefault="00F41AF2" w14:paraId="4BC5D528" w14:textId="77777777">
      <w:pPr>
        <w:spacing w:line="280" w:lineRule="atLeast"/>
        <w:ind w:left="142" w:right="170"/>
        <w:contextualSpacing/>
        <w:jc w:val="both"/>
        <w:rPr>
          <w:rFonts w:ascii="Segoe UI" w:hAnsi="Segoe UI" w:eastAsia="Segoe UI"/>
          <w:sz w:val="20"/>
          <w:szCs w:val="20"/>
        </w:rPr>
      </w:pPr>
    </w:p>
    <w:p w:rsidRPr="00F41AF2" w:rsidR="00F41AF2" w:rsidP="00F41AF2" w:rsidRDefault="00F41AF2" w14:paraId="7F8F3552" w14:textId="77777777">
      <w:pPr>
        <w:spacing w:after="240" w:line="280" w:lineRule="atLeast"/>
        <w:jc w:val="both"/>
        <w:rPr>
          <w:rFonts w:ascii="Segoe UI" w:hAnsi="Segoe UI" w:eastAsia="Segoe UI"/>
          <w:sz w:val="20"/>
          <w:szCs w:val="20"/>
          <w:u w:val="single"/>
        </w:rPr>
      </w:pPr>
      <w:r w:rsidRPr="00F41AF2">
        <w:rPr>
          <w:rFonts w:ascii="Segoe UI" w:hAnsi="Segoe UI" w:eastAsia="Segoe UI"/>
          <w:sz w:val="20"/>
          <w:szCs w:val="20"/>
          <w:u w:val="single"/>
        </w:rPr>
        <w:t>VfM</w:t>
      </w:r>
    </w:p>
    <w:p w:rsidRPr="00F41AF2" w:rsidR="00F41AF2" w:rsidP="00F41AF2" w:rsidRDefault="00F41AF2" w14:paraId="33FD8A2B" w14:textId="11E9F1E1">
      <w:pPr>
        <w:spacing w:line="280" w:lineRule="atLeast"/>
        <w:ind w:left="142" w:right="170" w:hanging="142"/>
        <w:contextualSpacing/>
        <w:jc w:val="both"/>
        <w:rPr>
          <w:rFonts w:ascii="Segoe UI" w:hAnsi="Segoe UI" w:eastAsia="Segoe UI"/>
          <w:sz w:val="20"/>
          <w:szCs w:val="20"/>
        </w:rPr>
      </w:pPr>
      <w:r w:rsidRPr="00F41AF2">
        <w:rPr>
          <w:rFonts w:ascii="Segoe UI" w:hAnsi="Segoe UI" w:eastAsia="Segoe UI"/>
          <w:sz w:val="20"/>
          <w:szCs w:val="20"/>
        </w:rPr>
        <w:t xml:space="preserve">The </w:t>
      </w:r>
      <w:r>
        <w:rPr>
          <w:rFonts w:ascii="Segoe UI" w:hAnsi="Segoe UI" w:eastAsia="Segoe UI"/>
          <w:sz w:val="20"/>
          <w:szCs w:val="20"/>
        </w:rPr>
        <w:t>OCPP</w:t>
      </w:r>
      <w:r w:rsidRPr="00F41AF2">
        <w:rPr>
          <w:rFonts w:ascii="Segoe UI" w:hAnsi="Segoe UI" w:eastAsia="Segoe UI"/>
          <w:sz w:val="20"/>
          <w:szCs w:val="20"/>
        </w:rPr>
        <w:t xml:space="preserve"> has a coordinated and coherent delivery so that the value it creates is more than the sum</w:t>
      </w:r>
      <w:r>
        <w:rPr>
          <w:rFonts w:ascii="Segoe UI" w:hAnsi="Segoe UI" w:eastAsia="Segoe UI"/>
          <w:sz w:val="20"/>
          <w:szCs w:val="20"/>
        </w:rPr>
        <w:t xml:space="preserve"> </w:t>
      </w:r>
      <w:r w:rsidRPr="00F41AF2">
        <w:rPr>
          <w:rFonts w:ascii="Segoe UI" w:hAnsi="Segoe UI" w:eastAsia="Segoe UI"/>
          <w:sz w:val="20"/>
          <w:szCs w:val="20"/>
        </w:rPr>
        <w:t>of its parts.</w:t>
      </w:r>
    </w:p>
    <w:p w:rsidRPr="00F41AF2" w:rsidR="00F41AF2" w:rsidP="00F41AF2" w:rsidRDefault="00F41AF2" w14:paraId="20AA655F" w14:textId="77777777">
      <w:pPr>
        <w:spacing w:line="280" w:lineRule="atLeast"/>
        <w:ind w:left="142" w:right="170" w:hanging="142"/>
        <w:contextualSpacing/>
        <w:jc w:val="both"/>
        <w:rPr>
          <w:rFonts w:ascii="Segoe UI" w:hAnsi="Segoe UI" w:eastAsia="Segoe UI"/>
          <w:sz w:val="20"/>
          <w:szCs w:val="20"/>
        </w:rPr>
      </w:pPr>
    </w:p>
    <w:p w:rsidRPr="00F41AF2" w:rsidR="00F41AF2" w:rsidP="00F41AF2" w:rsidRDefault="00F41AF2" w14:paraId="43FFA782" w14:textId="77777777">
      <w:pPr>
        <w:spacing w:line="280" w:lineRule="atLeast"/>
        <w:ind w:left="142" w:right="170" w:hanging="142"/>
        <w:contextualSpacing/>
        <w:jc w:val="both"/>
        <w:rPr>
          <w:rFonts w:ascii="Segoe UI" w:hAnsi="Segoe UI" w:eastAsia="Segoe UI"/>
          <w:sz w:val="20"/>
          <w:szCs w:val="20"/>
        </w:rPr>
      </w:pPr>
    </w:p>
    <w:p w:rsidRPr="00F41AF2" w:rsidR="00F41AF2" w:rsidP="00F41AF2" w:rsidRDefault="00F41AF2" w14:paraId="41C9F055" w14:textId="77777777">
      <w:pPr>
        <w:spacing w:line="280" w:lineRule="atLeast"/>
        <w:ind w:left="142" w:right="170" w:hanging="142"/>
        <w:contextualSpacing/>
        <w:jc w:val="both"/>
        <w:rPr>
          <w:rFonts w:ascii="Segoe UI" w:hAnsi="Segoe UI" w:eastAsia="Segoe UI"/>
          <w:sz w:val="20"/>
          <w:szCs w:val="20"/>
        </w:rPr>
      </w:pPr>
    </w:p>
    <w:p w:rsidRPr="00F41AF2" w:rsidR="00F41AF2" w:rsidP="00F41AF2" w:rsidRDefault="00F41AF2" w14:paraId="7B15B901" w14:textId="77777777">
      <w:pPr>
        <w:spacing w:line="280" w:lineRule="atLeast"/>
        <w:ind w:left="142" w:right="170" w:hanging="142"/>
        <w:contextualSpacing/>
        <w:jc w:val="both"/>
        <w:rPr>
          <w:rFonts w:ascii="Segoe UI" w:hAnsi="Segoe UI" w:eastAsia="Segoe UI"/>
          <w:sz w:val="20"/>
          <w:szCs w:val="20"/>
        </w:rPr>
      </w:pPr>
    </w:p>
    <w:p w:rsidRPr="00F41AF2" w:rsidR="00F41AF2" w:rsidP="00F41AF2" w:rsidRDefault="00F41AF2" w14:paraId="0B674A30" w14:textId="77777777">
      <w:pPr>
        <w:spacing w:line="280" w:lineRule="atLeast"/>
        <w:ind w:left="142" w:right="170" w:hanging="142"/>
        <w:contextualSpacing/>
        <w:jc w:val="both"/>
        <w:rPr>
          <w:rFonts w:ascii="Segoe UI" w:hAnsi="Segoe UI" w:eastAsia="Segoe UI"/>
          <w:sz w:val="20"/>
          <w:szCs w:val="20"/>
        </w:rPr>
      </w:pPr>
    </w:p>
    <w:p w:rsidRPr="00F41AF2" w:rsidR="00F41AF2" w:rsidP="00F41AF2" w:rsidRDefault="00F41AF2" w14:paraId="1495B96E" w14:textId="77777777">
      <w:pPr>
        <w:spacing w:line="280" w:lineRule="atLeast"/>
        <w:ind w:left="142" w:right="170" w:hanging="142"/>
        <w:contextualSpacing/>
        <w:jc w:val="both"/>
        <w:rPr>
          <w:rFonts w:ascii="Segoe UI" w:hAnsi="Segoe UI" w:eastAsia="Segoe UI"/>
          <w:sz w:val="20"/>
          <w:szCs w:val="20"/>
        </w:rPr>
      </w:pPr>
    </w:p>
    <w:p w:rsidRPr="00F41AF2" w:rsidR="00F41AF2" w:rsidP="00F41AF2" w:rsidRDefault="00F41AF2" w14:paraId="4EF767F5" w14:textId="77777777">
      <w:pPr>
        <w:spacing w:line="280" w:lineRule="atLeast"/>
        <w:ind w:left="142" w:right="170" w:hanging="142"/>
        <w:contextualSpacing/>
        <w:jc w:val="both"/>
        <w:rPr>
          <w:rFonts w:ascii="Segoe UI" w:hAnsi="Segoe UI" w:eastAsia="Segoe UI"/>
          <w:sz w:val="20"/>
          <w:szCs w:val="20"/>
        </w:rPr>
      </w:pPr>
    </w:p>
    <w:p w:rsidRPr="00F41AF2" w:rsidR="00F41AF2" w:rsidP="00F41AF2" w:rsidRDefault="00F41AF2" w14:paraId="045C0849" w14:textId="77777777">
      <w:pPr>
        <w:spacing w:line="280" w:lineRule="atLeast"/>
        <w:ind w:left="142" w:right="170" w:hanging="142"/>
        <w:contextualSpacing/>
        <w:jc w:val="both"/>
        <w:rPr>
          <w:rFonts w:ascii="Segoe UI" w:hAnsi="Segoe UI" w:eastAsia="Segoe UI"/>
          <w:sz w:val="20"/>
          <w:szCs w:val="20"/>
        </w:rPr>
      </w:pPr>
    </w:p>
    <w:p w:rsidRPr="00F41AF2" w:rsidR="00F41AF2" w:rsidP="00F41AF2" w:rsidRDefault="00F41AF2" w14:paraId="59B689AC" w14:textId="77777777">
      <w:pPr>
        <w:spacing w:line="280" w:lineRule="atLeast"/>
        <w:ind w:left="142" w:right="170" w:hanging="142"/>
        <w:contextualSpacing/>
        <w:jc w:val="both"/>
        <w:rPr>
          <w:rFonts w:ascii="Segoe UI" w:hAnsi="Segoe UI" w:eastAsia="Segoe UI"/>
          <w:sz w:val="20"/>
          <w:szCs w:val="20"/>
        </w:rPr>
      </w:pPr>
    </w:p>
    <w:p w:rsidRPr="00F41AF2" w:rsidR="00F41AF2" w:rsidP="00F41AF2" w:rsidRDefault="00F41AF2" w14:paraId="4ACC6B51" w14:textId="77777777">
      <w:pPr>
        <w:spacing w:line="280" w:lineRule="atLeast"/>
        <w:ind w:left="142" w:right="170" w:hanging="142"/>
        <w:contextualSpacing/>
        <w:jc w:val="both"/>
        <w:rPr>
          <w:rFonts w:ascii="Segoe UI" w:hAnsi="Segoe UI" w:eastAsia="Segoe UI"/>
          <w:sz w:val="20"/>
          <w:szCs w:val="20"/>
        </w:rPr>
      </w:pPr>
    </w:p>
    <w:p w:rsidRPr="00F41AF2" w:rsidR="00F41AF2" w:rsidP="00F41AF2" w:rsidRDefault="00F41AF2" w14:paraId="1F3DE87B" w14:textId="77777777">
      <w:pPr>
        <w:spacing w:line="280" w:lineRule="atLeast"/>
        <w:ind w:left="142" w:right="170" w:hanging="142"/>
        <w:contextualSpacing/>
        <w:jc w:val="both"/>
        <w:rPr>
          <w:rFonts w:ascii="Segoe UI" w:hAnsi="Segoe UI" w:eastAsia="Segoe UI"/>
          <w:sz w:val="20"/>
          <w:szCs w:val="20"/>
        </w:rPr>
      </w:pPr>
    </w:p>
    <w:p w:rsidRPr="00F41AF2" w:rsidR="00F41AF2" w:rsidP="00F41AF2" w:rsidRDefault="00F41AF2" w14:paraId="250C794C" w14:textId="77777777">
      <w:pPr>
        <w:spacing w:line="280" w:lineRule="atLeast"/>
        <w:ind w:left="142" w:right="170" w:hanging="142"/>
        <w:contextualSpacing/>
        <w:jc w:val="both"/>
        <w:rPr>
          <w:rFonts w:ascii="Segoe UI" w:hAnsi="Segoe UI" w:eastAsia="Segoe UI"/>
          <w:sz w:val="20"/>
          <w:szCs w:val="20"/>
        </w:rPr>
      </w:pPr>
    </w:p>
    <w:p w:rsidRPr="00F41AF2" w:rsidR="00F41AF2" w:rsidP="00F41AF2" w:rsidRDefault="00F41AF2" w14:paraId="6A961E71" w14:textId="77777777">
      <w:pPr>
        <w:spacing w:line="280" w:lineRule="atLeast"/>
        <w:ind w:left="142" w:right="170" w:hanging="142"/>
        <w:contextualSpacing/>
        <w:jc w:val="both"/>
        <w:rPr>
          <w:rFonts w:ascii="Segoe UI" w:hAnsi="Segoe UI" w:eastAsia="Segoe UI"/>
          <w:sz w:val="20"/>
          <w:szCs w:val="20"/>
        </w:rPr>
      </w:pPr>
    </w:p>
    <w:p w:rsidRPr="00F41AF2" w:rsidR="00F41AF2" w:rsidP="00F41AF2" w:rsidRDefault="00F41AF2" w14:paraId="1C1AB9FB" w14:textId="77777777">
      <w:pPr>
        <w:spacing w:line="280" w:lineRule="atLeast"/>
        <w:ind w:left="142" w:right="170" w:hanging="142"/>
        <w:contextualSpacing/>
        <w:jc w:val="both"/>
        <w:rPr>
          <w:rFonts w:ascii="Segoe UI" w:hAnsi="Segoe UI" w:eastAsia="Segoe UI"/>
          <w:sz w:val="20"/>
          <w:szCs w:val="20"/>
        </w:rPr>
      </w:pPr>
    </w:p>
    <w:p w:rsidRPr="00F41AF2" w:rsidR="00F41AF2" w:rsidP="00F41AF2" w:rsidRDefault="00F41AF2" w14:paraId="485D9F5C" w14:textId="77777777">
      <w:pPr>
        <w:spacing w:line="280" w:lineRule="atLeast"/>
        <w:ind w:left="142" w:right="170" w:hanging="142"/>
        <w:contextualSpacing/>
        <w:jc w:val="both"/>
        <w:rPr>
          <w:rFonts w:ascii="Segoe UI" w:hAnsi="Segoe UI" w:eastAsia="Segoe UI"/>
          <w:sz w:val="20"/>
          <w:szCs w:val="20"/>
        </w:rPr>
      </w:pPr>
    </w:p>
    <w:p w:rsidRPr="00F41AF2" w:rsidR="00F41AF2" w:rsidP="00F41AF2" w:rsidRDefault="00F41AF2" w14:paraId="4AB769B5" w14:textId="77777777">
      <w:pPr>
        <w:spacing w:line="280" w:lineRule="atLeast"/>
        <w:ind w:left="142" w:right="170" w:hanging="142"/>
        <w:contextualSpacing/>
        <w:jc w:val="both"/>
        <w:rPr>
          <w:rFonts w:ascii="Segoe UI" w:hAnsi="Segoe UI" w:eastAsia="Segoe UI"/>
          <w:sz w:val="20"/>
          <w:szCs w:val="20"/>
        </w:rPr>
      </w:pPr>
    </w:p>
    <w:p w:rsidRPr="00F41AF2" w:rsidR="00F41AF2" w:rsidP="00F41AF2" w:rsidRDefault="00F41AF2" w14:paraId="795F240F" w14:textId="77777777">
      <w:pPr>
        <w:spacing w:line="280" w:lineRule="atLeast"/>
        <w:ind w:left="142" w:right="170" w:hanging="142"/>
        <w:contextualSpacing/>
        <w:jc w:val="both"/>
        <w:rPr>
          <w:rFonts w:ascii="Segoe UI" w:hAnsi="Segoe UI" w:eastAsia="Segoe UI"/>
          <w:sz w:val="20"/>
          <w:szCs w:val="20"/>
        </w:rPr>
      </w:pPr>
    </w:p>
    <w:p w:rsidRPr="00F41AF2" w:rsidR="00F41AF2" w:rsidP="00F41AF2" w:rsidRDefault="00F41AF2" w14:paraId="51F75573" w14:textId="77777777">
      <w:pPr>
        <w:spacing w:line="280" w:lineRule="atLeast"/>
        <w:ind w:left="142" w:right="170" w:hanging="142"/>
        <w:contextualSpacing/>
        <w:jc w:val="both"/>
        <w:rPr>
          <w:rFonts w:ascii="Segoe UI" w:hAnsi="Segoe UI" w:eastAsia="Segoe UI"/>
          <w:sz w:val="20"/>
          <w:szCs w:val="20"/>
        </w:rPr>
      </w:pPr>
    </w:p>
    <w:p w:rsidRPr="00F41AF2" w:rsidR="00F41AF2" w:rsidP="00F41AF2" w:rsidRDefault="00F41AF2" w14:paraId="1895FC50" w14:textId="77777777">
      <w:pPr>
        <w:spacing w:line="280" w:lineRule="atLeast"/>
        <w:ind w:left="142" w:right="170" w:hanging="142"/>
        <w:contextualSpacing/>
        <w:jc w:val="both"/>
        <w:rPr>
          <w:rFonts w:ascii="Segoe UI" w:hAnsi="Segoe UI" w:eastAsia="Segoe UI"/>
          <w:sz w:val="20"/>
          <w:szCs w:val="20"/>
        </w:rPr>
      </w:pPr>
    </w:p>
    <w:p w:rsidRPr="00A8496E" w:rsidR="00993FE7" w:rsidRDefault="00993FE7" w14:paraId="1AA6D026" w14:textId="77777777">
      <w:pPr>
        <w:spacing w:after="160" w:line="259" w:lineRule="auto"/>
        <w:rPr>
          <w:rFonts w:cs="Arial"/>
          <w:b/>
          <w:bCs/>
        </w:rPr>
      </w:pPr>
    </w:p>
    <w:sectPr w:rsidRPr="00A8496E" w:rsidR="00993FE7" w:rsidSect="00CF65B6">
      <w:pgSz w:w="11906" w:h="16838" w:orient="portrait"/>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32B7" w:rsidP="006E5785" w:rsidRDefault="00E032B7" w14:paraId="24E8EF99" w14:textId="77777777">
      <w:r>
        <w:separator/>
      </w:r>
    </w:p>
  </w:endnote>
  <w:endnote w:type="continuationSeparator" w:id="0">
    <w:p w:rsidR="00E032B7" w:rsidP="006E5785" w:rsidRDefault="00E032B7" w14:paraId="06A1A517" w14:textId="77777777">
      <w:r>
        <w:continuationSeparator/>
      </w:r>
    </w:p>
  </w:endnote>
  <w:endnote w:type="continuationNotice" w:id="1">
    <w:p w:rsidR="00E032B7" w:rsidRDefault="00E032B7" w14:paraId="7A5B110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Light">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Aptos Narrow">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C21E67" w:rsidRDefault="00C21E67" w14:paraId="37B9B4E9" w14:textId="5B828044">
    <w:pPr>
      <w:pStyle w:val="Footer"/>
    </w:pPr>
    <w:r>
      <w:rPr>
        <w:noProof/>
      </w:rPr>
      <mc:AlternateContent>
        <mc:Choice Requires="wps">
          <w:drawing>
            <wp:anchor distT="0" distB="0" distL="0" distR="0" simplePos="0" relativeHeight="251658244" behindDoc="0" locked="0" layoutInCell="1" allowOverlap="1" wp14:anchorId="387F8ED0" wp14:editId="6E80A05A">
              <wp:simplePos x="635" y="635"/>
              <wp:positionH relativeFrom="leftMargin">
                <wp:align>left</wp:align>
              </wp:positionH>
              <wp:positionV relativeFrom="paragraph">
                <wp:posOffset>635</wp:posOffset>
              </wp:positionV>
              <wp:extent cx="443865" cy="443865"/>
              <wp:effectExtent l="0" t="0" r="10160" b="1651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21E67" w:rsidR="00C21E67" w:rsidRDefault="00C21E67" w14:paraId="057663E0" w14:textId="29E24B4A">
                          <w:pPr>
                            <w:rPr>
                              <w:rFonts w:ascii="Calibri" w:hAnsi="Calibri" w:eastAsia="Calibri" w:cs="Calibri"/>
                              <w:noProof/>
                              <w:color w:val="000000"/>
                              <w:sz w:val="20"/>
                              <w:szCs w:val="20"/>
                            </w:rPr>
                          </w:pPr>
                          <w:r w:rsidRPr="00C21E67">
                            <w:rPr>
                              <w:rFonts w:ascii="Calibri" w:hAnsi="Calibri" w:eastAsia="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w14:anchorId="77EBF6CF">
            <v:shapetype id="_x0000_t202" coordsize="21600,21600" o:spt="202" path="m,l,21600r21600,l21600,xe" w14:anchorId="387F8ED0">
              <v:stroke joinstyle="miter"/>
              <v:path gradientshapeok="t" o:connecttype="rect"/>
            </v:shapetype>
            <v:shape id="Text Box 6" style="position:absolute;margin-left:0;margin-top:.05pt;width:34.95pt;height:34.95pt;z-index:251658244;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v:textbox style="mso-fit-shape-to-text:t" inset="5pt,0,0,0">
                <w:txbxContent>
                  <w:p w:rsidRPr="00C21E67" w:rsidR="00C21E67" w:rsidRDefault="00C21E67" w14:paraId="08CE8BEA" w14:textId="29E24B4A">
                    <w:pPr>
                      <w:rPr>
                        <w:rFonts w:ascii="Calibri" w:hAnsi="Calibri" w:eastAsia="Calibri" w:cs="Calibri"/>
                        <w:noProof/>
                        <w:color w:val="000000"/>
                        <w:sz w:val="20"/>
                        <w:szCs w:val="20"/>
                      </w:rPr>
                    </w:pPr>
                    <w:r w:rsidRPr="00C21E67">
                      <w:rPr>
                        <w:rFonts w:ascii="Calibri" w:hAnsi="Calibri" w:eastAsia="Calibri" w:cs="Calibri"/>
                        <w:noProof/>
                        <w:color w:val="000000"/>
                        <w:sz w:val="20"/>
                        <w:szCs w:val="20"/>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0867789"/>
      <w:docPartObj>
        <w:docPartGallery w:val="Page Numbers (Bottom of Page)"/>
        <w:docPartUnique/>
      </w:docPartObj>
    </w:sdtPr>
    <w:sdtEndPr>
      <w:rPr>
        <w:noProof/>
      </w:rPr>
    </w:sdtEndPr>
    <w:sdtContent>
      <w:p w:rsidR="00CB3379" w:rsidRDefault="00CB3379" w14:paraId="273D590E" w14:textId="58A56B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21E67" w:rsidRDefault="00C21E67" w14:paraId="36B76C14" w14:textId="1EBF2D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C21E67" w:rsidRDefault="00C21E67" w14:paraId="49DD2C0A" w14:textId="32386122">
    <w:pPr>
      <w:pStyle w:val="Footer"/>
    </w:pPr>
    <w:r>
      <w:rPr>
        <w:noProof/>
      </w:rPr>
      <mc:AlternateContent>
        <mc:Choice Requires="wps">
          <w:drawing>
            <wp:anchor distT="0" distB="0" distL="0" distR="0" simplePos="0" relativeHeight="251658243" behindDoc="0" locked="0" layoutInCell="1" allowOverlap="1" wp14:anchorId="37F3217B" wp14:editId="3231602E">
              <wp:simplePos x="635" y="635"/>
              <wp:positionH relativeFrom="leftMargin">
                <wp:align>left</wp:align>
              </wp:positionH>
              <wp:positionV relativeFrom="paragraph">
                <wp:posOffset>635</wp:posOffset>
              </wp:positionV>
              <wp:extent cx="443865" cy="443865"/>
              <wp:effectExtent l="0" t="0" r="10160"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21E67" w:rsidR="00C21E67" w:rsidRDefault="00C21E67" w14:paraId="40A11A74" w14:textId="7F80982C">
                          <w:pPr>
                            <w:rPr>
                              <w:rFonts w:ascii="Calibri" w:hAnsi="Calibri" w:eastAsia="Calibri" w:cs="Calibri"/>
                              <w:noProof/>
                              <w:color w:val="000000"/>
                              <w:sz w:val="20"/>
                              <w:szCs w:val="20"/>
                            </w:rPr>
                          </w:pPr>
                          <w:r w:rsidRPr="00C21E67">
                            <w:rPr>
                              <w:rFonts w:ascii="Calibri" w:hAnsi="Calibri" w:eastAsia="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w14:anchorId="69D12DA0">
            <v:shapetype id="_x0000_t202" coordsize="21600,21600" o:spt="202" path="m,l,21600r21600,l21600,xe" w14:anchorId="37F3217B">
              <v:stroke joinstyle="miter"/>
              <v:path gradientshapeok="t" o:connecttype="rect"/>
            </v:shapetype>
            <v:shape id="Text Box 5"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v:textbox style="mso-fit-shape-to-text:t" inset="5pt,0,0,0">
                <w:txbxContent>
                  <w:p w:rsidRPr="00C21E67" w:rsidR="00C21E67" w:rsidRDefault="00C21E67" w14:paraId="09E77742" w14:textId="7F80982C">
                    <w:pPr>
                      <w:rPr>
                        <w:rFonts w:ascii="Calibri" w:hAnsi="Calibri" w:eastAsia="Calibri" w:cs="Calibri"/>
                        <w:noProof/>
                        <w:color w:val="000000"/>
                        <w:sz w:val="20"/>
                        <w:szCs w:val="20"/>
                      </w:rPr>
                    </w:pPr>
                    <w:r w:rsidRPr="00C21E67">
                      <w:rPr>
                        <w:rFonts w:ascii="Calibri" w:hAnsi="Calibri" w:eastAsia="Calibri" w:cs="Calibri"/>
                        <w:noProof/>
                        <w:color w:val="000000"/>
                        <w:sz w:val="20"/>
                        <w:szCs w:val="20"/>
                      </w:rPr>
                      <w:t>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32B7" w:rsidP="006E5785" w:rsidRDefault="00E032B7" w14:paraId="2F7F3B97" w14:textId="77777777">
      <w:r>
        <w:separator/>
      </w:r>
    </w:p>
  </w:footnote>
  <w:footnote w:type="continuationSeparator" w:id="0">
    <w:p w:rsidR="00E032B7" w:rsidP="006E5785" w:rsidRDefault="00E032B7" w14:paraId="77761C09" w14:textId="77777777">
      <w:r>
        <w:continuationSeparator/>
      </w:r>
    </w:p>
  </w:footnote>
  <w:footnote w:type="continuationNotice" w:id="1">
    <w:p w:rsidR="00E032B7" w:rsidRDefault="00E032B7" w14:paraId="701C057F" w14:textId="77777777"/>
  </w:footnote>
  <w:footnote w:id="2">
    <w:p w:rsidR="005961C9" w:rsidRDefault="005961C9" w14:paraId="1ED83ECE" w14:textId="433D5705">
      <w:pPr>
        <w:pStyle w:val="FootnoteText"/>
      </w:pPr>
      <w:r>
        <w:rPr>
          <w:rStyle w:val="FootnoteReference"/>
        </w:rPr>
        <w:footnoteRef/>
      </w:r>
      <w:r>
        <w:t xml:space="preserve"> GOAP </w:t>
      </w:r>
      <w:r w:rsidR="001D7BC1">
        <w:t xml:space="preserve">did not feed into outcome reporting </w:t>
      </w:r>
      <w:r w:rsidR="00E34B2A">
        <w:t xml:space="preserve">for this annual review but will </w:t>
      </w:r>
      <w:r w:rsidR="00C7310C">
        <w:t>into future reviews</w:t>
      </w:r>
    </w:p>
  </w:footnote>
  <w:footnote w:id="3">
    <w:p w:rsidR="005A40F8" w:rsidRDefault="005A40F8" w14:paraId="31C9FEE4" w14:textId="6C0AE92F">
      <w:pPr>
        <w:pStyle w:val="FootnoteText"/>
      </w:pPr>
      <w:r>
        <w:rPr>
          <w:rStyle w:val="FootnoteReference"/>
        </w:rPr>
        <w:footnoteRef/>
      </w:r>
      <w:r>
        <w:t xml:space="preserve"> Unreported </w:t>
      </w:r>
      <w:r w:rsidR="0016332B">
        <w:t xml:space="preserve">in 23/24 </w:t>
      </w:r>
      <w:r w:rsidR="00F90626">
        <w:t>as</w:t>
      </w:r>
      <w:r w:rsidR="001D3640">
        <w:t xml:space="preserve"> </w:t>
      </w:r>
      <w:r w:rsidRPr="001D3640" w:rsidR="001D3640">
        <w:t>definition</w:t>
      </w:r>
      <w:r w:rsidR="001D3640">
        <w:t xml:space="preserve">s </w:t>
      </w:r>
      <w:r w:rsidR="00F90626">
        <w:t>were not</w:t>
      </w:r>
      <w:r w:rsidR="001D3640">
        <w:t xml:space="preserve"> finalised</w:t>
      </w:r>
      <w:r w:rsidRPr="001D3640" w:rsidR="001D3640">
        <w:t xml:space="preserve"> </w:t>
      </w:r>
      <w:r w:rsidR="00F90626">
        <w:t xml:space="preserve">due to </w:t>
      </w:r>
      <w:r w:rsidR="00A32159">
        <w:t xml:space="preserve">blue planet fund key performance indicators being in development at the time of </w:t>
      </w:r>
      <w:r w:rsidR="00526BE6">
        <w:t>inclusion</w:t>
      </w:r>
    </w:p>
  </w:footnote>
  <w:footnote w:id="4">
    <w:p w:rsidR="00526BE6" w:rsidRDefault="00526BE6" w14:paraId="7E3549A4" w14:textId="0B0E8AE1">
      <w:pPr>
        <w:pStyle w:val="FootnoteText"/>
      </w:pPr>
      <w:r>
        <w:rPr>
          <w:rStyle w:val="FootnoteReference"/>
        </w:rPr>
        <w:footnoteRef/>
      </w:r>
      <w:r>
        <w:t xml:space="preserve"> Unreported in 23/24 as </w:t>
      </w:r>
      <w:r w:rsidRPr="001D3640">
        <w:t>definition</w:t>
      </w:r>
      <w:r>
        <w:t>s were not finalised</w:t>
      </w:r>
      <w:r w:rsidRPr="001D3640">
        <w:t xml:space="preserve"> </w:t>
      </w:r>
      <w:r>
        <w:t>due to blue planet fund key performance indicators being in development at the time of inclusion</w:t>
      </w:r>
    </w:p>
  </w:footnote>
  <w:footnote w:id="5">
    <w:p w:rsidR="0030435F" w:rsidP="0030435F" w:rsidRDefault="0030435F" w14:paraId="725E7645" w14:textId="77777777">
      <w:pPr>
        <w:pStyle w:val="FootnoteText"/>
      </w:pPr>
      <w:r>
        <w:rPr>
          <w:rStyle w:val="FootnoteReference"/>
        </w:rPr>
        <w:footnoteRef/>
      </w:r>
      <w:r>
        <w:t xml:space="preserve"> </w:t>
      </w:r>
      <w:hyperlink w:history="1" r:id="rId1">
        <w:r w:rsidRPr="002A23F7">
          <w:rPr>
            <w:rStyle w:val="Hyperlink"/>
          </w:rPr>
          <w:t>Interaction of climate change and marine pollution in Southern India: Implications for coastal zone management practices and policies - ScienceDirect</w:t>
        </w:r>
      </w:hyperlink>
    </w:p>
  </w:footnote>
  <w:footnote w:id="6">
    <w:p w:rsidR="00260EA9" w:rsidRDefault="00260EA9" w14:paraId="4B2BB797" w14:textId="6B80B472">
      <w:pPr>
        <w:pStyle w:val="FootnoteText"/>
      </w:pPr>
      <w:r>
        <w:rPr>
          <w:rStyle w:val="FootnoteReference"/>
        </w:rPr>
        <w:footnoteRef/>
      </w:r>
      <w:r>
        <w:t xml:space="preserve"> </w:t>
      </w:r>
      <w:r w:rsidR="005108FD">
        <w:t>“</w:t>
      </w:r>
      <w:r w:rsidRPr="00F13422" w:rsidR="00874AE4">
        <w:t>100% Fish</w:t>
      </w:r>
      <w:r w:rsidR="005108FD">
        <w:t>”</w:t>
      </w:r>
      <w:r w:rsidR="007273E5">
        <w:t xml:space="preserve">, </w:t>
      </w:r>
      <w:r w:rsidRPr="003F534D" w:rsidR="007273E5">
        <w:t>Iceland Ocean Cluster</w:t>
      </w:r>
      <w:r w:rsidR="007273E5">
        <w:t>,</w:t>
      </w:r>
      <w:r w:rsidR="00F13422">
        <w:t xml:space="preserve"> </w:t>
      </w:r>
      <w:r w:rsidRPr="00F13422" w:rsidR="00F13422">
        <w:t>https://sjavarklasinn.is/en/iceland-ocean-cluster/100-fish/</w:t>
      </w:r>
    </w:p>
  </w:footnote>
  <w:footnote w:id="7">
    <w:p w:rsidRPr="00F41AF2" w:rsidR="00F41AF2" w:rsidP="00F41AF2" w:rsidRDefault="00F41AF2" w14:paraId="696823AE" w14:textId="77777777">
      <w:pPr>
        <w:pStyle w:val="FootnoteText"/>
        <w:rPr>
          <w:rFonts w:asciiTheme="minorHAnsi" w:hAnsiTheme="minorHAnsi" w:cstheme="minorHAnsi"/>
          <w:sz w:val="16"/>
          <w:szCs w:val="16"/>
        </w:rPr>
      </w:pPr>
      <w:r w:rsidRPr="00F41AF2">
        <w:rPr>
          <w:rStyle w:val="FootnoteReference"/>
          <w:rFonts w:asciiTheme="minorHAnsi" w:hAnsiTheme="minorHAnsi" w:cstheme="minorHAnsi"/>
          <w:sz w:val="16"/>
          <w:szCs w:val="16"/>
        </w:rPr>
        <w:footnoteRef/>
      </w:r>
      <w:r w:rsidRPr="00F41AF2">
        <w:rPr>
          <w:rFonts w:asciiTheme="minorHAnsi" w:hAnsiTheme="minorHAnsi" w:cstheme="minorHAnsi"/>
          <w:sz w:val="16"/>
          <w:szCs w:val="16"/>
        </w:rPr>
        <w:t xml:space="preserve">  ​United Nations: Sustainable Development Goal 14: Life Below Water, n.d.​ </w:t>
      </w:r>
    </w:p>
  </w:footnote>
  <w:footnote w:id="8">
    <w:p w:rsidRPr="00F41AF2" w:rsidR="00F41AF2" w:rsidP="00F41AF2" w:rsidRDefault="00F41AF2" w14:paraId="5B2DCB03" w14:textId="77777777">
      <w:pPr>
        <w:pStyle w:val="FootnoteText"/>
        <w:rPr>
          <w:rFonts w:asciiTheme="minorHAnsi" w:hAnsiTheme="minorHAnsi" w:cstheme="minorHAnsi"/>
          <w:sz w:val="16"/>
          <w:szCs w:val="16"/>
        </w:rPr>
      </w:pPr>
      <w:r w:rsidRPr="00F41AF2">
        <w:rPr>
          <w:rStyle w:val="FootnoteReference"/>
          <w:rFonts w:asciiTheme="minorHAnsi" w:hAnsiTheme="minorHAnsi" w:cstheme="minorHAnsi"/>
          <w:sz w:val="16"/>
          <w:szCs w:val="16"/>
        </w:rPr>
        <w:footnoteRef/>
      </w:r>
      <w:r w:rsidRPr="00F41AF2">
        <w:rPr>
          <w:rFonts w:asciiTheme="minorHAnsi" w:hAnsiTheme="minorHAnsi" w:cstheme="minorHAnsi"/>
          <w:sz w:val="16"/>
          <w:szCs w:val="16"/>
        </w:rPr>
        <w:t xml:space="preserve"> </w:t>
      </w:r>
      <w:r w:rsidRPr="00F41AF2">
        <w:rPr>
          <w:rStyle w:val="normaltextrun"/>
          <w:rFonts w:asciiTheme="minorHAnsi" w:hAnsiTheme="minorHAnsi" w:cstheme="minorHAnsi"/>
          <w:color w:val="000000"/>
          <w:sz w:val="16"/>
          <w:szCs w:val="16"/>
          <w:shd w:val="clear" w:color="auto" w:fill="FFFFFF"/>
        </w:rPr>
        <w:t> </w:t>
      </w:r>
      <w:hyperlink w:tgtFrame="_blank" w:history="1" r:id="rId2">
        <w:r w:rsidRPr="00F41AF2">
          <w:rPr>
            <w:rStyle w:val="normaltextrun"/>
            <w:rFonts w:asciiTheme="minorHAnsi" w:hAnsiTheme="minorHAnsi" w:cstheme="minorHAnsi"/>
            <w:color w:val="013AD9"/>
            <w:sz w:val="16"/>
            <w:szCs w:val="16"/>
            <w:u w:val="single"/>
            <w:shd w:val="clear" w:color="auto" w:fill="FFFFFF"/>
          </w:rPr>
          <w:t>Global ocean science report: the current status of ocean science around the world; executive summary - UNESCO Digital Library</w:t>
        </w:r>
      </w:hyperlink>
    </w:p>
  </w:footnote>
  <w:footnote w:id="9">
    <w:p w:rsidRPr="00F41AF2" w:rsidR="00F41AF2" w:rsidP="00F41AF2" w:rsidRDefault="00F41AF2" w14:paraId="06D21526" w14:textId="77777777">
      <w:pPr>
        <w:pStyle w:val="FootnoteText"/>
        <w:rPr>
          <w:rFonts w:asciiTheme="minorHAnsi" w:hAnsiTheme="minorHAnsi" w:cstheme="minorHAnsi"/>
          <w:sz w:val="16"/>
          <w:szCs w:val="16"/>
        </w:rPr>
      </w:pPr>
      <w:r w:rsidRPr="00F41AF2">
        <w:rPr>
          <w:rStyle w:val="FootnoteReference"/>
          <w:rFonts w:asciiTheme="minorHAnsi" w:hAnsiTheme="minorHAnsi" w:cstheme="minorHAnsi"/>
          <w:sz w:val="16"/>
          <w:szCs w:val="16"/>
        </w:rPr>
        <w:footnoteRef/>
      </w:r>
      <w:r w:rsidRPr="00F41AF2">
        <w:rPr>
          <w:rFonts w:asciiTheme="minorHAnsi" w:hAnsiTheme="minorHAnsi" w:cstheme="minorHAnsi"/>
          <w:sz w:val="16"/>
          <w:szCs w:val="16"/>
        </w:rPr>
        <w:t xml:space="preserve"> OCPP Business Case, p.15</w:t>
      </w:r>
    </w:p>
  </w:footnote>
  <w:footnote w:id="10">
    <w:p w:rsidR="00F41AF2" w:rsidP="00F41AF2" w:rsidRDefault="00F41AF2" w14:paraId="44820B3A" w14:textId="77777777">
      <w:pPr>
        <w:pStyle w:val="FootnoteText"/>
      </w:pPr>
      <w:r w:rsidRPr="00F41AF2">
        <w:rPr>
          <w:rStyle w:val="FootnoteReference"/>
          <w:rFonts w:asciiTheme="minorHAnsi" w:hAnsiTheme="minorHAnsi" w:cstheme="minorHAnsi"/>
          <w:sz w:val="16"/>
          <w:szCs w:val="16"/>
        </w:rPr>
        <w:footnoteRef/>
      </w:r>
      <w:r w:rsidRPr="00F41AF2">
        <w:rPr>
          <w:rFonts w:asciiTheme="minorHAnsi" w:hAnsiTheme="minorHAnsi" w:cstheme="minorHAnsi"/>
          <w:sz w:val="16"/>
          <w:szCs w:val="16"/>
        </w:rPr>
        <w:t xml:space="preserve"> OCPP Business Case, p. 20.</w:t>
      </w:r>
    </w:p>
  </w:footnote>
  <w:footnote w:id="11">
    <w:p w:rsidRPr="00E70271" w:rsidR="00F41AF2" w:rsidP="00F41AF2" w:rsidRDefault="00F41AF2" w14:paraId="7DA5E57C" w14:textId="40C793E6">
      <w:pPr>
        <w:rPr>
          <w:rFonts w:asciiTheme="minorHAnsi" w:hAnsiTheme="minorHAnsi"/>
          <w:sz w:val="16"/>
        </w:rPr>
      </w:pPr>
      <w:r w:rsidRPr="00F41AF2">
        <w:rPr>
          <w:rStyle w:val="FootnoteReference"/>
          <w:rFonts w:asciiTheme="minorHAnsi" w:hAnsiTheme="minorHAnsi" w:cstheme="minorHAnsi"/>
          <w:sz w:val="16"/>
          <w:szCs w:val="16"/>
        </w:rPr>
        <w:footnoteRef/>
      </w:r>
      <w:r w:rsidRPr="00F41AF2">
        <w:rPr>
          <w:rFonts w:asciiTheme="minorHAnsi" w:hAnsiTheme="minorHAnsi" w:cstheme="minorHAnsi"/>
          <w:sz w:val="16"/>
          <w:szCs w:val="16"/>
        </w:rPr>
        <w:t xml:space="preserve">UNEP. (2022). Gender Mainstreaming in Coastal and Marine Ecosystems Management Principles, Case Studies and Lessons Learned; Harper, S., M. Adshade, V., &amp; Lam, D. Pauly, R. S. (2020). Valuing invisible catches: Estimating the global contribution by women to small-scale marine capture fisheries production. PLOS ONE, 1–16. </w:t>
      </w:r>
      <w:hyperlink w:history="1" r:id="rId3">
        <w:r w:rsidRPr="00F41AF2">
          <w:rPr>
            <w:rFonts w:asciiTheme="minorHAnsi" w:hAnsiTheme="minorHAnsi" w:cstheme="minorHAnsi"/>
            <w:sz w:val="16"/>
            <w:szCs w:val="16"/>
          </w:rPr>
          <w:t xml:space="preserve">https://doi.org/10.1371/journal.pone.0228912; </w:t>
        </w:r>
      </w:hyperlink>
      <w:r w:rsidRPr="00F41AF2">
        <w:rPr>
          <w:rFonts w:asciiTheme="minorHAnsi" w:hAnsiTheme="minorHAnsi" w:cstheme="minorHAnsi"/>
          <w:sz w:val="16"/>
          <w:szCs w:val="16"/>
        </w:rPr>
        <w:t xml:space="preserve">Teh, L. C. L., Caddell, R., Allison, E. H., Finkbeiner, E. M., Kittinger, J. N., Nakamura, K., &amp; Ota, Y. (2019). The role of human rights in implementing socially responsible seafood. PLoS ONE, 14(1). </w:t>
      </w:r>
      <w:hyperlink w:history="1" r:id="rId4">
        <w:r w:rsidRPr="00F41AF2">
          <w:rPr>
            <w:rStyle w:val="Hyperlink"/>
            <w:rFonts w:asciiTheme="minorHAnsi" w:hAnsiTheme="minorHAnsi" w:cstheme="minorHAnsi"/>
            <w:sz w:val="16"/>
            <w:szCs w:val="16"/>
          </w:rPr>
          <w:t xml:space="preserve">https://doi.org/10.1371/journal.pone.0210241; </w:t>
        </w:r>
      </w:hyperlink>
      <w:r w:rsidRPr="00F41AF2">
        <w:rPr>
          <w:rFonts w:asciiTheme="minorHAnsi" w:hAnsiTheme="minorHAnsi" w:cstheme="minorHAnsi"/>
          <w:sz w:val="16"/>
          <w:szCs w:val="16"/>
        </w:rPr>
        <w:t xml:space="preserve">Agarwal, B. (2000). Conceptualising environmental collective </w:t>
      </w:r>
      <w:r w:rsidRPr="00F41AF2" w:rsidR="00A37B09">
        <w:rPr>
          <w:rFonts w:asciiTheme="minorHAnsi" w:hAnsiTheme="minorHAnsi" w:cstheme="minorHAnsi"/>
          <w:sz w:val="16"/>
          <w:szCs w:val="16"/>
        </w:rPr>
        <w:t>action:</w:t>
      </w:r>
      <w:r w:rsidRPr="00F41AF2">
        <w:rPr>
          <w:rFonts w:asciiTheme="minorHAnsi" w:hAnsiTheme="minorHAnsi" w:cstheme="minorHAnsi"/>
          <w:sz w:val="16"/>
          <w:szCs w:val="16"/>
        </w:rPr>
        <w:t xml:space="preserve"> why gender matters. Cambridge Journal of </w:t>
      </w:r>
      <w:r w:rsidRPr="00F41AF2" w:rsidR="00487DC1">
        <w:rPr>
          <w:rFonts w:asciiTheme="minorHAnsi" w:hAnsiTheme="minorHAnsi" w:cstheme="minorHAnsi"/>
          <w:sz w:val="16"/>
          <w:szCs w:val="16"/>
        </w:rPr>
        <w:t>Economics</w:t>
      </w:r>
      <w:r w:rsidRPr="00F41AF2">
        <w:rPr>
          <w:rFonts w:asciiTheme="minorHAnsi" w:hAnsiTheme="minorHAnsi" w:cstheme="minorHAnsi"/>
          <w:sz w:val="16"/>
          <w:szCs w:val="16"/>
        </w:rPr>
        <w:t>, 24, 283–</w:t>
      </w:r>
      <w:r w:rsidRPr="00F41AF2" w:rsidR="00A37B09">
        <w:rPr>
          <w:rFonts w:asciiTheme="minorHAnsi" w:hAnsiTheme="minorHAnsi" w:cstheme="minorHAnsi"/>
          <w:sz w:val="16"/>
          <w:szCs w:val="16"/>
        </w:rPr>
        <w:t>310; Ratner</w:t>
      </w:r>
      <w:r w:rsidRPr="00F41AF2">
        <w:rPr>
          <w:rFonts w:asciiTheme="minorHAnsi" w:hAnsiTheme="minorHAnsi" w:cstheme="minorHAnsi"/>
          <w:sz w:val="16"/>
          <w:szCs w:val="16"/>
        </w:rPr>
        <w:t xml:space="preserve">, B. D., Åsgård, B., &amp; Allison, E. H. (2014). Fishing for justice: Human rights, development, and fisheries sector reform. </w:t>
      </w:r>
      <w:r w:rsidRPr="009F624B">
        <w:rPr>
          <w:rFonts w:asciiTheme="minorHAnsi" w:hAnsiTheme="minorHAnsi"/>
          <w:sz w:val="16"/>
        </w:rPr>
        <w:t xml:space="preserve">Global Environmental Change, 27(1), 120–130. </w:t>
      </w:r>
      <w:hyperlink w:history="1" r:id="rId5">
        <w:r w:rsidRPr="009F624B">
          <w:rPr>
            <w:rFonts w:asciiTheme="minorHAnsi" w:hAnsiTheme="minorHAnsi"/>
            <w:sz w:val="16"/>
          </w:rPr>
          <w:t>https://doi.org/10.1016/j.gloenvcha.2014.05.006</w:t>
        </w:r>
      </w:hyperlink>
      <w:r w:rsidRPr="00E70271">
        <w:rPr>
          <w:rFonts w:asciiTheme="minorHAnsi" w:hAnsiTheme="minorHAnsi"/>
          <w:sz w:val="16"/>
        </w:rPr>
        <w:t xml:space="preserve">. </w:t>
      </w:r>
    </w:p>
  </w:footnote>
  <w:footnote w:id="12">
    <w:p w:rsidRPr="00E70271" w:rsidR="00F41AF2" w:rsidP="00F41AF2" w:rsidRDefault="00F41AF2" w14:paraId="6061AF78" w14:textId="77777777">
      <w:pPr>
        <w:pStyle w:val="FootnoteText"/>
        <w:rPr>
          <w:rFonts w:asciiTheme="minorHAnsi" w:hAnsiTheme="minorHAnsi"/>
          <w:sz w:val="16"/>
        </w:rPr>
      </w:pPr>
      <w:r w:rsidRPr="00F41AF2">
        <w:rPr>
          <w:rStyle w:val="FootnoteReference"/>
          <w:rFonts w:asciiTheme="minorHAnsi" w:hAnsiTheme="minorHAnsi" w:cstheme="minorHAnsi"/>
          <w:sz w:val="16"/>
          <w:szCs w:val="16"/>
        </w:rPr>
        <w:footnoteRef/>
      </w:r>
      <w:r w:rsidRPr="00E70271">
        <w:rPr>
          <w:rFonts w:asciiTheme="minorHAnsi" w:hAnsiTheme="minorHAnsi"/>
          <w:sz w:val="16"/>
        </w:rPr>
        <w:t xml:space="preserve"> </w:t>
      </w:r>
      <w:hyperlink w:history="1" r:id="rId6">
        <w:r w:rsidRPr="00E70271">
          <w:rPr>
            <w:rStyle w:val="Hyperlink"/>
            <w:rFonts w:asciiTheme="minorHAnsi" w:hAnsiTheme="minorHAnsi"/>
            <w:sz w:val="16"/>
          </w:rPr>
          <w:t>https://www.gov.uk/government/publications/international-women-and-girls-strategy-2023-to-2030/international-women-and-girls-strategy-2023-to-2030</w:t>
        </w:r>
      </w:hyperlink>
      <w:r w:rsidRPr="00E70271">
        <w:rPr>
          <w:rFonts w:asciiTheme="minorHAnsi" w:hAnsiTheme="minorHAnsi"/>
          <w:sz w:val="16"/>
        </w:rPr>
        <w:t xml:space="preserve"> </w:t>
      </w:r>
    </w:p>
  </w:footnote>
  <w:footnote w:id="13">
    <w:p w:rsidRPr="00F41AF2" w:rsidR="00F41AF2" w:rsidP="00F41AF2" w:rsidRDefault="00F41AF2" w14:paraId="1E957E50" w14:textId="77777777">
      <w:pPr>
        <w:pStyle w:val="FootnoteText"/>
        <w:rPr>
          <w:rFonts w:asciiTheme="minorHAnsi" w:hAnsiTheme="minorHAnsi" w:cstheme="minorHAnsi"/>
          <w:sz w:val="16"/>
          <w:szCs w:val="16"/>
        </w:rPr>
      </w:pPr>
      <w:r w:rsidRPr="00F41AF2">
        <w:rPr>
          <w:rStyle w:val="FootnoteReference"/>
          <w:rFonts w:asciiTheme="minorHAnsi" w:hAnsiTheme="minorHAnsi" w:cstheme="minorHAnsi"/>
          <w:sz w:val="16"/>
          <w:szCs w:val="16"/>
        </w:rPr>
        <w:footnoteRef/>
      </w:r>
      <w:r w:rsidRPr="00F41AF2">
        <w:rPr>
          <w:rFonts w:asciiTheme="minorHAnsi" w:hAnsiTheme="minorHAnsi" w:cstheme="minorHAnsi"/>
          <w:sz w:val="16"/>
          <w:szCs w:val="16"/>
        </w:rPr>
        <w:t xml:space="preserve"> </w:t>
      </w:r>
      <w:r w:rsidRPr="00F41AF2">
        <w:rPr>
          <w:rFonts w:eastAsia="Arial" w:asciiTheme="minorHAnsi" w:hAnsiTheme="minorHAnsi" w:cstheme="minorHAnsi"/>
          <w:color w:val="202124"/>
          <w:sz w:val="16"/>
          <w:szCs w:val="16"/>
        </w:rPr>
        <w:t xml:space="preserve">The </w:t>
      </w:r>
      <w:r w:rsidRPr="00F41AF2">
        <w:rPr>
          <w:rFonts w:eastAsia="Arial" w:asciiTheme="minorHAnsi" w:hAnsiTheme="minorHAnsi" w:cstheme="minorHAnsi"/>
          <w:color w:val="040C28"/>
          <w:sz w:val="16"/>
          <w:szCs w:val="16"/>
        </w:rPr>
        <w:t>Convention on the Elimination of All Forms of Discrimination against Women</w:t>
      </w:r>
      <w:r w:rsidRPr="00F41AF2">
        <w:rPr>
          <w:rFonts w:eastAsia="Arial" w:asciiTheme="minorHAnsi" w:hAnsiTheme="minorHAnsi" w:cstheme="minorHAnsi"/>
          <w:color w:val="202124"/>
          <w:sz w:val="16"/>
          <w:szCs w:val="16"/>
        </w:rPr>
        <w:t xml:space="preserve"> (CEDAW), adopted in 1979 by the UN General Assembly, is often described as an international bill of rights for women.</w:t>
      </w:r>
    </w:p>
  </w:footnote>
  <w:footnote w:id="14">
    <w:p w:rsidRPr="00F41AF2" w:rsidR="00F41AF2" w:rsidP="00F41AF2" w:rsidRDefault="00F41AF2" w14:paraId="681B963B" w14:textId="77777777">
      <w:pPr>
        <w:pStyle w:val="FootnoteText"/>
        <w:rPr>
          <w:rFonts w:asciiTheme="minorHAnsi" w:hAnsiTheme="minorHAnsi" w:cstheme="minorHAnsi"/>
          <w:sz w:val="16"/>
          <w:szCs w:val="16"/>
        </w:rPr>
      </w:pPr>
      <w:r w:rsidRPr="00F41AF2">
        <w:rPr>
          <w:rStyle w:val="FootnoteReference"/>
          <w:rFonts w:asciiTheme="minorHAnsi" w:hAnsiTheme="minorHAnsi" w:cstheme="minorHAnsi"/>
          <w:sz w:val="16"/>
          <w:szCs w:val="16"/>
        </w:rPr>
        <w:footnoteRef/>
      </w:r>
      <w:r w:rsidRPr="00F41AF2">
        <w:rPr>
          <w:rFonts w:asciiTheme="minorHAnsi" w:hAnsiTheme="minorHAnsi" w:cstheme="minorHAnsi"/>
          <w:sz w:val="16"/>
          <w:szCs w:val="16"/>
        </w:rPr>
        <w:t xml:space="preserve"> https://www.ilo.org/gender/Aboutus/ILOandGenderEquality/lang--en/index.htm</w:t>
      </w:r>
    </w:p>
  </w:footnote>
  <w:footnote w:id="15">
    <w:p w:rsidR="00F41AF2" w:rsidP="00F41AF2" w:rsidRDefault="00F41AF2" w14:paraId="055F471B" w14:textId="77777777">
      <w:pPr>
        <w:pStyle w:val="FootnoteText"/>
      </w:pPr>
      <w:r w:rsidRPr="00F41AF2">
        <w:rPr>
          <w:rStyle w:val="FootnoteReference"/>
          <w:rFonts w:asciiTheme="minorHAnsi" w:hAnsiTheme="minorHAnsi" w:cstheme="minorHAnsi"/>
          <w:sz w:val="16"/>
          <w:szCs w:val="16"/>
        </w:rPr>
        <w:footnoteRef/>
      </w:r>
      <w:r w:rsidRPr="00F41AF2">
        <w:rPr>
          <w:rFonts w:asciiTheme="minorHAnsi" w:hAnsiTheme="minorHAnsi" w:cstheme="minorHAnsi"/>
          <w:sz w:val="16"/>
          <w:szCs w:val="16"/>
        </w:rPr>
        <w:t xml:space="preserve"> https://sdgs.un.org/goals/goal5</w:t>
      </w:r>
    </w:p>
  </w:footnote>
  <w:footnote w:id="16">
    <w:p w:rsidRPr="00F41AF2" w:rsidR="00F41AF2" w:rsidP="00F41AF2" w:rsidRDefault="00F41AF2" w14:paraId="333778FA" w14:textId="77777777">
      <w:pPr>
        <w:pStyle w:val="FootnoteText"/>
        <w:rPr>
          <w:rFonts w:asciiTheme="minorHAnsi" w:hAnsiTheme="minorHAnsi" w:cstheme="minorHAnsi"/>
          <w:sz w:val="16"/>
          <w:szCs w:val="16"/>
        </w:rPr>
      </w:pPr>
      <w:r w:rsidRPr="00F41AF2">
        <w:rPr>
          <w:rStyle w:val="FootnoteReference"/>
          <w:rFonts w:asciiTheme="minorHAnsi" w:hAnsiTheme="minorHAnsi" w:cstheme="minorHAnsi"/>
          <w:sz w:val="16"/>
          <w:szCs w:val="16"/>
        </w:rPr>
        <w:footnoteRef/>
      </w:r>
      <w:r w:rsidRPr="00F41AF2">
        <w:rPr>
          <w:rFonts w:asciiTheme="minorHAnsi" w:hAnsiTheme="minorHAnsi" w:cstheme="minorHAnsi"/>
          <w:sz w:val="16"/>
          <w:szCs w:val="16"/>
        </w:rPr>
        <w:t xml:space="preserve"> OCPP Business Case, p. 14; and Timmis, H. (2018) </w:t>
      </w:r>
      <w:hyperlink w:tgtFrame="_blank" w:history="1" r:id="rId7">
        <w:r w:rsidRPr="00F41AF2">
          <w:rPr>
            <w:rFonts w:asciiTheme="minorHAnsi" w:hAnsiTheme="minorHAnsi" w:cstheme="minorHAnsi"/>
            <w:sz w:val="16"/>
            <w:szCs w:val="16"/>
          </w:rPr>
          <w:t>Lessons_from_donor_support_to_technical_assistance_programmes.pdf (publishing.service.gov.uk)</w:t>
        </w:r>
      </w:hyperlink>
      <w:r w:rsidRPr="00F41AF2">
        <w:rPr>
          <w:rFonts w:asciiTheme="minorHAnsi" w:hAnsiTheme="minorHAnsi" w:cstheme="minorHAnsi"/>
          <w:sz w:val="16"/>
          <w:szCs w:val="16"/>
        </w:rPr>
        <w:t xml:space="preserve"> </w:t>
      </w:r>
    </w:p>
  </w:footnote>
  <w:footnote w:id="17">
    <w:p w:rsidRPr="00F41AF2" w:rsidR="00F41AF2" w:rsidP="00F41AF2" w:rsidRDefault="00F41AF2" w14:paraId="7228E210" w14:textId="77777777">
      <w:pPr>
        <w:pStyle w:val="FootnoteText"/>
        <w:rPr>
          <w:rFonts w:asciiTheme="minorHAnsi" w:hAnsiTheme="minorHAnsi" w:cstheme="minorHAnsi"/>
          <w:sz w:val="16"/>
          <w:szCs w:val="16"/>
        </w:rPr>
      </w:pPr>
      <w:r w:rsidRPr="00F41AF2">
        <w:rPr>
          <w:rStyle w:val="FootnoteReference"/>
          <w:rFonts w:asciiTheme="minorHAnsi" w:hAnsiTheme="minorHAnsi" w:cstheme="minorHAnsi"/>
          <w:sz w:val="16"/>
          <w:szCs w:val="16"/>
        </w:rPr>
        <w:footnoteRef/>
      </w:r>
      <w:r w:rsidRPr="00F41AF2">
        <w:rPr>
          <w:rFonts w:asciiTheme="minorHAnsi" w:hAnsiTheme="minorHAnsi" w:cstheme="minorHAnsi"/>
          <w:sz w:val="16"/>
          <w:szCs w:val="16"/>
        </w:rPr>
        <w:t xml:space="preserve"> OCPP Business Case, p. 16. </w:t>
      </w:r>
    </w:p>
  </w:footnote>
  <w:footnote w:id="18">
    <w:p w:rsidRPr="00E70271" w:rsidR="00F41AF2" w:rsidP="00F41AF2" w:rsidRDefault="00F41AF2" w14:paraId="25757873" w14:textId="77777777">
      <w:pPr>
        <w:rPr>
          <w:rFonts w:asciiTheme="minorHAnsi" w:hAnsiTheme="minorHAnsi"/>
          <w:sz w:val="16"/>
          <w:lang w:val="fr-CH"/>
        </w:rPr>
      </w:pPr>
      <w:r w:rsidRPr="00F41AF2">
        <w:rPr>
          <w:rStyle w:val="FootnoteReference"/>
          <w:rFonts w:asciiTheme="minorHAnsi" w:hAnsiTheme="minorHAnsi" w:cstheme="minorHAnsi"/>
          <w:sz w:val="16"/>
          <w:szCs w:val="16"/>
        </w:rPr>
        <w:footnoteRef/>
      </w:r>
      <w:r w:rsidRPr="00F41AF2">
        <w:rPr>
          <w:rFonts w:asciiTheme="minorHAnsi" w:hAnsiTheme="minorHAnsi" w:cstheme="minorHAnsi"/>
          <w:sz w:val="16"/>
          <w:szCs w:val="16"/>
        </w:rPr>
        <w:t xml:space="preserve"> CBD (2023). </w:t>
      </w:r>
      <w:r w:rsidRPr="00F41AF2">
        <w:rPr>
          <w:rFonts w:asciiTheme="minorHAnsi" w:hAnsiTheme="minorHAnsi" w:cstheme="minorHAnsi"/>
          <w:i/>
          <w:iCs/>
          <w:sz w:val="16"/>
          <w:szCs w:val="16"/>
        </w:rPr>
        <w:t>Final text of Kunming-Montreal Global Biodiversity Framework available in all languages</w:t>
      </w:r>
      <w:r w:rsidRPr="00F41AF2">
        <w:rPr>
          <w:rFonts w:asciiTheme="minorHAnsi" w:hAnsiTheme="minorHAnsi" w:cstheme="minorHAnsi"/>
          <w:sz w:val="16"/>
          <w:szCs w:val="16"/>
        </w:rPr>
        <w:t xml:space="preserve">. </w:t>
      </w:r>
      <w:r w:rsidRPr="00E70271">
        <w:rPr>
          <w:rFonts w:asciiTheme="minorHAnsi" w:hAnsiTheme="minorHAnsi"/>
          <w:sz w:val="16"/>
          <w:lang w:val="fr-CH"/>
        </w:rPr>
        <w:t>(n.d.). https://www.cbd.int/conferences/2021-2022/cop-15/documentsasdocument:CBD/COP/15/L25</w:t>
      </w:r>
    </w:p>
  </w:footnote>
  <w:footnote w:id="19">
    <w:p w:rsidRPr="00F41AF2" w:rsidR="00F41AF2" w:rsidP="00F41AF2" w:rsidRDefault="00F41AF2" w14:paraId="269A9857" w14:textId="6F5EF7C5">
      <w:pPr>
        <w:rPr>
          <w:rFonts w:asciiTheme="minorHAnsi" w:hAnsiTheme="minorHAnsi" w:cstheme="minorHAnsi"/>
          <w:sz w:val="16"/>
          <w:szCs w:val="16"/>
        </w:rPr>
      </w:pPr>
      <w:r w:rsidRPr="00F41AF2">
        <w:rPr>
          <w:rStyle w:val="FootnoteReference"/>
          <w:rFonts w:asciiTheme="minorHAnsi" w:hAnsiTheme="minorHAnsi" w:cstheme="minorHAnsi"/>
          <w:sz w:val="16"/>
          <w:szCs w:val="16"/>
        </w:rPr>
        <w:footnoteRef/>
      </w:r>
      <w:r w:rsidRPr="00E70271">
        <w:rPr>
          <w:rFonts w:asciiTheme="minorHAnsi" w:hAnsiTheme="minorHAnsi"/>
          <w:sz w:val="16"/>
          <w:lang w:val="fr-CH"/>
        </w:rPr>
        <w:t xml:space="preserve">Twichell, J., Pollnac, R., &amp; Christie, P. (2018). Lessons from Philippines MPA Management: Social Ecological Interactions, Participation, and MPA Performance. </w:t>
      </w:r>
      <w:r w:rsidRPr="00E70271">
        <w:rPr>
          <w:rFonts w:asciiTheme="minorHAnsi" w:hAnsiTheme="minorHAnsi"/>
          <w:i/>
          <w:sz w:val="16"/>
          <w:lang w:val="fr-CH"/>
        </w:rPr>
        <w:t>Environmental Management</w:t>
      </w:r>
      <w:r w:rsidRPr="00E70271">
        <w:rPr>
          <w:rFonts w:asciiTheme="minorHAnsi" w:hAnsiTheme="minorHAnsi"/>
          <w:sz w:val="16"/>
          <w:lang w:val="fr-CH"/>
        </w:rPr>
        <w:t xml:space="preserve">, </w:t>
      </w:r>
      <w:r w:rsidRPr="00E70271">
        <w:rPr>
          <w:rFonts w:asciiTheme="minorHAnsi" w:hAnsiTheme="minorHAnsi"/>
          <w:i/>
          <w:sz w:val="16"/>
          <w:lang w:val="fr-CH"/>
        </w:rPr>
        <w:t>61</w:t>
      </w:r>
      <w:r w:rsidRPr="00E70271">
        <w:rPr>
          <w:rFonts w:asciiTheme="minorHAnsi" w:hAnsiTheme="minorHAnsi"/>
          <w:sz w:val="16"/>
          <w:lang w:val="fr-CH"/>
        </w:rPr>
        <w:t xml:space="preserve">(6), 916–927. </w:t>
      </w:r>
      <w:hyperlink w:history="1" r:id="rId8">
        <w:r w:rsidRPr="00E70271" w:rsidR="006502D9">
          <w:rPr>
            <w:rStyle w:val="Hyperlink"/>
            <w:rFonts w:asciiTheme="minorHAnsi" w:hAnsiTheme="minorHAnsi"/>
            <w:sz w:val="16"/>
            <w:lang w:val="fr-CH"/>
          </w:rPr>
          <w:t>https://doi.org/10.1007/s00267-018-1020-y</w:t>
        </w:r>
      </w:hyperlink>
      <w:r w:rsidRPr="00E70271">
        <w:rPr>
          <w:rFonts w:asciiTheme="minorHAnsi" w:hAnsiTheme="minorHAnsi"/>
          <w:sz w:val="16"/>
          <w:lang w:val="fr-CH"/>
        </w:rPr>
        <w:t xml:space="preserve">; Danielsen, F., Burgess, N. D., Balmford, A., Donald, P. F., Funder, M., Jones, J. P. G., Alviola, P., Balete, D. S., Blomley, T., Brashares, J., Child, B., Enghoff, M., Fjeldså, J., Holt, S., Hübertz, H., Jensen, A. E., Jensen, P. M., Massao, J., Mendoza, M. M., … </w:t>
      </w:r>
      <w:r w:rsidRPr="00F41AF2">
        <w:rPr>
          <w:rFonts w:asciiTheme="minorHAnsi" w:hAnsiTheme="minorHAnsi" w:cstheme="minorHAnsi"/>
          <w:sz w:val="16"/>
          <w:szCs w:val="16"/>
        </w:rPr>
        <w:t xml:space="preserve">Yonten, D. (2009). Local participation in natural resource monitoring: A characterization of approaches. </w:t>
      </w:r>
      <w:r w:rsidRPr="00F41AF2">
        <w:rPr>
          <w:rFonts w:asciiTheme="minorHAnsi" w:hAnsiTheme="minorHAnsi" w:cstheme="minorHAnsi"/>
          <w:i/>
          <w:iCs/>
          <w:sz w:val="16"/>
          <w:szCs w:val="16"/>
        </w:rPr>
        <w:t>Conservation Biology</w:t>
      </w:r>
      <w:r w:rsidRPr="00F41AF2">
        <w:rPr>
          <w:rFonts w:asciiTheme="minorHAnsi" w:hAnsiTheme="minorHAnsi" w:cstheme="minorHAnsi"/>
          <w:sz w:val="16"/>
          <w:szCs w:val="16"/>
        </w:rPr>
        <w:t xml:space="preserve">, </w:t>
      </w:r>
      <w:r w:rsidRPr="00F41AF2">
        <w:rPr>
          <w:rFonts w:asciiTheme="minorHAnsi" w:hAnsiTheme="minorHAnsi" w:cstheme="minorHAnsi"/>
          <w:i/>
          <w:iCs/>
          <w:sz w:val="16"/>
          <w:szCs w:val="16"/>
        </w:rPr>
        <w:t>23</w:t>
      </w:r>
      <w:r w:rsidRPr="00F41AF2">
        <w:rPr>
          <w:rFonts w:asciiTheme="minorHAnsi" w:hAnsiTheme="minorHAnsi" w:cstheme="minorHAnsi"/>
          <w:sz w:val="16"/>
          <w:szCs w:val="16"/>
        </w:rPr>
        <w:t xml:space="preserve">(1), 31–42. </w:t>
      </w:r>
      <w:hyperlink w:history="1" r:id="rId9">
        <w:r w:rsidRPr="00F41AF2">
          <w:rPr>
            <w:rStyle w:val="Hyperlink"/>
            <w:rFonts w:asciiTheme="minorHAnsi" w:hAnsiTheme="minorHAnsi" w:cstheme="minorHAnsi"/>
            <w:sz w:val="16"/>
            <w:szCs w:val="16"/>
          </w:rPr>
          <w:t>https://doi.org/10.1111/j.1523-1739.2008.01063.x</w:t>
        </w:r>
      </w:hyperlink>
    </w:p>
    <w:p w:rsidRPr="00F41AF2" w:rsidR="00F41AF2" w:rsidP="00F41AF2" w:rsidRDefault="00F41AF2" w14:paraId="13D2FCCD" w14:textId="77777777">
      <w:pPr>
        <w:rPr>
          <w:rFonts w:ascii="Segoe UI" w:hAnsi="Segoe UI" w:cs="Segoe UI"/>
          <w:sz w:val="12"/>
          <w:szCs w:val="12"/>
        </w:rPr>
      </w:pPr>
    </w:p>
  </w:footnote>
  <w:footnote w:id="20">
    <w:p w:rsidRPr="00F41AF2" w:rsidR="00F41AF2" w:rsidP="00F41AF2" w:rsidRDefault="00F41AF2" w14:paraId="20390AFC" w14:textId="77777777">
      <w:pPr>
        <w:pStyle w:val="FootnoteText"/>
        <w:rPr>
          <w:rFonts w:asciiTheme="minorHAnsi" w:hAnsiTheme="minorHAnsi" w:cstheme="minorHAnsi"/>
          <w:sz w:val="16"/>
          <w:szCs w:val="16"/>
        </w:rPr>
      </w:pPr>
      <w:r w:rsidRPr="00F41AF2">
        <w:rPr>
          <w:rStyle w:val="FootnoteReference"/>
          <w:rFonts w:asciiTheme="minorHAnsi" w:hAnsiTheme="minorHAnsi" w:cstheme="minorHAnsi"/>
          <w:sz w:val="16"/>
          <w:szCs w:val="16"/>
        </w:rPr>
        <w:footnoteRef/>
      </w:r>
      <w:r w:rsidRPr="00F41AF2">
        <w:rPr>
          <w:rFonts w:asciiTheme="minorHAnsi" w:hAnsiTheme="minorHAnsi" w:cstheme="minorHAnsi"/>
          <w:sz w:val="16"/>
          <w:szCs w:val="16"/>
        </w:rPr>
        <w:t xml:space="preserve"> OCPP Business Case, p. 25.</w:t>
      </w:r>
    </w:p>
  </w:footnote>
  <w:footnote w:id="21">
    <w:p w:rsidRPr="00E70271" w:rsidR="00F41AF2" w:rsidP="00F41AF2" w:rsidRDefault="00F41AF2" w14:paraId="4767161A" w14:textId="77777777">
      <w:pPr>
        <w:pStyle w:val="FootnoteText"/>
        <w:rPr>
          <w:rFonts w:asciiTheme="minorHAnsi" w:hAnsiTheme="minorHAnsi"/>
          <w:sz w:val="16"/>
          <w:lang w:val="es-MX"/>
        </w:rPr>
      </w:pPr>
      <w:r w:rsidRPr="00F41AF2">
        <w:rPr>
          <w:rStyle w:val="FootnoteReference"/>
          <w:rFonts w:asciiTheme="minorHAnsi" w:hAnsiTheme="minorHAnsi" w:cstheme="minorHAnsi"/>
          <w:sz w:val="16"/>
          <w:szCs w:val="16"/>
        </w:rPr>
        <w:footnoteRef/>
      </w:r>
      <w:r w:rsidRPr="00E70271">
        <w:rPr>
          <w:rFonts w:asciiTheme="minorHAnsi" w:hAnsiTheme="minorHAnsi"/>
          <w:sz w:val="16"/>
          <w:lang w:val="es-MX"/>
        </w:rPr>
        <w:t xml:space="preserve">Ibid, p. 17. </w:t>
      </w:r>
    </w:p>
  </w:footnote>
  <w:footnote w:id="22">
    <w:p w:rsidRPr="00E70271" w:rsidR="00F41AF2" w:rsidP="00F41AF2" w:rsidRDefault="00F41AF2" w14:paraId="58C7B1E5" w14:textId="77777777">
      <w:pPr>
        <w:pStyle w:val="FootnoteText"/>
        <w:rPr>
          <w:rFonts w:asciiTheme="minorHAnsi" w:hAnsiTheme="minorHAnsi"/>
          <w:sz w:val="16"/>
          <w:lang w:val="es-MX"/>
        </w:rPr>
      </w:pPr>
      <w:r w:rsidRPr="00F41AF2">
        <w:rPr>
          <w:rStyle w:val="FootnoteReference"/>
          <w:rFonts w:asciiTheme="minorHAnsi" w:hAnsiTheme="minorHAnsi" w:cstheme="minorHAnsi"/>
          <w:sz w:val="16"/>
          <w:szCs w:val="16"/>
        </w:rPr>
        <w:footnoteRef/>
      </w:r>
      <w:r w:rsidRPr="00E70271">
        <w:rPr>
          <w:rFonts w:asciiTheme="minorHAnsi" w:hAnsiTheme="minorHAnsi"/>
          <w:sz w:val="16"/>
          <w:lang w:val="es-MX"/>
        </w:rPr>
        <w:t xml:space="preserve"> </w:t>
      </w:r>
      <w:hyperlink w:history="1" r:id="rId10">
        <w:r w:rsidRPr="00E70271">
          <w:rPr>
            <w:rStyle w:val="Hyperlink"/>
            <w:rFonts w:asciiTheme="minorHAnsi" w:hAnsiTheme="minorHAnsi"/>
            <w:sz w:val="16"/>
            <w:lang w:val="es-MX"/>
          </w:rPr>
          <w:t>https://events.sustainabledevelopmentreform.org/J0vXGTqo4lRGDr</w:t>
        </w:r>
      </w:hyperlink>
      <w:r w:rsidRPr="00E70271">
        <w:rPr>
          <w:rFonts w:asciiTheme="minorHAnsi" w:hAnsiTheme="minorHAnsi"/>
          <w:sz w:val="16"/>
          <w:lang w:val="es-MX"/>
        </w:rPr>
        <w:t xml:space="preserve"> </w:t>
      </w:r>
    </w:p>
  </w:footnote>
  <w:footnote w:id="23">
    <w:p w:rsidRPr="00F41AF2" w:rsidR="00F41AF2" w:rsidP="00F41AF2" w:rsidRDefault="00F41AF2" w14:paraId="00007EDA" w14:textId="77777777">
      <w:pPr>
        <w:pStyle w:val="FootnoteText"/>
        <w:rPr>
          <w:rFonts w:asciiTheme="minorHAnsi" w:hAnsiTheme="minorHAnsi" w:cstheme="minorHAnsi"/>
          <w:sz w:val="16"/>
          <w:szCs w:val="16"/>
        </w:rPr>
      </w:pPr>
      <w:r w:rsidRPr="00F41AF2">
        <w:rPr>
          <w:rStyle w:val="FootnoteReference"/>
          <w:rFonts w:asciiTheme="minorHAnsi" w:hAnsiTheme="minorHAnsi" w:cstheme="minorHAnsi"/>
          <w:sz w:val="16"/>
          <w:szCs w:val="16"/>
        </w:rPr>
        <w:footnoteRef/>
      </w:r>
      <w:r w:rsidRPr="00F41AF2">
        <w:rPr>
          <w:rFonts w:asciiTheme="minorHAnsi" w:hAnsiTheme="minorHAnsi" w:cstheme="minorHAnsi"/>
          <w:sz w:val="16"/>
          <w:szCs w:val="16"/>
        </w:rPr>
        <w:t xml:space="preserve"> GOAP Business Case, p. 14.</w:t>
      </w:r>
    </w:p>
  </w:footnote>
  <w:footnote w:id="24">
    <w:p w:rsidRPr="00F41AF2" w:rsidR="00F41AF2" w:rsidP="00F41AF2" w:rsidRDefault="00F41AF2" w14:paraId="2E0F30D0" w14:textId="77777777">
      <w:pPr>
        <w:pStyle w:val="FootnoteText"/>
        <w:rPr>
          <w:rFonts w:asciiTheme="minorHAnsi" w:hAnsiTheme="minorHAnsi" w:cstheme="minorHAnsi"/>
          <w:sz w:val="16"/>
          <w:szCs w:val="16"/>
        </w:rPr>
      </w:pPr>
      <w:r w:rsidRPr="00F41AF2">
        <w:rPr>
          <w:rStyle w:val="FootnoteReference"/>
          <w:rFonts w:asciiTheme="minorHAnsi" w:hAnsiTheme="minorHAnsi" w:cstheme="minorHAnsi"/>
          <w:sz w:val="16"/>
          <w:szCs w:val="16"/>
        </w:rPr>
        <w:footnoteRef/>
      </w:r>
      <w:r w:rsidRPr="00F41AF2">
        <w:rPr>
          <w:rFonts w:asciiTheme="minorHAnsi" w:hAnsiTheme="minorHAnsi" w:cstheme="minorHAnsi"/>
          <w:sz w:val="16"/>
          <w:szCs w:val="16"/>
        </w:rPr>
        <w:t xml:space="preserve"> FOA Phase 3 Proposal to Defra</w:t>
      </w:r>
    </w:p>
  </w:footnote>
  <w:footnote w:id="25">
    <w:p w:rsidRPr="00F41AF2" w:rsidR="00F41AF2" w:rsidP="00F41AF2" w:rsidRDefault="00F41AF2" w14:paraId="17D05736" w14:textId="77777777">
      <w:pPr>
        <w:rPr>
          <w:rFonts w:asciiTheme="minorHAnsi" w:hAnsiTheme="minorHAnsi" w:cstheme="minorHAnsi"/>
          <w:sz w:val="16"/>
          <w:szCs w:val="16"/>
        </w:rPr>
      </w:pPr>
      <w:r w:rsidRPr="00F41AF2">
        <w:rPr>
          <w:rStyle w:val="FootnoteReference"/>
          <w:rFonts w:asciiTheme="minorHAnsi" w:hAnsiTheme="minorHAnsi" w:cstheme="minorHAnsi"/>
          <w:sz w:val="16"/>
          <w:szCs w:val="16"/>
        </w:rPr>
        <w:footnoteRef/>
      </w:r>
      <w:r w:rsidRPr="00F41AF2">
        <w:rPr>
          <w:rFonts w:asciiTheme="minorHAnsi" w:hAnsiTheme="minorHAnsi" w:cstheme="minorHAnsi"/>
          <w:sz w:val="16"/>
          <w:szCs w:val="16"/>
        </w:rPr>
        <w:t xml:space="preserve"> </w:t>
      </w:r>
      <w:r w:rsidRPr="00F41AF2">
        <w:rPr>
          <w:rFonts w:eastAsia="Segoe UI" w:asciiTheme="minorHAnsi" w:hAnsiTheme="minorHAnsi" w:cstheme="minorHAnsi"/>
          <w:sz w:val="16"/>
          <w:szCs w:val="16"/>
        </w:rPr>
        <w:t xml:space="preserve">Blasiak, R., Dauriach, A., Jouffray, J. B., Folke, C., Österblom, H., Bebbington, J., Bengtsson, F., Causevic, A., Geerts, B., Grønbrekk, W., Henriksson, P. J. G., Käll, S., Leadbitter, D., McBain, D., Crespo, G. O., Packer, H., Sakaguchi, I., Schultz, L., Selig, E. R., … Crona, B. (2021). Evolving Perspectives of Stewardship in the Seafood Industry. </w:t>
      </w:r>
      <w:r w:rsidRPr="00F41AF2">
        <w:rPr>
          <w:rFonts w:eastAsia="Segoe UI" w:asciiTheme="minorHAnsi" w:hAnsiTheme="minorHAnsi" w:cstheme="minorHAnsi"/>
          <w:i/>
          <w:iCs/>
          <w:sz w:val="16"/>
          <w:szCs w:val="16"/>
        </w:rPr>
        <w:t>Frontiers in Marine Science</w:t>
      </w:r>
      <w:r w:rsidRPr="00F41AF2">
        <w:rPr>
          <w:rFonts w:eastAsia="Segoe UI" w:asciiTheme="minorHAnsi" w:hAnsiTheme="minorHAnsi" w:cstheme="minorHAnsi"/>
          <w:sz w:val="16"/>
          <w:szCs w:val="16"/>
        </w:rPr>
        <w:t xml:space="preserve">, </w:t>
      </w:r>
      <w:r w:rsidRPr="00F41AF2">
        <w:rPr>
          <w:rFonts w:eastAsia="Segoe UI" w:asciiTheme="minorHAnsi" w:hAnsiTheme="minorHAnsi" w:cstheme="minorHAnsi"/>
          <w:i/>
          <w:iCs/>
          <w:sz w:val="16"/>
          <w:szCs w:val="16"/>
        </w:rPr>
        <w:t>8</w:t>
      </w:r>
      <w:r w:rsidRPr="00F41AF2">
        <w:rPr>
          <w:rFonts w:eastAsia="Segoe UI" w:asciiTheme="minorHAnsi" w:hAnsiTheme="minorHAnsi" w:cstheme="minorHAnsi"/>
          <w:sz w:val="16"/>
          <w:szCs w:val="16"/>
        </w:rPr>
        <w:t xml:space="preserve">. </w:t>
      </w:r>
      <w:hyperlink w:history="1" r:id="rId11">
        <w:r w:rsidRPr="00F41AF2">
          <w:rPr>
            <w:rStyle w:val="Hyperlink"/>
            <w:rFonts w:eastAsia="Segoe UI" w:asciiTheme="minorHAnsi" w:hAnsiTheme="minorHAnsi" w:cstheme="minorHAnsi"/>
            <w:sz w:val="16"/>
            <w:szCs w:val="16"/>
          </w:rPr>
          <w:t>https://doi.org/10.3389/fmars.2021.671837</w:t>
        </w:r>
      </w:hyperlink>
      <w:r w:rsidRPr="00F41AF2">
        <w:rPr>
          <w:rFonts w:asciiTheme="minorHAnsi" w:hAnsiTheme="minorHAnsi" w:cstheme="minorHAnsi"/>
          <w:sz w:val="16"/>
          <w:szCs w:val="16"/>
        </w:rPr>
        <w:t xml:space="preserve">; Wilson, J. A., Acheson, J.M, Metcalfe, M., y Kleban, P. (1994). Chaos, complexity and community management of fisheries. </w:t>
      </w:r>
      <w:r w:rsidRPr="00F41AF2">
        <w:rPr>
          <w:rFonts w:asciiTheme="minorHAnsi" w:hAnsiTheme="minorHAnsi" w:cstheme="minorHAnsi"/>
          <w:i/>
          <w:iCs/>
          <w:sz w:val="16"/>
          <w:szCs w:val="16"/>
        </w:rPr>
        <w:t>Marine Policy</w:t>
      </w:r>
      <w:r w:rsidRPr="00F41AF2">
        <w:rPr>
          <w:rFonts w:asciiTheme="minorHAnsi" w:hAnsiTheme="minorHAnsi" w:cstheme="minorHAnsi"/>
          <w:sz w:val="16"/>
          <w:szCs w:val="16"/>
        </w:rPr>
        <w:t xml:space="preserve">, </w:t>
      </w:r>
      <w:r w:rsidRPr="00F41AF2">
        <w:rPr>
          <w:rFonts w:asciiTheme="minorHAnsi" w:hAnsiTheme="minorHAnsi" w:cstheme="minorHAnsi"/>
          <w:i/>
          <w:iCs/>
          <w:sz w:val="16"/>
          <w:szCs w:val="16"/>
        </w:rPr>
        <w:t>18</w:t>
      </w:r>
      <w:r w:rsidRPr="00F41AF2">
        <w:rPr>
          <w:rFonts w:asciiTheme="minorHAnsi" w:hAnsiTheme="minorHAnsi" w:cstheme="minorHAnsi"/>
          <w:sz w:val="16"/>
          <w:szCs w:val="16"/>
        </w:rPr>
        <w:t>(4), 291–305.</w:t>
      </w:r>
    </w:p>
  </w:footnote>
  <w:footnote w:id="26">
    <w:p w:rsidRPr="00F41AF2" w:rsidR="00F41AF2" w:rsidP="00F41AF2" w:rsidRDefault="00F41AF2" w14:paraId="2EAE63FF" w14:textId="5D222A5E">
      <w:pPr>
        <w:rPr>
          <w:rFonts w:ascii="Segoe UI" w:hAnsi="Segoe UI" w:cs="Segoe UI"/>
          <w:sz w:val="16"/>
          <w:szCs w:val="16"/>
        </w:rPr>
      </w:pPr>
      <w:r w:rsidRPr="00F41AF2">
        <w:rPr>
          <w:rStyle w:val="FootnoteReference"/>
          <w:rFonts w:asciiTheme="minorHAnsi" w:hAnsiTheme="minorHAnsi" w:cstheme="minorHAnsi"/>
          <w:sz w:val="16"/>
          <w:szCs w:val="16"/>
        </w:rPr>
        <w:footnoteRef/>
      </w:r>
      <w:r w:rsidRPr="00F41AF2">
        <w:rPr>
          <w:rFonts w:asciiTheme="minorHAnsi" w:hAnsiTheme="minorHAnsi" w:cstheme="minorHAnsi"/>
          <w:sz w:val="16"/>
          <w:szCs w:val="16"/>
          <w:lang w:val="en-US"/>
        </w:rPr>
        <w:t xml:space="preserve"> </w:t>
      </w:r>
      <w:r w:rsidRPr="00F41AF2">
        <w:rPr>
          <w:rFonts w:asciiTheme="minorHAnsi" w:hAnsiTheme="minorHAnsi" w:cstheme="minorHAnsi"/>
          <w:sz w:val="16"/>
          <w:szCs w:val="16"/>
        </w:rPr>
        <w:t xml:space="preserve">Gurney, G. G., Darling, E. S., Jupiter, S. D., Mangubhai, S., Mcclanahan, T. R., Lestari, P., Pardede, S., Campbell, S. J., Fox, M., Naisilisili, W., Muthiga, N. A., Stephanie, D., Holmes, K. E., &amp; Rossi, N. A. (2019). Implementing a social-ecological systems framework for conservation </w:t>
      </w:r>
      <w:r w:rsidRPr="00F41AF2" w:rsidR="00A37B09">
        <w:rPr>
          <w:rFonts w:asciiTheme="minorHAnsi" w:hAnsiTheme="minorHAnsi" w:cstheme="minorHAnsi"/>
          <w:sz w:val="16"/>
          <w:szCs w:val="16"/>
        </w:rPr>
        <w:t>monitoring:</w:t>
      </w:r>
      <w:r w:rsidRPr="00F41AF2">
        <w:rPr>
          <w:rFonts w:asciiTheme="minorHAnsi" w:hAnsiTheme="minorHAnsi" w:cstheme="minorHAnsi"/>
          <w:sz w:val="16"/>
          <w:szCs w:val="16"/>
        </w:rPr>
        <w:t xml:space="preserve"> lessons from a multi-country coral reef program. </w:t>
      </w:r>
      <w:r w:rsidRPr="00F41AF2">
        <w:rPr>
          <w:rFonts w:asciiTheme="minorHAnsi" w:hAnsiTheme="minorHAnsi" w:cstheme="minorHAnsi"/>
          <w:i/>
          <w:iCs/>
          <w:sz w:val="16"/>
          <w:szCs w:val="16"/>
        </w:rPr>
        <w:t>Biological Conservation</w:t>
      </w:r>
      <w:r w:rsidRPr="00F41AF2">
        <w:rPr>
          <w:rFonts w:asciiTheme="minorHAnsi" w:hAnsiTheme="minorHAnsi" w:cstheme="minorHAnsi"/>
          <w:sz w:val="16"/>
          <w:szCs w:val="16"/>
        </w:rPr>
        <w:t xml:space="preserve">, </w:t>
      </w:r>
      <w:r w:rsidRPr="00F41AF2">
        <w:rPr>
          <w:rFonts w:asciiTheme="minorHAnsi" w:hAnsiTheme="minorHAnsi" w:cstheme="minorHAnsi"/>
          <w:i/>
          <w:iCs/>
          <w:sz w:val="16"/>
          <w:szCs w:val="16"/>
        </w:rPr>
        <w:t>240</w:t>
      </w:r>
      <w:r w:rsidRPr="00F41AF2">
        <w:rPr>
          <w:rFonts w:asciiTheme="minorHAnsi" w:hAnsiTheme="minorHAnsi" w:cstheme="minorHAnsi"/>
          <w:sz w:val="16"/>
          <w:szCs w:val="16"/>
        </w:rPr>
        <w:t>(October), 108298. https://doi.org/10.1016/j.biocon.2019.108298;</w:t>
      </w:r>
      <w:r w:rsidRPr="00F41AF2">
        <w:rPr>
          <w:rFonts w:asciiTheme="minorHAnsi" w:hAnsiTheme="minorHAnsi" w:cstheme="minorHAnsi"/>
          <w:sz w:val="16"/>
          <w:szCs w:val="16"/>
          <w:lang w:val="en-US"/>
        </w:rPr>
        <w:t xml:space="preserve"> </w:t>
      </w:r>
      <w:r w:rsidRPr="00F41AF2">
        <w:rPr>
          <w:rFonts w:asciiTheme="minorHAnsi" w:hAnsiTheme="minorHAnsi" w:cstheme="minorHAnsi"/>
          <w:sz w:val="16"/>
          <w:szCs w:val="16"/>
        </w:rPr>
        <w:t xml:space="preserve">Rees, S. E., Pittman, S. J., Foster, N., Langmead, O., Griffiths, C., Fletcher, S., Johnson, D. E., &amp; Attrill, M. (2018). Bridging the divide: Social–ecological coherence in Marine Protected Area network design. </w:t>
      </w:r>
      <w:r w:rsidRPr="00F41AF2">
        <w:rPr>
          <w:rFonts w:asciiTheme="minorHAnsi" w:hAnsiTheme="minorHAnsi" w:cstheme="minorHAnsi"/>
          <w:i/>
          <w:iCs/>
          <w:sz w:val="16"/>
          <w:szCs w:val="16"/>
        </w:rPr>
        <w:t>Aquatic Conservation: Marine and Freshwater Ecosystems</w:t>
      </w:r>
      <w:r w:rsidRPr="00F41AF2">
        <w:rPr>
          <w:rFonts w:asciiTheme="minorHAnsi" w:hAnsiTheme="minorHAnsi" w:cstheme="minorHAnsi"/>
          <w:sz w:val="16"/>
          <w:szCs w:val="16"/>
        </w:rPr>
        <w:t xml:space="preserve">, </w:t>
      </w:r>
      <w:r w:rsidRPr="00F41AF2">
        <w:rPr>
          <w:rFonts w:asciiTheme="minorHAnsi" w:hAnsiTheme="minorHAnsi" w:cstheme="minorHAnsi"/>
          <w:i/>
          <w:iCs/>
          <w:sz w:val="16"/>
          <w:szCs w:val="16"/>
        </w:rPr>
        <w:t>28</w:t>
      </w:r>
      <w:r w:rsidRPr="00F41AF2">
        <w:rPr>
          <w:rFonts w:asciiTheme="minorHAnsi" w:hAnsiTheme="minorHAnsi" w:cstheme="minorHAnsi"/>
          <w:sz w:val="16"/>
          <w:szCs w:val="16"/>
        </w:rPr>
        <w:t xml:space="preserve">(3), 754–763. </w:t>
      </w:r>
      <w:hyperlink w:history="1" r:id="rId12">
        <w:r w:rsidRPr="00F41AF2">
          <w:rPr>
            <w:rStyle w:val="Hyperlink"/>
            <w:rFonts w:asciiTheme="minorHAnsi" w:hAnsiTheme="minorHAnsi" w:cstheme="minorHAnsi"/>
            <w:sz w:val="16"/>
            <w:szCs w:val="16"/>
          </w:rPr>
          <w:t>https://doi.org/10.1002/aqc.2885</w:t>
        </w:r>
      </w:hyperlink>
      <w:r w:rsidRPr="00F41AF2">
        <w:rPr>
          <w:rFonts w:asciiTheme="minorHAnsi" w:hAnsiTheme="minorHAnsi" w:cstheme="minorHAnsi"/>
          <w:sz w:val="16"/>
          <w:szCs w:val="16"/>
          <w:lang w:val="en-US"/>
        </w:rPr>
        <w:t xml:space="preserve">; </w:t>
      </w:r>
      <w:r w:rsidRPr="00F41AF2">
        <w:rPr>
          <w:rFonts w:asciiTheme="minorHAnsi" w:hAnsiTheme="minorHAnsi" w:cstheme="minorHAnsi"/>
          <w:sz w:val="16"/>
          <w:szCs w:val="16"/>
        </w:rPr>
        <w:t xml:space="preserve">Mcginnis, M. D., &amp; Ostrom, E. (2014). Social-ecological system framework: initial changes and continuing. </w:t>
      </w:r>
      <w:r w:rsidRPr="00F41AF2">
        <w:rPr>
          <w:rFonts w:asciiTheme="minorHAnsi" w:hAnsiTheme="minorHAnsi" w:cstheme="minorHAnsi"/>
          <w:i/>
          <w:iCs/>
          <w:sz w:val="16"/>
          <w:szCs w:val="16"/>
        </w:rPr>
        <w:t>Ecology and Society</w:t>
      </w:r>
      <w:r w:rsidRPr="00F41AF2">
        <w:rPr>
          <w:rFonts w:asciiTheme="minorHAnsi" w:hAnsiTheme="minorHAnsi" w:cstheme="minorHAnsi"/>
          <w:sz w:val="16"/>
          <w:szCs w:val="16"/>
        </w:rPr>
        <w:t xml:space="preserve">, </w:t>
      </w:r>
      <w:r w:rsidRPr="00F41AF2">
        <w:rPr>
          <w:rFonts w:asciiTheme="minorHAnsi" w:hAnsiTheme="minorHAnsi" w:cstheme="minorHAnsi"/>
          <w:i/>
          <w:iCs/>
          <w:sz w:val="16"/>
          <w:szCs w:val="16"/>
        </w:rPr>
        <w:t>19</w:t>
      </w:r>
      <w:r w:rsidRPr="00F41AF2">
        <w:rPr>
          <w:rFonts w:asciiTheme="minorHAnsi" w:hAnsiTheme="minorHAnsi" w:cstheme="minorHAnsi"/>
          <w:sz w:val="16"/>
          <w:szCs w:val="16"/>
        </w:rPr>
        <w:t>(2).</w:t>
      </w:r>
    </w:p>
  </w:footnote>
  <w:footnote w:id="27">
    <w:p w:rsidRPr="00F41AF2" w:rsidR="00F41AF2" w:rsidP="00F41AF2" w:rsidRDefault="00F41AF2" w14:paraId="733EFC02" w14:textId="77777777">
      <w:pPr>
        <w:pStyle w:val="FootnoteText"/>
        <w:rPr>
          <w:rFonts w:asciiTheme="minorHAnsi" w:hAnsiTheme="minorHAnsi" w:cstheme="minorHAnsi"/>
          <w:sz w:val="16"/>
          <w:szCs w:val="16"/>
        </w:rPr>
      </w:pPr>
      <w:r w:rsidRPr="00F41AF2">
        <w:rPr>
          <w:rStyle w:val="FootnoteReference"/>
          <w:rFonts w:asciiTheme="minorHAnsi" w:hAnsiTheme="minorHAnsi" w:cstheme="minorHAnsi"/>
          <w:sz w:val="16"/>
          <w:szCs w:val="16"/>
        </w:rPr>
        <w:footnoteRef/>
      </w:r>
      <w:r w:rsidRPr="00F41AF2">
        <w:rPr>
          <w:rFonts w:asciiTheme="minorHAnsi" w:hAnsiTheme="minorHAnsi" w:cstheme="minorHAnsi"/>
          <w:sz w:val="16"/>
          <w:szCs w:val="16"/>
        </w:rPr>
        <w:t xml:space="preserve"> </w:t>
      </w:r>
      <w:r w:rsidRPr="00F41AF2">
        <w:rPr>
          <w:rFonts w:asciiTheme="minorHAnsi" w:hAnsiTheme="minorHAnsi" w:cstheme="minorHAnsi"/>
          <w:color w:val="000000"/>
          <w:sz w:val="16"/>
          <w:szCs w:val="12"/>
          <w:shd w:val="clear" w:color="auto" w:fill="FFFFFF"/>
        </w:rPr>
        <w:t> Agulhas (2019): </w:t>
      </w:r>
      <w:hyperlink w:tgtFrame="_blank" w:history="1" r:id="rId13">
        <w:r w:rsidRPr="00F41AF2">
          <w:rPr>
            <w:rFonts w:asciiTheme="minorHAnsi" w:hAnsiTheme="minorHAnsi" w:cstheme="minorHAnsi"/>
            <w:color w:val="013AD9"/>
            <w:sz w:val="16"/>
            <w:szCs w:val="12"/>
            <w:u w:val="single"/>
            <w:shd w:val="clear" w:color="auto" w:fill="FFFFFF"/>
          </w:rPr>
          <w:t>Technical Assistance: New thinking on an old problem (agulhas.co.uk)</w:t>
        </w:r>
      </w:hyperlink>
    </w:p>
  </w:footnote>
  <w:footnote w:id="28">
    <w:p w:rsidR="00F41AF2" w:rsidP="00F41AF2" w:rsidRDefault="00F41AF2" w14:paraId="5256D8C7" w14:textId="77777777">
      <w:pPr>
        <w:pStyle w:val="FootnoteText"/>
      </w:pPr>
      <w:r w:rsidRPr="00F41AF2">
        <w:rPr>
          <w:rStyle w:val="FootnoteReference"/>
          <w:rFonts w:asciiTheme="minorHAnsi" w:hAnsiTheme="minorHAnsi" w:cstheme="minorHAnsi"/>
          <w:sz w:val="16"/>
          <w:szCs w:val="16"/>
        </w:rPr>
        <w:footnoteRef/>
      </w:r>
      <w:r w:rsidRPr="00F41AF2">
        <w:rPr>
          <w:rFonts w:asciiTheme="minorHAnsi" w:hAnsiTheme="minorHAnsi" w:cstheme="minorHAnsi"/>
          <w:sz w:val="16"/>
          <w:szCs w:val="16"/>
        </w:rPr>
        <w:t xml:space="preserve"> OCPP Business Case, p.16.</w:t>
      </w:r>
    </w:p>
  </w:footnote>
  <w:footnote w:id="29">
    <w:p w:rsidRPr="00F41AF2" w:rsidR="00F41AF2" w:rsidP="00F41AF2" w:rsidRDefault="00F41AF2" w14:paraId="68C73477" w14:textId="77777777">
      <w:pPr>
        <w:pStyle w:val="FootnoteText"/>
        <w:rPr>
          <w:sz w:val="16"/>
          <w:szCs w:val="16"/>
        </w:rPr>
      </w:pPr>
      <w:r w:rsidRPr="00F41AF2">
        <w:rPr>
          <w:rStyle w:val="FootnoteReference"/>
          <w:sz w:val="16"/>
          <w:szCs w:val="16"/>
        </w:rPr>
        <w:footnoteRef/>
      </w:r>
      <w:r w:rsidRPr="00F41AF2">
        <w:rPr>
          <w:sz w:val="16"/>
          <w:szCs w:val="16"/>
        </w:rPr>
        <w:t xml:space="preserve"> https://events.sustainabledevelopmentreform.org/J0vXGTqo4lRGDr</w:t>
      </w:r>
    </w:p>
  </w:footnote>
  <w:footnote w:id="30">
    <w:p w:rsidRPr="00F41AF2" w:rsidR="00F41AF2" w:rsidP="00F41AF2" w:rsidRDefault="00F41AF2" w14:paraId="3D34A1D5" w14:textId="77777777">
      <w:pPr>
        <w:pStyle w:val="FootnoteText"/>
        <w:rPr>
          <w:sz w:val="16"/>
          <w:szCs w:val="16"/>
        </w:rPr>
      </w:pPr>
      <w:r w:rsidRPr="00F41AF2">
        <w:rPr>
          <w:rStyle w:val="FootnoteReference"/>
          <w:sz w:val="16"/>
          <w:szCs w:val="16"/>
        </w:rPr>
        <w:footnoteRef/>
      </w:r>
      <w:r w:rsidRPr="00F41AF2">
        <w:rPr>
          <w:sz w:val="16"/>
          <w:szCs w:val="16"/>
        </w:rPr>
        <w:t xml:space="preserve"> FOA Business Case, p. 13.</w:t>
      </w:r>
    </w:p>
  </w:footnote>
  <w:footnote w:id="31">
    <w:p w:rsidRPr="00F41AF2" w:rsidR="00F41AF2" w:rsidP="00F41AF2" w:rsidRDefault="00F41AF2" w14:paraId="273131BC" w14:textId="77777777">
      <w:pPr>
        <w:pStyle w:val="FootnoteText"/>
        <w:rPr>
          <w:sz w:val="16"/>
          <w:szCs w:val="16"/>
        </w:rPr>
      </w:pPr>
      <w:r w:rsidRPr="00F41AF2">
        <w:rPr>
          <w:rStyle w:val="FootnoteReference"/>
          <w:sz w:val="16"/>
          <w:szCs w:val="16"/>
        </w:rPr>
        <w:footnoteRef/>
      </w:r>
      <w:r w:rsidRPr="00F41AF2">
        <w:rPr>
          <w:sz w:val="16"/>
          <w:szCs w:val="16"/>
        </w:rPr>
        <w:t xml:space="preserve"> GOAP Business Case p.19.</w:t>
      </w:r>
    </w:p>
  </w:footnote>
  <w:footnote w:id="32">
    <w:p w:rsidRPr="00F41AF2" w:rsidR="00F41AF2" w:rsidP="00F41AF2" w:rsidRDefault="00F41AF2" w14:paraId="254DCC78" w14:textId="77777777">
      <w:pPr>
        <w:pStyle w:val="FootnoteText"/>
        <w:rPr>
          <w:sz w:val="16"/>
          <w:szCs w:val="16"/>
        </w:rPr>
      </w:pPr>
      <w:r w:rsidRPr="00F41AF2">
        <w:rPr>
          <w:rStyle w:val="FootnoteReference"/>
          <w:sz w:val="16"/>
          <w:szCs w:val="16"/>
        </w:rPr>
        <w:footnoteRef/>
      </w:r>
      <w:r w:rsidRPr="00F41AF2">
        <w:rPr>
          <w:sz w:val="16"/>
          <w:szCs w:val="16"/>
        </w:rPr>
        <w:t xml:space="preserve"> SUSTAINABLE – For the purposes of this initiative, we define “sustainable” as operating at a level necessary to earn sustainability recognition such as Marine Stewardship Council certification, or green-listed in SFP’s Metrics tool (SFP 2020.  OUR TARGET 75 INITIATIVE).</w:t>
      </w:r>
    </w:p>
  </w:footnote>
  <w:footnote w:id="33">
    <w:p w:rsidRPr="00F41AF2" w:rsidR="00F41AF2" w:rsidP="00F41AF2" w:rsidRDefault="00F41AF2" w14:paraId="34A9E2E6" w14:textId="77777777">
      <w:pPr>
        <w:rPr>
          <w:sz w:val="16"/>
          <w:szCs w:val="16"/>
        </w:rPr>
      </w:pPr>
      <w:r w:rsidRPr="00F41AF2">
        <w:rPr>
          <w:rStyle w:val="FootnoteReference"/>
          <w:sz w:val="16"/>
          <w:szCs w:val="16"/>
        </w:rPr>
        <w:footnoteRef/>
      </w:r>
      <w:r w:rsidRPr="00F41AF2">
        <w:rPr>
          <w:sz w:val="16"/>
          <w:szCs w:val="16"/>
        </w:rPr>
        <w:t xml:space="preserve"> Crona, B., Käll, S., &amp; van Holt, T. (2019). Fishery Improvement Projects as a governance tool for fisheries sustainability: A global comparative analysis. </w:t>
      </w:r>
      <w:r w:rsidRPr="00F41AF2">
        <w:rPr>
          <w:i/>
          <w:iCs/>
          <w:sz w:val="16"/>
          <w:szCs w:val="16"/>
        </w:rPr>
        <w:t>PLoS ONE</w:t>
      </w:r>
      <w:r w:rsidRPr="00F41AF2">
        <w:rPr>
          <w:sz w:val="16"/>
          <w:szCs w:val="16"/>
        </w:rPr>
        <w:t xml:space="preserve">, </w:t>
      </w:r>
      <w:r w:rsidRPr="00F41AF2">
        <w:rPr>
          <w:i/>
          <w:iCs/>
          <w:sz w:val="16"/>
          <w:szCs w:val="16"/>
        </w:rPr>
        <w:t>14</w:t>
      </w:r>
      <w:r w:rsidRPr="00F41AF2">
        <w:rPr>
          <w:sz w:val="16"/>
          <w:szCs w:val="16"/>
        </w:rPr>
        <w:t xml:space="preserve">(10). </w:t>
      </w:r>
      <w:hyperlink w:history="1" r:id="rId14">
        <w:r w:rsidRPr="00F41AF2">
          <w:rPr>
            <w:rStyle w:val="Hyperlink"/>
            <w:sz w:val="16"/>
            <w:szCs w:val="16"/>
          </w:rPr>
          <w:t>https://doi.org/10.1371/journal.pone.0223054</w:t>
        </w:r>
      </w:hyperlink>
    </w:p>
  </w:footnote>
  <w:footnote w:id="34">
    <w:p w:rsidRPr="00F41AF2" w:rsidR="00F41AF2" w:rsidP="00F41AF2" w:rsidRDefault="00F41AF2" w14:paraId="74725A15" w14:textId="77777777">
      <w:pPr>
        <w:rPr>
          <w:sz w:val="16"/>
          <w:szCs w:val="16"/>
        </w:rPr>
      </w:pPr>
      <w:r w:rsidRPr="00F41AF2">
        <w:rPr>
          <w:rStyle w:val="FootnoteReference"/>
          <w:sz w:val="16"/>
          <w:szCs w:val="16"/>
        </w:rPr>
        <w:footnoteRef/>
      </w:r>
      <w:r w:rsidRPr="00F41AF2">
        <w:rPr>
          <w:sz w:val="16"/>
          <w:szCs w:val="16"/>
        </w:rPr>
        <w:t xml:space="preserve"> Fox, M., Mitchell, M., Dean, M., Elliott, C., &amp; Campbell, K. (2018). The seafood supply chain from a fraudulent perspective. In </w:t>
      </w:r>
      <w:r w:rsidRPr="00F41AF2">
        <w:rPr>
          <w:i/>
          <w:iCs/>
          <w:sz w:val="16"/>
          <w:szCs w:val="16"/>
        </w:rPr>
        <w:t>Food Security</w:t>
      </w:r>
      <w:r w:rsidRPr="00F41AF2">
        <w:rPr>
          <w:sz w:val="16"/>
          <w:szCs w:val="16"/>
        </w:rPr>
        <w:t xml:space="preserve"> (Vol. 10, Issue 4, pp. 939–963). Springer Netherlands. </w:t>
      </w:r>
      <w:hyperlink w:history="1" r:id="rId15">
        <w:r w:rsidRPr="00F41AF2">
          <w:rPr>
            <w:rStyle w:val="Hyperlink"/>
            <w:sz w:val="16"/>
            <w:szCs w:val="16"/>
          </w:rPr>
          <w:t>https://doi.org/10.1007/s12571-018-0826-z</w:t>
        </w:r>
      </w:hyperlink>
    </w:p>
  </w:footnote>
  <w:footnote w:id="35">
    <w:p w:rsidR="00F41AF2" w:rsidP="00F41AF2" w:rsidRDefault="00F41AF2" w14:paraId="61F6D13C" w14:textId="77777777">
      <w:pPr>
        <w:pStyle w:val="FootnoteText"/>
      </w:pPr>
      <w:r w:rsidRPr="00F41AF2">
        <w:rPr>
          <w:rStyle w:val="FootnoteReference"/>
          <w:sz w:val="16"/>
          <w:szCs w:val="16"/>
        </w:rPr>
        <w:footnoteRef/>
      </w:r>
      <w:r w:rsidRPr="00F41AF2">
        <w:rPr>
          <w:sz w:val="16"/>
          <w:szCs w:val="16"/>
        </w:rPr>
        <w:t xml:space="preserve"> FOA Phase 3 Proposal to Defra</w:t>
      </w:r>
    </w:p>
  </w:footnote>
  <w:footnote w:id="36">
    <w:p w:rsidR="00F41AF2" w:rsidP="00F41AF2" w:rsidRDefault="00F41AF2" w14:paraId="54C5E381" w14:textId="77777777">
      <w:r w:rsidRPr="005C506E">
        <w:rPr>
          <w:rStyle w:val="FootnoteReference"/>
          <w:sz w:val="16"/>
        </w:rPr>
        <w:footnoteRef/>
      </w:r>
      <w:r>
        <w:t xml:space="preserve"> </w:t>
      </w:r>
      <w:r w:rsidRPr="00115472">
        <w:rPr>
          <w:rFonts w:eastAsia="Segoe UI" w:cs="Segoe UI"/>
          <w:sz w:val="16"/>
          <w:szCs w:val="16"/>
        </w:rPr>
        <w:t xml:space="preserve">Blasiak, R., Dauriach, A., Jouffray, J. B., Folke, C., Österblom, H., Bebbington, J., Bengtsson, F., Causevic, A., Geerts, B., Grønbrekk, W., Henriksson, P. J. G., Käll, S., Leadbitter, D., McBain, D., Crespo, G. O., Packer, H., Sakaguchi, I., Schultz, L., Selig, E. R., … Crona, B. (2021). Evolving Perspectives of Stewardship in the Seafood Industry. </w:t>
      </w:r>
      <w:r w:rsidRPr="00885FF7">
        <w:rPr>
          <w:rFonts w:eastAsia="Segoe UI" w:cs="Segoe UI"/>
          <w:sz w:val="16"/>
          <w:szCs w:val="16"/>
        </w:rPr>
        <w:t xml:space="preserve">Frontiers in Marine Science, </w:t>
      </w:r>
      <w:r w:rsidRPr="00115472">
        <w:rPr>
          <w:rFonts w:eastAsia="Segoe UI" w:cs="Segoe UI"/>
          <w:sz w:val="16"/>
          <w:szCs w:val="16"/>
        </w:rPr>
        <w:t>8</w:t>
      </w:r>
      <w:r w:rsidRPr="00885FF7">
        <w:rPr>
          <w:rFonts w:eastAsia="Segoe UI" w:cs="Segoe UI"/>
          <w:sz w:val="16"/>
          <w:szCs w:val="16"/>
        </w:rPr>
        <w:t xml:space="preserve">. </w:t>
      </w:r>
      <w:hyperlink w:history="1" r:id="rId16">
        <w:r w:rsidRPr="00885FF7">
          <w:rPr>
            <w:rFonts w:eastAsia="Segoe UI" w:cs="Segoe UI"/>
            <w:sz w:val="16"/>
            <w:szCs w:val="16"/>
          </w:rPr>
          <w:t>https://doi.org/10.3389/fmars.2021.671837</w:t>
        </w:r>
      </w:hyperlink>
    </w:p>
    <w:p w:rsidR="00F41AF2" w:rsidP="00F41AF2" w:rsidRDefault="00F41AF2" w14:paraId="46B5BD9B"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C21E67" w:rsidRDefault="00C21E67" w14:paraId="3A226F00" w14:textId="68E5794D">
    <w:pPr>
      <w:pStyle w:val="Header"/>
    </w:pPr>
    <w:r>
      <w:rPr>
        <w:noProof/>
      </w:rPr>
      <mc:AlternateContent>
        <mc:Choice Requires="wps">
          <w:drawing>
            <wp:anchor distT="0" distB="0" distL="0" distR="0" simplePos="0" relativeHeight="251658241" behindDoc="0" locked="0" layoutInCell="1" allowOverlap="1" wp14:anchorId="466B6E3E" wp14:editId="5E21E81B">
              <wp:simplePos x="635" y="635"/>
              <wp:positionH relativeFrom="leftMargin">
                <wp:align>left</wp:align>
              </wp:positionH>
              <wp:positionV relativeFrom="paragraph">
                <wp:posOffset>635</wp:posOffset>
              </wp:positionV>
              <wp:extent cx="443865" cy="443865"/>
              <wp:effectExtent l="0" t="0" r="10160" b="1651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21E67" w:rsidR="00C21E67" w:rsidRDefault="00C21E67" w14:paraId="365A11A8" w14:textId="38641C0B">
                          <w:pPr>
                            <w:rPr>
                              <w:rFonts w:ascii="Calibri" w:hAnsi="Calibri" w:eastAsia="Calibri" w:cs="Calibri"/>
                              <w:noProof/>
                              <w:color w:val="000000"/>
                              <w:sz w:val="20"/>
                              <w:szCs w:val="20"/>
                            </w:rPr>
                          </w:pPr>
                          <w:r w:rsidRPr="00C21E67">
                            <w:rPr>
                              <w:rFonts w:ascii="Calibri" w:hAnsi="Calibri" w:eastAsia="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w14:anchorId="61308442">
            <v:shapetype id="_x0000_t202" coordsize="21600,21600" o:spt="202" path="m,l,21600r21600,l21600,xe" w14:anchorId="466B6E3E">
              <v:stroke joinstyle="miter"/>
              <v:path gradientshapeok="t" o:connecttype="rect"/>
            </v:shapetype>
            <v:shape id="Text Box 3"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v:textbox style="mso-fit-shape-to-text:t" inset="5pt,0,0,0">
                <w:txbxContent>
                  <w:p w:rsidRPr="00C21E67" w:rsidR="00C21E67" w:rsidRDefault="00C21E67" w14:paraId="17D1F485" w14:textId="38641C0B">
                    <w:pPr>
                      <w:rPr>
                        <w:rFonts w:ascii="Calibri" w:hAnsi="Calibri" w:eastAsia="Calibri" w:cs="Calibri"/>
                        <w:noProof/>
                        <w:color w:val="000000"/>
                        <w:sz w:val="20"/>
                        <w:szCs w:val="20"/>
                      </w:rPr>
                    </w:pPr>
                    <w:r w:rsidRPr="00C21E67">
                      <w:rPr>
                        <w:rFonts w:ascii="Calibri" w:hAnsi="Calibri" w:eastAsia="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6E5785" w:rsidRDefault="00C21E67" w14:paraId="336F92EF" w14:textId="7F5B5ADD">
    <w:pPr>
      <w:pStyle w:val="Header"/>
    </w:pPr>
    <w:r>
      <w:rPr>
        <w:noProof/>
      </w:rPr>
      <mc:AlternateContent>
        <mc:Choice Requires="wps">
          <w:drawing>
            <wp:anchor distT="0" distB="0" distL="0" distR="0" simplePos="0" relativeHeight="251658242" behindDoc="0" locked="0" layoutInCell="1" allowOverlap="1" wp14:anchorId="6EB9D189" wp14:editId="64ACB243">
              <wp:simplePos x="914400" y="450850"/>
              <wp:positionH relativeFrom="leftMargin">
                <wp:align>left</wp:align>
              </wp:positionH>
              <wp:positionV relativeFrom="paragraph">
                <wp:posOffset>635</wp:posOffset>
              </wp:positionV>
              <wp:extent cx="443865" cy="443865"/>
              <wp:effectExtent l="0" t="0" r="10160" b="1651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21E67" w:rsidR="00C21E67" w:rsidRDefault="00C21E67" w14:paraId="7A2CA2A3" w14:textId="1D685103">
                          <w:pPr>
                            <w:rPr>
                              <w:rFonts w:ascii="Calibri" w:hAnsi="Calibri" w:eastAsia="Calibri" w:cs="Calibri"/>
                              <w:noProof/>
                              <w:color w:val="000000"/>
                              <w:sz w:val="20"/>
                              <w:szCs w:val="20"/>
                            </w:rPr>
                          </w:pPr>
                          <w:r w:rsidRPr="00C21E67">
                            <w:rPr>
                              <w:rFonts w:ascii="Calibri" w:hAnsi="Calibri" w:eastAsia="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w14:anchorId="46140677">
            <v:shapetype id="_x0000_t202" coordsize="21600,21600" o:spt="202" path="m,l,21600r21600,l21600,xe" w14:anchorId="6EB9D189">
              <v:stroke joinstyle="miter"/>
              <v:path gradientshapeok="t" o:connecttype="rect"/>
            </v:shapetype>
            <v:shape id="Text Box 4"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v:textbox style="mso-fit-shape-to-text:t" inset="5pt,0,0,0">
                <w:txbxContent>
                  <w:p w:rsidRPr="00C21E67" w:rsidR="00C21E67" w:rsidRDefault="00C21E67" w14:paraId="75F360E3" w14:textId="1D685103">
                    <w:pPr>
                      <w:rPr>
                        <w:rFonts w:ascii="Calibri" w:hAnsi="Calibri" w:eastAsia="Calibri" w:cs="Calibri"/>
                        <w:noProof/>
                        <w:color w:val="000000"/>
                        <w:sz w:val="20"/>
                        <w:szCs w:val="20"/>
                      </w:rPr>
                    </w:pPr>
                    <w:r w:rsidRPr="00C21E67">
                      <w:rPr>
                        <w:rFonts w:ascii="Calibri" w:hAnsi="Calibri" w:eastAsia="Calibri" w:cs="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C21E67" w:rsidRDefault="00C21E67" w14:paraId="3B2DC7FF" w14:textId="2D416E09">
    <w:pPr>
      <w:pStyle w:val="Header"/>
    </w:pPr>
    <w:r>
      <w:rPr>
        <w:noProof/>
      </w:rPr>
      <mc:AlternateContent>
        <mc:Choice Requires="wps">
          <w:drawing>
            <wp:anchor distT="0" distB="0" distL="0" distR="0" simplePos="0" relativeHeight="251658240" behindDoc="0" locked="0" layoutInCell="1" allowOverlap="1" wp14:anchorId="4227164D" wp14:editId="5E84EC33">
              <wp:simplePos x="635" y="635"/>
              <wp:positionH relativeFrom="leftMargin">
                <wp:align>left</wp:align>
              </wp:positionH>
              <wp:positionV relativeFrom="paragraph">
                <wp:posOffset>635</wp:posOffset>
              </wp:positionV>
              <wp:extent cx="443865" cy="443865"/>
              <wp:effectExtent l="0" t="0" r="10160" b="1651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21E67" w:rsidR="00C21E67" w:rsidRDefault="00C21E67" w14:paraId="48C7AD4D" w14:textId="2F504667">
                          <w:pPr>
                            <w:rPr>
                              <w:rFonts w:ascii="Calibri" w:hAnsi="Calibri" w:eastAsia="Calibri" w:cs="Calibri"/>
                              <w:noProof/>
                              <w:color w:val="000000"/>
                              <w:sz w:val="20"/>
                              <w:szCs w:val="20"/>
                            </w:rPr>
                          </w:pPr>
                          <w:r w:rsidRPr="00C21E67">
                            <w:rPr>
                              <w:rFonts w:ascii="Calibri" w:hAnsi="Calibri" w:eastAsia="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w14:anchorId="32B4ED0B">
            <v:shapetype id="_x0000_t202" coordsize="21600,21600" o:spt="202" path="m,l,21600r21600,l21600,xe" w14:anchorId="4227164D">
              <v:stroke joinstyle="miter"/>
              <v:path gradientshapeok="t" o:connecttype="rect"/>
            </v:shapetype>
            <v:shape id="Text Box 2"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v:textbox style="mso-fit-shape-to-text:t" inset="5pt,0,0,0">
                <w:txbxContent>
                  <w:p w:rsidRPr="00C21E67" w:rsidR="00C21E67" w:rsidRDefault="00C21E67" w14:paraId="171AAEBA" w14:textId="2F504667">
                    <w:pPr>
                      <w:rPr>
                        <w:rFonts w:ascii="Calibri" w:hAnsi="Calibri" w:eastAsia="Calibri" w:cs="Calibri"/>
                        <w:noProof/>
                        <w:color w:val="000000"/>
                        <w:sz w:val="20"/>
                        <w:szCs w:val="20"/>
                      </w:rPr>
                    </w:pPr>
                    <w:r w:rsidRPr="00C21E67">
                      <w:rPr>
                        <w:rFonts w:ascii="Calibri" w:hAnsi="Calibri" w:eastAsia="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5076"/>
    <w:multiLevelType w:val="hybridMultilevel"/>
    <w:tmpl w:val="12AEFE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CD5A5D"/>
    <w:multiLevelType w:val="multilevel"/>
    <w:tmpl w:val="ABFC7E52"/>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hint="default" w:ascii="Arial" w:hAnsi="Arial" w:eastAsia="Times New Roman" w:cs="Arial"/>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7254DD9"/>
    <w:multiLevelType w:val="multilevel"/>
    <w:tmpl w:val="0EC2750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9C57F95"/>
    <w:multiLevelType w:val="hybridMultilevel"/>
    <w:tmpl w:val="24A895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593471"/>
    <w:multiLevelType w:val="hybridMultilevel"/>
    <w:tmpl w:val="2AEAA0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BE71DF"/>
    <w:multiLevelType w:val="multilevel"/>
    <w:tmpl w:val="8B30438C"/>
    <w:lvl w:ilvl="0">
      <w:start w:val="3"/>
      <w:numFmt w:val="decimal"/>
      <w:lvlText w:val="%1."/>
      <w:lvlJc w:val="left"/>
      <w:pPr>
        <w:tabs>
          <w:tab w:val="num" w:pos="360"/>
        </w:tabs>
        <w:ind w:left="360" w:hanging="360"/>
      </w:pPr>
      <w:rPr>
        <w:rFonts w:hint="default"/>
        <w:sz w:val="20"/>
      </w:rPr>
    </w:lvl>
    <w:lvl w:ilvl="1">
      <w:start w:val="2"/>
      <w:numFmt w:val="decimal"/>
      <w:lvlText w:val="%2."/>
      <w:lvlJc w:val="left"/>
      <w:pPr>
        <w:ind w:left="1080" w:hanging="360"/>
      </w:pPr>
      <w:rPr>
        <w:rFonts w:hint="default"/>
      </w:rPr>
    </w:lvl>
    <w:lvl w:ilvl="2">
      <w:start w:val="1"/>
      <w:numFmt w:val="decimal"/>
      <w:lvlText w:val="%3."/>
      <w:lvlJc w:val="left"/>
      <w:pPr>
        <w:ind w:left="1800" w:hanging="360"/>
      </w:pPr>
      <w:rPr>
        <w:rFonts w:hint="default"/>
      </w:rPr>
    </w:lvl>
    <w:lvl w:ilvl="3">
      <w:start w:val="1"/>
      <w:numFmt w:val="bullet"/>
      <w:lvlText w:val=""/>
      <w:lvlJc w:val="left"/>
      <w:pPr>
        <w:tabs>
          <w:tab w:val="num" w:pos="2520"/>
        </w:tabs>
        <w:ind w:left="2520" w:hanging="360"/>
      </w:pPr>
      <w:rPr>
        <w:rFonts w:hint="default" w:ascii="Symbol" w:hAnsi="Symbol"/>
        <w:sz w:val="20"/>
      </w:rPr>
    </w:lvl>
    <w:lvl w:ilvl="4">
      <w:start w:val="1"/>
      <w:numFmt w:val="bullet"/>
      <w:lvlText w:val=""/>
      <w:lvlJc w:val="left"/>
      <w:pPr>
        <w:tabs>
          <w:tab w:val="num" w:pos="3240"/>
        </w:tabs>
        <w:ind w:left="3240" w:hanging="360"/>
      </w:pPr>
      <w:rPr>
        <w:rFonts w:hint="default" w:ascii="Symbol" w:hAnsi="Symbol"/>
        <w:sz w:val="20"/>
      </w:rPr>
    </w:lvl>
    <w:lvl w:ilvl="5">
      <w:start w:val="1"/>
      <w:numFmt w:val="bullet"/>
      <w:lvlText w:val=""/>
      <w:lvlJc w:val="left"/>
      <w:pPr>
        <w:tabs>
          <w:tab w:val="num" w:pos="3960"/>
        </w:tabs>
        <w:ind w:left="3960" w:hanging="360"/>
      </w:pPr>
      <w:rPr>
        <w:rFonts w:hint="default" w:ascii="Symbol" w:hAnsi="Symbol"/>
        <w:sz w:val="20"/>
      </w:rPr>
    </w:lvl>
    <w:lvl w:ilvl="6">
      <w:start w:val="1"/>
      <w:numFmt w:val="bullet"/>
      <w:lvlText w:val=""/>
      <w:lvlJc w:val="left"/>
      <w:pPr>
        <w:tabs>
          <w:tab w:val="num" w:pos="4680"/>
        </w:tabs>
        <w:ind w:left="4680" w:hanging="360"/>
      </w:pPr>
      <w:rPr>
        <w:rFonts w:hint="default" w:ascii="Symbol" w:hAnsi="Symbol"/>
        <w:sz w:val="20"/>
      </w:rPr>
    </w:lvl>
    <w:lvl w:ilvl="7">
      <w:start w:val="1"/>
      <w:numFmt w:val="bullet"/>
      <w:lvlText w:val=""/>
      <w:lvlJc w:val="left"/>
      <w:pPr>
        <w:tabs>
          <w:tab w:val="num" w:pos="5400"/>
        </w:tabs>
        <w:ind w:left="5400" w:hanging="360"/>
      </w:pPr>
      <w:rPr>
        <w:rFonts w:hint="default" w:ascii="Symbol" w:hAnsi="Symbol"/>
        <w:sz w:val="20"/>
      </w:rPr>
    </w:lvl>
    <w:lvl w:ilvl="8">
      <w:start w:val="1"/>
      <w:numFmt w:val="bullet"/>
      <w:lvlText w:val=""/>
      <w:lvlJc w:val="left"/>
      <w:pPr>
        <w:tabs>
          <w:tab w:val="num" w:pos="6120"/>
        </w:tabs>
        <w:ind w:left="6120" w:hanging="360"/>
      </w:pPr>
      <w:rPr>
        <w:rFonts w:hint="default" w:ascii="Symbol" w:hAnsi="Symbol"/>
        <w:sz w:val="20"/>
      </w:rPr>
    </w:lvl>
  </w:abstractNum>
  <w:abstractNum w:abstractNumId="6" w15:restartNumberingAfterBreak="0">
    <w:nsid w:val="1E1B3059"/>
    <w:multiLevelType w:val="multilevel"/>
    <w:tmpl w:val="3B3256A6"/>
    <w:lvl w:ilvl="0">
      <w:start w:val="1"/>
      <w:numFmt w:val="decimal"/>
      <w:pStyle w:val="ListNumber"/>
      <w:lvlText w:val="%1."/>
      <w:lvlJc w:val="left"/>
      <w:pPr>
        <w:ind w:left="340" w:hanging="340"/>
      </w:pPr>
      <w:rPr>
        <w:rFonts w:hint="default" w:ascii="Segoe UI" w:hAnsi="Segoe UI" w:cs="Segoe UI"/>
      </w:rPr>
    </w:lvl>
    <w:lvl w:ilvl="1">
      <w:start w:val="1"/>
      <w:numFmt w:val="decimal"/>
      <w:pStyle w:val="ListNumber2"/>
      <w:lvlText w:val="%1.%2."/>
      <w:lvlJc w:val="left"/>
      <w:pPr>
        <w:ind w:left="964" w:hanging="624"/>
      </w:pPr>
      <w:rPr>
        <w:rFonts w:hint="default" w:ascii="Segoe UI" w:hAnsi="Segoe UI"/>
      </w:rPr>
    </w:lvl>
    <w:lvl w:ilvl="2">
      <w:start w:val="1"/>
      <w:numFmt w:val="decimal"/>
      <w:pStyle w:val="ListNumber3"/>
      <w:lvlText w:val="%1.%2.%3."/>
      <w:lvlJc w:val="left"/>
      <w:pPr>
        <w:ind w:left="1758" w:hanging="794"/>
      </w:pPr>
      <w:rPr>
        <w:rFonts w:hint="default" w:ascii="Segoe UI" w:hAnsi="Segoe UI"/>
      </w:rPr>
    </w:lvl>
    <w:lvl w:ilvl="3">
      <w:start w:val="1"/>
      <w:numFmt w:val="decimal"/>
      <w:lvlText w:val="%1.%2.%3.%4."/>
      <w:lvlJc w:val="left"/>
      <w:pPr>
        <w:ind w:left="2722" w:hanging="964"/>
      </w:pPr>
      <w:rPr>
        <w:rFonts w:hint="default" w:ascii="Segoe UI" w:hAnsi="Segoe UI"/>
      </w:rPr>
    </w:lvl>
    <w:lvl w:ilvl="4">
      <w:start w:val="1"/>
      <w:numFmt w:val="decimal"/>
      <w:lvlText w:val="%1.%2.%3.%4.%5."/>
      <w:lvlJc w:val="left"/>
      <w:pPr>
        <w:ind w:left="2892" w:hanging="1134"/>
      </w:pPr>
      <w:rPr>
        <w:rFonts w:hint="default" w:ascii="Segoe UI" w:hAnsi="Segoe UI"/>
      </w:rPr>
    </w:lvl>
    <w:lvl w:ilvl="5">
      <w:start w:val="1"/>
      <w:numFmt w:val="decimal"/>
      <w:lvlText w:val="%1.%2.%3.%4.%5.%6."/>
      <w:lvlJc w:val="left"/>
      <w:pPr>
        <w:ind w:left="3119" w:hanging="1361"/>
      </w:pPr>
      <w:rPr>
        <w:rFonts w:hint="default" w:ascii="Segoe UI" w:hAnsi="Segoe UI"/>
      </w:rPr>
    </w:lvl>
    <w:lvl w:ilvl="6">
      <w:start w:val="1"/>
      <w:numFmt w:val="decimal"/>
      <w:lvlText w:val="%1.%2.%3.%4.%5.%6.%7."/>
      <w:lvlJc w:val="left"/>
      <w:pPr>
        <w:ind w:left="3289" w:hanging="1531"/>
      </w:pPr>
      <w:rPr>
        <w:rFonts w:hint="default" w:ascii="Segoe UI" w:hAnsi="Segoe UI"/>
      </w:rPr>
    </w:lvl>
    <w:lvl w:ilvl="7">
      <w:start w:val="1"/>
      <w:numFmt w:val="decimal"/>
      <w:lvlText w:val="%1.%2.%3.%4.%5.%6.%7.%8."/>
      <w:lvlJc w:val="left"/>
      <w:pPr>
        <w:ind w:left="3459" w:hanging="1701"/>
      </w:pPr>
      <w:rPr>
        <w:rFonts w:hint="default" w:ascii="Segoe UI" w:hAnsi="Segoe UI"/>
      </w:rPr>
    </w:lvl>
    <w:lvl w:ilvl="8">
      <w:start w:val="1"/>
      <w:numFmt w:val="decimal"/>
      <w:lvlText w:val="%1.%2.%3.%4.%5.%6.%7.%8.%9."/>
      <w:lvlJc w:val="left"/>
      <w:pPr>
        <w:ind w:left="3686" w:hanging="1928"/>
      </w:pPr>
      <w:rPr>
        <w:rFonts w:hint="default" w:ascii="Segoe UI" w:hAnsi="Segoe UI"/>
      </w:rPr>
    </w:lvl>
  </w:abstractNum>
  <w:abstractNum w:abstractNumId="7" w15:restartNumberingAfterBreak="0">
    <w:nsid w:val="1EF710FE"/>
    <w:multiLevelType w:val="hybridMultilevel"/>
    <w:tmpl w:val="092C2EB0"/>
    <w:lvl w:ilvl="0" w:tplc="6B426030">
      <w:start w:val="1"/>
      <w:numFmt w:val="decimal"/>
      <w:lvlText w:val="%1)"/>
      <w:lvlJc w:val="left"/>
      <w:pPr>
        <w:tabs>
          <w:tab w:val="num" w:pos="720"/>
        </w:tabs>
        <w:ind w:left="720" w:hanging="360"/>
      </w:pPr>
    </w:lvl>
    <w:lvl w:ilvl="1" w:tplc="7E78364A" w:tentative="1">
      <w:start w:val="1"/>
      <w:numFmt w:val="decimal"/>
      <w:lvlText w:val="%2)"/>
      <w:lvlJc w:val="left"/>
      <w:pPr>
        <w:tabs>
          <w:tab w:val="num" w:pos="1440"/>
        </w:tabs>
        <w:ind w:left="1440" w:hanging="360"/>
      </w:pPr>
    </w:lvl>
    <w:lvl w:ilvl="2" w:tplc="364A40DA" w:tentative="1">
      <w:start w:val="1"/>
      <w:numFmt w:val="decimal"/>
      <w:lvlText w:val="%3)"/>
      <w:lvlJc w:val="left"/>
      <w:pPr>
        <w:tabs>
          <w:tab w:val="num" w:pos="2160"/>
        </w:tabs>
        <w:ind w:left="2160" w:hanging="360"/>
      </w:pPr>
    </w:lvl>
    <w:lvl w:ilvl="3" w:tplc="5F9E86D2" w:tentative="1">
      <w:start w:val="1"/>
      <w:numFmt w:val="decimal"/>
      <w:lvlText w:val="%4)"/>
      <w:lvlJc w:val="left"/>
      <w:pPr>
        <w:tabs>
          <w:tab w:val="num" w:pos="2880"/>
        </w:tabs>
        <w:ind w:left="2880" w:hanging="360"/>
      </w:pPr>
    </w:lvl>
    <w:lvl w:ilvl="4" w:tplc="C5920298" w:tentative="1">
      <w:start w:val="1"/>
      <w:numFmt w:val="decimal"/>
      <w:lvlText w:val="%5)"/>
      <w:lvlJc w:val="left"/>
      <w:pPr>
        <w:tabs>
          <w:tab w:val="num" w:pos="3600"/>
        </w:tabs>
        <w:ind w:left="3600" w:hanging="360"/>
      </w:pPr>
    </w:lvl>
    <w:lvl w:ilvl="5" w:tplc="044648BE" w:tentative="1">
      <w:start w:val="1"/>
      <w:numFmt w:val="decimal"/>
      <w:lvlText w:val="%6)"/>
      <w:lvlJc w:val="left"/>
      <w:pPr>
        <w:tabs>
          <w:tab w:val="num" w:pos="4320"/>
        </w:tabs>
        <w:ind w:left="4320" w:hanging="360"/>
      </w:pPr>
    </w:lvl>
    <w:lvl w:ilvl="6" w:tplc="28965E80" w:tentative="1">
      <w:start w:val="1"/>
      <w:numFmt w:val="decimal"/>
      <w:lvlText w:val="%7)"/>
      <w:lvlJc w:val="left"/>
      <w:pPr>
        <w:tabs>
          <w:tab w:val="num" w:pos="5040"/>
        </w:tabs>
        <w:ind w:left="5040" w:hanging="360"/>
      </w:pPr>
    </w:lvl>
    <w:lvl w:ilvl="7" w:tplc="D994A1EA" w:tentative="1">
      <w:start w:val="1"/>
      <w:numFmt w:val="decimal"/>
      <w:lvlText w:val="%8)"/>
      <w:lvlJc w:val="left"/>
      <w:pPr>
        <w:tabs>
          <w:tab w:val="num" w:pos="5760"/>
        </w:tabs>
        <w:ind w:left="5760" w:hanging="360"/>
      </w:pPr>
    </w:lvl>
    <w:lvl w:ilvl="8" w:tplc="3EE654B0" w:tentative="1">
      <w:start w:val="1"/>
      <w:numFmt w:val="decimal"/>
      <w:lvlText w:val="%9)"/>
      <w:lvlJc w:val="left"/>
      <w:pPr>
        <w:tabs>
          <w:tab w:val="num" w:pos="6480"/>
        </w:tabs>
        <w:ind w:left="6480" w:hanging="360"/>
      </w:pPr>
    </w:lvl>
  </w:abstractNum>
  <w:abstractNum w:abstractNumId="8" w15:restartNumberingAfterBreak="0">
    <w:nsid w:val="1F3B64EC"/>
    <w:multiLevelType w:val="hybridMultilevel"/>
    <w:tmpl w:val="16AC426E"/>
    <w:lvl w:ilvl="0" w:tplc="08090001">
      <w:start w:val="1"/>
      <w:numFmt w:val="bullet"/>
      <w:lvlText w:val=""/>
      <w:lvlJc w:val="left"/>
      <w:pPr>
        <w:ind w:left="1090" w:hanging="360"/>
      </w:pPr>
      <w:rPr>
        <w:rFonts w:hint="default" w:ascii="Symbol" w:hAnsi="Symbol"/>
      </w:rPr>
    </w:lvl>
    <w:lvl w:ilvl="1" w:tplc="08090003">
      <w:start w:val="1"/>
      <w:numFmt w:val="bullet"/>
      <w:lvlText w:val="o"/>
      <w:lvlJc w:val="left"/>
      <w:pPr>
        <w:ind w:left="1810" w:hanging="360"/>
      </w:pPr>
      <w:rPr>
        <w:rFonts w:hint="default" w:ascii="Courier New" w:hAnsi="Courier New" w:cs="Courier New"/>
      </w:rPr>
    </w:lvl>
    <w:lvl w:ilvl="2" w:tplc="08090005" w:tentative="1">
      <w:start w:val="1"/>
      <w:numFmt w:val="bullet"/>
      <w:lvlText w:val=""/>
      <w:lvlJc w:val="left"/>
      <w:pPr>
        <w:ind w:left="2530" w:hanging="360"/>
      </w:pPr>
      <w:rPr>
        <w:rFonts w:hint="default" w:ascii="Wingdings" w:hAnsi="Wingdings"/>
      </w:rPr>
    </w:lvl>
    <w:lvl w:ilvl="3" w:tplc="08090001" w:tentative="1">
      <w:start w:val="1"/>
      <w:numFmt w:val="bullet"/>
      <w:lvlText w:val=""/>
      <w:lvlJc w:val="left"/>
      <w:pPr>
        <w:ind w:left="3250" w:hanging="360"/>
      </w:pPr>
      <w:rPr>
        <w:rFonts w:hint="default" w:ascii="Symbol" w:hAnsi="Symbol"/>
      </w:rPr>
    </w:lvl>
    <w:lvl w:ilvl="4" w:tplc="08090003" w:tentative="1">
      <w:start w:val="1"/>
      <w:numFmt w:val="bullet"/>
      <w:lvlText w:val="o"/>
      <w:lvlJc w:val="left"/>
      <w:pPr>
        <w:ind w:left="3970" w:hanging="360"/>
      </w:pPr>
      <w:rPr>
        <w:rFonts w:hint="default" w:ascii="Courier New" w:hAnsi="Courier New" w:cs="Courier New"/>
      </w:rPr>
    </w:lvl>
    <w:lvl w:ilvl="5" w:tplc="08090005" w:tentative="1">
      <w:start w:val="1"/>
      <w:numFmt w:val="bullet"/>
      <w:lvlText w:val=""/>
      <w:lvlJc w:val="left"/>
      <w:pPr>
        <w:ind w:left="4690" w:hanging="360"/>
      </w:pPr>
      <w:rPr>
        <w:rFonts w:hint="default" w:ascii="Wingdings" w:hAnsi="Wingdings"/>
      </w:rPr>
    </w:lvl>
    <w:lvl w:ilvl="6" w:tplc="08090001" w:tentative="1">
      <w:start w:val="1"/>
      <w:numFmt w:val="bullet"/>
      <w:lvlText w:val=""/>
      <w:lvlJc w:val="left"/>
      <w:pPr>
        <w:ind w:left="5410" w:hanging="360"/>
      </w:pPr>
      <w:rPr>
        <w:rFonts w:hint="default" w:ascii="Symbol" w:hAnsi="Symbol"/>
      </w:rPr>
    </w:lvl>
    <w:lvl w:ilvl="7" w:tplc="08090003" w:tentative="1">
      <w:start w:val="1"/>
      <w:numFmt w:val="bullet"/>
      <w:lvlText w:val="o"/>
      <w:lvlJc w:val="left"/>
      <w:pPr>
        <w:ind w:left="6130" w:hanging="360"/>
      </w:pPr>
      <w:rPr>
        <w:rFonts w:hint="default" w:ascii="Courier New" w:hAnsi="Courier New" w:cs="Courier New"/>
      </w:rPr>
    </w:lvl>
    <w:lvl w:ilvl="8" w:tplc="08090005" w:tentative="1">
      <w:start w:val="1"/>
      <w:numFmt w:val="bullet"/>
      <w:lvlText w:val=""/>
      <w:lvlJc w:val="left"/>
      <w:pPr>
        <w:ind w:left="6850" w:hanging="360"/>
      </w:pPr>
      <w:rPr>
        <w:rFonts w:hint="default" w:ascii="Wingdings" w:hAnsi="Wingdings"/>
      </w:rPr>
    </w:lvl>
  </w:abstractNum>
  <w:abstractNum w:abstractNumId="9" w15:restartNumberingAfterBreak="0">
    <w:nsid w:val="21B13E5F"/>
    <w:multiLevelType w:val="hybridMultilevel"/>
    <w:tmpl w:val="1EDE7E5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9EC763B"/>
    <w:multiLevelType w:val="hybridMultilevel"/>
    <w:tmpl w:val="1C1019A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B1A529B"/>
    <w:multiLevelType w:val="hybridMultilevel"/>
    <w:tmpl w:val="111CDE9E"/>
    <w:lvl w:ilvl="0" w:tplc="08090001">
      <w:start w:val="1"/>
      <w:numFmt w:val="bullet"/>
      <w:lvlText w:val=""/>
      <w:lvlJc w:val="left"/>
      <w:pPr>
        <w:ind w:left="720" w:hanging="360"/>
      </w:pPr>
      <w:rPr>
        <w:rFonts w:hint="default" w:ascii="Symbol" w:hAnsi="Symbol"/>
      </w:rPr>
    </w:lvl>
    <w:lvl w:ilvl="1" w:tplc="0809000F">
      <w:start w:val="1"/>
      <w:numFmt w:val="decimal"/>
      <w:lvlText w:val="%2."/>
      <w:lvlJc w:val="left"/>
      <w:pPr>
        <w:ind w:left="1440" w:hanging="360"/>
      </w:p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C8515ED"/>
    <w:multiLevelType w:val="hybridMultilevel"/>
    <w:tmpl w:val="9A1CA9E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07376A9"/>
    <w:multiLevelType w:val="hybridMultilevel"/>
    <w:tmpl w:val="092C2EB0"/>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4" w15:restartNumberingAfterBreak="0">
    <w:nsid w:val="30875A2E"/>
    <w:multiLevelType w:val="multilevel"/>
    <w:tmpl w:val="60B09FF2"/>
    <w:lvl w:ilvl="0">
      <w:start w:val="4"/>
      <w:numFmt w:val="decimal"/>
      <w:lvlText w:val="%1."/>
      <w:lvlJc w:val="left"/>
      <w:pPr>
        <w:tabs>
          <w:tab w:val="num" w:pos="360"/>
        </w:tabs>
        <w:ind w:left="360" w:hanging="360"/>
      </w:pPr>
      <w:rPr>
        <w:rFonts w:hint="default"/>
        <w:b w:val="0"/>
        <w:bCs w:val="0"/>
        <w:sz w:val="20"/>
      </w:rPr>
    </w:lvl>
    <w:lvl w:ilvl="1">
      <w:start w:val="2"/>
      <w:numFmt w:val="decimal"/>
      <w:lvlText w:val="%2."/>
      <w:lvlJc w:val="left"/>
      <w:pPr>
        <w:ind w:left="1080" w:hanging="360"/>
      </w:pPr>
      <w:rPr>
        <w:rFonts w:hint="default"/>
      </w:rPr>
    </w:lvl>
    <w:lvl w:ilvl="2">
      <w:start w:val="1"/>
      <w:numFmt w:val="decimal"/>
      <w:lvlText w:val="%3."/>
      <w:lvlJc w:val="left"/>
      <w:pPr>
        <w:ind w:left="1800" w:hanging="360"/>
      </w:pPr>
      <w:rPr>
        <w:rFonts w:hint="default"/>
      </w:rPr>
    </w:lvl>
    <w:lvl w:ilvl="3">
      <w:start w:val="1"/>
      <w:numFmt w:val="bullet"/>
      <w:lvlText w:val=""/>
      <w:lvlJc w:val="left"/>
      <w:pPr>
        <w:tabs>
          <w:tab w:val="num" w:pos="2520"/>
        </w:tabs>
        <w:ind w:left="2520" w:hanging="360"/>
      </w:pPr>
      <w:rPr>
        <w:rFonts w:hint="default" w:ascii="Symbol" w:hAnsi="Symbol"/>
        <w:sz w:val="20"/>
      </w:rPr>
    </w:lvl>
    <w:lvl w:ilvl="4">
      <w:start w:val="1"/>
      <w:numFmt w:val="bullet"/>
      <w:lvlText w:val=""/>
      <w:lvlJc w:val="left"/>
      <w:pPr>
        <w:tabs>
          <w:tab w:val="num" w:pos="3240"/>
        </w:tabs>
        <w:ind w:left="3240" w:hanging="360"/>
      </w:pPr>
      <w:rPr>
        <w:rFonts w:hint="default" w:ascii="Symbol" w:hAnsi="Symbol"/>
        <w:sz w:val="20"/>
      </w:rPr>
    </w:lvl>
    <w:lvl w:ilvl="5">
      <w:start w:val="1"/>
      <w:numFmt w:val="bullet"/>
      <w:lvlText w:val=""/>
      <w:lvlJc w:val="left"/>
      <w:pPr>
        <w:tabs>
          <w:tab w:val="num" w:pos="3960"/>
        </w:tabs>
        <w:ind w:left="3960" w:hanging="360"/>
      </w:pPr>
      <w:rPr>
        <w:rFonts w:hint="default" w:ascii="Symbol" w:hAnsi="Symbol"/>
        <w:sz w:val="20"/>
      </w:rPr>
    </w:lvl>
    <w:lvl w:ilvl="6">
      <w:start w:val="1"/>
      <w:numFmt w:val="bullet"/>
      <w:lvlText w:val=""/>
      <w:lvlJc w:val="left"/>
      <w:pPr>
        <w:tabs>
          <w:tab w:val="num" w:pos="4680"/>
        </w:tabs>
        <w:ind w:left="4680" w:hanging="360"/>
      </w:pPr>
      <w:rPr>
        <w:rFonts w:hint="default" w:ascii="Symbol" w:hAnsi="Symbol"/>
        <w:sz w:val="20"/>
      </w:rPr>
    </w:lvl>
    <w:lvl w:ilvl="7">
      <w:start w:val="1"/>
      <w:numFmt w:val="bullet"/>
      <w:lvlText w:val=""/>
      <w:lvlJc w:val="left"/>
      <w:pPr>
        <w:tabs>
          <w:tab w:val="num" w:pos="5400"/>
        </w:tabs>
        <w:ind w:left="5400" w:hanging="360"/>
      </w:pPr>
      <w:rPr>
        <w:rFonts w:hint="default" w:ascii="Symbol" w:hAnsi="Symbol"/>
        <w:sz w:val="20"/>
      </w:rPr>
    </w:lvl>
    <w:lvl w:ilvl="8">
      <w:start w:val="1"/>
      <w:numFmt w:val="bullet"/>
      <w:lvlText w:val=""/>
      <w:lvlJc w:val="left"/>
      <w:pPr>
        <w:tabs>
          <w:tab w:val="num" w:pos="6120"/>
        </w:tabs>
        <w:ind w:left="6120" w:hanging="360"/>
      </w:pPr>
      <w:rPr>
        <w:rFonts w:hint="default" w:ascii="Symbol" w:hAnsi="Symbol"/>
        <w:sz w:val="20"/>
      </w:rPr>
    </w:lvl>
  </w:abstractNum>
  <w:abstractNum w:abstractNumId="15" w15:restartNumberingAfterBreak="0">
    <w:nsid w:val="36BE53F6"/>
    <w:multiLevelType w:val="multilevel"/>
    <w:tmpl w:val="D9D07B28"/>
    <w:lvl w:ilvl="0">
      <w:start w:val="1"/>
      <w:numFmt w:val="decimal"/>
      <w:lvlText w:val="%1."/>
      <w:lvlJc w:val="left"/>
      <w:pPr>
        <w:tabs>
          <w:tab w:val="num" w:pos="360"/>
        </w:tabs>
        <w:ind w:left="360" w:hanging="360"/>
      </w:pPr>
      <w:rPr>
        <w:rFonts w:hint="default"/>
        <w:b w:val="0"/>
        <w:bCs w:val="0"/>
        <w:sz w:val="2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bullet"/>
      <w:lvlText w:val=""/>
      <w:lvlJc w:val="left"/>
      <w:pPr>
        <w:tabs>
          <w:tab w:val="num" w:pos="2520"/>
        </w:tabs>
        <w:ind w:left="2520" w:hanging="360"/>
      </w:pPr>
      <w:rPr>
        <w:rFonts w:hint="default" w:ascii="Symbol" w:hAnsi="Symbol"/>
        <w:sz w:val="20"/>
      </w:rPr>
    </w:lvl>
    <w:lvl w:ilvl="4">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6" w15:restartNumberingAfterBreak="0">
    <w:nsid w:val="38FB26A3"/>
    <w:multiLevelType w:val="hybridMultilevel"/>
    <w:tmpl w:val="CEC29B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B1E4104"/>
    <w:multiLevelType w:val="multilevel"/>
    <w:tmpl w:val="F5D6BDF0"/>
    <w:lvl w:ilvl="0">
      <w:start w:val="1"/>
      <w:numFmt w:val="bullet"/>
      <w:lvlText w:val=""/>
      <w:lvlJc w:val="left"/>
      <w:pPr>
        <w:ind w:left="720" w:hanging="360"/>
      </w:pPr>
      <w:rPr>
        <w:rFonts w:hint="default" w:ascii="Symbol" w:hAnsi="Symbol"/>
      </w:rPr>
    </w:lvl>
    <w:lvl w:ilvl="1">
      <w:start w:val="1"/>
      <w:numFmt w:val="decimal"/>
      <w:lvlText w:val="%2."/>
      <w:lvlJc w:val="left"/>
      <w:pPr>
        <w:tabs>
          <w:tab w:val="num" w:pos="-720"/>
        </w:tabs>
        <w:ind w:left="-720" w:hanging="360"/>
      </w:pPr>
    </w:lvl>
    <w:lvl w:ilvl="2">
      <w:start w:val="1"/>
      <w:numFmt w:val="bullet"/>
      <w:lvlText w:val=""/>
      <w:lvlJc w:val="left"/>
      <w:pPr>
        <w:ind w:left="0" w:hanging="360"/>
      </w:pPr>
      <w:rPr>
        <w:rFonts w:hint="default" w:ascii="Symbol" w:hAnsi="Symbol"/>
      </w:r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1440"/>
        </w:tabs>
        <w:ind w:left="1440" w:hanging="360"/>
      </w:pPr>
    </w:lvl>
    <w:lvl w:ilvl="5" w:tentative="1">
      <w:start w:val="1"/>
      <w:numFmt w:val="decimal"/>
      <w:lvlText w:val="%6."/>
      <w:lvlJc w:val="left"/>
      <w:pPr>
        <w:tabs>
          <w:tab w:val="num" w:pos="2160"/>
        </w:tabs>
        <w:ind w:left="2160" w:hanging="360"/>
      </w:pPr>
    </w:lvl>
    <w:lvl w:ilvl="6" w:tentative="1">
      <w:start w:val="1"/>
      <w:numFmt w:val="decimal"/>
      <w:lvlText w:val="%7."/>
      <w:lvlJc w:val="left"/>
      <w:pPr>
        <w:tabs>
          <w:tab w:val="num" w:pos="2880"/>
        </w:tabs>
        <w:ind w:left="2880" w:hanging="360"/>
      </w:pPr>
    </w:lvl>
    <w:lvl w:ilvl="7" w:tentative="1">
      <w:start w:val="1"/>
      <w:numFmt w:val="decimal"/>
      <w:lvlText w:val="%8."/>
      <w:lvlJc w:val="left"/>
      <w:pPr>
        <w:tabs>
          <w:tab w:val="num" w:pos="3600"/>
        </w:tabs>
        <w:ind w:left="3600" w:hanging="360"/>
      </w:pPr>
    </w:lvl>
    <w:lvl w:ilvl="8" w:tentative="1">
      <w:start w:val="1"/>
      <w:numFmt w:val="decimal"/>
      <w:lvlText w:val="%9."/>
      <w:lvlJc w:val="left"/>
      <w:pPr>
        <w:tabs>
          <w:tab w:val="num" w:pos="4320"/>
        </w:tabs>
        <w:ind w:left="4320" w:hanging="360"/>
      </w:pPr>
    </w:lvl>
  </w:abstractNum>
  <w:abstractNum w:abstractNumId="18" w15:restartNumberingAfterBreak="0">
    <w:nsid w:val="42CAD8A3"/>
    <w:multiLevelType w:val="hybridMultilevel"/>
    <w:tmpl w:val="249CDBBE"/>
    <w:lvl w:ilvl="0" w:tplc="A038248E">
      <w:start w:val="1"/>
      <w:numFmt w:val="lowerLetter"/>
      <w:lvlText w:val="%1."/>
      <w:lvlJc w:val="left"/>
      <w:pPr>
        <w:ind w:left="720" w:hanging="360"/>
      </w:pPr>
    </w:lvl>
    <w:lvl w:ilvl="1" w:tplc="BD201774">
      <w:start w:val="1"/>
      <w:numFmt w:val="lowerLetter"/>
      <w:lvlText w:val="%2."/>
      <w:lvlJc w:val="left"/>
      <w:pPr>
        <w:ind w:left="1440" w:hanging="360"/>
      </w:pPr>
    </w:lvl>
    <w:lvl w:ilvl="2" w:tplc="1A3610FE">
      <w:start w:val="1"/>
      <w:numFmt w:val="lowerRoman"/>
      <w:lvlText w:val="%3."/>
      <w:lvlJc w:val="right"/>
      <w:pPr>
        <w:ind w:left="2160" w:hanging="180"/>
      </w:pPr>
    </w:lvl>
    <w:lvl w:ilvl="3" w:tplc="217E41A2">
      <w:start w:val="1"/>
      <w:numFmt w:val="decimal"/>
      <w:lvlText w:val="%4."/>
      <w:lvlJc w:val="left"/>
      <w:pPr>
        <w:ind w:left="2880" w:hanging="360"/>
      </w:pPr>
    </w:lvl>
    <w:lvl w:ilvl="4" w:tplc="5E3241DE">
      <w:start w:val="1"/>
      <w:numFmt w:val="lowerLetter"/>
      <w:lvlText w:val="%5."/>
      <w:lvlJc w:val="left"/>
      <w:pPr>
        <w:ind w:left="3600" w:hanging="360"/>
      </w:pPr>
    </w:lvl>
    <w:lvl w:ilvl="5" w:tplc="580C469A">
      <w:start w:val="1"/>
      <w:numFmt w:val="lowerRoman"/>
      <w:lvlText w:val="%6."/>
      <w:lvlJc w:val="right"/>
      <w:pPr>
        <w:ind w:left="4320" w:hanging="180"/>
      </w:pPr>
    </w:lvl>
    <w:lvl w:ilvl="6" w:tplc="F7FC313E">
      <w:start w:val="1"/>
      <w:numFmt w:val="decimal"/>
      <w:lvlText w:val="%7."/>
      <w:lvlJc w:val="left"/>
      <w:pPr>
        <w:ind w:left="5040" w:hanging="360"/>
      </w:pPr>
    </w:lvl>
    <w:lvl w:ilvl="7" w:tplc="91DAC08A">
      <w:start w:val="1"/>
      <w:numFmt w:val="lowerLetter"/>
      <w:lvlText w:val="%8."/>
      <w:lvlJc w:val="left"/>
      <w:pPr>
        <w:ind w:left="5760" w:hanging="360"/>
      </w:pPr>
    </w:lvl>
    <w:lvl w:ilvl="8" w:tplc="202A6094">
      <w:start w:val="1"/>
      <w:numFmt w:val="lowerRoman"/>
      <w:lvlText w:val="%9."/>
      <w:lvlJc w:val="right"/>
      <w:pPr>
        <w:ind w:left="6480" w:hanging="180"/>
      </w:pPr>
    </w:lvl>
  </w:abstractNum>
  <w:abstractNum w:abstractNumId="19" w15:restartNumberingAfterBreak="0">
    <w:nsid w:val="43D74ACC"/>
    <w:multiLevelType w:val="hybridMultilevel"/>
    <w:tmpl w:val="53C4F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56620D9"/>
    <w:multiLevelType w:val="hybridMultilevel"/>
    <w:tmpl w:val="4AF4D99A"/>
    <w:lvl w:ilvl="0" w:tplc="A5FC3D52">
      <w:start w:val="1"/>
      <w:numFmt w:val="decimal"/>
      <w:lvlText w:val="%1."/>
      <w:lvlJc w:val="left"/>
      <w:pPr>
        <w:ind w:left="1080" w:hanging="360"/>
      </w:pPr>
      <w:rPr>
        <w:rFonts w:hint="default"/>
        <w:b w:val="0"/>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75F5457"/>
    <w:multiLevelType w:val="hybridMultilevel"/>
    <w:tmpl w:val="B61A8546"/>
    <w:styleLink w:val="ListStyle-ListNumber"/>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8883E3A"/>
    <w:multiLevelType w:val="hybridMultilevel"/>
    <w:tmpl w:val="0456AEB6"/>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3" w15:restartNumberingAfterBreak="0">
    <w:nsid w:val="48FE7A9D"/>
    <w:multiLevelType w:val="hybridMultilevel"/>
    <w:tmpl w:val="3300FFB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9A50B2F"/>
    <w:multiLevelType w:val="multilevel"/>
    <w:tmpl w:val="C8F04076"/>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b w:val="0"/>
        <w:bCs/>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D07442B"/>
    <w:multiLevelType w:val="multilevel"/>
    <w:tmpl w:val="0EC2750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F262C3A"/>
    <w:multiLevelType w:val="hybridMultilevel"/>
    <w:tmpl w:val="1322495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F6476CA"/>
    <w:multiLevelType w:val="multilevel"/>
    <w:tmpl w:val="493C1302"/>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06734A5"/>
    <w:multiLevelType w:val="hybridMultilevel"/>
    <w:tmpl w:val="99DE7BD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9" w15:restartNumberingAfterBreak="0">
    <w:nsid w:val="508554B1"/>
    <w:multiLevelType w:val="hybridMultilevel"/>
    <w:tmpl w:val="83967C4E"/>
    <w:lvl w:ilvl="0" w:tplc="08090001">
      <w:start w:val="1"/>
      <w:numFmt w:val="bullet"/>
      <w:lvlText w:val=""/>
      <w:lvlJc w:val="left"/>
      <w:pPr>
        <w:ind w:left="778" w:hanging="360"/>
      </w:pPr>
      <w:rPr>
        <w:rFonts w:hint="default" w:ascii="Symbol" w:hAnsi="Symbol"/>
      </w:rPr>
    </w:lvl>
    <w:lvl w:ilvl="1" w:tplc="08090003">
      <w:start w:val="1"/>
      <w:numFmt w:val="bullet"/>
      <w:lvlText w:val="o"/>
      <w:lvlJc w:val="left"/>
      <w:pPr>
        <w:ind w:left="1498" w:hanging="360"/>
      </w:pPr>
      <w:rPr>
        <w:rFonts w:hint="default" w:ascii="Courier New" w:hAnsi="Courier New" w:cs="Courier New"/>
      </w:rPr>
    </w:lvl>
    <w:lvl w:ilvl="2" w:tplc="08090005">
      <w:start w:val="1"/>
      <w:numFmt w:val="bullet"/>
      <w:lvlText w:val=""/>
      <w:lvlJc w:val="left"/>
      <w:pPr>
        <w:ind w:left="2218" w:hanging="360"/>
      </w:pPr>
      <w:rPr>
        <w:rFonts w:hint="default" w:ascii="Wingdings" w:hAnsi="Wingdings"/>
      </w:rPr>
    </w:lvl>
    <w:lvl w:ilvl="3" w:tplc="08090001">
      <w:start w:val="1"/>
      <w:numFmt w:val="bullet"/>
      <w:lvlText w:val=""/>
      <w:lvlJc w:val="left"/>
      <w:pPr>
        <w:ind w:left="2938" w:hanging="360"/>
      </w:pPr>
      <w:rPr>
        <w:rFonts w:hint="default" w:ascii="Symbol" w:hAnsi="Symbol"/>
      </w:rPr>
    </w:lvl>
    <w:lvl w:ilvl="4" w:tplc="08090003" w:tentative="1">
      <w:start w:val="1"/>
      <w:numFmt w:val="bullet"/>
      <w:lvlText w:val="o"/>
      <w:lvlJc w:val="left"/>
      <w:pPr>
        <w:ind w:left="3658" w:hanging="360"/>
      </w:pPr>
      <w:rPr>
        <w:rFonts w:hint="default" w:ascii="Courier New" w:hAnsi="Courier New" w:cs="Courier New"/>
      </w:rPr>
    </w:lvl>
    <w:lvl w:ilvl="5" w:tplc="08090005" w:tentative="1">
      <w:start w:val="1"/>
      <w:numFmt w:val="bullet"/>
      <w:lvlText w:val=""/>
      <w:lvlJc w:val="left"/>
      <w:pPr>
        <w:ind w:left="4378" w:hanging="360"/>
      </w:pPr>
      <w:rPr>
        <w:rFonts w:hint="default" w:ascii="Wingdings" w:hAnsi="Wingdings"/>
      </w:rPr>
    </w:lvl>
    <w:lvl w:ilvl="6" w:tplc="08090001" w:tentative="1">
      <w:start w:val="1"/>
      <w:numFmt w:val="bullet"/>
      <w:lvlText w:val=""/>
      <w:lvlJc w:val="left"/>
      <w:pPr>
        <w:ind w:left="5098" w:hanging="360"/>
      </w:pPr>
      <w:rPr>
        <w:rFonts w:hint="default" w:ascii="Symbol" w:hAnsi="Symbol"/>
      </w:rPr>
    </w:lvl>
    <w:lvl w:ilvl="7" w:tplc="08090003" w:tentative="1">
      <w:start w:val="1"/>
      <w:numFmt w:val="bullet"/>
      <w:lvlText w:val="o"/>
      <w:lvlJc w:val="left"/>
      <w:pPr>
        <w:ind w:left="5818" w:hanging="360"/>
      </w:pPr>
      <w:rPr>
        <w:rFonts w:hint="default" w:ascii="Courier New" w:hAnsi="Courier New" w:cs="Courier New"/>
      </w:rPr>
    </w:lvl>
    <w:lvl w:ilvl="8" w:tplc="08090005" w:tentative="1">
      <w:start w:val="1"/>
      <w:numFmt w:val="bullet"/>
      <w:lvlText w:val=""/>
      <w:lvlJc w:val="left"/>
      <w:pPr>
        <w:ind w:left="6538" w:hanging="360"/>
      </w:pPr>
      <w:rPr>
        <w:rFonts w:hint="default" w:ascii="Wingdings" w:hAnsi="Wingdings"/>
      </w:rPr>
    </w:lvl>
  </w:abstractNum>
  <w:abstractNum w:abstractNumId="30" w15:restartNumberingAfterBreak="0">
    <w:nsid w:val="52165A54"/>
    <w:multiLevelType w:val="multilevel"/>
    <w:tmpl w:val="8174CCBA"/>
    <w:lvl w:ilvl="0">
      <w:start w:val="9"/>
      <w:numFmt w:val="decimal"/>
      <w:lvlText w:val="%1."/>
      <w:lvlJc w:val="left"/>
      <w:pPr>
        <w:tabs>
          <w:tab w:val="num" w:pos="360"/>
        </w:tabs>
        <w:ind w:left="360" w:hanging="360"/>
      </w:pPr>
      <w:rPr>
        <w:rFonts w:hint="default"/>
        <w:b w:val="0"/>
        <w:bCs w:val="0"/>
        <w:sz w:val="20"/>
      </w:rPr>
    </w:lvl>
    <w:lvl w:ilvl="1">
      <w:start w:val="1"/>
      <w:numFmt w:val="decimal"/>
      <w:lvlText w:val="%2."/>
      <w:lvlJc w:val="left"/>
      <w:pPr>
        <w:ind w:left="1080" w:hanging="360"/>
      </w:pPr>
      <w:rPr>
        <w:rFonts w:hint="default"/>
      </w:rPr>
    </w:lvl>
    <w:lvl w:ilvl="2">
      <w:start w:val="1"/>
      <w:numFmt w:val="decimal"/>
      <w:lvlText w:val="%3."/>
      <w:lvlJc w:val="left"/>
      <w:pPr>
        <w:ind w:left="1800" w:hanging="360"/>
      </w:pPr>
      <w:rPr>
        <w:rFonts w:hint="default"/>
      </w:rPr>
    </w:lvl>
    <w:lvl w:ilvl="3">
      <w:start w:val="1"/>
      <w:numFmt w:val="bullet"/>
      <w:lvlText w:val=""/>
      <w:lvlJc w:val="left"/>
      <w:pPr>
        <w:tabs>
          <w:tab w:val="num" w:pos="2520"/>
        </w:tabs>
        <w:ind w:left="2520" w:hanging="360"/>
      </w:pPr>
      <w:rPr>
        <w:rFonts w:hint="default" w:ascii="Symbol" w:hAnsi="Symbol"/>
        <w:sz w:val="20"/>
      </w:rPr>
    </w:lvl>
    <w:lvl w:ilvl="4">
      <w:start w:val="1"/>
      <w:numFmt w:val="bullet"/>
      <w:lvlText w:val=""/>
      <w:lvlJc w:val="left"/>
      <w:pPr>
        <w:tabs>
          <w:tab w:val="num" w:pos="3240"/>
        </w:tabs>
        <w:ind w:left="3240" w:hanging="360"/>
      </w:pPr>
      <w:rPr>
        <w:rFonts w:hint="default" w:ascii="Symbol" w:hAnsi="Symbol"/>
        <w:sz w:val="20"/>
      </w:rPr>
    </w:lvl>
    <w:lvl w:ilvl="5">
      <w:start w:val="1"/>
      <w:numFmt w:val="bullet"/>
      <w:lvlText w:val=""/>
      <w:lvlJc w:val="left"/>
      <w:pPr>
        <w:tabs>
          <w:tab w:val="num" w:pos="3960"/>
        </w:tabs>
        <w:ind w:left="3960" w:hanging="360"/>
      </w:pPr>
      <w:rPr>
        <w:rFonts w:hint="default" w:ascii="Symbol" w:hAnsi="Symbol"/>
        <w:sz w:val="20"/>
      </w:rPr>
    </w:lvl>
    <w:lvl w:ilvl="6">
      <w:start w:val="1"/>
      <w:numFmt w:val="bullet"/>
      <w:lvlText w:val=""/>
      <w:lvlJc w:val="left"/>
      <w:pPr>
        <w:tabs>
          <w:tab w:val="num" w:pos="4680"/>
        </w:tabs>
        <w:ind w:left="4680" w:hanging="360"/>
      </w:pPr>
      <w:rPr>
        <w:rFonts w:hint="default" w:ascii="Symbol" w:hAnsi="Symbol"/>
        <w:sz w:val="20"/>
      </w:rPr>
    </w:lvl>
    <w:lvl w:ilvl="7">
      <w:start w:val="1"/>
      <w:numFmt w:val="bullet"/>
      <w:lvlText w:val=""/>
      <w:lvlJc w:val="left"/>
      <w:pPr>
        <w:tabs>
          <w:tab w:val="num" w:pos="5400"/>
        </w:tabs>
        <w:ind w:left="5400" w:hanging="360"/>
      </w:pPr>
      <w:rPr>
        <w:rFonts w:hint="default" w:ascii="Symbol" w:hAnsi="Symbol"/>
        <w:sz w:val="20"/>
      </w:rPr>
    </w:lvl>
    <w:lvl w:ilvl="8">
      <w:start w:val="1"/>
      <w:numFmt w:val="bullet"/>
      <w:lvlText w:val=""/>
      <w:lvlJc w:val="left"/>
      <w:pPr>
        <w:tabs>
          <w:tab w:val="num" w:pos="6120"/>
        </w:tabs>
        <w:ind w:left="6120" w:hanging="360"/>
      </w:pPr>
      <w:rPr>
        <w:rFonts w:hint="default" w:ascii="Symbol" w:hAnsi="Symbol"/>
        <w:sz w:val="20"/>
      </w:rPr>
    </w:lvl>
  </w:abstractNum>
  <w:abstractNum w:abstractNumId="31" w15:restartNumberingAfterBreak="0">
    <w:nsid w:val="557667AB"/>
    <w:multiLevelType w:val="multilevel"/>
    <w:tmpl w:val="E3C46632"/>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D357DC"/>
    <w:multiLevelType w:val="hybridMultilevel"/>
    <w:tmpl w:val="C44893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98879CC"/>
    <w:multiLevelType w:val="multilevel"/>
    <w:tmpl w:val="0EC2750C"/>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34" w15:restartNumberingAfterBreak="0">
    <w:nsid w:val="5A344AA9"/>
    <w:multiLevelType w:val="multilevel"/>
    <w:tmpl w:val="FF201B3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5D350A8B"/>
    <w:multiLevelType w:val="multilevel"/>
    <w:tmpl w:val="951A8332"/>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5E791BB4"/>
    <w:multiLevelType w:val="multilevel"/>
    <w:tmpl w:val="B4B403DE"/>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cs="Times New Roman"/>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62A4681A"/>
    <w:multiLevelType w:val="multilevel"/>
    <w:tmpl w:val="171E2C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66DE2298"/>
    <w:multiLevelType w:val="multilevel"/>
    <w:tmpl w:val="A6E4FB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67736847"/>
    <w:multiLevelType w:val="hybridMultilevel"/>
    <w:tmpl w:val="8FC62A2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AA917D2"/>
    <w:multiLevelType w:val="hybridMultilevel"/>
    <w:tmpl w:val="129ADD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6346913"/>
    <w:multiLevelType w:val="hybridMultilevel"/>
    <w:tmpl w:val="943652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9DB0728"/>
    <w:multiLevelType w:val="hybridMultilevel"/>
    <w:tmpl w:val="6FDA88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D880D08"/>
    <w:multiLevelType w:val="hybridMultilevel"/>
    <w:tmpl w:val="FA2AD4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DDB0D29"/>
    <w:multiLevelType w:val="hybridMultilevel"/>
    <w:tmpl w:val="0802A34C"/>
    <w:lvl w:ilvl="0" w:tplc="479A40B6">
      <w:start w:val="1"/>
      <w:numFmt w:val="bullet"/>
      <w:lvlText w:val="•"/>
      <w:lvlJc w:val="left"/>
      <w:pPr>
        <w:tabs>
          <w:tab w:val="num" w:pos="720"/>
        </w:tabs>
        <w:ind w:left="720" w:hanging="360"/>
      </w:pPr>
      <w:rPr>
        <w:rFonts w:hint="default" w:ascii="Arial" w:hAnsi="Arial"/>
      </w:rPr>
    </w:lvl>
    <w:lvl w:ilvl="1" w:tplc="F0ACB088" w:tentative="1">
      <w:start w:val="1"/>
      <w:numFmt w:val="bullet"/>
      <w:lvlText w:val="•"/>
      <w:lvlJc w:val="left"/>
      <w:pPr>
        <w:tabs>
          <w:tab w:val="num" w:pos="1440"/>
        </w:tabs>
        <w:ind w:left="1440" w:hanging="360"/>
      </w:pPr>
      <w:rPr>
        <w:rFonts w:hint="default" w:ascii="Arial" w:hAnsi="Arial"/>
      </w:rPr>
    </w:lvl>
    <w:lvl w:ilvl="2" w:tplc="EC286E64" w:tentative="1">
      <w:start w:val="1"/>
      <w:numFmt w:val="bullet"/>
      <w:lvlText w:val="•"/>
      <w:lvlJc w:val="left"/>
      <w:pPr>
        <w:tabs>
          <w:tab w:val="num" w:pos="2160"/>
        </w:tabs>
        <w:ind w:left="2160" w:hanging="360"/>
      </w:pPr>
      <w:rPr>
        <w:rFonts w:hint="default" w:ascii="Arial" w:hAnsi="Arial"/>
      </w:rPr>
    </w:lvl>
    <w:lvl w:ilvl="3" w:tplc="8B18A7C0" w:tentative="1">
      <w:start w:val="1"/>
      <w:numFmt w:val="bullet"/>
      <w:lvlText w:val="•"/>
      <w:lvlJc w:val="left"/>
      <w:pPr>
        <w:tabs>
          <w:tab w:val="num" w:pos="2880"/>
        </w:tabs>
        <w:ind w:left="2880" w:hanging="360"/>
      </w:pPr>
      <w:rPr>
        <w:rFonts w:hint="default" w:ascii="Arial" w:hAnsi="Arial"/>
      </w:rPr>
    </w:lvl>
    <w:lvl w:ilvl="4" w:tplc="F32C8EF8" w:tentative="1">
      <w:start w:val="1"/>
      <w:numFmt w:val="bullet"/>
      <w:lvlText w:val="•"/>
      <w:lvlJc w:val="left"/>
      <w:pPr>
        <w:tabs>
          <w:tab w:val="num" w:pos="3600"/>
        </w:tabs>
        <w:ind w:left="3600" w:hanging="360"/>
      </w:pPr>
      <w:rPr>
        <w:rFonts w:hint="default" w:ascii="Arial" w:hAnsi="Arial"/>
      </w:rPr>
    </w:lvl>
    <w:lvl w:ilvl="5" w:tplc="5F805064" w:tentative="1">
      <w:start w:val="1"/>
      <w:numFmt w:val="bullet"/>
      <w:lvlText w:val="•"/>
      <w:lvlJc w:val="left"/>
      <w:pPr>
        <w:tabs>
          <w:tab w:val="num" w:pos="4320"/>
        </w:tabs>
        <w:ind w:left="4320" w:hanging="360"/>
      </w:pPr>
      <w:rPr>
        <w:rFonts w:hint="default" w:ascii="Arial" w:hAnsi="Arial"/>
      </w:rPr>
    </w:lvl>
    <w:lvl w:ilvl="6" w:tplc="941A35E2" w:tentative="1">
      <w:start w:val="1"/>
      <w:numFmt w:val="bullet"/>
      <w:lvlText w:val="•"/>
      <w:lvlJc w:val="left"/>
      <w:pPr>
        <w:tabs>
          <w:tab w:val="num" w:pos="5040"/>
        </w:tabs>
        <w:ind w:left="5040" w:hanging="360"/>
      </w:pPr>
      <w:rPr>
        <w:rFonts w:hint="default" w:ascii="Arial" w:hAnsi="Arial"/>
      </w:rPr>
    </w:lvl>
    <w:lvl w:ilvl="7" w:tplc="71401E10" w:tentative="1">
      <w:start w:val="1"/>
      <w:numFmt w:val="bullet"/>
      <w:lvlText w:val="•"/>
      <w:lvlJc w:val="left"/>
      <w:pPr>
        <w:tabs>
          <w:tab w:val="num" w:pos="5760"/>
        </w:tabs>
        <w:ind w:left="5760" w:hanging="360"/>
      </w:pPr>
      <w:rPr>
        <w:rFonts w:hint="default" w:ascii="Arial" w:hAnsi="Arial"/>
      </w:rPr>
    </w:lvl>
    <w:lvl w:ilvl="8" w:tplc="BCB4FEF8" w:tentative="1">
      <w:start w:val="1"/>
      <w:numFmt w:val="bullet"/>
      <w:lvlText w:val="•"/>
      <w:lvlJc w:val="left"/>
      <w:pPr>
        <w:tabs>
          <w:tab w:val="num" w:pos="6480"/>
        </w:tabs>
        <w:ind w:left="6480" w:hanging="360"/>
      </w:pPr>
      <w:rPr>
        <w:rFonts w:hint="default" w:ascii="Arial" w:hAnsi="Arial"/>
      </w:rPr>
    </w:lvl>
  </w:abstractNum>
  <w:abstractNum w:abstractNumId="45" w15:restartNumberingAfterBreak="0">
    <w:nsid w:val="7F216990"/>
    <w:multiLevelType w:val="hybridMultilevel"/>
    <w:tmpl w:val="FFFFFFFF"/>
    <w:styleLink w:val="111111"/>
    <w:lvl w:ilvl="0" w:tplc="89E209EC">
      <w:start w:val="1"/>
      <w:numFmt w:val="bullet"/>
      <w:lvlText w:val="-"/>
      <w:lvlJc w:val="left"/>
      <w:pPr>
        <w:ind w:left="720" w:hanging="360"/>
      </w:pPr>
      <w:rPr>
        <w:rFonts w:hint="default" w:ascii="Calibri" w:hAnsi="Calibri"/>
      </w:rPr>
    </w:lvl>
    <w:lvl w:ilvl="1" w:tplc="E9D8B05A">
      <w:start w:val="1"/>
      <w:numFmt w:val="bullet"/>
      <w:lvlText w:val="o"/>
      <w:lvlJc w:val="left"/>
      <w:pPr>
        <w:ind w:left="1440" w:hanging="360"/>
      </w:pPr>
      <w:rPr>
        <w:rFonts w:hint="default" w:ascii="Courier New" w:hAnsi="Courier New"/>
      </w:rPr>
    </w:lvl>
    <w:lvl w:ilvl="2" w:tplc="FEC46C00">
      <w:start w:val="1"/>
      <w:numFmt w:val="bullet"/>
      <w:lvlText w:val=""/>
      <w:lvlJc w:val="left"/>
      <w:pPr>
        <w:ind w:left="2160" w:hanging="360"/>
      </w:pPr>
      <w:rPr>
        <w:rFonts w:hint="default" w:ascii="Wingdings" w:hAnsi="Wingdings"/>
      </w:rPr>
    </w:lvl>
    <w:lvl w:ilvl="3" w:tplc="93EE8654">
      <w:start w:val="1"/>
      <w:numFmt w:val="bullet"/>
      <w:lvlText w:val=""/>
      <w:lvlJc w:val="left"/>
      <w:pPr>
        <w:ind w:left="2880" w:hanging="360"/>
      </w:pPr>
      <w:rPr>
        <w:rFonts w:hint="default" w:ascii="Symbol" w:hAnsi="Symbol"/>
      </w:rPr>
    </w:lvl>
    <w:lvl w:ilvl="4" w:tplc="ABCC5924">
      <w:start w:val="1"/>
      <w:numFmt w:val="bullet"/>
      <w:lvlText w:val="o"/>
      <w:lvlJc w:val="left"/>
      <w:pPr>
        <w:ind w:left="3600" w:hanging="360"/>
      </w:pPr>
      <w:rPr>
        <w:rFonts w:hint="default" w:ascii="Courier New" w:hAnsi="Courier New"/>
      </w:rPr>
    </w:lvl>
    <w:lvl w:ilvl="5" w:tplc="22C421F4">
      <w:start w:val="1"/>
      <w:numFmt w:val="bullet"/>
      <w:lvlText w:val=""/>
      <w:lvlJc w:val="left"/>
      <w:pPr>
        <w:ind w:left="4320" w:hanging="360"/>
      </w:pPr>
      <w:rPr>
        <w:rFonts w:hint="default" w:ascii="Wingdings" w:hAnsi="Wingdings"/>
      </w:rPr>
    </w:lvl>
    <w:lvl w:ilvl="6" w:tplc="CF8A580A">
      <w:start w:val="1"/>
      <w:numFmt w:val="bullet"/>
      <w:lvlText w:val=""/>
      <w:lvlJc w:val="left"/>
      <w:pPr>
        <w:ind w:left="5040" w:hanging="360"/>
      </w:pPr>
      <w:rPr>
        <w:rFonts w:hint="default" w:ascii="Symbol" w:hAnsi="Symbol"/>
      </w:rPr>
    </w:lvl>
    <w:lvl w:ilvl="7" w:tplc="061EFF42">
      <w:start w:val="1"/>
      <w:numFmt w:val="bullet"/>
      <w:lvlText w:val="o"/>
      <w:lvlJc w:val="left"/>
      <w:pPr>
        <w:ind w:left="5760" w:hanging="360"/>
      </w:pPr>
      <w:rPr>
        <w:rFonts w:hint="default" w:ascii="Courier New" w:hAnsi="Courier New"/>
      </w:rPr>
    </w:lvl>
    <w:lvl w:ilvl="8" w:tplc="468E494A">
      <w:start w:val="1"/>
      <w:numFmt w:val="bullet"/>
      <w:lvlText w:val=""/>
      <w:lvlJc w:val="left"/>
      <w:pPr>
        <w:ind w:left="6480" w:hanging="360"/>
      </w:pPr>
      <w:rPr>
        <w:rFonts w:hint="default" w:ascii="Wingdings" w:hAnsi="Wingdings"/>
      </w:rPr>
    </w:lvl>
  </w:abstractNum>
  <w:abstractNum w:abstractNumId="46" w15:restartNumberingAfterBreak="0">
    <w:nsid w:val="7F3F7990"/>
    <w:multiLevelType w:val="hybridMultilevel"/>
    <w:tmpl w:val="9E9664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28285593">
    <w:abstractNumId w:val="18"/>
  </w:num>
  <w:num w:numId="2" w16cid:durableId="1171722958">
    <w:abstractNumId w:val="9"/>
  </w:num>
  <w:num w:numId="3" w16cid:durableId="1791699580">
    <w:abstractNumId w:val="24"/>
  </w:num>
  <w:num w:numId="4" w16cid:durableId="936989081">
    <w:abstractNumId w:val="36"/>
  </w:num>
  <w:num w:numId="5" w16cid:durableId="1849295182">
    <w:abstractNumId w:val="37"/>
  </w:num>
  <w:num w:numId="6" w16cid:durableId="1581520057">
    <w:abstractNumId w:val="27"/>
  </w:num>
  <w:num w:numId="7" w16cid:durableId="2829669">
    <w:abstractNumId w:val="35"/>
  </w:num>
  <w:num w:numId="8" w16cid:durableId="2134592188">
    <w:abstractNumId w:val="1"/>
  </w:num>
  <w:num w:numId="9" w16cid:durableId="725909197">
    <w:abstractNumId w:val="38"/>
  </w:num>
  <w:num w:numId="10" w16cid:durableId="776485620">
    <w:abstractNumId w:val="6"/>
  </w:num>
  <w:num w:numId="11" w16cid:durableId="666707673">
    <w:abstractNumId w:val="43"/>
  </w:num>
  <w:num w:numId="12" w16cid:durableId="1353386370">
    <w:abstractNumId w:val="41"/>
  </w:num>
  <w:num w:numId="13" w16cid:durableId="1027175491">
    <w:abstractNumId w:val="2"/>
  </w:num>
  <w:num w:numId="14" w16cid:durableId="1365792071">
    <w:abstractNumId w:val="25"/>
  </w:num>
  <w:num w:numId="15" w16cid:durableId="458032756">
    <w:abstractNumId w:val="22"/>
  </w:num>
  <w:num w:numId="16" w16cid:durableId="1380976152">
    <w:abstractNumId w:val="0"/>
  </w:num>
  <w:num w:numId="17" w16cid:durableId="1377393982">
    <w:abstractNumId w:val="39"/>
  </w:num>
  <w:num w:numId="18" w16cid:durableId="1213350439">
    <w:abstractNumId w:val="4"/>
  </w:num>
  <w:num w:numId="19" w16cid:durableId="242184850">
    <w:abstractNumId w:val="10"/>
  </w:num>
  <w:num w:numId="20" w16cid:durableId="1071855907">
    <w:abstractNumId w:val="12"/>
  </w:num>
  <w:num w:numId="21" w16cid:durableId="1191340933">
    <w:abstractNumId w:val="3"/>
  </w:num>
  <w:num w:numId="22" w16cid:durableId="66196442">
    <w:abstractNumId w:val="23"/>
  </w:num>
  <w:num w:numId="23" w16cid:durableId="340620102">
    <w:abstractNumId w:val="34"/>
  </w:num>
  <w:num w:numId="24" w16cid:durableId="554462834">
    <w:abstractNumId w:val="31"/>
  </w:num>
  <w:num w:numId="25" w16cid:durableId="1932739739">
    <w:abstractNumId w:val="8"/>
  </w:num>
  <w:num w:numId="26" w16cid:durableId="1071731999">
    <w:abstractNumId w:val="19"/>
  </w:num>
  <w:num w:numId="27" w16cid:durableId="421687213">
    <w:abstractNumId w:val="46"/>
  </w:num>
  <w:num w:numId="28" w16cid:durableId="1080255889">
    <w:abstractNumId w:val="15"/>
  </w:num>
  <w:num w:numId="29" w16cid:durableId="837769464">
    <w:abstractNumId w:val="42"/>
  </w:num>
  <w:num w:numId="30" w16cid:durableId="1475564693">
    <w:abstractNumId w:val="11"/>
  </w:num>
  <w:num w:numId="31" w16cid:durableId="176847681">
    <w:abstractNumId w:val="20"/>
  </w:num>
  <w:num w:numId="32" w16cid:durableId="348416331">
    <w:abstractNumId w:val="26"/>
  </w:num>
  <w:num w:numId="33" w16cid:durableId="1288006756">
    <w:abstractNumId w:val="45"/>
  </w:num>
  <w:num w:numId="34" w16cid:durableId="1113354908">
    <w:abstractNumId w:val="28"/>
  </w:num>
  <w:num w:numId="35" w16cid:durableId="43527511">
    <w:abstractNumId w:val="17"/>
  </w:num>
  <w:num w:numId="36" w16cid:durableId="273487687">
    <w:abstractNumId w:val="16"/>
  </w:num>
  <w:num w:numId="37" w16cid:durableId="562833238">
    <w:abstractNumId w:val="32"/>
  </w:num>
  <w:num w:numId="38" w16cid:durableId="149954716">
    <w:abstractNumId w:val="44"/>
  </w:num>
  <w:num w:numId="39" w16cid:durableId="1748188779">
    <w:abstractNumId w:val="7"/>
  </w:num>
  <w:num w:numId="40" w16cid:durableId="1236009111">
    <w:abstractNumId w:val="29"/>
  </w:num>
  <w:num w:numId="41" w16cid:durableId="327561889">
    <w:abstractNumId w:val="13"/>
  </w:num>
  <w:num w:numId="42" w16cid:durableId="902567278">
    <w:abstractNumId w:val="21"/>
  </w:num>
  <w:num w:numId="43" w16cid:durableId="759986249">
    <w:abstractNumId w:val="40"/>
  </w:num>
  <w:num w:numId="44" w16cid:durableId="1433551963">
    <w:abstractNumId w:val="33"/>
  </w:num>
  <w:num w:numId="45" w16cid:durableId="1911771995">
    <w:abstractNumId w:val="5"/>
  </w:num>
  <w:num w:numId="46" w16cid:durableId="63769024">
    <w:abstractNumId w:val="14"/>
  </w:num>
  <w:num w:numId="47" w16cid:durableId="55279362">
    <w:abstractNumId w:val="30"/>
  </w:num>
  <w:numIdMacAtCleanup w:val="4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CF"/>
    <w:rsid w:val="00000088"/>
    <w:rsid w:val="0000018B"/>
    <w:rsid w:val="00000508"/>
    <w:rsid w:val="00000628"/>
    <w:rsid w:val="000006EA"/>
    <w:rsid w:val="00000A51"/>
    <w:rsid w:val="00000BB8"/>
    <w:rsid w:val="0000108B"/>
    <w:rsid w:val="00001528"/>
    <w:rsid w:val="00001686"/>
    <w:rsid w:val="0000172F"/>
    <w:rsid w:val="00001A89"/>
    <w:rsid w:val="00001F80"/>
    <w:rsid w:val="00001FDC"/>
    <w:rsid w:val="00002304"/>
    <w:rsid w:val="00002500"/>
    <w:rsid w:val="00002549"/>
    <w:rsid w:val="0000263F"/>
    <w:rsid w:val="000029DA"/>
    <w:rsid w:val="000029FE"/>
    <w:rsid w:val="00002E1C"/>
    <w:rsid w:val="00002F81"/>
    <w:rsid w:val="00003006"/>
    <w:rsid w:val="00003043"/>
    <w:rsid w:val="00003241"/>
    <w:rsid w:val="000032B1"/>
    <w:rsid w:val="00003421"/>
    <w:rsid w:val="00003536"/>
    <w:rsid w:val="000035FA"/>
    <w:rsid w:val="000038CE"/>
    <w:rsid w:val="000039CB"/>
    <w:rsid w:val="00003CFD"/>
    <w:rsid w:val="00003D6D"/>
    <w:rsid w:val="00003D77"/>
    <w:rsid w:val="000041DE"/>
    <w:rsid w:val="000044C4"/>
    <w:rsid w:val="000045B2"/>
    <w:rsid w:val="000045F4"/>
    <w:rsid w:val="00004815"/>
    <w:rsid w:val="000048FC"/>
    <w:rsid w:val="00004AB4"/>
    <w:rsid w:val="00004F32"/>
    <w:rsid w:val="00004F85"/>
    <w:rsid w:val="00004F8F"/>
    <w:rsid w:val="00005100"/>
    <w:rsid w:val="000053B1"/>
    <w:rsid w:val="0000555E"/>
    <w:rsid w:val="00005731"/>
    <w:rsid w:val="00005920"/>
    <w:rsid w:val="00005C70"/>
    <w:rsid w:val="00005FD4"/>
    <w:rsid w:val="000065E8"/>
    <w:rsid w:val="000065F1"/>
    <w:rsid w:val="00006830"/>
    <w:rsid w:val="0000696B"/>
    <w:rsid w:val="000069A3"/>
    <w:rsid w:val="00006B15"/>
    <w:rsid w:val="00006E4D"/>
    <w:rsid w:val="00006E9C"/>
    <w:rsid w:val="00006F66"/>
    <w:rsid w:val="00007267"/>
    <w:rsid w:val="0000796B"/>
    <w:rsid w:val="00007AD0"/>
    <w:rsid w:val="0001026D"/>
    <w:rsid w:val="000102BD"/>
    <w:rsid w:val="000102F4"/>
    <w:rsid w:val="00010305"/>
    <w:rsid w:val="000104B9"/>
    <w:rsid w:val="000106B5"/>
    <w:rsid w:val="00010875"/>
    <w:rsid w:val="00010C1F"/>
    <w:rsid w:val="00011038"/>
    <w:rsid w:val="0001194E"/>
    <w:rsid w:val="000128AF"/>
    <w:rsid w:val="000129F7"/>
    <w:rsid w:val="000130AE"/>
    <w:rsid w:val="00013161"/>
    <w:rsid w:val="00013B17"/>
    <w:rsid w:val="00013C25"/>
    <w:rsid w:val="00013DCA"/>
    <w:rsid w:val="00013FB8"/>
    <w:rsid w:val="0001418B"/>
    <w:rsid w:val="00014206"/>
    <w:rsid w:val="0001434B"/>
    <w:rsid w:val="000144C0"/>
    <w:rsid w:val="000144E5"/>
    <w:rsid w:val="0001456F"/>
    <w:rsid w:val="00014AE7"/>
    <w:rsid w:val="00014CB2"/>
    <w:rsid w:val="00014D59"/>
    <w:rsid w:val="000150A6"/>
    <w:rsid w:val="0001523C"/>
    <w:rsid w:val="000154A7"/>
    <w:rsid w:val="0001552D"/>
    <w:rsid w:val="000155F0"/>
    <w:rsid w:val="000156D4"/>
    <w:rsid w:val="000156EA"/>
    <w:rsid w:val="00015AB1"/>
    <w:rsid w:val="00015F81"/>
    <w:rsid w:val="0001609D"/>
    <w:rsid w:val="000160A5"/>
    <w:rsid w:val="000161D2"/>
    <w:rsid w:val="0001632C"/>
    <w:rsid w:val="000163AF"/>
    <w:rsid w:val="000164F7"/>
    <w:rsid w:val="00016701"/>
    <w:rsid w:val="00016728"/>
    <w:rsid w:val="000167DC"/>
    <w:rsid w:val="000168A3"/>
    <w:rsid w:val="000169EF"/>
    <w:rsid w:val="00016A08"/>
    <w:rsid w:val="00016B5B"/>
    <w:rsid w:val="00016CD2"/>
    <w:rsid w:val="00016D12"/>
    <w:rsid w:val="00016D5C"/>
    <w:rsid w:val="000171CB"/>
    <w:rsid w:val="000175B4"/>
    <w:rsid w:val="000175C4"/>
    <w:rsid w:val="00017800"/>
    <w:rsid w:val="0001780F"/>
    <w:rsid w:val="0001787A"/>
    <w:rsid w:val="00017A90"/>
    <w:rsid w:val="00017FAF"/>
    <w:rsid w:val="000201FB"/>
    <w:rsid w:val="00020305"/>
    <w:rsid w:val="00020861"/>
    <w:rsid w:val="00020964"/>
    <w:rsid w:val="00020A6D"/>
    <w:rsid w:val="00020AAC"/>
    <w:rsid w:val="00020EB5"/>
    <w:rsid w:val="00020F5F"/>
    <w:rsid w:val="0002108A"/>
    <w:rsid w:val="000210BB"/>
    <w:rsid w:val="0002112D"/>
    <w:rsid w:val="000211E3"/>
    <w:rsid w:val="0002130C"/>
    <w:rsid w:val="000216BA"/>
    <w:rsid w:val="00021767"/>
    <w:rsid w:val="00021E5D"/>
    <w:rsid w:val="0002206C"/>
    <w:rsid w:val="00022266"/>
    <w:rsid w:val="00022816"/>
    <w:rsid w:val="00022A07"/>
    <w:rsid w:val="00022B5F"/>
    <w:rsid w:val="00022C52"/>
    <w:rsid w:val="0002303D"/>
    <w:rsid w:val="0002336D"/>
    <w:rsid w:val="00023418"/>
    <w:rsid w:val="0002351D"/>
    <w:rsid w:val="0002352C"/>
    <w:rsid w:val="0002381D"/>
    <w:rsid w:val="0002384E"/>
    <w:rsid w:val="000238BE"/>
    <w:rsid w:val="00023995"/>
    <w:rsid w:val="00023E24"/>
    <w:rsid w:val="000240D3"/>
    <w:rsid w:val="000243F2"/>
    <w:rsid w:val="000244CC"/>
    <w:rsid w:val="00024594"/>
    <w:rsid w:val="000247B8"/>
    <w:rsid w:val="0002485E"/>
    <w:rsid w:val="00024923"/>
    <w:rsid w:val="000249AF"/>
    <w:rsid w:val="00024CB1"/>
    <w:rsid w:val="00024D6F"/>
    <w:rsid w:val="00024E2A"/>
    <w:rsid w:val="00025261"/>
    <w:rsid w:val="00025313"/>
    <w:rsid w:val="0002560A"/>
    <w:rsid w:val="00025A35"/>
    <w:rsid w:val="00025AAD"/>
    <w:rsid w:val="00025B51"/>
    <w:rsid w:val="00025CAB"/>
    <w:rsid w:val="00025E20"/>
    <w:rsid w:val="00025FA8"/>
    <w:rsid w:val="0002620B"/>
    <w:rsid w:val="000262F4"/>
    <w:rsid w:val="000267D1"/>
    <w:rsid w:val="00026939"/>
    <w:rsid w:val="00026A12"/>
    <w:rsid w:val="00026AE9"/>
    <w:rsid w:val="00026DDB"/>
    <w:rsid w:val="00027091"/>
    <w:rsid w:val="00027527"/>
    <w:rsid w:val="000275F1"/>
    <w:rsid w:val="000277D8"/>
    <w:rsid w:val="000278F4"/>
    <w:rsid w:val="00027C0C"/>
    <w:rsid w:val="00027C24"/>
    <w:rsid w:val="00027C77"/>
    <w:rsid w:val="00027D7F"/>
    <w:rsid w:val="00027DB8"/>
    <w:rsid w:val="00027EB3"/>
    <w:rsid w:val="00027F6E"/>
    <w:rsid w:val="000301F0"/>
    <w:rsid w:val="000305FB"/>
    <w:rsid w:val="000308E1"/>
    <w:rsid w:val="00030984"/>
    <w:rsid w:val="00030B6A"/>
    <w:rsid w:val="00030D1E"/>
    <w:rsid w:val="00030D7B"/>
    <w:rsid w:val="00030E92"/>
    <w:rsid w:val="00030F29"/>
    <w:rsid w:val="00030FDD"/>
    <w:rsid w:val="0003144F"/>
    <w:rsid w:val="0003148E"/>
    <w:rsid w:val="00031A8E"/>
    <w:rsid w:val="00031B4E"/>
    <w:rsid w:val="00031B7D"/>
    <w:rsid w:val="00031BB5"/>
    <w:rsid w:val="00031D7E"/>
    <w:rsid w:val="00032047"/>
    <w:rsid w:val="000326B6"/>
    <w:rsid w:val="0003272B"/>
    <w:rsid w:val="0003294D"/>
    <w:rsid w:val="00032AAF"/>
    <w:rsid w:val="00032DE7"/>
    <w:rsid w:val="00033010"/>
    <w:rsid w:val="0003311C"/>
    <w:rsid w:val="0003376E"/>
    <w:rsid w:val="00033C2C"/>
    <w:rsid w:val="00033F1D"/>
    <w:rsid w:val="00033FAE"/>
    <w:rsid w:val="0003402E"/>
    <w:rsid w:val="00034082"/>
    <w:rsid w:val="0003433E"/>
    <w:rsid w:val="0003449C"/>
    <w:rsid w:val="000346D2"/>
    <w:rsid w:val="0003479A"/>
    <w:rsid w:val="00034F12"/>
    <w:rsid w:val="000352BA"/>
    <w:rsid w:val="00035670"/>
    <w:rsid w:val="00035AE3"/>
    <w:rsid w:val="00035D19"/>
    <w:rsid w:val="00035D2B"/>
    <w:rsid w:val="00035DD9"/>
    <w:rsid w:val="00035FA7"/>
    <w:rsid w:val="0003616A"/>
    <w:rsid w:val="0003619A"/>
    <w:rsid w:val="00036419"/>
    <w:rsid w:val="000368F1"/>
    <w:rsid w:val="000369B0"/>
    <w:rsid w:val="00036B47"/>
    <w:rsid w:val="00036C69"/>
    <w:rsid w:val="00036E87"/>
    <w:rsid w:val="00037250"/>
    <w:rsid w:val="00037471"/>
    <w:rsid w:val="000375EA"/>
    <w:rsid w:val="0003762E"/>
    <w:rsid w:val="000379E1"/>
    <w:rsid w:val="00037BE6"/>
    <w:rsid w:val="00037CF0"/>
    <w:rsid w:val="00037D88"/>
    <w:rsid w:val="00037EC5"/>
    <w:rsid w:val="00040042"/>
    <w:rsid w:val="0004053F"/>
    <w:rsid w:val="00040683"/>
    <w:rsid w:val="00040793"/>
    <w:rsid w:val="00040923"/>
    <w:rsid w:val="00040A4A"/>
    <w:rsid w:val="00040A72"/>
    <w:rsid w:val="00040A9D"/>
    <w:rsid w:val="00040B67"/>
    <w:rsid w:val="00040B85"/>
    <w:rsid w:val="00040DA6"/>
    <w:rsid w:val="000411A1"/>
    <w:rsid w:val="000412A0"/>
    <w:rsid w:val="00041570"/>
    <w:rsid w:val="0004179F"/>
    <w:rsid w:val="0004194E"/>
    <w:rsid w:val="00041ACE"/>
    <w:rsid w:val="00041ADD"/>
    <w:rsid w:val="00041F1C"/>
    <w:rsid w:val="000421A6"/>
    <w:rsid w:val="000422A8"/>
    <w:rsid w:val="00042485"/>
    <w:rsid w:val="000425DE"/>
    <w:rsid w:val="000425FB"/>
    <w:rsid w:val="00042657"/>
    <w:rsid w:val="0004270E"/>
    <w:rsid w:val="0004297C"/>
    <w:rsid w:val="000429A3"/>
    <w:rsid w:val="00042A88"/>
    <w:rsid w:val="00042B69"/>
    <w:rsid w:val="00042D2B"/>
    <w:rsid w:val="00042EDA"/>
    <w:rsid w:val="00042EE1"/>
    <w:rsid w:val="00042F9C"/>
    <w:rsid w:val="000430BE"/>
    <w:rsid w:val="00043137"/>
    <w:rsid w:val="00043931"/>
    <w:rsid w:val="000439E4"/>
    <w:rsid w:val="00043FF9"/>
    <w:rsid w:val="00044016"/>
    <w:rsid w:val="000441A5"/>
    <w:rsid w:val="00044233"/>
    <w:rsid w:val="00044740"/>
    <w:rsid w:val="00044834"/>
    <w:rsid w:val="00044A9F"/>
    <w:rsid w:val="00044BEB"/>
    <w:rsid w:val="00044C1D"/>
    <w:rsid w:val="00044CEC"/>
    <w:rsid w:val="00044E07"/>
    <w:rsid w:val="00044E3A"/>
    <w:rsid w:val="00044F55"/>
    <w:rsid w:val="00044F6C"/>
    <w:rsid w:val="000455B1"/>
    <w:rsid w:val="000456A8"/>
    <w:rsid w:val="00045853"/>
    <w:rsid w:val="00045ACE"/>
    <w:rsid w:val="00046317"/>
    <w:rsid w:val="0004663D"/>
    <w:rsid w:val="0004726B"/>
    <w:rsid w:val="000472EA"/>
    <w:rsid w:val="0004747E"/>
    <w:rsid w:val="000477BB"/>
    <w:rsid w:val="00047BAA"/>
    <w:rsid w:val="00047D1C"/>
    <w:rsid w:val="00047DEE"/>
    <w:rsid w:val="00047EE7"/>
    <w:rsid w:val="0005047E"/>
    <w:rsid w:val="0005070E"/>
    <w:rsid w:val="00050795"/>
    <w:rsid w:val="00050824"/>
    <w:rsid w:val="00050902"/>
    <w:rsid w:val="00050AA6"/>
    <w:rsid w:val="00050F14"/>
    <w:rsid w:val="00050F3D"/>
    <w:rsid w:val="00051042"/>
    <w:rsid w:val="00051231"/>
    <w:rsid w:val="0005176A"/>
    <w:rsid w:val="000517C3"/>
    <w:rsid w:val="000518E8"/>
    <w:rsid w:val="000518EA"/>
    <w:rsid w:val="00051AC5"/>
    <w:rsid w:val="000520A0"/>
    <w:rsid w:val="000521CB"/>
    <w:rsid w:val="00052681"/>
    <w:rsid w:val="00052A78"/>
    <w:rsid w:val="00052AD8"/>
    <w:rsid w:val="00052C9B"/>
    <w:rsid w:val="00052CDB"/>
    <w:rsid w:val="00052D62"/>
    <w:rsid w:val="00052D9F"/>
    <w:rsid w:val="00053087"/>
    <w:rsid w:val="00053221"/>
    <w:rsid w:val="0005344F"/>
    <w:rsid w:val="0005358F"/>
    <w:rsid w:val="000535A8"/>
    <w:rsid w:val="00053735"/>
    <w:rsid w:val="00053936"/>
    <w:rsid w:val="00053B42"/>
    <w:rsid w:val="00053D23"/>
    <w:rsid w:val="00053D29"/>
    <w:rsid w:val="00053E6E"/>
    <w:rsid w:val="00053FD3"/>
    <w:rsid w:val="0005437B"/>
    <w:rsid w:val="000544F8"/>
    <w:rsid w:val="00054744"/>
    <w:rsid w:val="00054923"/>
    <w:rsid w:val="00054D1E"/>
    <w:rsid w:val="00054D2B"/>
    <w:rsid w:val="00054D41"/>
    <w:rsid w:val="00054DC8"/>
    <w:rsid w:val="00054EC3"/>
    <w:rsid w:val="000550C7"/>
    <w:rsid w:val="00055219"/>
    <w:rsid w:val="00055298"/>
    <w:rsid w:val="000552C4"/>
    <w:rsid w:val="000554ED"/>
    <w:rsid w:val="0005555F"/>
    <w:rsid w:val="000557ED"/>
    <w:rsid w:val="0005584A"/>
    <w:rsid w:val="00055DCD"/>
    <w:rsid w:val="00055FE6"/>
    <w:rsid w:val="00056204"/>
    <w:rsid w:val="00056264"/>
    <w:rsid w:val="0005628E"/>
    <w:rsid w:val="0005629E"/>
    <w:rsid w:val="00056397"/>
    <w:rsid w:val="0005657D"/>
    <w:rsid w:val="00056619"/>
    <w:rsid w:val="00056861"/>
    <w:rsid w:val="00056BF1"/>
    <w:rsid w:val="00056BF2"/>
    <w:rsid w:val="00056D8B"/>
    <w:rsid w:val="00056F36"/>
    <w:rsid w:val="00057445"/>
    <w:rsid w:val="00057813"/>
    <w:rsid w:val="00057877"/>
    <w:rsid w:val="00057952"/>
    <w:rsid w:val="000579C8"/>
    <w:rsid w:val="00057A69"/>
    <w:rsid w:val="00057BCC"/>
    <w:rsid w:val="00057CFA"/>
    <w:rsid w:val="00057FBC"/>
    <w:rsid w:val="0006006E"/>
    <w:rsid w:val="0006040A"/>
    <w:rsid w:val="00060499"/>
    <w:rsid w:val="00060503"/>
    <w:rsid w:val="000606CA"/>
    <w:rsid w:val="0006088F"/>
    <w:rsid w:val="000609BE"/>
    <w:rsid w:val="00060B3B"/>
    <w:rsid w:val="00060BD1"/>
    <w:rsid w:val="00060BF5"/>
    <w:rsid w:val="00060E99"/>
    <w:rsid w:val="00060E9C"/>
    <w:rsid w:val="00061090"/>
    <w:rsid w:val="000611E3"/>
    <w:rsid w:val="00061249"/>
    <w:rsid w:val="0006194C"/>
    <w:rsid w:val="00061E26"/>
    <w:rsid w:val="00061ED7"/>
    <w:rsid w:val="00061F0F"/>
    <w:rsid w:val="00062176"/>
    <w:rsid w:val="000623A5"/>
    <w:rsid w:val="00062491"/>
    <w:rsid w:val="00062495"/>
    <w:rsid w:val="00062498"/>
    <w:rsid w:val="00062785"/>
    <w:rsid w:val="0006295A"/>
    <w:rsid w:val="00062C48"/>
    <w:rsid w:val="00063001"/>
    <w:rsid w:val="000632F5"/>
    <w:rsid w:val="0006347A"/>
    <w:rsid w:val="000634AE"/>
    <w:rsid w:val="00063823"/>
    <w:rsid w:val="00063848"/>
    <w:rsid w:val="00063981"/>
    <w:rsid w:val="000639AD"/>
    <w:rsid w:val="00063AF6"/>
    <w:rsid w:val="00063BF5"/>
    <w:rsid w:val="00063D40"/>
    <w:rsid w:val="000643A8"/>
    <w:rsid w:val="000648CA"/>
    <w:rsid w:val="00064B18"/>
    <w:rsid w:val="00064C27"/>
    <w:rsid w:val="00064D45"/>
    <w:rsid w:val="00064E55"/>
    <w:rsid w:val="000656DB"/>
    <w:rsid w:val="00065997"/>
    <w:rsid w:val="00065D7D"/>
    <w:rsid w:val="00065E97"/>
    <w:rsid w:val="00065F7E"/>
    <w:rsid w:val="00065F89"/>
    <w:rsid w:val="00066073"/>
    <w:rsid w:val="00066077"/>
    <w:rsid w:val="000661E6"/>
    <w:rsid w:val="000662DB"/>
    <w:rsid w:val="000665D9"/>
    <w:rsid w:val="0006660B"/>
    <w:rsid w:val="0006674D"/>
    <w:rsid w:val="00066806"/>
    <w:rsid w:val="00066B08"/>
    <w:rsid w:val="00066BAB"/>
    <w:rsid w:val="00066EA5"/>
    <w:rsid w:val="00066F41"/>
    <w:rsid w:val="00066F5A"/>
    <w:rsid w:val="00067033"/>
    <w:rsid w:val="000675CE"/>
    <w:rsid w:val="000676D4"/>
    <w:rsid w:val="00067861"/>
    <w:rsid w:val="00067ACA"/>
    <w:rsid w:val="00067B12"/>
    <w:rsid w:val="000706E5"/>
    <w:rsid w:val="00070CC9"/>
    <w:rsid w:val="00070DDF"/>
    <w:rsid w:val="00070F7F"/>
    <w:rsid w:val="00070FF9"/>
    <w:rsid w:val="000711BE"/>
    <w:rsid w:val="00071210"/>
    <w:rsid w:val="0007125A"/>
    <w:rsid w:val="00071312"/>
    <w:rsid w:val="0007165A"/>
    <w:rsid w:val="0007165B"/>
    <w:rsid w:val="00071827"/>
    <w:rsid w:val="000718EC"/>
    <w:rsid w:val="00071B79"/>
    <w:rsid w:val="00071BA9"/>
    <w:rsid w:val="00071EFF"/>
    <w:rsid w:val="00072012"/>
    <w:rsid w:val="0007203B"/>
    <w:rsid w:val="00072459"/>
    <w:rsid w:val="00072753"/>
    <w:rsid w:val="00072805"/>
    <w:rsid w:val="00072BA1"/>
    <w:rsid w:val="000735D4"/>
    <w:rsid w:val="000739BA"/>
    <w:rsid w:val="00073B9B"/>
    <w:rsid w:val="00073D18"/>
    <w:rsid w:val="00073DB2"/>
    <w:rsid w:val="00073DBC"/>
    <w:rsid w:val="0007435E"/>
    <w:rsid w:val="000746BB"/>
    <w:rsid w:val="00074ACB"/>
    <w:rsid w:val="00074AD4"/>
    <w:rsid w:val="00074C9C"/>
    <w:rsid w:val="0007502A"/>
    <w:rsid w:val="00075080"/>
    <w:rsid w:val="0007526D"/>
    <w:rsid w:val="00075401"/>
    <w:rsid w:val="00075540"/>
    <w:rsid w:val="000755C3"/>
    <w:rsid w:val="00075769"/>
    <w:rsid w:val="0007591D"/>
    <w:rsid w:val="0007635A"/>
    <w:rsid w:val="000763FC"/>
    <w:rsid w:val="0007674B"/>
    <w:rsid w:val="00076AD7"/>
    <w:rsid w:val="00076BF9"/>
    <w:rsid w:val="00076DA9"/>
    <w:rsid w:val="00076E65"/>
    <w:rsid w:val="00076E78"/>
    <w:rsid w:val="00076F9E"/>
    <w:rsid w:val="0007701B"/>
    <w:rsid w:val="000770A7"/>
    <w:rsid w:val="0007715B"/>
    <w:rsid w:val="00077201"/>
    <w:rsid w:val="00077207"/>
    <w:rsid w:val="0007786F"/>
    <w:rsid w:val="00077884"/>
    <w:rsid w:val="00077ADF"/>
    <w:rsid w:val="000801EE"/>
    <w:rsid w:val="000801EF"/>
    <w:rsid w:val="0008033F"/>
    <w:rsid w:val="00080AF0"/>
    <w:rsid w:val="00080E09"/>
    <w:rsid w:val="00080F2B"/>
    <w:rsid w:val="000810F5"/>
    <w:rsid w:val="0008113F"/>
    <w:rsid w:val="0008117B"/>
    <w:rsid w:val="00081439"/>
    <w:rsid w:val="00081A58"/>
    <w:rsid w:val="00081C41"/>
    <w:rsid w:val="00082056"/>
    <w:rsid w:val="0008236D"/>
    <w:rsid w:val="00082649"/>
    <w:rsid w:val="000827A2"/>
    <w:rsid w:val="00082C26"/>
    <w:rsid w:val="00082C82"/>
    <w:rsid w:val="00082F0A"/>
    <w:rsid w:val="00082FD6"/>
    <w:rsid w:val="000832FB"/>
    <w:rsid w:val="0008345D"/>
    <w:rsid w:val="000838C2"/>
    <w:rsid w:val="00083AFE"/>
    <w:rsid w:val="00083BE1"/>
    <w:rsid w:val="00083C4F"/>
    <w:rsid w:val="00084065"/>
    <w:rsid w:val="00084176"/>
    <w:rsid w:val="00084407"/>
    <w:rsid w:val="000844F1"/>
    <w:rsid w:val="0008485A"/>
    <w:rsid w:val="00084B15"/>
    <w:rsid w:val="00084DB9"/>
    <w:rsid w:val="00084E50"/>
    <w:rsid w:val="00085038"/>
    <w:rsid w:val="00085095"/>
    <w:rsid w:val="000851BA"/>
    <w:rsid w:val="00085448"/>
    <w:rsid w:val="00085577"/>
    <w:rsid w:val="000858B2"/>
    <w:rsid w:val="00085BEA"/>
    <w:rsid w:val="00085D59"/>
    <w:rsid w:val="00085DA4"/>
    <w:rsid w:val="00085F46"/>
    <w:rsid w:val="00086484"/>
    <w:rsid w:val="00086668"/>
    <w:rsid w:val="00086B55"/>
    <w:rsid w:val="00086CE9"/>
    <w:rsid w:val="00086F30"/>
    <w:rsid w:val="00087014"/>
    <w:rsid w:val="0008703E"/>
    <w:rsid w:val="00087504"/>
    <w:rsid w:val="000876C6"/>
    <w:rsid w:val="0008774C"/>
    <w:rsid w:val="000879BF"/>
    <w:rsid w:val="00087EA1"/>
    <w:rsid w:val="0009009F"/>
    <w:rsid w:val="000901EF"/>
    <w:rsid w:val="0009049D"/>
    <w:rsid w:val="0009057F"/>
    <w:rsid w:val="00090709"/>
    <w:rsid w:val="0009075C"/>
    <w:rsid w:val="0009081F"/>
    <w:rsid w:val="00090E11"/>
    <w:rsid w:val="00090FA9"/>
    <w:rsid w:val="000910F6"/>
    <w:rsid w:val="000913E7"/>
    <w:rsid w:val="00091697"/>
    <w:rsid w:val="000916B0"/>
    <w:rsid w:val="0009191A"/>
    <w:rsid w:val="000919BC"/>
    <w:rsid w:val="00091BED"/>
    <w:rsid w:val="00091D9C"/>
    <w:rsid w:val="00092570"/>
    <w:rsid w:val="000926A6"/>
    <w:rsid w:val="00092808"/>
    <w:rsid w:val="000928E2"/>
    <w:rsid w:val="00092CCF"/>
    <w:rsid w:val="00093074"/>
    <w:rsid w:val="00093177"/>
    <w:rsid w:val="0009325F"/>
    <w:rsid w:val="00093289"/>
    <w:rsid w:val="000932FF"/>
    <w:rsid w:val="00093389"/>
    <w:rsid w:val="0009348E"/>
    <w:rsid w:val="00093798"/>
    <w:rsid w:val="00093CE3"/>
    <w:rsid w:val="0009410B"/>
    <w:rsid w:val="0009415B"/>
    <w:rsid w:val="00094231"/>
    <w:rsid w:val="00094356"/>
    <w:rsid w:val="000943BE"/>
    <w:rsid w:val="00094508"/>
    <w:rsid w:val="00094E24"/>
    <w:rsid w:val="00094F47"/>
    <w:rsid w:val="00094FDC"/>
    <w:rsid w:val="00095116"/>
    <w:rsid w:val="00095344"/>
    <w:rsid w:val="0009548F"/>
    <w:rsid w:val="000956B8"/>
    <w:rsid w:val="000956BC"/>
    <w:rsid w:val="00095893"/>
    <w:rsid w:val="0009589C"/>
    <w:rsid w:val="00095A54"/>
    <w:rsid w:val="00095A86"/>
    <w:rsid w:val="00095B54"/>
    <w:rsid w:val="00095CD0"/>
    <w:rsid w:val="0009605F"/>
    <w:rsid w:val="000961D7"/>
    <w:rsid w:val="0009623C"/>
    <w:rsid w:val="00096A22"/>
    <w:rsid w:val="00096D5D"/>
    <w:rsid w:val="00096D9B"/>
    <w:rsid w:val="00096F56"/>
    <w:rsid w:val="0009739B"/>
    <w:rsid w:val="000974D5"/>
    <w:rsid w:val="00097942"/>
    <w:rsid w:val="00097952"/>
    <w:rsid w:val="00097A2E"/>
    <w:rsid w:val="00097E2D"/>
    <w:rsid w:val="00097F0F"/>
    <w:rsid w:val="00097F64"/>
    <w:rsid w:val="00097FA3"/>
    <w:rsid w:val="000A037D"/>
    <w:rsid w:val="000A066D"/>
    <w:rsid w:val="000A06A1"/>
    <w:rsid w:val="000A0AFC"/>
    <w:rsid w:val="000A0D0E"/>
    <w:rsid w:val="000A0E28"/>
    <w:rsid w:val="000A1070"/>
    <w:rsid w:val="000A1493"/>
    <w:rsid w:val="000A19DE"/>
    <w:rsid w:val="000A1A4A"/>
    <w:rsid w:val="000A1BCA"/>
    <w:rsid w:val="000A1E06"/>
    <w:rsid w:val="000A2129"/>
    <w:rsid w:val="000A2799"/>
    <w:rsid w:val="000A291A"/>
    <w:rsid w:val="000A2AD1"/>
    <w:rsid w:val="000A2E59"/>
    <w:rsid w:val="000A3186"/>
    <w:rsid w:val="000A3207"/>
    <w:rsid w:val="000A3288"/>
    <w:rsid w:val="000A32E4"/>
    <w:rsid w:val="000A3563"/>
    <w:rsid w:val="000A36EF"/>
    <w:rsid w:val="000A389E"/>
    <w:rsid w:val="000A39D1"/>
    <w:rsid w:val="000A3D60"/>
    <w:rsid w:val="000A3F26"/>
    <w:rsid w:val="000A426E"/>
    <w:rsid w:val="000A4304"/>
    <w:rsid w:val="000A43B0"/>
    <w:rsid w:val="000A475A"/>
    <w:rsid w:val="000A48A9"/>
    <w:rsid w:val="000A4FD6"/>
    <w:rsid w:val="000A4FF2"/>
    <w:rsid w:val="000A506E"/>
    <w:rsid w:val="000A5104"/>
    <w:rsid w:val="000A5128"/>
    <w:rsid w:val="000A5248"/>
    <w:rsid w:val="000A528F"/>
    <w:rsid w:val="000A53DF"/>
    <w:rsid w:val="000A56FC"/>
    <w:rsid w:val="000A5743"/>
    <w:rsid w:val="000A58F2"/>
    <w:rsid w:val="000A5A79"/>
    <w:rsid w:val="000A5B7F"/>
    <w:rsid w:val="000A5BA1"/>
    <w:rsid w:val="000A5C4C"/>
    <w:rsid w:val="000A6150"/>
    <w:rsid w:val="000A61BA"/>
    <w:rsid w:val="000A6298"/>
    <w:rsid w:val="000A6A67"/>
    <w:rsid w:val="000A6C65"/>
    <w:rsid w:val="000A7301"/>
    <w:rsid w:val="000A74F2"/>
    <w:rsid w:val="000A7515"/>
    <w:rsid w:val="000A753F"/>
    <w:rsid w:val="000A760D"/>
    <w:rsid w:val="000A7B65"/>
    <w:rsid w:val="000A7B82"/>
    <w:rsid w:val="000A7F5D"/>
    <w:rsid w:val="000B0468"/>
    <w:rsid w:val="000B04C2"/>
    <w:rsid w:val="000B0588"/>
    <w:rsid w:val="000B061F"/>
    <w:rsid w:val="000B0786"/>
    <w:rsid w:val="000B07C0"/>
    <w:rsid w:val="000B0F13"/>
    <w:rsid w:val="000B138A"/>
    <w:rsid w:val="000B1425"/>
    <w:rsid w:val="000B15E2"/>
    <w:rsid w:val="000B1643"/>
    <w:rsid w:val="000B166E"/>
    <w:rsid w:val="000B1A5E"/>
    <w:rsid w:val="000B1AAF"/>
    <w:rsid w:val="000B1BA5"/>
    <w:rsid w:val="000B1C59"/>
    <w:rsid w:val="000B1E55"/>
    <w:rsid w:val="000B1F86"/>
    <w:rsid w:val="000B220A"/>
    <w:rsid w:val="000B23D5"/>
    <w:rsid w:val="000B26CD"/>
    <w:rsid w:val="000B27F6"/>
    <w:rsid w:val="000B288C"/>
    <w:rsid w:val="000B29D1"/>
    <w:rsid w:val="000B2B40"/>
    <w:rsid w:val="000B2DD7"/>
    <w:rsid w:val="000B3226"/>
    <w:rsid w:val="000B3294"/>
    <w:rsid w:val="000B3722"/>
    <w:rsid w:val="000B38EB"/>
    <w:rsid w:val="000B3B6D"/>
    <w:rsid w:val="000B3CCF"/>
    <w:rsid w:val="000B3D08"/>
    <w:rsid w:val="000B4075"/>
    <w:rsid w:val="000B41AF"/>
    <w:rsid w:val="000B45FC"/>
    <w:rsid w:val="000B476E"/>
    <w:rsid w:val="000B48A1"/>
    <w:rsid w:val="000B4B07"/>
    <w:rsid w:val="000B4BDC"/>
    <w:rsid w:val="000B515C"/>
    <w:rsid w:val="000B51D4"/>
    <w:rsid w:val="000B52BD"/>
    <w:rsid w:val="000B5453"/>
    <w:rsid w:val="000B57FE"/>
    <w:rsid w:val="000B580A"/>
    <w:rsid w:val="000B5843"/>
    <w:rsid w:val="000B5A79"/>
    <w:rsid w:val="000B5CBB"/>
    <w:rsid w:val="000B5FD3"/>
    <w:rsid w:val="000B61CB"/>
    <w:rsid w:val="000B628D"/>
    <w:rsid w:val="000B62F0"/>
    <w:rsid w:val="000B66E1"/>
    <w:rsid w:val="000B691F"/>
    <w:rsid w:val="000B6A7F"/>
    <w:rsid w:val="000B6A9B"/>
    <w:rsid w:val="000B6CB1"/>
    <w:rsid w:val="000B6CFA"/>
    <w:rsid w:val="000B6F89"/>
    <w:rsid w:val="000B6FAB"/>
    <w:rsid w:val="000B6FEF"/>
    <w:rsid w:val="000B7277"/>
    <w:rsid w:val="000B754A"/>
    <w:rsid w:val="000B75A7"/>
    <w:rsid w:val="000B7611"/>
    <w:rsid w:val="000B793B"/>
    <w:rsid w:val="000B7D9C"/>
    <w:rsid w:val="000B7F21"/>
    <w:rsid w:val="000C07DB"/>
    <w:rsid w:val="000C0811"/>
    <w:rsid w:val="000C0838"/>
    <w:rsid w:val="000C086D"/>
    <w:rsid w:val="000C0A66"/>
    <w:rsid w:val="000C0A89"/>
    <w:rsid w:val="000C0AE7"/>
    <w:rsid w:val="000C0BB9"/>
    <w:rsid w:val="000C0FCC"/>
    <w:rsid w:val="000C1558"/>
    <w:rsid w:val="000C1849"/>
    <w:rsid w:val="000C195D"/>
    <w:rsid w:val="000C19D1"/>
    <w:rsid w:val="000C1C36"/>
    <w:rsid w:val="000C1F71"/>
    <w:rsid w:val="000C1FAB"/>
    <w:rsid w:val="000C2319"/>
    <w:rsid w:val="000C2326"/>
    <w:rsid w:val="000C2393"/>
    <w:rsid w:val="000C25B5"/>
    <w:rsid w:val="000C2A30"/>
    <w:rsid w:val="000C2D5E"/>
    <w:rsid w:val="000C2ED6"/>
    <w:rsid w:val="000C3051"/>
    <w:rsid w:val="000C32B1"/>
    <w:rsid w:val="000C3420"/>
    <w:rsid w:val="000C35D7"/>
    <w:rsid w:val="000C3955"/>
    <w:rsid w:val="000C3C5E"/>
    <w:rsid w:val="000C3D06"/>
    <w:rsid w:val="000C3D22"/>
    <w:rsid w:val="000C3E24"/>
    <w:rsid w:val="000C40B8"/>
    <w:rsid w:val="000C4477"/>
    <w:rsid w:val="000C45AE"/>
    <w:rsid w:val="000C472F"/>
    <w:rsid w:val="000C4881"/>
    <w:rsid w:val="000C4AE5"/>
    <w:rsid w:val="000C5104"/>
    <w:rsid w:val="000C5699"/>
    <w:rsid w:val="000C56B9"/>
    <w:rsid w:val="000C56F5"/>
    <w:rsid w:val="000C56FC"/>
    <w:rsid w:val="000C574E"/>
    <w:rsid w:val="000C59D1"/>
    <w:rsid w:val="000C5B97"/>
    <w:rsid w:val="000C668D"/>
    <w:rsid w:val="000C66A3"/>
    <w:rsid w:val="000C66C5"/>
    <w:rsid w:val="000C68D7"/>
    <w:rsid w:val="000C69E4"/>
    <w:rsid w:val="000C6A85"/>
    <w:rsid w:val="000C6BE4"/>
    <w:rsid w:val="000C6FA8"/>
    <w:rsid w:val="000C70DC"/>
    <w:rsid w:val="000C79C1"/>
    <w:rsid w:val="000C7CB8"/>
    <w:rsid w:val="000C7CBA"/>
    <w:rsid w:val="000C7E73"/>
    <w:rsid w:val="000C7F32"/>
    <w:rsid w:val="000D000C"/>
    <w:rsid w:val="000D02F8"/>
    <w:rsid w:val="000D0381"/>
    <w:rsid w:val="000D0B20"/>
    <w:rsid w:val="000D0D38"/>
    <w:rsid w:val="000D0DF3"/>
    <w:rsid w:val="000D10EC"/>
    <w:rsid w:val="000D1190"/>
    <w:rsid w:val="000D13E2"/>
    <w:rsid w:val="000D1A70"/>
    <w:rsid w:val="000D1B10"/>
    <w:rsid w:val="000D1C30"/>
    <w:rsid w:val="000D1DC2"/>
    <w:rsid w:val="000D1E72"/>
    <w:rsid w:val="000D1F9C"/>
    <w:rsid w:val="000D2021"/>
    <w:rsid w:val="000D21E7"/>
    <w:rsid w:val="000D2268"/>
    <w:rsid w:val="000D264B"/>
    <w:rsid w:val="000D290B"/>
    <w:rsid w:val="000D2C99"/>
    <w:rsid w:val="000D2E14"/>
    <w:rsid w:val="000D2E5B"/>
    <w:rsid w:val="000D2ED7"/>
    <w:rsid w:val="000D301B"/>
    <w:rsid w:val="000D3133"/>
    <w:rsid w:val="000D3389"/>
    <w:rsid w:val="000D34B6"/>
    <w:rsid w:val="000D4011"/>
    <w:rsid w:val="000D4770"/>
    <w:rsid w:val="000D4C46"/>
    <w:rsid w:val="000D4F8A"/>
    <w:rsid w:val="000D5021"/>
    <w:rsid w:val="000D51CC"/>
    <w:rsid w:val="000D5392"/>
    <w:rsid w:val="000D544F"/>
    <w:rsid w:val="000D5B25"/>
    <w:rsid w:val="000D5CE3"/>
    <w:rsid w:val="000D5F73"/>
    <w:rsid w:val="000D5F99"/>
    <w:rsid w:val="000D6756"/>
    <w:rsid w:val="000D691B"/>
    <w:rsid w:val="000D6C8D"/>
    <w:rsid w:val="000D6DF6"/>
    <w:rsid w:val="000D7128"/>
    <w:rsid w:val="000D74AA"/>
    <w:rsid w:val="000D77C7"/>
    <w:rsid w:val="000D7834"/>
    <w:rsid w:val="000D785F"/>
    <w:rsid w:val="000D79A6"/>
    <w:rsid w:val="000D7BE7"/>
    <w:rsid w:val="000D7F55"/>
    <w:rsid w:val="000E01F0"/>
    <w:rsid w:val="000E0349"/>
    <w:rsid w:val="000E0379"/>
    <w:rsid w:val="000E05C4"/>
    <w:rsid w:val="000E083F"/>
    <w:rsid w:val="000E0A88"/>
    <w:rsid w:val="000E0B19"/>
    <w:rsid w:val="000E0C33"/>
    <w:rsid w:val="000E0E01"/>
    <w:rsid w:val="000E146C"/>
    <w:rsid w:val="000E1473"/>
    <w:rsid w:val="000E15A2"/>
    <w:rsid w:val="000E18C5"/>
    <w:rsid w:val="000E1A8C"/>
    <w:rsid w:val="000E1E37"/>
    <w:rsid w:val="000E214F"/>
    <w:rsid w:val="000E216D"/>
    <w:rsid w:val="000E2179"/>
    <w:rsid w:val="000E27A7"/>
    <w:rsid w:val="000E2861"/>
    <w:rsid w:val="000E28F9"/>
    <w:rsid w:val="000E2C06"/>
    <w:rsid w:val="000E2CDF"/>
    <w:rsid w:val="000E304E"/>
    <w:rsid w:val="000E3058"/>
    <w:rsid w:val="000E319E"/>
    <w:rsid w:val="000E3426"/>
    <w:rsid w:val="000E3C7A"/>
    <w:rsid w:val="000E3F1C"/>
    <w:rsid w:val="000E3F3F"/>
    <w:rsid w:val="000E42F0"/>
    <w:rsid w:val="000E45B3"/>
    <w:rsid w:val="000E46E8"/>
    <w:rsid w:val="000E4710"/>
    <w:rsid w:val="000E490E"/>
    <w:rsid w:val="000E49C1"/>
    <w:rsid w:val="000E4AB6"/>
    <w:rsid w:val="000E4C50"/>
    <w:rsid w:val="000E4FF3"/>
    <w:rsid w:val="000E51C9"/>
    <w:rsid w:val="000E520E"/>
    <w:rsid w:val="000E574F"/>
    <w:rsid w:val="000E5C3F"/>
    <w:rsid w:val="000E5CCA"/>
    <w:rsid w:val="000E5F41"/>
    <w:rsid w:val="000E6347"/>
    <w:rsid w:val="000E66F1"/>
    <w:rsid w:val="000E6818"/>
    <w:rsid w:val="000E686D"/>
    <w:rsid w:val="000E6CA3"/>
    <w:rsid w:val="000E7017"/>
    <w:rsid w:val="000E70C8"/>
    <w:rsid w:val="000E7151"/>
    <w:rsid w:val="000E7207"/>
    <w:rsid w:val="000E729E"/>
    <w:rsid w:val="000E7686"/>
    <w:rsid w:val="000E77E3"/>
    <w:rsid w:val="000E7834"/>
    <w:rsid w:val="000E7C33"/>
    <w:rsid w:val="000E7D33"/>
    <w:rsid w:val="000E7F4F"/>
    <w:rsid w:val="000F0598"/>
    <w:rsid w:val="000F0714"/>
    <w:rsid w:val="000F073C"/>
    <w:rsid w:val="000F0996"/>
    <w:rsid w:val="000F0A7C"/>
    <w:rsid w:val="000F0F8C"/>
    <w:rsid w:val="000F10A7"/>
    <w:rsid w:val="000F148C"/>
    <w:rsid w:val="000F159B"/>
    <w:rsid w:val="000F15ED"/>
    <w:rsid w:val="000F16C4"/>
    <w:rsid w:val="000F1907"/>
    <w:rsid w:val="000F1D5E"/>
    <w:rsid w:val="000F1DCB"/>
    <w:rsid w:val="000F1E3D"/>
    <w:rsid w:val="000F1F8B"/>
    <w:rsid w:val="000F201C"/>
    <w:rsid w:val="000F20B7"/>
    <w:rsid w:val="000F2217"/>
    <w:rsid w:val="000F23EC"/>
    <w:rsid w:val="000F26D1"/>
    <w:rsid w:val="000F2936"/>
    <w:rsid w:val="000F2B68"/>
    <w:rsid w:val="000F2CEF"/>
    <w:rsid w:val="000F2D47"/>
    <w:rsid w:val="000F2DF8"/>
    <w:rsid w:val="000F2DFF"/>
    <w:rsid w:val="000F2E59"/>
    <w:rsid w:val="000F3017"/>
    <w:rsid w:val="000F3073"/>
    <w:rsid w:val="000F3269"/>
    <w:rsid w:val="000F3470"/>
    <w:rsid w:val="000F349B"/>
    <w:rsid w:val="000F34B1"/>
    <w:rsid w:val="000F35C9"/>
    <w:rsid w:val="000F3702"/>
    <w:rsid w:val="000F39D4"/>
    <w:rsid w:val="000F3B78"/>
    <w:rsid w:val="000F3D07"/>
    <w:rsid w:val="000F3D2D"/>
    <w:rsid w:val="000F3EB8"/>
    <w:rsid w:val="000F3EE0"/>
    <w:rsid w:val="000F3FCA"/>
    <w:rsid w:val="000F448E"/>
    <w:rsid w:val="000F497B"/>
    <w:rsid w:val="000F4D7D"/>
    <w:rsid w:val="000F4F6F"/>
    <w:rsid w:val="000F5123"/>
    <w:rsid w:val="000F528C"/>
    <w:rsid w:val="000F5694"/>
    <w:rsid w:val="000F5A0D"/>
    <w:rsid w:val="000F5A5C"/>
    <w:rsid w:val="000F5ADB"/>
    <w:rsid w:val="000F5BFF"/>
    <w:rsid w:val="000F5C25"/>
    <w:rsid w:val="000F5EE6"/>
    <w:rsid w:val="000F5EFC"/>
    <w:rsid w:val="000F5FA1"/>
    <w:rsid w:val="000F635A"/>
    <w:rsid w:val="000F6406"/>
    <w:rsid w:val="000F64C5"/>
    <w:rsid w:val="000F655F"/>
    <w:rsid w:val="000F6742"/>
    <w:rsid w:val="000F6ECE"/>
    <w:rsid w:val="000F70FD"/>
    <w:rsid w:val="000F71B4"/>
    <w:rsid w:val="000F7368"/>
    <w:rsid w:val="000F75DC"/>
    <w:rsid w:val="000F7752"/>
    <w:rsid w:val="000F789B"/>
    <w:rsid w:val="000F78A6"/>
    <w:rsid w:val="000F7A67"/>
    <w:rsid w:val="000F7D92"/>
    <w:rsid w:val="000F7EB2"/>
    <w:rsid w:val="000F7F3E"/>
    <w:rsid w:val="001000D7"/>
    <w:rsid w:val="00100619"/>
    <w:rsid w:val="00100FB0"/>
    <w:rsid w:val="00101035"/>
    <w:rsid w:val="00101050"/>
    <w:rsid w:val="0010126D"/>
    <w:rsid w:val="001015AD"/>
    <w:rsid w:val="0010189E"/>
    <w:rsid w:val="00101938"/>
    <w:rsid w:val="001019AA"/>
    <w:rsid w:val="00101E14"/>
    <w:rsid w:val="00101E43"/>
    <w:rsid w:val="00102139"/>
    <w:rsid w:val="00102183"/>
    <w:rsid w:val="0010234E"/>
    <w:rsid w:val="0010242F"/>
    <w:rsid w:val="001025AF"/>
    <w:rsid w:val="001025E1"/>
    <w:rsid w:val="00102740"/>
    <w:rsid w:val="00102836"/>
    <w:rsid w:val="001028AC"/>
    <w:rsid w:val="00102C5F"/>
    <w:rsid w:val="00102EA8"/>
    <w:rsid w:val="001030B2"/>
    <w:rsid w:val="0010363C"/>
    <w:rsid w:val="0010382B"/>
    <w:rsid w:val="001038D2"/>
    <w:rsid w:val="00103A99"/>
    <w:rsid w:val="00103B40"/>
    <w:rsid w:val="00103D37"/>
    <w:rsid w:val="00103DF2"/>
    <w:rsid w:val="00103EA3"/>
    <w:rsid w:val="00103FAA"/>
    <w:rsid w:val="00104605"/>
    <w:rsid w:val="001049A7"/>
    <w:rsid w:val="00104A6E"/>
    <w:rsid w:val="00104C6A"/>
    <w:rsid w:val="00104EEF"/>
    <w:rsid w:val="00104F88"/>
    <w:rsid w:val="00105347"/>
    <w:rsid w:val="0010535A"/>
    <w:rsid w:val="00105458"/>
    <w:rsid w:val="00105600"/>
    <w:rsid w:val="0010590C"/>
    <w:rsid w:val="00105AF6"/>
    <w:rsid w:val="00105B9B"/>
    <w:rsid w:val="00105E80"/>
    <w:rsid w:val="00105FA5"/>
    <w:rsid w:val="001062FA"/>
    <w:rsid w:val="00106644"/>
    <w:rsid w:val="00106720"/>
    <w:rsid w:val="00106928"/>
    <w:rsid w:val="0010694F"/>
    <w:rsid w:val="00106CDB"/>
    <w:rsid w:val="001071DF"/>
    <w:rsid w:val="00107507"/>
    <w:rsid w:val="00107801"/>
    <w:rsid w:val="00107BFC"/>
    <w:rsid w:val="00107E8C"/>
    <w:rsid w:val="00107F4A"/>
    <w:rsid w:val="00110233"/>
    <w:rsid w:val="00110267"/>
    <w:rsid w:val="00110290"/>
    <w:rsid w:val="001103D0"/>
    <w:rsid w:val="0011052B"/>
    <w:rsid w:val="00110563"/>
    <w:rsid w:val="001105C4"/>
    <w:rsid w:val="0011093B"/>
    <w:rsid w:val="00110948"/>
    <w:rsid w:val="00110ABA"/>
    <w:rsid w:val="00110DE4"/>
    <w:rsid w:val="00110E1B"/>
    <w:rsid w:val="00110E27"/>
    <w:rsid w:val="00111108"/>
    <w:rsid w:val="001112D5"/>
    <w:rsid w:val="001113C4"/>
    <w:rsid w:val="00111E3C"/>
    <w:rsid w:val="00112080"/>
    <w:rsid w:val="001120DA"/>
    <w:rsid w:val="0011249C"/>
    <w:rsid w:val="00112621"/>
    <w:rsid w:val="001128EF"/>
    <w:rsid w:val="00112927"/>
    <w:rsid w:val="001129D0"/>
    <w:rsid w:val="00112FD8"/>
    <w:rsid w:val="00113162"/>
    <w:rsid w:val="00113429"/>
    <w:rsid w:val="00113C46"/>
    <w:rsid w:val="00113E49"/>
    <w:rsid w:val="001141E2"/>
    <w:rsid w:val="001142A4"/>
    <w:rsid w:val="001142F2"/>
    <w:rsid w:val="001143B2"/>
    <w:rsid w:val="001143EF"/>
    <w:rsid w:val="001146FF"/>
    <w:rsid w:val="00114D84"/>
    <w:rsid w:val="00114E84"/>
    <w:rsid w:val="00114F58"/>
    <w:rsid w:val="0011520D"/>
    <w:rsid w:val="00115305"/>
    <w:rsid w:val="00115343"/>
    <w:rsid w:val="001155FA"/>
    <w:rsid w:val="00115903"/>
    <w:rsid w:val="00115995"/>
    <w:rsid w:val="00115BA7"/>
    <w:rsid w:val="00116398"/>
    <w:rsid w:val="001166E1"/>
    <w:rsid w:val="00116B4D"/>
    <w:rsid w:val="00116C1F"/>
    <w:rsid w:val="00116C3E"/>
    <w:rsid w:val="00116DAD"/>
    <w:rsid w:val="00117393"/>
    <w:rsid w:val="001176E2"/>
    <w:rsid w:val="00117748"/>
    <w:rsid w:val="001177D2"/>
    <w:rsid w:val="001177D6"/>
    <w:rsid w:val="00117BB1"/>
    <w:rsid w:val="00117FEC"/>
    <w:rsid w:val="0012090B"/>
    <w:rsid w:val="00120A7A"/>
    <w:rsid w:val="00120E8F"/>
    <w:rsid w:val="00120ECF"/>
    <w:rsid w:val="00120F01"/>
    <w:rsid w:val="0012105D"/>
    <w:rsid w:val="001210BD"/>
    <w:rsid w:val="00121199"/>
    <w:rsid w:val="0012135E"/>
    <w:rsid w:val="001213CB"/>
    <w:rsid w:val="0012159B"/>
    <w:rsid w:val="001215E3"/>
    <w:rsid w:val="001218CE"/>
    <w:rsid w:val="00121A69"/>
    <w:rsid w:val="00121C22"/>
    <w:rsid w:val="00121C75"/>
    <w:rsid w:val="001221CC"/>
    <w:rsid w:val="001224AA"/>
    <w:rsid w:val="00122855"/>
    <w:rsid w:val="00122980"/>
    <w:rsid w:val="00122D6C"/>
    <w:rsid w:val="001230BE"/>
    <w:rsid w:val="001230F4"/>
    <w:rsid w:val="0012312E"/>
    <w:rsid w:val="00123696"/>
    <w:rsid w:val="00123806"/>
    <w:rsid w:val="00123857"/>
    <w:rsid w:val="00123A7F"/>
    <w:rsid w:val="00123B40"/>
    <w:rsid w:val="00123BA6"/>
    <w:rsid w:val="00123E22"/>
    <w:rsid w:val="00123FA3"/>
    <w:rsid w:val="00124021"/>
    <w:rsid w:val="00124544"/>
    <w:rsid w:val="00124762"/>
    <w:rsid w:val="0012486E"/>
    <w:rsid w:val="00124A6D"/>
    <w:rsid w:val="00124A70"/>
    <w:rsid w:val="00124D95"/>
    <w:rsid w:val="00124ED4"/>
    <w:rsid w:val="00125012"/>
    <w:rsid w:val="00125166"/>
    <w:rsid w:val="00125513"/>
    <w:rsid w:val="0012561D"/>
    <w:rsid w:val="001256E6"/>
    <w:rsid w:val="00125758"/>
    <w:rsid w:val="001257F2"/>
    <w:rsid w:val="0012590F"/>
    <w:rsid w:val="00125AB0"/>
    <w:rsid w:val="00125B64"/>
    <w:rsid w:val="00125C68"/>
    <w:rsid w:val="00126133"/>
    <w:rsid w:val="00126AC6"/>
    <w:rsid w:val="00126B2F"/>
    <w:rsid w:val="00126C02"/>
    <w:rsid w:val="00126C2D"/>
    <w:rsid w:val="0012767A"/>
    <w:rsid w:val="001276CA"/>
    <w:rsid w:val="001277BD"/>
    <w:rsid w:val="00127851"/>
    <w:rsid w:val="0012798B"/>
    <w:rsid w:val="00127B84"/>
    <w:rsid w:val="00127C46"/>
    <w:rsid w:val="00127D6B"/>
    <w:rsid w:val="00127EEA"/>
    <w:rsid w:val="0013000A"/>
    <w:rsid w:val="001302D8"/>
    <w:rsid w:val="00130300"/>
    <w:rsid w:val="00130720"/>
    <w:rsid w:val="0013089A"/>
    <w:rsid w:val="001309A1"/>
    <w:rsid w:val="001309C4"/>
    <w:rsid w:val="00130B2A"/>
    <w:rsid w:val="001310A7"/>
    <w:rsid w:val="001311CF"/>
    <w:rsid w:val="00131227"/>
    <w:rsid w:val="001313B0"/>
    <w:rsid w:val="001313CC"/>
    <w:rsid w:val="001314A8"/>
    <w:rsid w:val="001314FE"/>
    <w:rsid w:val="001315D7"/>
    <w:rsid w:val="00131A6C"/>
    <w:rsid w:val="00131B2F"/>
    <w:rsid w:val="00131F9C"/>
    <w:rsid w:val="00131FDE"/>
    <w:rsid w:val="0013200D"/>
    <w:rsid w:val="00132216"/>
    <w:rsid w:val="0013224C"/>
    <w:rsid w:val="0013232E"/>
    <w:rsid w:val="00132524"/>
    <w:rsid w:val="00132558"/>
    <w:rsid w:val="00132856"/>
    <w:rsid w:val="0013291D"/>
    <w:rsid w:val="0013293C"/>
    <w:rsid w:val="00132C0D"/>
    <w:rsid w:val="001334AA"/>
    <w:rsid w:val="00133675"/>
    <w:rsid w:val="00133A09"/>
    <w:rsid w:val="00133CD2"/>
    <w:rsid w:val="001343A5"/>
    <w:rsid w:val="001345B2"/>
    <w:rsid w:val="00134872"/>
    <w:rsid w:val="00134A5E"/>
    <w:rsid w:val="00134B08"/>
    <w:rsid w:val="00134DFE"/>
    <w:rsid w:val="00134F2D"/>
    <w:rsid w:val="00135073"/>
    <w:rsid w:val="001352AF"/>
    <w:rsid w:val="00135331"/>
    <w:rsid w:val="00135A05"/>
    <w:rsid w:val="00135E77"/>
    <w:rsid w:val="00135F27"/>
    <w:rsid w:val="00135FF5"/>
    <w:rsid w:val="00136205"/>
    <w:rsid w:val="00136235"/>
    <w:rsid w:val="0013647D"/>
    <w:rsid w:val="001365A0"/>
    <w:rsid w:val="00136957"/>
    <w:rsid w:val="00136A3C"/>
    <w:rsid w:val="00136B01"/>
    <w:rsid w:val="00136C33"/>
    <w:rsid w:val="001370F6"/>
    <w:rsid w:val="0013722E"/>
    <w:rsid w:val="00137275"/>
    <w:rsid w:val="001374AA"/>
    <w:rsid w:val="00137BD2"/>
    <w:rsid w:val="00137CAF"/>
    <w:rsid w:val="0014097D"/>
    <w:rsid w:val="001409AD"/>
    <w:rsid w:val="00140F2B"/>
    <w:rsid w:val="00140FE2"/>
    <w:rsid w:val="00140FF4"/>
    <w:rsid w:val="0014101C"/>
    <w:rsid w:val="0014136F"/>
    <w:rsid w:val="0014158E"/>
    <w:rsid w:val="001415F5"/>
    <w:rsid w:val="001418C0"/>
    <w:rsid w:val="00141BD8"/>
    <w:rsid w:val="00141CA3"/>
    <w:rsid w:val="00141D07"/>
    <w:rsid w:val="00141E61"/>
    <w:rsid w:val="0014210F"/>
    <w:rsid w:val="001421F2"/>
    <w:rsid w:val="0014225B"/>
    <w:rsid w:val="00142262"/>
    <w:rsid w:val="00142302"/>
    <w:rsid w:val="001423AC"/>
    <w:rsid w:val="001423B0"/>
    <w:rsid w:val="001427C4"/>
    <w:rsid w:val="00142990"/>
    <w:rsid w:val="00142C40"/>
    <w:rsid w:val="00142D20"/>
    <w:rsid w:val="00142DFA"/>
    <w:rsid w:val="00142E3A"/>
    <w:rsid w:val="0014313B"/>
    <w:rsid w:val="00143524"/>
    <w:rsid w:val="001435BB"/>
    <w:rsid w:val="001438D5"/>
    <w:rsid w:val="00143F4D"/>
    <w:rsid w:val="001442A3"/>
    <w:rsid w:val="001442DB"/>
    <w:rsid w:val="00144545"/>
    <w:rsid w:val="00144723"/>
    <w:rsid w:val="0014480C"/>
    <w:rsid w:val="00144BF1"/>
    <w:rsid w:val="00145553"/>
    <w:rsid w:val="001455BB"/>
    <w:rsid w:val="00145679"/>
    <w:rsid w:val="00145687"/>
    <w:rsid w:val="00145A2C"/>
    <w:rsid w:val="00145C9F"/>
    <w:rsid w:val="00145F33"/>
    <w:rsid w:val="0014602A"/>
    <w:rsid w:val="0014609F"/>
    <w:rsid w:val="0014645C"/>
    <w:rsid w:val="00146579"/>
    <w:rsid w:val="0014675C"/>
    <w:rsid w:val="001467D8"/>
    <w:rsid w:val="00146895"/>
    <w:rsid w:val="00146FB8"/>
    <w:rsid w:val="00146FC3"/>
    <w:rsid w:val="0014722E"/>
    <w:rsid w:val="001473FB"/>
    <w:rsid w:val="0014744D"/>
    <w:rsid w:val="00147489"/>
    <w:rsid w:val="00147660"/>
    <w:rsid w:val="00147745"/>
    <w:rsid w:val="0014781A"/>
    <w:rsid w:val="00147866"/>
    <w:rsid w:val="00147C91"/>
    <w:rsid w:val="00147E73"/>
    <w:rsid w:val="00147F64"/>
    <w:rsid w:val="001501BE"/>
    <w:rsid w:val="00150209"/>
    <w:rsid w:val="001502C0"/>
    <w:rsid w:val="0015031C"/>
    <w:rsid w:val="0015039E"/>
    <w:rsid w:val="00150423"/>
    <w:rsid w:val="0015047F"/>
    <w:rsid w:val="00150786"/>
    <w:rsid w:val="00151055"/>
    <w:rsid w:val="00151293"/>
    <w:rsid w:val="00151565"/>
    <w:rsid w:val="001517A9"/>
    <w:rsid w:val="001519B4"/>
    <w:rsid w:val="00151A9E"/>
    <w:rsid w:val="00151BBA"/>
    <w:rsid w:val="00151C89"/>
    <w:rsid w:val="00151D82"/>
    <w:rsid w:val="00152177"/>
    <w:rsid w:val="00152369"/>
    <w:rsid w:val="00152920"/>
    <w:rsid w:val="00152996"/>
    <w:rsid w:val="00152A8B"/>
    <w:rsid w:val="00152B63"/>
    <w:rsid w:val="00152C32"/>
    <w:rsid w:val="0015316A"/>
    <w:rsid w:val="0015387F"/>
    <w:rsid w:val="00153BAC"/>
    <w:rsid w:val="00153C78"/>
    <w:rsid w:val="00153D33"/>
    <w:rsid w:val="00154213"/>
    <w:rsid w:val="0015450D"/>
    <w:rsid w:val="00154ABD"/>
    <w:rsid w:val="00154DC1"/>
    <w:rsid w:val="0015532C"/>
    <w:rsid w:val="00155389"/>
    <w:rsid w:val="001555D1"/>
    <w:rsid w:val="00155855"/>
    <w:rsid w:val="00155A36"/>
    <w:rsid w:val="00155B95"/>
    <w:rsid w:val="001560EB"/>
    <w:rsid w:val="001560FC"/>
    <w:rsid w:val="00156446"/>
    <w:rsid w:val="001565E1"/>
    <w:rsid w:val="001567C7"/>
    <w:rsid w:val="00156D4E"/>
    <w:rsid w:val="00156E27"/>
    <w:rsid w:val="00156F01"/>
    <w:rsid w:val="00156FB2"/>
    <w:rsid w:val="00156FDC"/>
    <w:rsid w:val="00157408"/>
    <w:rsid w:val="00157514"/>
    <w:rsid w:val="001577AC"/>
    <w:rsid w:val="00157AEE"/>
    <w:rsid w:val="00157B8D"/>
    <w:rsid w:val="00157BBD"/>
    <w:rsid w:val="00157C07"/>
    <w:rsid w:val="00157FC6"/>
    <w:rsid w:val="001602D5"/>
    <w:rsid w:val="00160332"/>
    <w:rsid w:val="001605B7"/>
    <w:rsid w:val="0016061A"/>
    <w:rsid w:val="001608AB"/>
    <w:rsid w:val="001608B3"/>
    <w:rsid w:val="00160D4A"/>
    <w:rsid w:val="00160E24"/>
    <w:rsid w:val="00160E95"/>
    <w:rsid w:val="0016102C"/>
    <w:rsid w:val="00161395"/>
    <w:rsid w:val="00161A11"/>
    <w:rsid w:val="00161B5A"/>
    <w:rsid w:val="00161BB8"/>
    <w:rsid w:val="00161D46"/>
    <w:rsid w:val="0016226F"/>
    <w:rsid w:val="001624B5"/>
    <w:rsid w:val="00162520"/>
    <w:rsid w:val="00162546"/>
    <w:rsid w:val="0016269F"/>
    <w:rsid w:val="00162FA2"/>
    <w:rsid w:val="0016305B"/>
    <w:rsid w:val="0016308C"/>
    <w:rsid w:val="001630AA"/>
    <w:rsid w:val="001631D6"/>
    <w:rsid w:val="001631FE"/>
    <w:rsid w:val="00163280"/>
    <w:rsid w:val="0016332B"/>
    <w:rsid w:val="00163487"/>
    <w:rsid w:val="00163596"/>
    <w:rsid w:val="00163BFA"/>
    <w:rsid w:val="00164181"/>
    <w:rsid w:val="001641EE"/>
    <w:rsid w:val="00164213"/>
    <w:rsid w:val="0016432A"/>
    <w:rsid w:val="0016465C"/>
    <w:rsid w:val="00164AFA"/>
    <w:rsid w:val="00165004"/>
    <w:rsid w:val="0016505E"/>
    <w:rsid w:val="001650C9"/>
    <w:rsid w:val="00165715"/>
    <w:rsid w:val="0016580A"/>
    <w:rsid w:val="0016585F"/>
    <w:rsid w:val="001658D8"/>
    <w:rsid w:val="00165A5B"/>
    <w:rsid w:val="00165B27"/>
    <w:rsid w:val="00166043"/>
    <w:rsid w:val="001660FF"/>
    <w:rsid w:val="00166151"/>
    <w:rsid w:val="001663D9"/>
    <w:rsid w:val="00166637"/>
    <w:rsid w:val="00166935"/>
    <w:rsid w:val="00166D9A"/>
    <w:rsid w:val="00166E12"/>
    <w:rsid w:val="00166E42"/>
    <w:rsid w:val="001670B6"/>
    <w:rsid w:val="00167304"/>
    <w:rsid w:val="00167475"/>
    <w:rsid w:val="00167625"/>
    <w:rsid w:val="0016762D"/>
    <w:rsid w:val="001678C8"/>
    <w:rsid w:val="00167950"/>
    <w:rsid w:val="00167C69"/>
    <w:rsid w:val="00167D86"/>
    <w:rsid w:val="00170082"/>
    <w:rsid w:val="0017035F"/>
    <w:rsid w:val="001703E4"/>
    <w:rsid w:val="00170811"/>
    <w:rsid w:val="001708F5"/>
    <w:rsid w:val="00170A15"/>
    <w:rsid w:val="00170CCC"/>
    <w:rsid w:val="00170D24"/>
    <w:rsid w:val="00171297"/>
    <w:rsid w:val="00171555"/>
    <w:rsid w:val="0017156B"/>
    <w:rsid w:val="00171A14"/>
    <w:rsid w:val="00171A39"/>
    <w:rsid w:val="00171A71"/>
    <w:rsid w:val="00171E59"/>
    <w:rsid w:val="00171EF7"/>
    <w:rsid w:val="001720DB"/>
    <w:rsid w:val="00172138"/>
    <w:rsid w:val="00172219"/>
    <w:rsid w:val="00172647"/>
    <w:rsid w:val="001726CE"/>
    <w:rsid w:val="00172918"/>
    <w:rsid w:val="0017295F"/>
    <w:rsid w:val="001730D0"/>
    <w:rsid w:val="00173231"/>
    <w:rsid w:val="00173311"/>
    <w:rsid w:val="00173326"/>
    <w:rsid w:val="001733BF"/>
    <w:rsid w:val="00173486"/>
    <w:rsid w:val="001734F3"/>
    <w:rsid w:val="0017352D"/>
    <w:rsid w:val="001736C2"/>
    <w:rsid w:val="00173C80"/>
    <w:rsid w:val="00173DF8"/>
    <w:rsid w:val="00173EA7"/>
    <w:rsid w:val="00173FA5"/>
    <w:rsid w:val="00173FDA"/>
    <w:rsid w:val="0017420B"/>
    <w:rsid w:val="0017439C"/>
    <w:rsid w:val="00174A95"/>
    <w:rsid w:val="00175173"/>
    <w:rsid w:val="00175378"/>
    <w:rsid w:val="00175650"/>
    <w:rsid w:val="0017576E"/>
    <w:rsid w:val="001757C6"/>
    <w:rsid w:val="001758AF"/>
    <w:rsid w:val="00175969"/>
    <w:rsid w:val="00175D53"/>
    <w:rsid w:val="00175F28"/>
    <w:rsid w:val="001762C2"/>
    <w:rsid w:val="001762E6"/>
    <w:rsid w:val="00176303"/>
    <w:rsid w:val="0017633F"/>
    <w:rsid w:val="0017652D"/>
    <w:rsid w:val="001767C0"/>
    <w:rsid w:val="00176954"/>
    <w:rsid w:val="00176F29"/>
    <w:rsid w:val="00176F53"/>
    <w:rsid w:val="00177145"/>
    <w:rsid w:val="00177246"/>
    <w:rsid w:val="0017726C"/>
    <w:rsid w:val="001772EA"/>
    <w:rsid w:val="0017790B"/>
    <w:rsid w:val="00177A2F"/>
    <w:rsid w:val="00177A69"/>
    <w:rsid w:val="00177AA1"/>
    <w:rsid w:val="00177E09"/>
    <w:rsid w:val="00180000"/>
    <w:rsid w:val="0018009B"/>
    <w:rsid w:val="00180261"/>
    <w:rsid w:val="001803E8"/>
    <w:rsid w:val="0018071C"/>
    <w:rsid w:val="001807D7"/>
    <w:rsid w:val="001807D8"/>
    <w:rsid w:val="001809A9"/>
    <w:rsid w:val="001809B5"/>
    <w:rsid w:val="00180BB5"/>
    <w:rsid w:val="00180CF6"/>
    <w:rsid w:val="001812BB"/>
    <w:rsid w:val="00181525"/>
    <w:rsid w:val="00181AD8"/>
    <w:rsid w:val="00181B01"/>
    <w:rsid w:val="00181BA6"/>
    <w:rsid w:val="00181D00"/>
    <w:rsid w:val="00181D54"/>
    <w:rsid w:val="00182229"/>
    <w:rsid w:val="00182537"/>
    <w:rsid w:val="00182752"/>
    <w:rsid w:val="00182771"/>
    <w:rsid w:val="00182778"/>
    <w:rsid w:val="00182A6A"/>
    <w:rsid w:val="00182F0B"/>
    <w:rsid w:val="00182FC0"/>
    <w:rsid w:val="001830EF"/>
    <w:rsid w:val="001831FA"/>
    <w:rsid w:val="00183223"/>
    <w:rsid w:val="00183359"/>
    <w:rsid w:val="00183489"/>
    <w:rsid w:val="0018349F"/>
    <w:rsid w:val="001835F0"/>
    <w:rsid w:val="00183666"/>
    <w:rsid w:val="0018367E"/>
    <w:rsid w:val="001838AD"/>
    <w:rsid w:val="00183962"/>
    <w:rsid w:val="00183E9A"/>
    <w:rsid w:val="00183EAF"/>
    <w:rsid w:val="00183FD5"/>
    <w:rsid w:val="00183FF8"/>
    <w:rsid w:val="0018427E"/>
    <w:rsid w:val="00184552"/>
    <w:rsid w:val="001845E3"/>
    <w:rsid w:val="00184874"/>
    <w:rsid w:val="00184924"/>
    <w:rsid w:val="00184A5F"/>
    <w:rsid w:val="00184CC8"/>
    <w:rsid w:val="00185015"/>
    <w:rsid w:val="00185110"/>
    <w:rsid w:val="00185257"/>
    <w:rsid w:val="00185493"/>
    <w:rsid w:val="00185500"/>
    <w:rsid w:val="00185878"/>
    <w:rsid w:val="00185B88"/>
    <w:rsid w:val="00185D38"/>
    <w:rsid w:val="00185ED0"/>
    <w:rsid w:val="00185F04"/>
    <w:rsid w:val="00186665"/>
    <w:rsid w:val="0018686E"/>
    <w:rsid w:val="00186E1C"/>
    <w:rsid w:val="00186E66"/>
    <w:rsid w:val="00186F49"/>
    <w:rsid w:val="00187223"/>
    <w:rsid w:val="00187276"/>
    <w:rsid w:val="001873F2"/>
    <w:rsid w:val="00187735"/>
    <w:rsid w:val="0018776B"/>
    <w:rsid w:val="0018787F"/>
    <w:rsid w:val="00190315"/>
    <w:rsid w:val="001904E3"/>
    <w:rsid w:val="00190680"/>
    <w:rsid w:val="00190692"/>
    <w:rsid w:val="001906E9"/>
    <w:rsid w:val="00190700"/>
    <w:rsid w:val="0019075A"/>
    <w:rsid w:val="00190AB6"/>
    <w:rsid w:val="00190AD4"/>
    <w:rsid w:val="00190BEA"/>
    <w:rsid w:val="00190FF1"/>
    <w:rsid w:val="0019112C"/>
    <w:rsid w:val="00191336"/>
    <w:rsid w:val="001915D2"/>
    <w:rsid w:val="001915D8"/>
    <w:rsid w:val="00191794"/>
    <w:rsid w:val="00191A2E"/>
    <w:rsid w:val="0019206C"/>
    <w:rsid w:val="001920A8"/>
    <w:rsid w:val="001920D7"/>
    <w:rsid w:val="00192153"/>
    <w:rsid w:val="001921CE"/>
    <w:rsid w:val="001925E8"/>
    <w:rsid w:val="001926BF"/>
    <w:rsid w:val="001929B1"/>
    <w:rsid w:val="00192B3A"/>
    <w:rsid w:val="00192B6C"/>
    <w:rsid w:val="00192CD7"/>
    <w:rsid w:val="00192E8E"/>
    <w:rsid w:val="0019317B"/>
    <w:rsid w:val="00193185"/>
    <w:rsid w:val="001932BA"/>
    <w:rsid w:val="0019343D"/>
    <w:rsid w:val="0019350A"/>
    <w:rsid w:val="00193983"/>
    <w:rsid w:val="00193D25"/>
    <w:rsid w:val="0019404B"/>
    <w:rsid w:val="00194416"/>
    <w:rsid w:val="0019447D"/>
    <w:rsid w:val="00194579"/>
    <w:rsid w:val="001945E5"/>
    <w:rsid w:val="00194783"/>
    <w:rsid w:val="00194879"/>
    <w:rsid w:val="00194A00"/>
    <w:rsid w:val="00194C47"/>
    <w:rsid w:val="00194E75"/>
    <w:rsid w:val="00195578"/>
    <w:rsid w:val="0019584F"/>
    <w:rsid w:val="00195871"/>
    <w:rsid w:val="00195BB0"/>
    <w:rsid w:val="00195BF3"/>
    <w:rsid w:val="00195F97"/>
    <w:rsid w:val="001965F7"/>
    <w:rsid w:val="001967FB"/>
    <w:rsid w:val="00196CB1"/>
    <w:rsid w:val="00196D00"/>
    <w:rsid w:val="00196F39"/>
    <w:rsid w:val="0019767F"/>
    <w:rsid w:val="00197860"/>
    <w:rsid w:val="00197C56"/>
    <w:rsid w:val="001A019E"/>
    <w:rsid w:val="001A02E0"/>
    <w:rsid w:val="001A06E3"/>
    <w:rsid w:val="001A0A22"/>
    <w:rsid w:val="001A0AA8"/>
    <w:rsid w:val="001A0CCD"/>
    <w:rsid w:val="001A1029"/>
    <w:rsid w:val="001A11CE"/>
    <w:rsid w:val="001A1490"/>
    <w:rsid w:val="001A14AD"/>
    <w:rsid w:val="001A14D7"/>
    <w:rsid w:val="001A195A"/>
    <w:rsid w:val="001A1B57"/>
    <w:rsid w:val="001A1D29"/>
    <w:rsid w:val="001A1F1E"/>
    <w:rsid w:val="001A2165"/>
    <w:rsid w:val="001A2427"/>
    <w:rsid w:val="001A2962"/>
    <w:rsid w:val="001A2B1B"/>
    <w:rsid w:val="001A2CD1"/>
    <w:rsid w:val="001A2DE6"/>
    <w:rsid w:val="001A2F66"/>
    <w:rsid w:val="001A3120"/>
    <w:rsid w:val="001A31B7"/>
    <w:rsid w:val="001A336E"/>
    <w:rsid w:val="001A3426"/>
    <w:rsid w:val="001A34FA"/>
    <w:rsid w:val="001A361E"/>
    <w:rsid w:val="001A37A8"/>
    <w:rsid w:val="001A38C2"/>
    <w:rsid w:val="001A3AE9"/>
    <w:rsid w:val="001A4031"/>
    <w:rsid w:val="001A4117"/>
    <w:rsid w:val="001A4595"/>
    <w:rsid w:val="001A461B"/>
    <w:rsid w:val="001A462C"/>
    <w:rsid w:val="001A46D9"/>
    <w:rsid w:val="001A4B14"/>
    <w:rsid w:val="001A4B44"/>
    <w:rsid w:val="001A5077"/>
    <w:rsid w:val="001A50E9"/>
    <w:rsid w:val="001A50F7"/>
    <w:rsid w:val="001A561B"/>
    <w:rsid w:val="001A5657"/>
    <w:rsid w:val="001A5B8A"/>
    <w:rsid w:val="001A5DA9"/>
    <w:rsid w:val="001A5DCB"/>
    <w:rsid w:val="001A60FB"/>
    <w:rsid w:val="001A6114"/>
    <w:rsid w:val="001A61CB"/>
    <w:rsid w:val="001A6A98"/>
    <w:rsid w:val="001A6CCB"/>
    <w:rsid w:val="001A6EE0"/>
    <w:rsid w:val="001A6F9F"/>
    <w:rsid w:val="001A7008"/>
    <w:rsid w:val="001A70DC"/>
    <w:rsid w:val="001A7377"/>
    <w:rsid w:val="001A771B"/>
    <w:rsid w:val="001A7A01"/>
    <w:rsid w:val="001A7AF4"/>
    <w:rsid w:val="001A7DDA"/>
    <w:rsid w:val="001A7EA7"/>
    <w:rsid w:val="001A7F07"/>
    <w:rsid w:val="001B0341"/>
    <w:rsid w:val="001B05F2"/>
    <w:rsid w:val="001B09BE"/>
    <w:rsid w:val="001B0DB2"/>
    <w:rsid w:val="001B12B0"/>
    <w:rsid w:val="001B15A7"/>
    <w:rsid w:val="001B161F"/>
    <w:rsid w:val="001B173B"/>
    <w:rsid w:val="001B17DF"/>
    <w:rsid w:val="001B198C"/>
    <w:rsid w:val="001B1B43"/>
    <w:rsid w:val="001B1C4B"/>
    <w:rsid w:val="001B1D63"/>
    <w:rsid w:val="001B1F3F"/>
    <w:rsid w:val="001B1FFC"/>
    <w:rsid w:val="001B23D0"/>
    <w:rsid w:val="001B23ED"/>
    <w:rsid w:val="001B24CF"/>
    <w:rsid w:val="001B2876"/>
    <w:rsid w:val="001B2947"/>
    <w:rsid w:val="001B2948"/>
    <w:rsid w:val="001B2C1F"/>
    <w:rsid w:val="001B329B"/>
    <w:rsid w:val="001B3733"/>
    <w:rsid w:val="001B3A6C"/>
    <w:rsid w:val="001B3B77"/>
    <w:rsid w:val="001B3BD1"/>
    <w:rsid w:val="001B40E2"/>
    <w:rsid w:val="001B41C9"/>
    <w:rsid w:val="001B434B"/>
    <w:rsid w:val="001B463B"/>
    <w:rsid w:val="001B4B3C"/>
    <w:rsid w:val="001B4B9E"/>
    <w:rsid w:val="001B4E47"/>
    <w:rsid w:val="001B5110"/>
    <w:rsid w:val="001B53D9"/>
    <w:rsid w:val="001B53FA"/>
    <w:rsid w:val="001B5449"/>
    <w:rsid w:val="001B5476"/>
    <w:rsid w:val="001B592E"/>
    <w:rsid w:val="001B5B8B"/>
    <w:rsid w:val="001B5E1F"/>
    <w:rsid w:val="001B6261"/>
    <w:rsid w:val="001B6415"/>
    <w:rsid w:val="001B6518"/>
    <w:rsid w:val="001B6685"/>
    <w:rsid w:val="001B6A45"/>
    <w:rsid w:val="001B6C1C"/>
    <w:rsid w:val="001B6E03"/>
    <w:rsid w:val="001B7900"/>
    <w:rsid w:val="001B7CC1"/>
    <w:rsid w:val="001B7D72"/>
    <w:rsid w:val="001B7EF6"/>
    <w:rsid w:val="001C0129"/>
    <w:rsid w:val="001C07B6"/>
    <w:rsid w:val="001C07CF"/>
    <w:rsid w:val="001C0FE9"/>
    <w:rsid w:val="001C113F"/>
    <w:rsid w:val="001C12B4"/>
    <w:rsid w:val="001C136B"/>
    <w:rsid w:val="001C144C"/>
    <w:rsid w:val="001C1479"/>
    <w:rsid w:val="001C149E"/>
    <w:rsid w:val="001C1565"/>
    <w:rsid w:val="001C17B5"/>
    <w:rsid w:val="001C18E4"/>
    <w:rsid w:val="001C1BE5"/>
    <w:rsid w:val="001C207C"/>
    <w:rsid w:val="001C2250"/>
    <w:rsid w:val="001C234E"/>
    <w:rsid w:val="001C26CD"/>
    <w:rsid w:val="001C291F"/>
    <w:rsid w:val="001C2996"/>
    <w:rsid w:val="001C2C5C"/>
    <w:rsid w:val="001C2D23"/>
    <w:rsid w:val="001C3291"/>
    <w:rsid w:val="001C33B0"/>
    <w:rsid w:val="001C3496"/>
    <w:rsid w:val="001C3773"/>
    <w:rsid w:val="001C3975"/>
    <w:rsid w:val="001C3B1A"/>
    <w:rsid w:val="001C4241"/>
    <w:rsid w:val="001C44EE"/>
    <w:rsid w:val="001C460E"/>
    <w:rsid w:val="001C4628"/>
    <w:rsid w:val="001C47B2"/>
    <w:rsid w:val="001C47FC"/>
    <w:rsid w:val="001C4AB1"/>
    <w:rsid w:val="001C4B40"/>
    <w:rsid w:val="001C4EC1"/>
    <w:rsid w:val="001C4F1F"/>
    <w:rsid w:val="001C553C"/>
    <w:rsid w:val="001C58A1"/>
    <w:rsid w:val="001C5A29"/>
    <w:rsid w:val="001C5CC5"/>
    <w:rsid w:val="001C646E"/>
    <w:rsid w:val="001C6528"/>
    <w:rsid w:val="001C65B5"/>
    <w:rsid w:val="001C664F"/>
    <w:rsid w:val="001C669F"/>
    <w:rsid w:val="001C6CE3"/>
    <w:rsid w:val="001C6DC8"/>
    <w:rsid w:val="001C6DE6"/>
    <w:rsid w:val="001C6EC0"/>
    <w:rsid w:val="001C6F81"/>
    <w:rsid w:val="001C705A"/>
    <w:rsid w:val="001C7323"/>
    <w:rsid w:val="001C73CD"/>
    <w:rsid w:val="001C7628"/>
    <w:rsid w:val="001C7630"/>
    <w:rsid w:val="001C7B40"/>
    <w:rsid w:val="001D0261"/>
    <w:rsid w:val="001D03CE"/>
    <w:rsid w:val="001D05D5"/>
    <w:rsid w:val="001D05E7"/>
    <w:rsid w:val="001D05FC"/>
    <w:rsid w:val="001D0747"/>
    <w:rsid w:val="001D07A0"/>
    <w:rsid w:val="001D0937"/>
    <w:rsid w:val="001D09AF"/>
    <w:rsid w:val="001D0BC3"/>
    <w:rsid w:val="001D0C8B"/>
    <w:rsid w:val="001D129D"/>
    <w:rsid w:val="001D13CA"/>
    <w:rsid w:val="001D1A31"/>
    <w:rsid w:val="001D1B52"/>
    <w:rsid w:val="001D1DD7"/>
    <w:rsid w:val="001D1F04"/>
    <w:rsid w:val="001D216B"/>
    <w:rsid w:val="001D2316"/>
    <w:rsid w:val="001D265D"/>
    <w:rsid w:val="001D26E2"/>
    <w:rsid w:val="001D2E61"/>
    <w:rsid w:val="001D3256"/>
    <w:rsid w:val="001D336D"/>
    <w:rsid w:val="001D3640"/>
    <w:rsid w:val="001D37E3"/>
    <w:rsid w:val="001D388B"/>
    <w:rsid w:val="001D3B5A"/>
    <w:rsid w:val="001D3B8B"/>
    <w:rsid w:val="001D3D72"/>
    <w:rsid w:val="001D40EC"/>
    <w:rsid w:val="001D4321"/>
    <w:rsid w:val="001D43A0"/>
    <w:rsid w:val="001D482B"/>
    <w:rsid w:val="001D49ED"/>
    <w:rsid w:val="001D4BDB"/>
    <w:rsid w:val="001D4DE9"/>
    <w:rsid w:val="001D4E00"/>
    <w:rsid w:val="001D5427"/>
    <w:rsid w:val="001D55A1"/>
    <w:rsid w:val="001D57AC"/>
    <w:rsid w:val="001D5C47"/>
    <w:rsid w:val="001D5DD5"/>
    <w:rsid w:val="001D5DDA"/>
    <w:rsid w:val="001D60A0"/>
    <w:rsid w:val="001D63AD"/>
    <w:rsid w:val="001D6475"/>
    <w:rsid w:val="001D65F1"/>
    <w:rsid w:val="001D675B"/>
    <w:rsid w:val="001D67DB"/>
    <w:rsid w:val="001D694F"/>
    <w:rsid w:val="001D72BC"/>
    <w:rsid w:val="001D769F"/>
    <w:rsid w:val="001D77F3"/>
    <w:rsid w:val="001D781F"/>
    <w:rsid w:val="001D7BC1"/>
    <w:rsid w:val="001D7D27"/>
    <w:rsid w:val="001D7D37"/>
    <w:rsid w:val="001D7EC1"/>
    <w:rsid w:val="001E0554"/>
    <w:rsid w:val="001E07A8"/>
    <w:rsid w:val="001E0FC8"/>
    <w:rsid w:val="001E1306"/>
    <w:rsid w:val="001E15EB"/>
    <w:rsid w:val="001E16B7"/>
    <w:rsid w:val="001E17F9"/>
    <w:rsid w:val="001E1BC6"/>
    <w:rsid w:val="001E1EF0"/>
    <w:rsid w:val="001E22F1"/>
    <w:rsid w:val="001E25A6"/>
    <w:rsid w:val="001E267A"/>
    <w:rsid w:val="001E2787"/>
    <w:rsid w:val="001E2969"/>
    <w:rsid w:val="001E29EA"/>
    <w:rsid w:val="001E2A4C"/>
    <w:rsid w:val="001E2CD7"/>
    <w:rsid w:val="001E2D69"/>
    <w:rsid w:val="001E306D"/>
    <w:rsid w:val="001E3297"/>
    <w:rsid w:val="001E3393"/>
    <w:rsid w:val="001E34A0"/>
    <w:rsid w:val="001E35E3"/>
    <w:rsid w:val="001E3963"/>
    <w:rsid w:val="001E3966"/>
    <w:rsid w:val="001E3E7B"/>
    <w:rsid w:val="001E3FD9"/>
    <w:rsid w:val="001E41CE"/>
    <w:rsid w:val="001E4327"/>
    <w:rsid w:val="001E4436"/>
    <w:rsid w:val="001E4505"/>
    <w:rsid w:val="001E4586"/>
    <w:rsid w:val="001E47BB"/>
    <w:rsid w:val="001E48F3"/>
    <w:rsid w:val="001E49F4"/>
    <w:rsid w:val="001E4B76"/>
    <w:rsid w:val="001E4CA0"/>
    <w:rsid w:val="001E4DB7"/>
    <w:rsid w:val="001E4DC7"/>
    <w:rsid w:val="001E528A"/>
    <w:rsid w:val="001E5501"/>
    <w:rsid w:val="001E5BC7"/>
    <w:rsid w:val="001E5C58"/>
    <w:rsid w:val="001E5E55"/>
    <w:rsid w:val="001E635D"/>
    <w:rsid w:val="001E64FC"/>
    <w:rsid w:val="001E6777"/>
    <w:rsid w:val="001E67DD"/>
    <w:rsid w:val="001E67EB"/>
    <w:rsid w:val="001E6856"/>
    <w:rsid w:val="001E6A86"/>
    <w:rsid w:val="001E6B3C"/>
    <w:rsid w:val="001E6B90"/>
    <w:rsid w:val="001E6D5B"/>
    <w:rsid w:val="001E6F9F"/>
    <w:rsid w:val="001E7019"/>
    <w:rsid w:val="001E745F"/>
    <w:rsid w:val="001E7938"/>
    <w:rsid w:val="001E7C97"/>
    <w:rsid w:val="001F0308"/>
    <w:rsid w:val="001F06FC"/>
    <w:rsid w:val="001F07CB"/>
    <w:rsid w:val="001F0905"/>
    <w:rsid w:val="001F0BB4"/>
    <w:rsid w:val="001F0C96"/>
    <w:rsid w:val="001F0CF3"/>
    <w:rsid w:val="001F0DFA"/>
    <w:rsid w:val="001F0F39"/>
    <w:rsid w:val="001F14AF"/>
    <w:rsid w:val="001F14BE"/>
    <w:rsid w:val="001F1660"/>
    <w:rsid w:val="001F1686"/>
    <w:rsid w:val="001F1A13"/>
    <w:rsid w:val="001F2077"/>
    <w:rsid w:val="001F227C"/>
    <w:rsid w:val="001F2534"/>
    <w:rsid w:val="001F253F"/>
    <w:rsid w:val="001F2695"/>
    <w:rsid w:val="001F270E"/>
    <w:rsid w:val="001F27C9"/>
    <w:rsid w:val="001F2899"/>
    <w:rsid w:val="001F2A8E"/>
    <w:rsid w:val="001F2B79"/>
    <w:rsid w:val="001F2DDB"/>
    <w:rsid w:val="001F2E02"/>
    <w:rsid w:val="001F2E7E"/>
    <w:rsid w:val="001F3080"/>
    <w:rsid w:val="001F3115"/>
    <w:rsid w:val="001F3365"/>
    <w:rsid w:val="001F33B1"/>
    <w:rsid w:val="001F3492"/>
    <w:rsid w:val="001F35DE"/>
    <w:rsid w:val="001F36D2"/>
    <w:rsid w:val="001F39AA"/>
    <w:rsid w:val="001F3BB7"/>
    <w:rsid w:val="001F3BE7"/>
    <w:rsid w:val="001F3CF8"/>
    <w:rsid w:val="001F3D4F"/>
    <w:rsid w:val="001F450E"/>
    <w:rsid w:val="001F4A4F"/>
    <w:rsid w:val="001F4A76"/>
    <w:rsid w:val="001F4A8C"/>
    <w:rsid w:val="001F4B2A"/>
    <w:rsid w:val="001F4C44"/>
    <w:rsid w:val="001F4DA5"/>
    <w:rsid w:val="001F5077"/>
    <w:rsid w:val="001F5285"/>
    <w:rsid w:val="001F5399"/>
    <w:rsid w:val="001F53A5"/>
    <w:rsid w:val="001F55CC"/>
    <w:rsid w:val="001F56F7"/>
    <w:rsid w:val="001F5717"/>
    <w:rsid w:val="001F582F"/>
    <w:rsid w:val="001F5B72"/>
    <w:rsid w:val="001F5F5B"/>
    <w:rsid w:val="001F5F5E"/>
    <w:rsid w:val="001F5FF9"/>
    <w:rsid w:val="001F613F"/>
    <w:rsid w:val="001F6545"/>
    <w:rsid w:val="001F659E"/>
    <w:rsid w:val="001F69CA"/>
    <w:rsid w:val="001F6A4C"/>
    <w:rsid w:val="001F6BBC"/>
    <w:rsid w:val="001F6D5D"/>
    <w:rsid w:val="001F6D6A"/>
    <w:rsid w:val="001F6F9A"/>
    <w:rsid w:val="001F6FF1"/>
    <w:rsid w:val="001F7343"/>
    <w:rsid w:val="001F7A80"/>
    <w:rsid w:val="001F7A83"/>
    <w:rsid w:val="001F7B71"/>
    <w:rsid w:val="001F7BA1"/>
    <w:rsid w:val="001F7C93"/>
    <w:rsid w:val="001F7D5F"/>
    <w:rsid w:val="001F7D7B"/>
    <w:rsid w:val="001F7E3A"/>
    <w:rsid w:val="001F7EE4"/>
    <w:rsid w:val="001F7EEE"/>
    <w:rsid w:val="002003BA"/>
    <w:rsid w:val="002006FA"/>
    <w:rsid w:val="002008B2"/>
    <w:rsid w:val="00200A42"/>
    <w:rsid w:val="00200B72"/>
    <w:rsid w:val="00200BAB"/>
    <w:rsid w:val="0020108B"/>
    <w:rsid w:val="00201367"/>
    <w:rsid w:val="002015B7"/>
    <w:rsid w:val="0020197F"/>
    <w:rsid w:val="00201AAA"/>
    <w:rsid w:val="00202102"/>
    <w:rsid w:val="00202476"/>
    <w:rsid w:val="0020247F"/>
    <w:rsid w:val="002025CB"/>
    <w:rsid w:val="002026A3"/>
    <w:rsid w:val="00202A54"/>
    <w:rsid w:val="00202AD7"/>
    <w:rsid w:val="00202B6A"/>
    <w:rsid w:val="00202D09"/>
    <w:rsid w:val="00202ED2"/>
    <w:rsid w:val="00203457"/>
    <w:rsid w:val="00203545"/>
    <w:rsid w:val="00203560"/>
    <w:rsid w:val="0020376C"/>
    <w:rsid w:val="00203AAC"/>
    <w:rsid w:val="00203ACC"/>
    <w:rsid w:val="00203B9D"/>
    <w:rsid w:val="00203C3F"/>
    <w:rsid w:val="00203E52"/>
    <w:rsid w:val="00203EA4"/>
    <w:rsid w:val="00203F3E"/>
    <w:rsid w:val="00204571"/>
    <w:rsid w:val="00204C46"/>
    <w:rsid w:val="00204CE7"/>
    <w:rsid w:val="00205126"/>
    <w:rsid w:val="0020516E"/>
    <w:rsid w:val="002051E6"/>
    <w:rsid w:val="00205845"/>
    <w:rsid w:val="0020590F"/>
    <w:rsid w:val="00205C2F"/>
    <w:rsid w:val="00205C7F"/>
    <w:rsid w:val="00205CAE"/>
    <w:rsid w:val="0020607F"/>
    <w:rsid w:val="002060FD"/>
    <w:rsid w:val="00206248"/>
    <w:rsid w:val="00206358"/>
    <w:rsid w:val="002070BA"/>
    <w:rsid w:val="0020713E"/>
    <w:rsid w:val="00207688"/>
    <w:rsid w:val="00207729"/>
    <w:rsid w:val="00207C0A"/>
    <w:rsid w:val="00207CD3"/>
    <w:rsid w:val="00207DBD"/>
    <w:rsid w:val="00210371"/>
    <w:rsid w:val="00210387"/>
    <w:rsid w:val="00210629"/>
    <w:rsid w:val="002106B0"/>
    <w:rsid w:val="0021099E"/>
    <w:rsid w:val="002109C5"/>
    <w:rsid w:val="00210A75"/>
    <w:rsid w:val="00210AB3"/>
    <w:rsid w:val="00210ABD"/>
    <w:rsid w:val="00210AC0"/>
    <w:rsid w:val="00210F85"/>
    <w:rsid w:val="002110AF"/>
    <w:rsid w:val="002111BF"/>
    <w:rsid w:val="0021136C"/>
    <w:rsid w:val="00211970"/>
    <w:rsid w:val="00211A70"/>
    <w:rsid w:val="00211A9D"/>
    <w:rsid w:val="00211EB2"/>
    <w:rsid w:val="00211EE8"/>
    <w:rsid w:val="00211F7B"/>
    <w:rsid w:val="002120C2"/>
    <w:rsid w:val="0021223C"/>
    <w:rsid w:val="00212601"/>
    <w:rsid w:val="0021265C"/>
    <w:rsid w:val="00212863"/>
    <w:rsid w:val="00212909"/>
    <w:rsid w:val="00213207"/>
    <w:rsid w:val="0021351C"/>
    <w:rsid w:val="002135A9"/>
    <w:rsid w:val="00213692"/>
    <w:rsid w:val="0021372F"/>
    <w:rsid w:val="002137D5"/>
    <w:rsid w:val="00213805"/>
    <w:rsid w:val="00213B8E"/>
    <w:rsid w:val="00213D2A"/>
    <w:rsid w:val="00213F96"/>
    <w:rsid w:val="00214095"/>
    <w:rsid w:val="00214170"/>
    <w:rsid w:val="00214183"/>
    <w:rsid w:val="00214468"/>
    <w:rsid w:val="002144A1"/>
    <w:rsid w:val="002145F1"/>
    <w:rsid w:val="00214628"/>
    <w:rsid w:val="002146A2"/>
    <w:rsid w:val="00214A5B"/>
    <w:rsid w:val="00214D4B"/>
    <w:rsid w:val="00214DDE"/>
    <w:rsid w:val="00214E34"/>
    <w:rsid w:val="00214E50"/>
    <w:rsid w:val="00214EFD"/>
    <w:rsid w:val="00215007"/>
    <w:rsid w:val="00215140"/>
    <w:rsid w:val="0021552C"/>
    <w:rsid w:val="00215645"/>
    <w:rsid w:val="00215683"/>
    <w:rsid w:val="00215A41"/>
    <w:rsid w:val="00215CF8"/>
    <w:rsid w:val="00215D0E"/>
    <w:rsid w:val="00215D60"/>
    <w:rsid w:val="00215EB7"/>
    <w:rsid w:val="00215FE9"/>
    <w:rsid w:val="00216028"/>
    <w:rsid w:val="002160FD"/>
    <w:rsid w:val="002164E5"/>
    <w:rsid w:val="00216600"/>
    <w:rsid w:val="00216724"/>
    <w:rsid w:val="00216A15"/>
    <w:rsid w:val="00216A95"/>
    <w:rsid w:val="00216AA4"/>
    <w:rsid w:val="00216EAA"/>
    <w:rsid w:val="0021705E"/>
    <w:rsid w:val="0021729B"/>
    <w:rsid w:val="002173D0"/>
    <w:rsid w:val="002174AC"/>
    <w:rsid w:val="00217655"/>
    <w:rsid w:val="002177DE"/>
    <w:rsid w:val="002179DC"/>
    <w:rsid w:val="00217AA4"/>
    <w:rsid w:val="00217AD9"/>
    <w:rsid w:val="00217DAB"/>
    <w:rsid w:val="00217DBA"/>
    <w:rsid w:val="00217F85"/>
    <w:rsid w:val="00220245"/>
    <w:rsid w:val="00220259"/>
    <w:rsid w:val="002202A7"/>
    <w:rsid w:val="00220395"/>
    <w:rsid w:val="00220665"/>
    <w:rsid w:val="002206F3"/>
    <w:rsid w:val="00220926"/>
    <w:rsid w:val="00220959"/>
    <w:rsid w:val="002209AE"/>
    <w:rsid w:val="00220DCB"/>
    <w:rsid w:val="00220F5F"/>
    <w:rsid w:val="0022147F"/>
    <w:rsid w:val="002219DA"/>
    <w:rsid w:val="00221AC5"/>
    <w:rsid w:val="00222089"/>
    <w:rsid w:val="0022247D"/>
    <w:rsid w:val="002224C4"/>
    <w:rsid w:val="002226EB"/>
    <w:rsid w:val="00222893"/>
    <w:rsid w:val="002228F1"/>
    <w:rsid w:val="002229E5"/>
    <w:rsid w:val="00222A3A"/>
    <w:rsid w:val="00222A61"/>
    <w:rsid w:val="002231B5"/>
    <w:rsid w:val="0022320B"/>
    <w:rsid w:val="0022324A"/>
    <w:rsid w:val="002233B1"/>
    <w:rsid w:val="002233D7"/>
    <w:rsid w:val="00223572"/>
    <w:rsid w:val="00223891"/>
    <w:rsid w:val="00223895"/>
    <w:rsid w:val="0022389A"/>
    <w:rsid w:val="0022399E"/>
    <w:rsid w:val="00223B40"/>
    <w:rsid w:val="00223E80"/>
    <w:rsid w:val="00224466"/>
    <w:rsid w:val="00224D2B"/>
    <w:rsid w:val="00224ED2"/>
    <w:rsid w:val="0022505B"/>
    <w:rsid w:val="002255A5"/>
    <w:rsid w:val="00225695"/>
    <w:rsid w:val="002259EA"/>
    <w:rsid w:val="00225BFE"/>
    <w:rsid w:val="00225C93"/>
    <w:rsid w:val="00225E53"/>
    <w:rsid w:val="0022603E"/>
    <w:rsid w:val="00226216"/>
    <w:rsid w:val="00226409"/>
    <w:rsid w:val="0022645E"/>
    <w:rsid w:val="00226549"/>
    <w:rsid w:val="00226736"/>
    <w:rsid w:val="0022673C"/>
    <w:rsid w:val="00226791"/>
    <w:rsid w:val="002270F7"/>
    <w:rsid w:val="00227210"/>
    <w:rsid w:val="00227268"/>
    <w:rsid w:val="002277C4"/>
    <w:rsid w:val="00227885"/>
    <w:rsid w:val="00227B8F"/>
    <w:rsid w:val="00227C5E"/>
    <w:rsid w:val="00227D7E"/>
    <w:rsid w:val="00227FCB"/>
    <w:rsid w:val="00230124"/>
    <w:rsid w:val="00230186"/>
    <w:rsid w:val="0023026D"/>
    <w:rsid w:val="002303F1"/>
    <w:rsid w:val="0023067D"/>
    <w:rsid w:val="0023077B"/>
    <w:rsid w:val="00230923"/>
    <w:rsid w:val="002309B4"/>
    <w:rsid w:val="002309B6"/>
    <w:rsid w:val="00230ACE"/>
    <w:rsid w:val="00230D33"/>
    <w:rsid w:val="00230D98"/>
    <w:rsid w:val="00230DF6"/>
    <w:rsid w:val="00230ED5"/>
    <w:rsid w:val="00230F8F"/>
    <w:rsid w:val="002312FB"/>
    <w:rsid w:val="002318B6"/>
    <w:rsid w:val="00231A01"/>
    <w:rsid w:val="00231ABF"/>
    <w:rsid w:val="002321EE"/>
    <w:rsid w:val="0023266F"/>
    <w:rsid w:val="00232794"/>
    <w:rsid w:val="00232C63"/>
    <w:rsid w:val="00233001"/>
    <w:rsid w:val="0023321A"/>
    <w:rsid w:val="00233807"/>
    <w:rsid w:val="00233A0A"/>
    <w:rsid w:val="00233CD0"/>
    <w:rsid w:val="00233EC7"/>
    <w:rsid w:val="00233F94"/>
    <w:rsid w:val="002340B4"/>
    <w:rsid w:val="002344CB"/>
    <w:rsid w:val="00234598"/>
    <w:rsid w:val="0023471D"/>
    <w:rsid w:val="00234C42"/>
    <w:rsid w:val="00234DAB"/>
    <w:rsid w:val="00235692"/>
    <w:rsid w:val="0023574C"/>
    <w:rsid w:val="0023583F"/>
    <w:rsid w:val="00235AC7"/>
    <w:rsid w:val="00235D01"/>
    <w:rsid w:val="00235E62"/>
    <w:rsid w:val="00235EA2"/>
    <w:rsid w:val="00236571"/>
    <w:rsid w:val="002365D0"/>
    <w:rsid w:val="0023660C"/>
    <w:rsid w:val="00236675"/>
    <w:rsid w:val="002366D4"/>
    <w:rsid w:val="00236A79"/>
    <w:rsid w:val="00237630"/>
    <w:rsid w:val="002376C7"/>
    <w:rsid w:val="00237B79"/>
    <w:rsid w:val="00237C4C"/>
    <w:rsid w:val="00237DF9"/>
    <w:rsid w:val="0024053C"/>
    <w:rsid w:val="00240E8E"/>
    <w:rsid w:val="00240EAB"/>
    <w:rsid w:val="00240F7F"/>
    <w:rsid w:val="00241047"/>
    <w:rsid w:val="0024108B"/>
    <w:rsid w:val="002415DE"/>
    <w:rsid w:val="00241671"/>
    <w:rsid w:val="00241A7E"/>
    <w:rsid w:val="00241C61"/>
    <w:rsid w:val="00241C8D"/>
    <w:rsid w:val="00241D6D"/>
    <w:rsid w:val="0024201E"/>
    <w:rsid w:val="0024214D"/>
    <w:rsid w:val="00242728"/>
    <w:rsid w:val="00242850"/>
    <w:rsid w:val="002429E7"/>
    <w:rsid w:val="00242C20"/>
    <w:rsid w:val="00242F07"/>
    <w:rsid w:val="0024320A"/>
    <w:rsid w:val="002432C4"/>
    <w:rsid w:val="002435A1"/>
    <w:rsid w:val="00243601"/>
    <w:rsid w:val="002437A3"/>
    <w:rsid w:val="002437D1"/>
    <w:rsid w:val="00243925"/>
    <w:rsid w:val="00243B0E"/>
    <w:rsid w:val="00243C81"/>
    <w:rsid w:val="00243D8C"/>
    <w:rsid w:val="00243F5C"/>
    <w:rsid w:val="002441D9"/>
    <w:rsid w:val="00244449"/>
    <w:rsid w:val="00244607"/>
    <w:rsid w:val="0024478A"/>
    <w:rsid w:val="002448F7"/>
    <w:rsid w:val="00244AC8"/>
    <w:rsid w:val="00244F42"/>
    <w:rsid w:val="0024514E"/>
    <w:rsid w:val="0024531F"/>
    <w:rsid w:val="00245B84"/>
    <w:rsid w:val="00245DCF"/>
    <w:rsid w:val="00245FE3"/>
    <w:rsid w:val="002463AD"/>
    <w:rsid w:val="0024650C"/>
    <w:rsid w:val="00246C42"/>
    <w:rsid w:val="00246C47"/>
    <w:rsid w:val="00246E4B"/>
    <w:rsid w:val="00247026"/>
    <w:rsid w:val="0024728D"/>
    <w:rsid w:val="0024754C"/>
    <w:rsid w:val="002475AB"/>
    <w:rsid w:val="0024771D"/>
    <w:rsid w:val="00247905"/>
    <w:rsid w:val="00247A2A"/>
    <w:rsid w:val="00247BFD"/>
    <w:rsid w:val="00247DD9"/>
    <w:rsid w:val="002500D0"/>
    <w:rsid w:val="00250243"/>
    <w:rsid w:val="002502AA"/>
    <w:rsid w:val="002507C7"/>
    <w:rsid w:val="002507C8"/>
    <w:rsid w:val="00250A83"/>
    <w:rsid w:val="00250A8F"/>
    <w:rsid w:val="00250E49"/>
    <w:rsid w:val="0025100A"/>
    <w:rsid w:val="00251037"/>
    <w:rsid w:val="0025110D"/>
    <w:rsid w:val="00251169"/>
    <w:rsid w:val="00251214"/>
    <w:rsid w:val="002516EE"/>
    <w:rsid w:val="00251BB8"/>
    <w:rsid w:val="00251BF5"/>
    <w:rsid w:val="00251C01"/>
    <w:rsid w:val="002523E5"/>
    <w:rsid w:val="00252404"/>
    <w:rsid w:val="00252AE0"/>
    <w:rsid w:val="00252DE4"/>
    <w:rsid w:val="00253043"/>
    <w:rsid w:val="002532C3"/>
    <w:rsid w:val="00253524"/>
    <w:rsid w:val="00253D41"/>
    <w:rsid w:val="00253F7B"/>
    <w:rsid w:val="0025401B"/>
    <w:rsid w:val="0025406A"/>
    <w:rsid w:val="0025429C"/>
    <w:rsid w:val="0025440C"/>
    <w:rsid w:val="0025447F"/>
    <w:rsid w:val="00254482"/>
    <w:rsid w:val="0025462C"/>
    <w:rsid w:val="00254945"/>
    <w:rsid w:val="0025494A"/>
    <w:rsid w:val="00254963"/>
    <w:rsid w:val="002549B3"/>
    <w:rsid w:val="00254AB6"/>
    <w:rsid w:val="00254CC7"/>
    <w:rsid w:val="00254F18"/>
    <w:rsid w:val="0025502E"/>
    <w:rsid w:val="00255617"/>
    <w:rsid w:val="00255944"/>
    <w:rsid w:val="00255BFF"/>
    <w:rsid w:val="00255DDD"/>
    <w:rsid w:val="00255EB4"/>
    <w:rsid w:val="002565DE"/>
    <w:rsid w:val="002565E3"/>
    <w:rsid w:val="00256800"/>
    <w:rsid w:val="00256E55"/>
    <w:rsid w:val="00257218"/>
    <w:rsid w:val="0025722F"/>
    <w:rsid w:val="0025728F"/>
    <w:rsid w:val="002574C7"/>
    <w:rsid w:val="00257550"/>
    <w:rsid w:val="0025771C"/>
    <w:rsid w:val="00257CCB"/>
    <w:rsid w:val="00257D69"/>
    <w:rsid w:val="00257DEF"/>
    <w:rsid w:val="00257E28"/>
    <w:rsid w:val="002601E4"/>
    <w:rsid w:val="00260432"/>
    <w:rsid w:val="002604FB"/>
    <w:rsid w:val="00260A89"/>
    <w:rsid w:val="00260CFB"/>
    <w:rsid w:val="00260EA9"/>
    <w:rsid w:val="00261322"/>
    <w:rsid w:val="002613AE"/>
    <w:rsid w:val="002618DF"/>
    <w:rsid w:val="002621A4"/>
    <w:rsid w:val="002627D3"/>
    <w:rsid w:val="00262A04"/>
    <w:rsid w:val="00262ECE"/>
    <w:rsid w:val="002635EA"/>
    <w:rsid w:val="002637FD"/>
    <w:rsid w:val="002638D5"/>
    <w:rsid w:val="00263C2E"/>
    <w:rsid w:val="00263DF8"/>
    <w:rsid w:val="00263E3E"/>
    <w:rsid w:val="00263EDC"/>
    <w:rsid w:val="00263FAC"/>
    <w:rsid w:val="00264199"/>
    <w:rsid w:val="00264213"/>
    <w:rsid w:val="002642C8"/>
    <w:rsid w:val="00264606"/>
    <w:rsid w:val="00264658"/>
    <w:rsid w:val="002646E2"/>
    <w:rsid w:val="0026470C"/>
    <w:rsid w:val="00264977"/>
    <w:rsid w:val="0026497B"/>
    <w:rsid w:val="002649D0"/>
    <w:rsid w:val="00264FB4"/>
    <w:rsid w:val="002650B2"/>
    <w:rsid w:val="00265C1A"/>
    <w:rsid w:val="00265CB6"/>
    <w:rsid w:val="00266035"/>
    <w:rsid w:val="0026631E"/>
    <w:rsid w:val="002666C0"/>
    <w:rsid w:val="00266708"/>
    <w:rsid w:val="00266773"/>
    <w:rsid w:val="00266E14"/>
    <w:rsid w:val="002670EC"/>
    <w:rsid w:val="00267102"/>
    <w:rsid w:val="00267298"/>
    <w:rsid w:val="0026739D"/>
    <w:rsid w:val="0026747B"/>
    <w:rsid w:val="002675C6"/>
    <w:rsid w:val="00267637"/>
    <w:rsid w:val="00267797"/>
    <w:rsid w:val="00267AA1"/>
    <w:rsid w:val="00267F45"/>
    <w:rsid w:val="0027008D"/>
    <w:rsid w:val="00270178"/>
    <w:rsid w:val="00270301"/>
    <w:rsid w:val="002706C3"/>
    <w:rsid w:val="00270802"/>
    <w:rsid w:val="00270994"/>
    <w:rsid w:val="00270AC9"/>
    <w:rsid w:val="00270CE9"/>
    <w:rsid w:val="00270FE6"/>
    <w:rsid w:val="00271268"/>
    <w:rsid w:val="0027136D"/>
    <w:rsid w:val="0027143F"/>
    <w:rsid w:val="002717A2"/>
    <w:rsid w:val="0027182A"/>
    <w:rsid w:val="00271A07"/>
    <w:rsid w:val="00271D7C"/>
    <w:rsid w:val="0027201C"/>
    <w:rsid w:val="002720B8"/>
    <w:rsid w:val="00272468"/>
    <w:rsid w:val="00272489"/>
    <w:rsid w:val="0027261F"/>
    <w:rsid w:val="00272C5D"/>
    <w:rsid w:val="00272C82"/>
    <w:rsid w:val="00272FCE"/>
    <w:rsid w:val="002731B6"/>
    <w:rsid w:val="002731F5"/>
    <w:rsid w:val="00273230"/>
    <w:rsid w:val="0027375C"/>
    <w:rsid w:val="00274A2B"/>
    <w:rsid w:val="00274AAA"/>
    <w:rsid w:val="00274B9F"/>
    <w:rsid w:val="00274BE9"/>
    <w:rsid w:val="00274F02"/>
    <w:rsid w:val="00274F09"/>
    <w:rsid w:val="00274FF2"/>
    <w:rsid w:val="00275266"/>
    <w:rsid w:val="002753A4"/>
    <w:rsid w:val="0027552A"/>
    <w:rsid w:val="002758B4"/>
    <w:rsid w:val="002759AD"/>
    <w:rsid w:val="002759E1"/>
    <w:rsid w:val="00275A0B"/>
    <w:rsid w:val="002760B7"/>
    <w:rsid w:val="0027666D"/>
    <w:rsid w:val="0027669B"/>
    <w:rsid w:val="00276862"/>
    <w:rsid w:val="0027693E"/>
    <w:rsid w:val="00276A84"/>
    <w:rsid w:val="00276AC5"/>
    <w:rsid w:val="00276BA9"/>
    <w:rsid w:val="00276EE0"/>
    <w:rsid w:val="002770EF"/>
    <w:rsid w:val="0027713B"/>
    <w:rsid w:val="00277271"/>
    <w:rsid w:val="00277420"/>
    <w:rsid w:val="0027745E"/>
    <w:rsid w:val="002775FA"/>
    <w:rsid w:val="0027761B"/>
    <w:rsid w:val="00277AB9"/>
    <w:rsid w:val="00277B83"/>
    <w:rsid w:val="00277C9D"/>
    <w:rsid w:val="002802A9"/>
    <w:rsid w:val="002803ED"/>
    <w:rsid w:val="00280411"/>
    <w:rsid w:val="002805A2"/>
    <w:rsid w:val="002805D5"/>
    <w:rsid w:val="002807D2"/>
    <w:rsid w:val="00280918"/>
    <w:rsid w:val="002809A8"/>
    <w:rsid w:val="002809B8"/>
    <w:rsid w:val="00280A21"/>
    <w:rsid w:val="00280C4F"/>
    <w:rsid w:val="00280D7E"/>
    <w:rsid w:val="00280DF6"/>
    <w:rsid w:val="002810B4"/>
    <w:rsid w:val="00281179"/>
    <w:rsid w:val="00281187"/>
    <w:rsid w:val="00281227"/>
    <w:rsid w:val="002812D6"/>
    <w:rsid w:val="00281369"/>
    <w:rsid w:val="002816BC"/>
    <w:rsid w:val="002816C3"/>
    <w:rsid w:val="00281E02"/>
    <w:rsid w:val="00282009"/>
    <w:rsid w:val="0028209D"/>
    <w:rsid w:val="002820AA"/>
    <w:rsid w:val="002821FE"/>
    <w:rsid w:val="002823CF"/>
    <w:rsid w:val="00282614"/>
    <w:rsid w:val="0028262B"/>
    <w:rsid w:val="002828A5"/>
    <w:rsid w:val="002828F2"/>
    <w:rsid w:val="00282C2C"/>
    <w:rsid w:val="00282C40"/>
    <w:rsid w:val="00282E05"/>
    <w:rsid w:val="00282E24"/>
    <w:rsid w:val="002830BC"/>
    <w:rsid w:val="002831C5"/>
    <w:rsid w:val="00283239"/>
    <w:rsid w:val="002834C9"/>
    <w:rsid w:val="00283700"/>
    <w:rsid w:val="00283998"/>
    <w:rsid w:val="00283AF8"/>
    <w:rsid w:val="00283D1C"/>
    <w:rsid w:val="00283D47"/>
    <w:rsid w:val="00284230"/>
    <w:rsid w:val="0028439B"/>
    <w:rsid w:val="0028447E"/>
    <w:rsid w:val="002845A2"/>
    <w:rsid w:val="002849EA"/>
    <w:rsid w:val="00284C3C"/>
    <w:rsid w:val="002853F2"/>
    <w:rsid w:val="00285565"/>
    <w:rsid w:val="00285A9F"/>
    <w:rsid w:val="00285DEA"/>
    <w:rsid w:val="00286041"/>
    <w:rsid w:val="002867D5"/>
    <w:rsid w:val="00286934"/>
    <w:rsid w:val="002869C0"/>
    <w:rsid w:val="00286B44"/>
    <w:rsid w:val="00286CAF"/>
    <w:rsid w:val="00287009"/>
    <w:rsid w:val="00287143"/>
    <w:rsid w:val="00287290"/>
    <w:rsid w:val="002872A7"/>
    <w:rsid w:val="002872BF"/>
    <w:rsid w:val="002874DF"/>
    <w:rsid w:val="0028767C"/>
    <w:rsid w:val="00287728"/>
    <w:rsid w:val="0028784B"/>
    <w:rsid w:val="0028789C"/>
    <w:rsid w:val="00287A20"/>
    <w:rsid w:val="00287B27"/>
    <w:rsid w:val="00287B82"/>
    <w:rsid w:val="00287DEB"/>
    <w:rsid w:val="00287E90"/>
    <w:rsid w:val="00287FAB"/>
    <w:rsid w:val="00290024"/>
    <w:rsid w:val="0029018E"/>
    <w:rsid w:val="00290267"/>
    <w:rsid w:val="002902AE"/>
    <w:rsid w:val="00290748"/>
    <w:rsid w:val="00290940"/>
    <w:rsid w:val="00290D4A"/>
    <w:rsid w:val="00290EB0"/>
    <w:rsid w:val="00291066"/>
    <w:rsid w:val="002913EB"/>
    <w:rsid w:val="002914CB"/>
    <w:rsid w:val="00291560"/>
    <w:rsid w:val="0029190F"/>
    <w:rsid w:val="00291DB7"/>
    <w:rsid w:val="00291E65"/>
    <w:rsid w:val="00291E6F"/>
    <w:rsid w:val="0029213D"/>
    <w:rsid w:val="002926A4"/>
    <w:rsid w:val="00292959"/>
    <w:rsid w:val="00292B38"/>
    <w:rsid w:val="00292C7A"/>
    <w:rsid w:val="00292E45"/>
    <w:rsid w:val="00292EEF"/>
    <w:rsid w:val="00292FFD"/>
    <w:rsid w:val="00293175"/>
    <w:rsid w:val="0029379D"/>
    <w:rsid w:val="00293827"/>
    <w:rsid w:val="00293866"/>
    <w:rsid w:val="0029397B"/>
    <w:rsid w:val="00293990"/>
    <w:rsid w:val="00293D7C"/>
    <w:rsid w:val="00293DC7"/>
    <w:rsid w:val="00293FBB"/>
    <w:rsid w:val="00294158"/>
    <w:rsid w:val="00294286"/>
    <w:rsid w:val="00294A11"/>
    <w:rsid w:val="00294B28"/>
    <w:rsid w:val="00294C92"/>
    <w:rsid w:val="0029506C"/>
    <w:rsid w:val="00295083"/>
    <w:rsid w:val="00295173"/>
    <w:rsid w:val="00295344"/>
    <w:rsid w:val="00295C5F"/>
    <w:rsid w:val="00295FFE"/>
    <w:rsid w:val="00296135"/>
    <w:rsid w:val="002963F0"/>
    <w:rsid w:val="002964B6"/>
    <w:rsid w:val="002969A1"/>
    <w:rsid w:val="00296CBC"/>
    <w:rsid w:val="00296CBF"/>
    <w:rsid w:val="00296CCE"/>
    <w:rsid w:val="00297207"/>
    <w:rsid w:val="00297475"/>
    <w:rsid w:val="002974FE"/>
    <w:rsid w:val="002976D2"/>
    <w:rsid w:val="00297901"/>
    <w:rsid w:val="00297911"/>
    <w:rsid w:val="002979A9"/>
    <w:rsid w:val="00297AB0"/>
    <w:rsid w:val="00297D95"/>
    <w:rsid w:val="002A0850"/>
    <w:rsid w:val="002A08C8"/>
    <w:rsid w:val="002A08E4"/>
    <w:rsid w:val="002A13FA"/>
    <w:rsid w:val="002A1D1B"/>
    <w:rsid w:val="002A1E77"/>
    <w:rsid w:val="002A29AD"/>
    <w:rsid w:val="002A2A5B"/>
    <w:rsid w:val="002A2AC2"/>
    <w:rsid w:val="002A2F24"/>
    <w:rsid w:val="002A303C"/>
    <w:rsid w:val="002A31CB"/>
    <w:rsid w:val="002A3621"/>
    <w:rsid w:val="002A363C"/>
    <w:rsid w:val="002A3C1E"/>
    <w:rsid w:val="002A3C28"/>
    <w:rsid w:val="002A3D48"/>
    <w:rsid w:val="002A405F"/>
    <w:rsid w:val="002A44E3"/>
    <w:rsid w:val="002A4799"/>
    <w:rsid w:val="002A48FE"/>
    <w:rsid w:val="002A4BE4"/>
    <w:rsid w:val="002A4D42"/>
    <w:rsid w:val="002A4DF8"/>
    <w:rsid w:val="002A5235"/>
    <w:rsid w:val="002A54C4"/>
    <w:rsid w:val="002A54DF"/>
    <w:rsid w:val="002A5686"/>
    <w:rsid w:val="002A579E"/>
    <w:rsid w:val="002A5930"/>
    <w:rsid w:val="002A5A1D"/>
    <w:rsid w:val="002A5F06"/>
    <w:rsid w:val="002A639C"/>
    <w:rsid w:val="002A69E9"/>
    <w:rsid w:val="002A6C41"/>
    <w:rsid w:val="002A6D85"/>
    <w:rsid w:val="002A6EEA"/>
    <w:rsid w:val="002A738B"/>
    <w:rsid w:val="002A7498"/>
    <w:rsid w:val="002A74FB"/>
    <w:rsid w:val="002A7567"/>
    <w:rsid w:val="002A75C6"/>
    <w:rsid w:val="002A75E2"/>
    <w:rsid w:val="002A76CC"/>
    <w:rsid w:val="002A7765"/>
    <w:rsid w:val="002A7F46"/>
    <w:rsid w:val="002B0192"/>
    <w:rsid w:val="002B0460"/>
    <w:rsid w:val="002B07C3"/>
    <w:rsid w:val="002B1161"/>
    <w:rsid w:val="002B125C"/>
    <w:rsid w:val="002B132C"/>
    <w:rsid w:val="002B1A96"/>
    <w:rsid w:val="002B1C49"/>
    <w:rsid w:val="002B1CDA"/>
    <w:rsid w:val="002B1CF8"/>
    <w:rsid w:val="002B1DFC"/>
    <w:rsid w:val="002B1E3E"/>
    <w:rsid w:val="002B1E60"/>
    <w:rsid w:val="002B2403"/>
    <w:rsid w:val="002B255E"/>
    <w:rsid w:val="002B25DB"/>
    <w:rsid w:val="002B28C8"/>
    <w:rsid w:val="002B28D8"/>
    <w:rsid w:val="002B2ADF"/>
    <w:rsid w:val="002B2F5C"/>
    <w:rsid w:val="002B32B1"/>
    <w:rsid w:val="002B32BD"/>
    <w:rsid w:val="002B34E3"/>
    <w:rsid w:val="002B3732"/>
    <w:rsid w:val="002B3860"/>
    <w:rsid w:val="002B3BD9"/>
    <w:rsid w:val="002B4204"/>
    <w:rsid w:val="002B439C"/>
    <w:rsid w:val="002B44DC"/>
    <w:rsid w:val="002B4AA6"/>
    <w:rsid w:val="002B4D4B"/>
    <w:rsid w:val="002B5172"/>
    <w:rsid w:val="002B5411"/>
    <w:rsid w:val="002B57B5"/>
    <w:rsid w:val="002B583E"/>
    <w:rsid w:val="002B5A06"/>
    <w:rsid w:val="002B5A2E"/>
    <w:rsid w:val="002B5FC9"/>
    <w:rsid w:val="002B6109"/>
    <w:rsid w:val="002B6419"/>
    <w:rsid w:val="002B6528"/>
    <w:rsid w:val="002B6728"/>
    <w:rsid w:val="002B6785"/>
    <w:rsid w:val="002B6796"/>
    <w:rsid w:val="002B6B49"/>
    <w:rsid w:val="002B6DA3"/>
    <w:rsid w:val="002B6DD0"/>
    <w:rsid w:val="002B7189"/>
    <w:rsid w:val="002B7524"/>
    <w:rsid w:val="002B7878"/>
    <w:rsid w:val="002B7A69"/>
    <w:rsid w:val="002B7BBC"/>
    <w:rsid w:val="002B7EEA"/>
    <w:rsid w:val="002C0052"/>
    <w:rsid w:val="002C02EE"/>
    <w:rsid w:val="002C03FA"/>
    <w:rsid w:val="002C0447"/>
    <w:rsid w:val="002C07FA"/>
    <w:rsid w:val="002C081B"/>
    <w:rsid w:val="002C0A92"/>
    <w:rsid w:val="002C0BB8"/>
    <w:rsid w:val="002C0CF5"/>
    <w:rsid w:val="002C0E5C"/>
    <w:rsid w:val="002C0EFF"/>
    <w:rsid w:val="002C0F30"/>
    <w:rsid w:val="002C101D"/>
    <w:rsid w:val="002C184D"/>
    <w:rsid w:val="002C189B"/>
    <w:rsid w:val="002C18F7"/>
    <w:rsid w:val="002C1996"/>
    <w:rsid w:val="002C1B3C"/>
    <w:rsid w:val="002C1B6D"/>
    <w:rsid w:val="002C1C6B"/>
    <w:rsid w:val="002C1DFC"/>
    <w:rsid w:val="002C1FAB"/>
    <w:rsid w:val="002C1FCD"/>
    <w:rsid w:val="002C20A1"/>
    <w:rsid w:val="002C23C0"/>
    <w:rsid w:val="002C2427"/>
    <w:rsid w:val="002C2723"/>
    <w:rsid w:val="002C2858"/>
    <w:rsid w:val="002C294A"/>
    <w:rsid w:val="002C2AA1"/>
    <w:rsid w:val="002C2E1F"/>
    <w:rsid w:val="002C2F55"/>
    <w:rsid w:val="002C3223"/>
    <w:rsid w:val="002C3245"/>
    <w:rsid w:val="002C330C"/>
    <w:rsid w:val="002C359B"/>
    <w:rsid w:val="002C368C"/>
    <w:rsid w:val="002C39B6"/>
    <w:rsid w:val="002C3FBC"/>
    <w:rsid w:val="002C40EA"/>
    <w:rsid w:val="002C4647"/>
    <w:rsid w:val="002C46D7"/>
    <w:rsid w:val="002C4A9B"/>
    <w:rsid w:val="002C4CF6"/>
    <w:rsid w:val="002C53D3"/>
    <w:rsid w:val="002C54D3"/>
    <w:rsid w:val="002C56F9"/>
    <w:rsid w:val="002C59C2"/>
    <w:rsid w:val="002C5A87"/>
    <w:rsid w:val="002C5DB6"/>
    <w:rsid w:val="002C5E33"/>
    <w:rsid w:val="002C5EA2"/>
    <w:rsid w:val="002C61ED"/>
    <w:rsid w:val="002C62BB"/>
    <w:rsid w:val="002C62DF"/>
    <w:rsid w:val="002C6906"/>
    <w:rsid w:val="002C6C21"/>
    <w:rsid w:val="002C6C77"/>
    <w:rsid w:val="002C6CC7"/>
    <w:rsid w:val="002C6EB3"/>
    <w:rsid w:val="002C6FE1"/>
    <w:rsid w:val="002C711D"/>
    <w:rsid w:val="002C7408"/>
    <w:rsid w:val="002C7417"/>
    <w:rsid w:val="002C7665"/>
    <w:rsid w:val="002C7952"/>
    <w:rsid w:val="002C7A2B"/>
    <w:rsid w:val="002C7B3C"/>
    <w:rsid w:val="002C7B90"/>
    <w:rsid w:val="002C7BD6"/>
    <w:rsid w:val="002C7EB4"/>
    <w:rsid w:val="002D01C2"/>
    <w:rsid w:val="002D0298"/>
    <w:rsid w:val="002D0435"/>
    <w:rsid w:val="002D04EE"/>
    <w:rsid w:val="002D0527"/>
    <w:rsid w:val="002D0914"/>
    <w:rsid w:val="002D0B29"/>
    <w:rsid w:val="002D0E50"/>
    <w:rsid w:val="002D0F4A"/>
    <w:rsid w:val="002D1171"/>
    <w:rsid w:val="002D117B"/>
    <w:rsid w:val="002D1376"/>
    <w:rsid w:val="002D1380"/>
    <w:rsid w:val="002D1395"/>
    <w:rsid w:val="002D179F"/>
    <w:rsid w:val="002D1880"/>
    <w:rsid w:val="002D18BD"/>
    <w:rsid w:val="002D1A25"/>
    <w:rsid w:val="002D1A47"/>
    <w:rsid w:val="002D1E6E"/>
    <w:rsid w:val="002D22F1"/>
    <w:rsid w:val="002D29E4"/>
    <w:rsid w:val="002D2A7E"/>
    <w:rsid w:val="002D2BDD"/>
    <w:rsid w:val="002D2CD5"/>
    <w:rsid w:val="002D2E15"/>
    <w:rsid w:val="002D3110"/>
    <w:rsid w:val="002D32B7"/>
    <w:rsid w:val="002D33E8"/>
    <w:rsid w:val="002D3724"/>
    <w:rsid w:val="002D39EF"/>
    <w:rsid w:val="002D3A40"/>
    <w:rsid w:val="002D3C2D"/>
    <w:rsid w:val="002D3CAA"/>
    <w:rsid w:val="002D3DFE"/>
    <w:rsid w:val="002D42D1"/>
    <w:rsid w:val="002D4413"/>
    <w:rsid w:val="002D4498"/>
    <w:rsid w:val="002D45C6"/>
    <w:rsid w:val="002D488E"/>
    <w:rsid w:val="002D48A0"/>
    <w:rsid w:val="002D48AD"/>
    <w:rsid w:val="002D4B33"/>
    <w:rsid w:val="002D4F9B"/>
    <w:rsid w:val="002D506E"/>
    <w:rsid w:val="002D54D5"/>
    <w:rsid w:val="002D5669"/>
    <w:rsid w:val="002D5677"/>
    <w:rsid w:val="002D594D"/>
    <w:rsid w:val="002D5BB2"/>
    <w:rsid w:val="002D5C33"/>
    <w:rsid w:val="002D5E32"/>
    <w:rsid w:val="002D605E"/>
    <w:rsid w:val="002D606B"/>
    <w:rsid w:val="002D62FD"/>
    <w:rsid w:val="002D63DE"/>
    <w:rsid w:val="002D6474"/>
    <w:rsid w:val="002D648E"/>
    <w:rsid w:val="002D64AD"/>
    <w:rsid w:val="002D6605"/>
    <w:rsid w:val="002D67C7"/>
    <w:rsid w:val="002D6875"/>
    <w:rsid w:val="002D68A2"/>
    <w:rsid w:val="002D6C72"/>
    <w:rsid w:val="002D6D68"/>
    <w:rsid w:val="002D6EBF"/>
    <w:rsid w:val="002D70A3"/>
    <w:rsid w:val="002D75B0"/>
    <w:rsid w:val="002D75DC"/>
    <w:rsid w:val="002D76A8"/>
    <w:rsid w:val="002D7817"/>
    <w:rsid w:val="002D7CEA"/>
    <w:rsid w:val="002D7D8D"/>
    <w:rsid w:val="002E0002"/>
    <w:rsid w:val="002E0431"/>
    <w:rsid w:val="002E0775"/>
    <w:rsid w:val="002E08DC"/>
    <w:rsid w:val="002E0C6A"/>
    <w:rsid w:val="002E0E86"/>
    <w:rsid w:val="002E0FFD"/>
    <w:rsid w:val="002E11CE"/>
    <w:rsid w:val="002E1424"/>
    <w:rsid w:val="002E14E4"/>
    <w:rsid w:val="002E15BB"/>
    <w:rsid w:val="002E1854"/>
    <w:rsid w:val="002E1C3B"/>
    <w:rsid w:val="002E214C"/>
    <w:rsid w:val="002E223F"/>
    <w:rsid w:val="002E24C7"/>
    <w:rsid w:val="002E2751"/>
    <w:rsid w:val="002E28CD"/>
    <w:rsid w:val="002E2AC6"/>
    <w:rsid w:val="002E2F93"/>
    <w:rsid w:val="002E30EF"/>
    <w:rsid w:val="002E334B"/>
    <w:rsid w:val="002E335F"/>
    <w:rsid w:val="002E3665"/>
    <w:rsid w:val="002E36B3"/>
    <w:rsid w:val="002E376E"/>
    <w:rsid w:val="002E3824"/>
    <w:rsid w:val="002E39E8"/>
    <w:rsid w:val="002E3A8B"/>
    <w:rsid w:val="002E3BB9"/>
    <w:rsid w:val="002E4138"/>
    <w:rsid w:val="002E4A9B"/>
    <w:rsid w:val="002E4D52"/>
    <w:rsid w:val="002E516A"/>
    <w:rsid w:val="002E5662"/>
    <w:rsid w:val="002E583D"/>
    <w:rsid w:val="002E597E"/>
    <w:rsid w:val="002E5E18"/>
    <w:rsid w:val="002E60D8"/>
    <w:rsid w:val="002E6143"/>
    <w:rsid w:val="002E692E"/>
    <w:rsid w:val="002E6B0D"/>
    <w:rsid w:val="002E6D88"/>
    <w:rsid w:val="002E6DFA"/>
    <w:rsid w:val="002E79FB"/>
    <w:rsid w:val="002E7D4F"/>
    <w:rsid w:val="002F09FD"/>
    <w:rsid w:val="002F0DDE"/>
    <w:rsid w:val="002F0E97"/>
    <w:rsid w:val="002F0EF1"/>
    <w:rsid w:val="002F0F63"/>
    <w:rsid w:val="002F108F"/>
    <w:rsid w:val="002F1592"/>
    <w:rsid w:val="002F15BC"/>
    <w:rsid w:val="002F16FD"/>
    <w:rsid w:val="002F1ADB"/>
    <w:rsid w:val="002F1B19"/>
    <w:rsid w:val="002F1CFA"/>
    <w:rsid w:val="002F1EC7"/>
    <w:rsid w:val="002F1F75"/>
    <w:rsid w:val="002F2094"/>
    <w:rsid w:val="002F22D8"/>
    <w:rsid w:val="002F231D"/>
    <w:rsid w:val="002F2345"/>
    <w:rsid w:val="002F23A4"/>
    <w:rsid w:val="002F23E9"/>
    <w:rsid w:val="002F24C3"/>
    <w:rsid w:val="002F2665"/>
    <w:rsid w:val="002F27AA"/>
    <w:rsid w:val="002F2AC4"/>
    <w:rsid w:val="002F2D39"/>
    <w:rsid w:val="002F2E73"/>
    <w:rsid w:val="002F305F"/>
    <w:rsid w:val="002F318B"/>
    <w:rsid w:val="002F3200"/>
    <w:rsid w:val="002F361C"/>
    <w:rsid w:val="002F3A03"/>
    <w:rsid w:val="002F3C79"/>
    <w:rsid w:val="002F3D29"/>
    <w:rsid w:val="002F3D51"/>
    <w:rsid w:val="002F3EAD"/>
    <w:rsid w:val="002F3F35"/>
    <w:rsid w:val="002F40CC"/>
    <w:rsid w:val="002F433B"/>
    <w:rsid w:val="002F434A"/>
    <w:rsid w:val="002F460C"/>
    <w:rsid w:val="002F4726"/>
    <w:rsid w:val="002F47F4"/>
    <w:rsid w:val="002F4924"/>
    <w:rsid w:val="002F536F"/>
    <w:rsid w:val="002F5508"/>
    <w:rsid w:val="002F568C"/>
    <w:rsid w:val="002F59D7"/>
    <w:rsid w:val="002F59FD"/>
    <w:rsid w:val="002F5D6E"/>
    <w:rsid w:val="002F64A9"/>
    <w:rsid w:val="002F66B6"/>
    <w:rsid w:val="002F66E9"/>
    <w:rsid w:val="002F69B0"/>
    <w:rsid w:val="002F69E1"/>
    <w:rsid w:val="002F6CCF"/>
    <w:rsid w:val="002F6EA5"/>
    <w:rsid w:val="002F71C2"/>
    <w:rsid w:val="002F7358"/>
    <w:rsid w:val="002F74D3"/>
    <w:rsid w:val="002F74E6"/>
    <w:rsid w:val="002F7800"/>
    <w:rsid w:val="002F7B00"/>
    <w:rsid w:val="002F7B9B"/>
    <w:rsid w:val="0030001F"/>
    <w:rsid w:val="00300595"/>
    <w:rsid w:val="00300881"/>
    <w:rsid w:val="00300A0D"/>
    <w:rsid w:val="00300DC1"/>
    <w:rsid w:val="00300FA0"/>
    <w:rsid w:val="00301059"/>
    <w:rsid w:val="0030135F"/>
    <w:rsid w:val="00301453"/>
    <w:rsid w:val="00301529"/>
    <w:rsid w:val="00301787"/>
    <w:rsid w:val="003018AC"/>
    <w:rsid w:val="00301E43"/>
    <w:rsid w:val="00301E8E"/>
    <w:rsid w:val="00301FAD"/>
    <w:rsid w:val="00302025"/>
    <w:rsid w:val="00302219"/>
    <w:rsid w:val="003026C7"/>
    <w:rsid w:val="00302B0E"/>
    <w:rsid w:val="00303071"/>
    <w:rsid w:val="003030DF"/>
    <w:rsid w:val="003032A8"/>
    <w:rsid w:val="00303305"/>
    <w:rsid w:val="003033FC"/>
    <w:rsid w:val="003034D3"/>
    <w:rsid w:val="003035AC"/>
    <w:rsid w:val="00303632"/>
    <w:rsid w:val="003037DF"/>
    <w:rsid w:val="003037ED"/>
    <w:rsid w:val="00303822"/>
    <w:rsid w:val="00303A73"/>
    <w:rsid w:val="00303CB4"/>
    <w:rsid w:val="00303CCC"/>
    <w:rsid w:val="00303F5E"/>
    <w:rsid w:val="003040D1"/>
    <w:rsid w:val="003040E7"/>
    <w:rsid w:val="0030417B"/>
    <w:rsid w:val="0030435F"/>
    <w:rsid w:val="003045AC"/>
    <w:rsid w:val="00304B60"/>
    <w:rsid w:val="00304DBD"/>
    <w:rsid w:val="00304F77"/>
    <w:rsid w:val="003051C9"/>
    <w:rsid w:val="003053CE"/>
    <w:rsid w:val="003055C1"/>
    <w:rsid w:val="00305747"/>
    <w:rsid w:val="003057EF"/>
    <w:rsid w:val="00305B8C"/>
    <w:rsid w:val="00306036"/>
    <w:rsid w:val="003060C9"/>
    <w:rsid w:val="003062B4"/>
    <w:rsid w:val="00306A2F"/>
    <w:rsid w:val="00306CFD"/>
    <w:rsid w:val="00307809"/>
    <w:rsid w:val="00307A14"/>
    <w:rsid w:val="00307D48"/>
    <w:rsid w:val="00307E8F"/>
    <w:rsid w:val="00310068"/>
    <w:rsid w:val="003103E2"/>
    <w:rsid w:val="0031056A"/>
    <w:rsid w:val="0031057D"/>
    <w:rsid w:val="00310886"/>
    <w:rsid w:val="00310AC8"/>
    <w:rsid w:val="00310E48"/>
    <w:rsid w:val="0031101B"/>
    <w:rsid w:val="0031104B"/>
    <w:rsid w:val="00311070"/>
    <w:rsid w:val="00311263"/>
    <w:rsid w:val="003112C5"/>
    <w:rsid w:val="00311A1D"/>
    <w:rsid w:val="00311A22"/>
    <w:rsid w:val="00311C94"/>
    <w:rsid w:val="00311D45"/>
    <w:rsid w:val="00311F60"/>
    <w:rsid w:val="00312169"/>
    <w:rsid w:val="0031256B"/>
    <w:rsid w:val="0031294F"/>
    <w:rsid w:val="00312C18"/>
    <w:rsid w:val="00312E39"/>
    <w:rsid w:val="0031309F"/>
    <w:rsid w:val="003131EF"/>
    <w:rsid w:val="0031361B"/>
    <w:rsid w:val="003138D7"/>
    <w:rsid w:val="00313903"/>
    <w:rsid w:val="00313BC4"/>
    <w:rsid w:val="00313BD1"/>
    <w:rsid w:val="00313C28"/>
    <w:rsid w:val="00314052"/>
    <w:rsid w:val="003144C4"/>
    <w:rsid w:val="00314601"/>
    <w:rsid w:val="00314897"/>
    <w:rsid w:val="003148E3"/>
    <w:rsid w:val="00314975"/>
    <w:rsid w:val="003149E9"/>
    <w:rsid w:val="00314EAA"/>
    <w:rsid w:val="0031502A"/>
    <w:rsid w:val="0031516B"/>
    <w:rsid w:val="00315188"/>
    <w:rsid w:val="003151E3"/>
    <w:rsid w:val="00315418"/>
    <w:rsid w:val="003154FC"/>
    <w:rsid w:val="0031594F"/>
    <w:rsid w:val="00315B73"/>
    <w:rsid w:val="00315EE5"/>
    <w:rsid w:val="00315FCF"/>
    <w:rsid w:val="00315FFD"/>
    <w:rsid w:val="0031602E"/>
    <w:rsid w:val="0031612F"/>
    <w:rsid w:val="003162C9"/>
    <w:rsid w:val="00316358"/>
    <w:rsid w:val="003163A4"/>
    <w:rsid w:val="00316920"/>
    <w:rsid w:val="00316B7A"/>
    <w:rsid w:val="00316C36"/>
    <w:rsid w:val="00316C53"/>
    <w:rsid w:val="003174CC"/>
    <w:rsid w:val="003178B9"/>
    <w:rsid w:val="00317A28"/>
    <w:rsid w:val="003203B6"/>
    <w:rsid w:val="0032049F"/>
    <w:rsid w:val="00320772"/>
    <w:rsid w:val="00320813"/>
    <w:rsid w:val="00320A39"/>
    <w:rsid w:val="00320A8F"/>
    <w:rsid w:val="00320B3A"/>
    <w:rsid w:val="00320CDA"/>
    <w:rsid w:val="00320F45"/>
    <w:rsid w:val="003210F4"/>
    <w:rsid w:val="003213E4"/>
    <w:rsid w:val="00321738"/>
    <w:rsid w:val="003217F2"/>
    <w:rsid w:val="00321844"/>
    <w:rsid w:val="00321876"/>
    <w:rsid w:val="00321CC2"/>
    <w:rsid w:val="00321D19"/>
    <w:rsid w:val="00322173"/>
    <w:rsid w:val="0032229F"/>
    <w:rsid w:val="0032247D"/>
    <w:rsid w:val="003225D4"/>
    <w:rsid w:val="003227C2"/>
    <w:rsid w:val="0032281F"/>
    <w:rsid w:val="00322966"/>
    <w:rsid w:val="00322B05"/>
    <w:rsid w:val="00323187"/>
    <w:rsid w:val="0032332F"/>
    <w:rsid w:val="00323556"/>
    <w:rsid w:val="003235FB"/>
    <w:rsid w:val="003237BB"/>
    <w:rsid w:val="003237CE"/>
    <w:rsid w:val="00323993"/>
    <w:rsid w:val="00323C08"/>
    <w:rsid w:val="00323D37"/>
    <w:rsid w:val="00324640"/>
    <w:rsid w:val="003247B9"/>
    <w:rsid w:val="003249E4"/>
    <w:rsid w:val="00324B6C"/>
    <w:rsid w:val="00324E65"/>
    <w:rsid w:val="00324FE7"/>
    <w:rsid w:val="00325091"/>
    <w:rsid w:val="003255AD"/>
    <w:rsid w:val="0032566B"/>
    <w:rsid w:val="003256AA"/>
    <w:rsid w:val="003257E8"/>
    <w:rsid w:val="00325A59"/>
    <w:rsid w:val="00325D12"/>
    <w:rsid w:val="003261B3"/>
    <w:rsid w:val="0032621C"/>
    <w:rsid w:val="00326416"/>
    <w:rsid w:val="00326552"/>
    <w:rsid w:val="00326936"/>
    <w:rsid w:val="00326963"/>
    <w:rsid w:val="003269E1"/>
    <w:rsid w:val="003269EC"/>
    <w:rsid w:val="00326D46"/>
    <w:rsid w:val="00326D4E"/>
    <w:rsid w:val="0032729B"/>
    <w:rsid w:val="00327735"/>
    <w:rsid w:val="003278AA"/>
    <w:rsid w:val="00327C62"/>
    <w:rsid w:val="00327E8E"/>
    <w:rsid w:val="00327EFE"/>
    <w:rsid w:val="00330064"/>
    <w:rsid w:val="00330173"/>
    <w:rsid w:val="00330384"/>
    <w:rsid w:val="00330872"/>
    <w:rsid w:val="00330B4B"/>
    <w:rsid w:val="00330B8F"/>
    <w:rsid w:val="00330BE2"/>
    <w:rsid w:val="00330C02"/>
    <w:rsid w:val="00330CC3"/>
    <w:rsid w:val="00330CE6"/>
    <w:rsid w:val="00330F0D"/>
    <w:rsid w:val="00331225"/>
    <w:rsid w:val="003313E3"/>
    <w:rsid w:val="003315B0"/>
    <w:rsid w:val="00331B05"/>
    <w:rsid w:val="00331B43"/>
    <w:rsid w:val="00331B5C"/>
    <w:rsid w:val="00331D8C"/>
    <w:rsid w:val="00332261"/>
    <w:rsid w:val="003322AD"/>
    <w:rsid w:val="0033248C"/>
    <w:rsid w:val="003325DB"/>
    <w:rsid w:val="0033263A"/>
    <w:rsid w:val="00332770"/>
    <w:rsid w:val="00332861"/>
    <w:rsid w:val="00332A9C"/>
    <w:rsid w:val="00332B08"/>
    <w:rsid w:val="00332D2D"/>
    <w:rsid w:val="00332DB7"/>
    <w:rsid w:val="0033302A"/>
    <w:rsid w:val="0033333E"/>
    <w:rsid w:val="00333379"/>
    <w:rsid w:val="00333647"/>
    <w:rsid w:val="00333BA2"/>
    <w:rsid w:val="00333BB2"/>
    <w:rsid w:val="00333C43"/>
    <w:rsid w:val="00333F39"/>
    <w:rsid w:val="0033407B"/>
    <w:rsid w:val="003342DA"/>
    <w:rsid w:val="003342F4"/>
    <w:rsid w:val="003343C1"/>
    <w:rsid w:val="00334428"/>
    <w:rsid w:val="003344E8"/>
    <w:rsid w:val="00334909"/>
    <w:rsid w:val="00334AB0"/>
    <w:rsid w:val="00334CD1"/>
    <w:rsid w:val="00334D09"/>
    <w:rsid w:val="00335511"/>
    <w:rsid w:val="003355F1"/>
    <w:rsid w:val="0033562F"/>
    <w:rsid w:val="003359C2"/>
    <w:rsid w:val="00335D6E"/>
    <w:rsid w:val="003360B6"/>
    <w:rsid w:val="003360F0"/>
    <w:rsid w:val="00336328"/>
    <w:rsid w:val="00336369"/>
    <w:rsid w:val="0033693C"/>
    <w:rsid w:val="00336A67"/>
    <w:rsid w:val="00336AD1"/>
    <w:rsid w:val="00336D74"/>
    <w:rsid w:val="00337175"/>
    <w:rsid w:val="00337464"/>
    <w:rsid w:val="00337470"/>
    <w:rsid w:val="00337615"/>
    <w:rsid w:val="0033774F"/>
    <w:rsid w:val="00337798"/>
    <w:rsid w:val="003378D3"/>
    <w:rsid w:val="003378EC"/>
    <w:rsid w:val="00337919"/>
    <w:rsid w:val="003379F3"/>
    <w:rsid w:val="00337A3B"/>
    <w:rsid w:val="00337A44"/>
    <w:rsid w:val="00337BC9"/>
    <w:rsid w:val="00337C7A"/>
    <w:rsid w:val="0034017E"/>
    <w:rsid w:val="00340DA8"/>
    <w:rsid w:val="00341424"/>
    <w:rsid w:val="003416B2"/>
    <w:rsid w:val="003419F2"/>
    <w:rsid w:val="00341A1B"/>
    <w:rsid w:val="00341AA8"/>
    <w:rsid w:val="00341D63"/>
    <w:rsid w:val="00341D79"/>
    <w:rsid w:val="00341D94"/>
    <w:rsid w:val="003422C1"/>
    <w:rsid w:val="00342587"/>
    <w:rsid w:val="00342597"/>
    <w:rsid w:val="00342936"/>
    <w:rsid w:val="00342975"/>
    <w:rsid w:val="00342A15"/>
    <w:rsid w:val="00342E22"/>
    <w:rsid w:val="00342E51"/>
    <w:rsid w:val="00343672"/>
    <w:rsid w:val="0034367F"/>
    <w:rsid w:val="00343759"/>
    <w:rsid w:val="00343762"/>
    <w:rsid w:val="003439A0"/>
    <w:rsid w:val="00343B55"/>
    <w:rsid w:val="00343BF5"/>
    <w:rsid w:val="00343E3D"/>
    <w:rsid w:val="00343FCB"/>
    <w:rsid w:val="00344375"/>
    <w:rsid w:val="003444AA"/>
    <w:rsid w:val="0034452D"/>
    <w:rsid w:val="00344994"/>
    <w:rsid w:val="003449AE"/>
    <w:rsid w:val="00344B6A"/>
    <w:rsid w:val="00344C72"/>
    <w:rsid w:val="0034505B"/>
    <w:rsid w:val="003450DE"/>
    <w:rsid w:val="003452AF"/>
    <w:rsid w:val="003452EA"/>
    <w:rsid w:val="00345563"/>
    <w:rsid w:val="003457AF"/>
    <w:rsid w:val="00345B6E"/>
    <w:rsid w:val="00345D08"/>
    <w:rsid w:val="00345F2A"/>
    <w:rsid w:val="003468E3"/>
    <w:rsid w:val="00346934"/>
    <w:rsid w:val="003469B8"/>
    <w:rsid w:val="00346A7B"/>
    <w:rsid w:val="00346F3F"/>
    <w:rsid w:val="00347006"/>
    <w:rsid w:val="003475F2"/>
    <w:rsid w:val="0034783F"/>
    <w:rsid w:val="003478AD"/>
    <w:rsid w:val="00347960"/>
    <w:rsid w:val="00347C39"/>
    <w:rsid w:val="00347C95"/>
    <w:rsid w:val="00347CCC"/>
    <w:rsid w:val="00347EB1"/>
    <w:rsid w:val="0035005F"/>
    <w:rsid w:val="00350623"/>
    <w:rsid w:val="003506A5"/>
    <w:rsid w:val="003507A1"/>
    <w:rsid w:val="00351007"/>
    <w:rsid w:val="00351326"/>
    <w:rsid w:val="0035157F"/>
    <w:rsid w:val="003515B8"/>
    <w:rsid w:val="003515DB"/>
    <w:rsid w:val="003516C8"/>
    <w:rsid w:val="003518F7"/>
    <w:rsid w:val="00351A3B"/>
    <w:rsid w:val="00351C8C"/>
    <w:rsid w:val="0035211B"/>
    <w:rsid w:val="0035306D"/>
    <w:rsid w:val="00353688"/>
    <w:rsid w:val="003536D4"/>
    <w:rsid w:val="003536D5"/>
    <w:rsid w:val="00353766"/>
    <w:rsid w:val="003539F5"/>
    <w:rsid w:val="00353D79"/>
    <w:rsid w:val="00353FB5"/>
    <w:rsid w:val="003543EF"/>
    <w:rsid w:val="00354BF5"/>
    <w:rsid w:val="00354D5C"/>
    <w:rsid w:val="00354DA1"/>
    <w:rsid w:val="00355646"/>
    <w:rsid w:val="00355B0D"/>
    <w:rsid w:val="00355BCD"/>
    <w:rsid w:val="00355C31"/>
    <w:rsid w:val="00356488"/>
    <w:rsid w:val="00356836"/>
    <w:rsid w:val="00356845"/>
    <w:rsid w:val="003568CB"/>
    <w:rsid w:val="003569FC"/>
    <w:rsid w:val="00356CC5"/>
    <w:rsid w:val="00356E83"/>
    <w:rsid w:val="00356F1A"/>
    <w:rsid w:val="00356F49"/>
    <w:rsid w:val="00357569"/>
    <w:rsid w:val="003575AD"/>
    <w:rsid w:val="0035771F"/>
    <w:rsid w:val="003578E6"/>
    <w:rsid w:val="00357CDE"/>
    <w:rsid w:val="00357E0A"/>
    <w:rsid w:val="00357E66"/>
    <w:rsid w:val="00360095"/>
    <w:rsid w:val="003604B0"/>
    <w:rsid w:val="0036076F"/>
    <w:rsid w:val="00360ACA"/>
    <w:rsid w:val="00360E7C"/>
    <w:rsid w:val="00360E91"/>
    <w:rsid w:val="00361202"/>
    <w:rsid w:val="0036194A"/>
    <w:rsid w:val="00361BDA"/>
    <w:rsid w:val="00361C75"/>
    <w:rsid w:val="00361E2F"/>
    <w:rsid w:val="003620BA"/>
    <w:rsid w:val="003621DE"/>
    <w:rsid w:val="00362520"/>
    <w:rsid w:val="003625CF"/>
    <w:rsid w:val="00362840"/>
    <w:rsid w:val="0036288E"/>
    <w:rsid w:val="00362FC0"/>
    <w:rsid w:val="00363128"/>
    <w:rsid w:val="00363544"/>
    <w:rsid w:val="00363694"/>
    <w:rsid w:val="0036371E"/>
    <w:rsid w:val="00363772"/>
    <w:rsid w:val="0036394C"/>
    <w:rsid w:val="003639B5"/>
    <w:rsid w:val="003639B9"/>
    <w:rsid w:val="00363BB3"/>
    <w:rsid w:val="00363C73"/>
    <w:rsid w:val="00364007"/>
    <w:rsid w:val="0036436D"/>
    <w:rsid w:val="00364647"/>
    <w:rsid w:val="00364C1A"/>
    <w:rsid w:val="00364E42"/>
    <w:rsid w:val="003650C4"/>
    <w:rsid w:val="003653E9"/>
    <w:rsid w:val="0036596F"/>
    <w:rsid w:val="00365AD3"/>
    <w:rsid w:val="00365B6F"/>
    <w:rsid w:val="00365C3E"/>
    <w:rsid w:val="00365D2B"/>
    <w:rsid w:val="00365DAD"/>
    <w:rsid w:val="00365E92"/>
    <w:rsid w:val="003660DB"/>
    <w:rsid w:val="003661F2"/>
    <w:rsid w:val="003663D1"/>
    <w:rsid w:val="00366A63"/>
    <w:rsid w:val="00367029"/>
    <w:rsid w:val="00367053"/>
    <w:rsid w:val="00367270"/>
    <w:rsid w:val="00367282"/>
    <w:rsid w:val="003677CF"/>
    <w:rsid w:val="00367DB9"/>
    <w:rsid w:val="00370189"/>
    <w:rsid w:val="003703E9"/>
    <w:rsid w:val="003706BF"/>
    <w:rsid w:val="003707C2"/>
    <w:rsid w:val="00370B3D"/>
    <w:rsid w:val="00370D1B"/>
    <w:rsid w:val="00370EE3"/>
    <w:rsid w:val="00370FD6"/>
    <w:rsid w:val="00371275"/>
    <w:rsid w:val="0037165E"/>
    <w:rsid w:val="0037170C"/>
    <w:rsid w:val="00371B1E"/>
    <w:rsid w:val="00371CBE"/>
    <w:rsid w:val="00371D1E"/>
    <w:rsid w:val="003727AC"/>
    <w:rsid w:val="00372850"/>
    <w:rsid w:val="00372B6F"/>
    <w:rsid w:val="003732DB"/>
    <w:rsid w:val="0037332A"/>
    <w:rsid w:val="003734FB"/>
    <w:rsid w:val="00373898"/>
    <w:rsid w:val="00373BBE"/>
    <w:rsid w:val="00373D41"/>
    <w:rsid w:val="00374029"/>
    <w:rsid w:val="003740A6"/>
    <w:rsid w:val="00374240"/>
    <w:rsid w:val="00374351"/>
    <w:rsid w:val="003743E4"/>
    <w:rsid w:val="00374462"/>
    <w:rsid w:val="003746B6"/>
    <w:rsid w:val="00374719"/>
    <w:rsid w:val="0037492A"/>
    <w:rsid w:val="00374A4A"/>
    <w:rsid w:val="00374BCC"/>
    <w:rsid w:val="00374DF9"/>
    <w:rsid w:val="00375766"/>
    <w:rsid w:val="0037583C"/>
    <w:rsid w:val="00375863"/>
    <w:rsid w:val="00375975"/>
    <w:rsid w:val="00375ABC"/>
    <w:rsid w:val="00375AEA"/>
    <w:rsid w:val="00375C0D"/>
    <w:rsid w:val="00375C30"/>
    <w:rsid w:val="00375C50"/>
    <w:rsid w:val="00375D24"/>
    <w:rsid w:val="00375DF9"/>
    <w:rsid w:val="0037612B"/>
    <w:rsid w:val="00376599"/>
    <w:rsid w:val="003766F1"/>
    <w:rsid w:val="003767C0"/>
    <w:rsid w:val="00376863"/>
    <w:rsid w:val="00376BC6"/>
    <w:rsid w:val="00376D44"/>
    <w:rsid w:val="003771CE"/>
    <w:rsid w:val="003771D0"/>
    <w:rsid w:val="003772E3"/>
    <w:rsid w:val="0037764A"/>
    <w:rsid w:val="00377794"/>
    <w:rsid w:val="00377CB8"/>
    <w:rsid w:val="00377D7F"/>
    <w:rsid w:val="00377E02"/>
    <w:rsid w:val="003804D6"/>
    <w:rsid w:val="00380591"/>
    <w:rsid w:val="00380D0A"/>
    <w:rsid w:val="00380EA8"/>
    <w:rsid w:val="00381089"/>
    <w:rsid w:val="003814E1"/>
    <w:rsid w:val="003822F5"/>
    <w:rsid w:val="0038258A"/>
    <w:rsid w:val="00382DD8"/>
    <w:rsid w:val="00382EF9"/>
    <w:rsid w:val="003830B8"/>
    <w:rsid w:val="0038316E"/>
    <w:rsid w:val="00383390"/>
    <w:rsid w:val="003837CB"/>
    <w:rsid w:val="00383B55"/>
    <w:rsid w:val="00383C15"/>
    <w:rsid w:val="00383D38"/>
    <w:rsid w:val="00383D9D"/>
    <w:rsid w:val="00383E16"/>
    <w:rsid w:val="003841B5"/>
    <w:rsid w:val="0038460F"/>
    <w:rsid w:val="0038464C"/>
    <w:rsid w:val="003846D9"/>
    <w:rsid w:val="0038477E"/>
    <w:rsid w:val="00384D56"/>
    <w:rsid w:val="0038511A"/>
    <w:rsid w:val="00385170"/>
    <w:rsid w:val="003851B6"/>
    <w:rsid w:val="00385220"/>
    <w:rsid w:val="003854C0"/>
    <w:rsid w:val="003855BE"/>
    <w:rsid w:val="003856D7"/>
    <w:rsid w:val="00385976"/>
    <w:rsid w:val="00385A23"/>
    <w:rsid w:val="00385B62"/>
    <w:rsid w:val="00385C28"/>
    <w:rsid w:val="00385CF9"/>
    <w:rsid w:val="00385E1F"/>
    <w:rsid w:val="00385E8C"/>
    <w:rsid w:val="00386091"/>
    <w:rsid w:val="00386146"/>
    <w:rsid w:val="003862BA"/>
    <w:rsid w:val="0038638D"/>
    <w:rsid w:val="0038672A"/>
    <w:rsid w:val="003869A2"/>
    <w:rsid w:val="00386A77"/>
    <w:rsid w:val="00386B82"/>
    <w:rsid w:val="00386E31"/>
    <w:rsid w:val="00386E6E"/>
    <w:rsid w:val="00386F5D"/>
    <w:rsid w:val="003871E4"/>
    <w:rsid w:val="003872CD"/>
    <w:rsid w:val="003872EC"/>
    <w:rsid w:val="003873E3"/>
    <w:rsid w:val="0038749F"/>
    <w:rsid w:val="00387525"/>
    <w:rsid w:val="00387AC6"/>
    <w:rsid w:val="00387BAD"/>
    <w:rsid w:val="00387F0F"/>
    <w:rsid w:val="0039081E"/>
    <w:rsid w:val="0039085F"/>
    <w:rsid w:val="00390984"/>
    <w:rsid w:val="00390A2A"/>
    <w:rsid w:val="00390D16"/>
    <w:rsid w:val="003911CA"/>
    <w:rsid w:val="00391401"/>
    <w:rsid w:val="00391477"/>
    <w:rsid w:val="0039157F"/>
    <w:rsid w:val="00391824"/>
    <w:rsid w:val="00391A31"/>
    <w:rsid w:val="00391AA7"/>
    <w:rsid w:val="00391E67"/>
    <w:rsid w:val="003922B6"/>
    <w:rsid w:val="00392A4B"/>
    <w:rsid w:val="00392C28"/>
    <w:rsid w:val="00393013"/>
    <w:rsid w:val="003932F3"/>
    <w:rsid w:val="0039355E"/>
    <w:rsid w:val="003935D1"/>
    <w:rsid w:val="0039371F"/>
    <w:rsid w:val="003937C5"/>
    <w:rsid w:val="00393890"/>
    <w:rsid w:val="00393E3B"/>
    <w:rsid w:val="00393EDC"/>
    <w:rsid w:val="00393F15"/>
    <w:rsid w:val="00393F16"/>
    <w:rsid w:val="0039407F"/>
    <w:rsid w:val="003940D8"/>
    <w:rsid w:val="0039422F"/>
    <w:rsid w:val="0039490D"/>
    <w:rsid w:val="00395220"/>
    <w:rsid w:val="0039554B"/>
    <w:rsid w:val="0039583F"/>
    <w:rsid w:val="00395963"/>
    <w:rsid w:val="00395E29"/>
    <w:rsid w:val="00396368"/>
    <w:rsid w:val="00396448"/>
    <w:rsid w:val="00396DB8"/>
    <w:rsid w:val="00397565"/>
    <w:rsid w:val="00397A80"/>
    <w:rsid w:val="00397E4F"/>
    <w:rsid w:val="00397E9E"/>
    <w:rsid w:val="003A0063"/>
    <w:rsid w:val="003A036C"/>
    <w:rsid w:val="003A03A0"/>
    <w:rsid w:val="003A0BC1"/>
    <w:rsid w:val="003A0CAA"/>
    <w:rsid w:val="003A0CB0"/>
    <w:rsid w:val="003A0CFA"/>
    <w:rsid w:val="003A102A"/>
    <w:rsid w:val="003A116B"/>
    <w:rsid w:val="003A1420"/>
    <w:rsid w:val="003A150E"/>
    <w:rsid w:val="003A1CA0"/>
    <w:rsid w:val="003A1CA3"/>
    <w:rsid w:val="003A1DDF"/>
    <w:rsid w:val="003A1FB0"/>
    <w:rsid w:val="003A2558"/>
    <w:rsid w:val="003A2967"/>
    <w:rsid w:val="003A2C51"/>
    <w:rsid w:val="003A37C5"/>
    <w:rsid w:val="003A420C"/>
    <w:rsid w:val="003A46A8"/>
    <w:rsid w:val="003A4889"/>
    <w:rsid w:val="003A495F"/>
    <w:rsid w:val="003A4D05"/>
    <w:rsid w:val="003A4D41"/>
    <w:rsid w:val="003A4E78"/>
    <w:rsid w:val="003A4F56"/>
    <w:rsid w:val="003A51BB"/>
    <w:rsid w:val="003A51FB"/>
    <w:rsid w:val="003A5B41"/>
    <w:rsid w:val="003A5DB6"/>
    <w:rsid w:val="003A5E63"/>
    <w:rsid w:val="003A5F99"/>
    <w:rsid w:val="003A5FA3"/>
    <w:rsid w:val="003A6092"/>
    <w:rsid w:val="003A60BB"/>
    <w:rsid w:val="003A60C5"/>
    <w:rsid w:val="003A624B"/>
    <w:rsid w:val="003A6414"/>
    <w:rsid w:val="003A651B"/>
    <w:rsid w:val="003A656D"/>
    <w:rsid w:val="003A65A6"/>
    <w:rsid w:val="003A68BF"/>
    <w:rsid w:val="003A68F3"/>
    <w:rsid w:val="003A6A44"/>
    <w:rsid w:val="003A700A"/>
    <w:rsid w:val="003A7172"/>
    <w:rsid w:val="003A728D"/>
    <w:rsid w:val="003A7497"/>
    <w:rsid w:val="003A7530"/>
    <w:rsid w:val="003A77AB"/>
    <w:rsid w:val="003A78F9"/>
    <w:rsid w:val="003A7A06"/>
    <w:rsid w:val="003A7BD0"/>
    <w:rsid w:val="003A7BFD"/>
    <w:rsid w:val="003B0018"/>
    <w:rsid w:val="003B016E"/>
    <w:rsid w:val="003B01C1"/>
    <w:rsid w:val="003B0207"/>
    <w:rsid w:val="003B02F7"/>
    <w:rsid w:val="003B0657"/>
    <w:rsid w:val="003B0C1C"/>
    <w:rsid w:val="003B1026"/>
    <w:rsid w:val="003B1056"/>
    <w:rsid w:val="003B1189"/>
    <w:rsid w:val="003B1743"/>
    <w:rsid w:val="003B1A4D"/>
    <w:rsid w:val="003B1C0B"/>
    <w:rsid w:val="003B1D24"/>
    <w:rsid w:val="003B1D39"/>
    <w:rsid w:val="003B1D46"/>
    <w:rsid w:val="003B23B7"/>
    <w:rsid w:val="003B23E1"/>
    <w:rsid w:val="003B2527"/>
    <w:rsid w:val="003B28AE"/>
    <w:rsid w:val="003B32DF"/>
    <w:rsid w:val="003B34B0"/>
    <w:rsid w:val="003B380E"/>
    <w:rsid w:val="003B39C6"/>
    <w:rsid w:val="003B3B77"/>
    <w:rsid w:val="003B3D49"/>
    <w:rsid w:val="003B3F81"/>
    <w:rsid w:val="003B42FC"/>
    <w:rsid w:val="003B4631"/>
    <w:rsid w:val="003B482C"/>
    <w:rsid w:val="003B495B"/>
    <w:rsid w:val="003B4BA3"/>
    <w:rsid w:val="003B501C"/>
    <w:rsid w:val="003B522F"/>
    <w:rsid w:val="003B5293"/>
    <w:rsid w:val="003B5545"/>
    <w:rsid w:val="003B59F8"/>
    <w:rsid w:val="003B5A2F"/>
    <w:rsid w:val="003B5A7D"/>
    <w:rsid w:val="003B5E04"/>
    <w:rsid w:val="003B6046"/>
    <w:rsid w:val="003B629F"/>
    <w:rsid w:val="003B6B2C"/>
    <w:rsid w:val="003B6C5C"/>
    <w:rsid w:val="003B6D51"/>
    <w:rsid w:val="003B710A"/>
    <w:rsid w:val="003B741F"/>
    <w:rsid w:val="003B742F"/>
    <w:rsid w:val="003B78FB"/>
    <w:rsid w:val="003B7A1D"/>
    <w:rsid w:val="003B7A3D"/>
    <w:rsid w:val="003B7B02"/>
    <w:rsid w:val="003B7CD1"/>
    <w:rsid w:val="003B7EB2"/>
    <w:rsid w:val="003B7F43"/>
    <w:rsid w:val="003C00AF"/>
    <w:rsid w:val="003C0539"/>
    <w:rsid w:val="003C0BBA"/>
    <w:rsid w:val="003C0BF2"/>
    <w:rsid w:val="003C15CC"/>
    <w:rsid w:val="003C209B"/>
    <w:rsid w:val="003C2643"/>
    <w:rsid w:val="003C2856"/>
    <w:rsid w:val="003C2A25"/>
    <w:rsid w:val="003C2A4E"/>
    <w:rsid w:val="003C2FF0"/>
    <w:rsid w:val="003C30F2"/>
    <w:rsid w:val="003C31D0"/>
    <w:rsid w:val="003C3246"/>
    <w:rsid w:val="003C3253"/>
    <w:rsid w:val="003C32B2"/>
    <w:rsid w:val="003C3436"/>
    <w:rsid w:val="003C355D"/>
    <w:rsid w:val="003C36E7"/>
    <w:rsid w:val="003C37BD"/>
    <w:rsid w:val="003C3BBD"/>
    <w:rsid w:val="003C3F22"/>
    <w:rsid w:val="003C3F28"/>
    <w:rsid w:val="003C3FBB"/>
    <w:rsid w:val="003C418E"/>
    <w:rsid w:val="003C4421"/>
    <w:rsid w:val="003C4445"/>
    <w:rsid w:val="003C46F1"/>
    <w:rsid w:val="003C48D6"/>
    <w:rsid w:val="003C4974"/>
    <w:rsid w:val="003C4C9C"/>
    <w:rsid w:val="003C4E61"/>
    <w:rsid w:val="003C50E6"/>
    <w:rsid w:val="003C5140"/>
    <w:rsid w:val="003C51B4"/>
    <w:rsid w:val="003C51BD"/>
    <w:rsid w:val="003C5405"/>
    <w:rsid w:val="003C54F4"/>
    <w:rsid w:val="003C5CE9"/>
    <w:rsid w:val="003C6183"/>
    <w:rsid w:val="003C61B5"/>
    <w:rsid w:val="003C659B"/>
    <w:rsid w:val="003C660F"/>
    <w:rsid w:val="003C6917"/>
    <w:rsid w:val="003C6B1B"/>
    <w:rsid w:val="003C6D73"/>
    <w:rsid w:val="003C6EDC"/>
    <w:rsid w:val="003C6FAC"/>
    <w:rsid w:val="003C7248"/>
    <w:rsid w:val="003C736B"/>
    <w:rsid w:val="003C768C"/>
    <w:rsid w:val="003C768D"/>
    <w:rsid w:val="003C7741"/>
    <w:rsid w:val="003C798D"/>
    <w:rsid w:val="003C7A24"/>
    <w:rsid w:val="003C7C27"/>
    <w:rsid w:val="003C7CE6"/>
    <w:rsid w:val="003C7E56"/>
    <w:rsid w:val="003D00ED"/>
    <w:rsid w:val="003D0131"/>
    <w:rsid w:val="003D0309"/>
    <w:rsid w:val="003D08D7"/>
    <w:rsid w:val="003D09AE"/>
    <w:rsid w:val="003D0AB1"/>
    <w:rsid w:val="003D0C5A"/>
    <w:rsid w:val="003D0C80"/>
    <w:rsid w:val="003D0FAF"/>
    <w:rsid w:val="003D0FC0"/>
    <w:rsid w:val="003D0FEA"/>
    <w:rsid w:val="003D13A0"/>
    <w:rsid w:val="003D17EF"/>
    <w:rsid w:val="003D18D2"/>
    <w:rsid w:val="003D1A50"/>
    <w:rsid w:val="003D1DE5"/>
    <w:rsid w:val="003D1EDE"/>
    <w:rsid w:val="003D1F1B"/>
    <w:rsid w:val="003D1F50"/>
    <w:rsid w:val="003D2108"/>
    <w:rsid w:val="003D28B9"/>
    <w:rsid w:val="003D28C6"/>
    <w:rsid w:val="003D2D50"/>
    <w:rsid w:val="003D2EAA"/>
    <w:rsid w:val="003D2EE3"/>
    <w:rsid w:val="003D316E"/>
    <w:rsid w:val="003D32A8"/>
    <w:rsid w:val="003D3353"/>
    <w:rsid w:val="003D3428"/>
    <w:rsid w:val="003D3680"/>
    <w:rsid w:val="003D38F7"/>
    <w:rsid w:val="003D3A97"/>
    <w:rsid w:val="003D3B42"/>
    <w:rsid w:val="003D3C1A"/>
    <w:rsid w:val="003D3CD2"/>
    <w:rsid w:val="003D43D6"/>
    <w:rsid w:val="003D4AFE"/>
    <w:rsid w:val="003D4B6F"/>
    <w:rsid w:val="003D4C3D"/>
    <w:rsid w:val="003D4ECB"/>
    <w:rsid w:val="003D515C"/>
    <w:rsid w:val="003D523A"/>
    <w:rsid w:val="003D54BC"/>
    <w:rsid w:val="003D5612"/>
    <w:rsid w:val="003D5622"/>
    <w:rsid w:val="003D57A5"/>
    <w:rsid w:val="003D5B53"/>
    <w:rsid w:val="003D5DA4"/>
    <w:rsid w:val="003D5FD6"/>
    <w:rsid w:val="003D621B"/>
    <w:rsid w:val="003D6364"/>
    <w:rsid w:val="003D6484"/>
    <w:rsid w:val="003D6658"/>
    <w:rsid w:val="003D670A"/>
    <w:rsid w:val="003D6716"/>
    <w:rsid w:val="003D680F"/>
    <w:rsid w:val="003D6ADE"/>
    <w:rsid w:val="003D6D23"/>
    <w:rsid w:val="003D6D53"/>
    <w:rsid w:val="003D6DCA"/>
    <w:rsid w:val="003D7069"/>
    <w:rsid w:val="003D71E4"/>
    <w:rsid w:val="003D7377"/>
    <w:rsid w:val="003D7554"/>
    <w:rsid w:val="003D7630"/>
    <w:rsid w:val="003D7AB0"/>
    <w:rsid w:val="003D7B01"/>
    <w:rsid w:val="003D7EAA"/>
    <w:rsid w:val="003D7F7C"/>
    <w:rsid w:val="003D9CF7"/>
    <w:rsid w:val="003E007E"/>
    <w:rsid w:val="003E031A"/>
    <w:rsid w:val="003E045A"/>
    <w:rsid w:val="003E0945"/>
    <w:rsid w:val="003E0A23"/>
    <w:rsid w:val="003E0ABF"/>
    <w:rsid w:val="003E15E5"/>
    <w:rsid w:val="003E16A6"/>
    <w:rsid w:val="003E1783"/>
    <w:rsid w:val="003E17FF"/>
    <w:rsid w:val="003E1AE5"/>
    <w:rsid w:val="003E2085"/>
    <w:rsid w:val="003E2364"/>
    <w:rsid w:val="003E23A1"/>
    <w:rsid w:val="003E23CD"/>
    <w:rsid w:val="003E268E"/>
    <w:rsid w:val="003E2C58"/>
    <w:rsid w:val="003E2D05"/>
    <w:rsid w:val="003E2E78"/>
    <w:rsid w:val="003E2F15"/>
    <w:rsid w:val="003E3194"/>
    <w:rsid w:val="003E32BA"/>
    <w:rsid w:val="003E33AD"/>
    <w:rsid w:val="003E35E3"/>
    <w:rsid w:val="003E3674"/>
    <w:rsid w:val="003E3975"/>
    <w:rsid w:val="003E39DB"/>
    <w:rsid w:val="003E3B0D"/>
    <w:rsid w:val="003E40F4"/>
    <w:rsid w:val="003E42D1"/>
    <w:rsid w:val="003E4338"/>
    <w:rsid w:val="003E44DD"/>
    <w:rsid w:val="003E44E1"/>
    <w:rsid w:val="003E474F"/>
    <w:rsid w:val="003E4A8F"/>
    <w:rsid w:val="003E4F2D"/>
    <w:rsid w:val="003E51B7"/>
    <w:rsid w:val="003E5706"/>
    <w:rsid w:val="003E5909"/>
    <w:rsid w:val="003E59CF"/>
    <w:rsid w:val="003E5C9F"/>
    <w:rsid w:val="003E5EED"/>
    <w:rsid w:val="003E6185"/>
    <w:rsid w:val="003E61D2"/>
    <w:rsid w:val="003E643D"/>
    <w:rsid w:val="003E679A"/>
    <w:rsid w:val="003E6A35"/>
    <w:rsid w:val="003E6E3C"/>
    <w:rsid w:val="003E7167"/>
    <w:rsid w:val="003E718C"/>
    <w:rsid w:val="003E735A"/>
    <w:rsid w:val="003E751E"/>
    <w:rsid w:val="003E752D"/>
    <w:rsid w:val="003E768D"/>
    <w:rsid w:val="003E76E1"/>
    <w:rsid w:val="003E789C"/>
    <w:rsid w:val="003E7A92"/>
    <w:rsid w:val="003E7AFB"/>
    <w:rsid w:val="003E7B44"/>
    <w:rsid w:val="003F00CC"/>
    <w:rsid w:val="003F02BA"/>
    <w:rsid w:val="003F03A4"/>
    <w:rsid w:val="003F0585"/>
    <w:rsid w:val="003F0962"/>
    <w:rsid w:val="003F0A30"/>
    <w:rsid w:val="003F1017"/>
    <w:rsid w:val="003F10F2"/>
    <w:rsid w:val="003F13D3"/>
    <w:rsid w:val="003F1609"/>
    <w:rsid w:val="003F17C9"/>
    <w:rsid w:val="003F17DA"/>
    <w:rsid w:val="003F17F7"/>
    <w:rsid w:val="003F1A81"/>
    <w:rsid w:val="003F1EA3"/>
    <w:rsid w:val="003F1F48"/>
    <w:rsid w:val="003F1F84"/>
    <w:rsid w:val="003F25DC"/>
    <w:rsid w:val="003F316B"/>
    <w:rsid w:val="003F31DA"/>
    <w:rsid w:val="003F381D"/>
    <w:rsid w:val="003F3A25"/>
    <w:rsid w:val="003F3C31"/>
    <w:rsid w:val="003F3EA5"/>
    <w:rsid w:val="003F3F5D"/>
    <w:rsid w:val="003F40C4"/>
    <w:rsid w:val="003F414A"/>
    <w:rsid w:val="003F4424"/>
    <w:rsid w:val="003F4861"/>
    <w:rsid w:val="003F4915"/>
    <w:rsid w:val="003F49E1"/>
    <w:rsid w:val="003F51D8"/>
    <w:rsid w:val="003F534D"/>
    <w:rsid w:val="003F5582"/>
    <w:rsid w:val="003F568A"/>
    <w:rsid w:val="003F5A4F"/>
    <w:rsid w:val="003F5AF6"/>
    <w:rsid w:val="003F625E"/>
    <w:rsid w:val="003F63B4"/>
    <w:rsid w:val="003F67C4"/>
    <w:rsid w:val="003F6882"/>
    <w:rsid w:val="003F6A1A"/>
    <w:rsid w:val="003F6A96"/>
    <w:rsid w:val="003F6BA0"/>
    <w:rsid w:val="003F6C3B"/>
    <w:rsid w:val="003F71F2"/>
    <w:rsid w:val="003F7398"/>
    <w:rsid w:val="003F74F1"/>
    <w:rsid w:val="003F784E"/>
    <w:rsid w:val="003F78C9"/>
    <w:rsid w:val="003F79BE"/>
    <w:rsid w:val="003F79CE"/>
    <w:rsid w:val="003F7A46"/>
    <w:rsid w:val="00400094"/>
    <w:rsid w:val="00400360"/>
    <w:rsid w:val="00400462"/>
    <w:rsid w:val="004006B5"/>
    <w:rsid w:val="0040079A"/>
    <w:rsid w:val="00400827"/>
    <w:rsid w:val="00400854"/>
    <w:rsid w:val="00400B5F"/>
    <w:rsid w:val="00400C63"/>
    <w:rsid w:val="00400C97"/>
    <w:rsid w:val="00400CCD"/>
    <w:rsid w:val="00400D16"/>
    <w:rsid w:val="00401038"/>
    <w:rsid w:val="004010C4"/>
    <w:rsid w:val="0040121E"/>
    <w:rsid w:val="00401436"/>
    <w:rsid w:val="0040156F"/>
    <w:rsid w:val="00401698"/>
    <w:rsid w:val="00401977"/>
    <w:rsid w:val="0040197C"/>
    <w:rsid w:val="004019B0"/>
    <w:rsid w:val="00401A87"/>
    <w:rsid w:val="0040241C"/>
    <w:rsid w:val="0040241E"/>
    <w:rsid w:val="004024DC"/>
    <w:rsid w:val="0040268E"/>
    <w:rsid w:val="00402B5F"/>
    <w:rsid w:val="00402BC0"/>
    <w:rsid w:val="00402C7C"/>
    <w:rsid w:val="00402E45"/>
    <w:rsid w:val="00402FD5"/>
    <w:rsid w:val="004031BA"/>
    <w:rsid w:val="0040343B"/>
    <w:rsid w:val="004035C5"/>
    <w:rsid w:val="00403759"/>
    <w:rsid w:val="0040376B"/>
    <w:rsid w:val="00403B83"/>
    <w:rsid w:val="00403D22"/>
    <w:rsid w:val="00403E9E"/>
    <w:rsid w:val="00404058"/>
    <w:rsid w:val="0040456E"/>
    <w:rsid w:val="004046C1"/>
    <w:rsid w:val="004049DC"/>
    <w:rsid w:val="00404A4A"/>
    <w:rsid w:val="00404F4B"/>
    <w:rsid w:val="004051AD"/>
    <w:rsid w:val="0040535A"/>
    <w:rsid w:val="0040544F"/>
    <w:rsid w:val="00405931"/>
    <w:rsid w:val="004059BA"/>
    <w:rsid w:val="00405A10"/>
    <w:rsid w:val="00405AF0"/>
    <w:rsid w:val="00405D9B"/>
    <w:rsid w:val="00405F53"/>
    <w:rsid w:val="004061DA"/>
    <w:rsid w:val="004061E7"/>
    <w:rsid w:val="004061FA"/>
    <w:rsid w:val="004062D5"/>
    <w:rsid w:val="00406507"/>
    <w:rsid w:val="0040668D"/>
    <w:rsid w:val="00406B59"/>
    <w:rsid w:val="00406F1C"/>
    <w:rsid w:val="00407060"/>
    <w:rsid w:val="004070C9"/>
    <w:rsid w:val="004073D1"/>
    <w:rsid w:val="00407472"/>
    <w:rsid w:val="004075F5"/>
    <w:rsid w:val="00407648"/>
    <w:rsid w:val="0040780C"/>
    <w:rsid w:val="00407A00"/>
    <w:rsid w:val="00407BAB"/>
    <w:rsid w:val="00407BD3"/>
    <w:rsid w:val="00407CBB"/>
    <w:rsid w:val="00407CBC"/>
    <w:rsid w:val="00407CCD"/>
    <w:rsid w:val="00407EE6"/>
    <w:rsid w:val="0041031F"/>
    <w:rsid w:val="00410679"/>
    <w:rsid w:val="004106A9"/>
    <w:rsid w:val="0041094D"/>
    <w:rsid w:val="00410BFC"/>
    <w:rsid w:val="00410C0D"/>
    <w:rsid w:val="00410CAD"/>
    <w:rsid w:val="00410D1F"/>
    <w:rsid w:val="0041100C"/>
    <w:rsid w:val="004110EC"/>
    <w:rsid w:val="00411101"/>
    <w:rsid w:val="004115DD"/>
    <w:rsid w:val="00411614"/>
    <w:rsid w:val="00411DB0"/>
    <w:rsid w:val="00411FF4"/>
    <w:rsid w:val="004120CB"/>
    <w:rsid w:val="00412151"/>
    <w:rsid w:val="0041241C"/>
    <w:rsid w:val="00412693"/>
    <w:rsid w:val="00412793"/>
    <w:rsid w:val="0041282F"/>
    <w:rsid w:val="00413038"/>
    <w:rsid w:val="004131C8"/>
    <w:rsid w:val="0041331B"/>
    <w:rsid w:val="004133FD"/>
    <w:rsid w:val="004138E5"/>
    <w:rsid w:val="00413908"/>
    <w:rsid w:val="00413C1D"/>
    <w:rsid w:val="004141C9"/>
    <w:rsid w:val="00414429"/>
    <w:rsid w:val="004145AC"/>
    <w:rsid w:val="00414BD5"/>
    <w:rsid w:val="00414DDD"/>
    <w:rsid w:val="00414FD4"/>
    <w:rsid w:val="004151BF"/>
    <w:rsid w:val="0041570E"/>
    <w:rsid w:val="00415722"/>
    <w:rsid w:val="00415803"/>
    <w:rsid w:val="0041584F"/>
    <w:rsid w:val="00415CDC"/>
    <w:rsid w:val="00415FAE"/>
    <w:rsid w:val="004162DD"/>
    <w:rsid w:val="00416377"/>
    <w:rsid w:val="00416378"/>
    <w:rsid w:val="00416460"/>
    <w:rsid w:val="00416493"/>
    <w:rsid w:val="004165A1"/>
    <w:rsid w:val="004165F7"/>
    <w:rsid w:val="00416669"/>
    <w:rsid w:val="00416687"/>
    <w:rsid w:val="0041668E"/>
    <w:rsid w:val="004166A8"/>
    <w:rsid w:val="0041678D"/>
    <w:rsid w:val="00416790"/>
    <w:rsid w:val="00416D52"/>
    <w:rsid w:val="0041700D"/>
    <w:rsid w:val="00417024"/>
    <w:rsid w:val="0041734D"/>
    <w:rsid w:val="00417929"/>
    <w:rsid w:val="00417DC2"/>
    <w:rsid w:val="0042017B"/>
    <w:rsid w:val="004203AB"/>
    <w:rsid w:val="004203D1"/>
    <w:rsid w:val="00420680"/>
    <w:rsid w:val="004209C5"/>
    <w:rsid w:val="00420A9A"/>
    <w:rsid w:val="00420D5D"/>
    <w:rsid w:val="00420D6A"/>
    <w:rsid w:val="00420DE4"/>
    <w:rsid w:val="00420DEF"/>
    <w:rsid w:val="00420EC7"/>
    <w:rsid w:val="0042104C"/>
    <w:rsid w:val="00421201"/>
    <w:rsid w:val="00421292"/>
    <w:rsid w:val="00421353"/>
    <w:rsid w:val="004213CE"/>
    <w:rsid w:val="004214A9"/>
    <w:rsid w:val="00421537"/>
    <w:rsid w:val="00421579"/>
    <w:rsid w:val="004216DB"/>
    <w:rsid w:val="004217C1"/>
    <w:rsid w:val="00421899"/>
    <w:rsid w:val="004218C7"/>
    <w:rsid w:val="00421BAC"/>
    <w:rsid w:val="00421C42"/>
    <w:rsid w:val="0042233F"/>
    <w:rsid w:val="004225CE"/>
    <w:rsid w:val="00422694"/>
    <w:rsid w:val="00422764"/>
    <w:rsid w:val="00422C2A"/>
    <w:rsid w:val="00423073"/>
    <w:rsid w:val="00423178"/>
    <w:rsid w:val="004234A9"/>
    <w:rsid w:val="004234D1"/>
    <w:rsid w:val="0042374B"/>
    <w:rsid w:val="004239B2"/>
    <w:rsid w:val="00423EC2"/>
    <w:rsid w:val="004240C4"/>
    <w:rsid w:val="0042416C"/>
    <w:rsid w:val="00424748"/>
    <w:rsid w:val="004247B6"/>
    <w:rsid w:val="00424A0C"/>
    <w:rsid w:val="00424A49"/>
    <w:rsid w:val="00425046"/>
    <w:rsid w:val="00425153"/>
    <w:rsid w:val="00425254"/>
    <w:rsid w:val="004256E1"/>
    <w:rsid w:val="00425901"/>
    <w:rsid w:val="00425A65"/>
    <w:rsid w:val="00426146"/>
    <w:rsid w:val="00426184"/>
    <w:rsid w:val="00426574"/>
    <w:rsid w:val="00426576"/>
    <w:rsid w:val="004269A3"/>
    <w:rsid w:val="00426A09"/>
    <w:rsid w:val="00426FD1"/>
    <w:rsid w:val="004270E3"/>
    <w:rsid w:val="004273A3"/>
    <w:rsid w:val="0042785C"/>
    <w:rsid w:val="00427C06"/>
    <w:rsid w:val="00427E1F"/>
    <w:rsid w:val="00427E2C"/>
    <w:rsid w:val="00430638"/>
    <w:rsid w:val="004307B9"/>
    <w:rsid w:val="00430B22"/>
    <w:rsid w:val="00430D5C"/>
    <w:rsid w:val="00430FC2"/>
    <w:rsid w:val="00431451"/>
    <w:rsid w:val="004314BA"/>
    <w:rsid w:val="00431779"/>
    <w:rsid w:val="00431B59"/>
    <w:rsid w:val="00431B73"/>
    <w:rsid w:val="00431BE7"/>
    <w:rsid w:val="00431C5D"/>
    <w:rsid w:val="00431CA1"/>
    <w:rsid w:val="00431F5A"/>
    <w:rsid w:val="00432119"/>
    <w:rsid w:val="004325BB"/>
    <w:rsid w:val="004329D2"/>
    <w:rsid w:val="00432CF6"/>
    <w:rsid w:val="004332A8"/>
    <w:rsid w:val="00433470"/>
    <w:rsid w:val="0043357E"/>
    <w:rsid w:val="00433626"/>
    <w:rsid w:val="00433990"/>
    <w:rsid w:val="00433B14"/>
    <w:rsid w:val="00433DDF"/>
    <w:rsid w:val="00434083"/>
    <w:rsid w:val="004341BA"/>
    <w:rsid w:val="00434379"/>
    <w:rsid w:val="00434416"/>
    <w:rsid w:val="00434465"/>
    <w:rsid w:val="004345EC"/>
    <w:rsid w:val="00434753"/>
    <w:rsid w:val="00434A5E"/>
    <w:rsid w:val="00434BC0"/>
    <w:rsid w:val="00434C62"/>
    <w:rsid w:val="0043523D"/>
    <w:rsid w:val="0043569C"/>
    <w:rsid w:val="00436083"/>
    <w:rsid w:val="00436092"/>
    <w:rsid w:val="0043614C"/>
    <w:rsid w:val="0043621A"/>
    <w:rsid w:val="00436354"/>
    <w:rsid w:val="00436524"/>
    <w:rsid w:val="00436530"/>
    <w:rsid w:val="004365B5"/>
    <w:rsid w:val="004368BA"/>
    <w:rsid w:val="004368C5"/>
    <w:rsid w:val="004368CB"/>
    <w:rsid w:val="00436E27"/>
    <w:rsid w:val="004372F2"/>
    <w:rsid w:val="00437419"/>
    <w:rsid w:val="00437524"/>
    <w:rsid w:val="0043758F"/>
    <w:rsid w:val="004375BE"/>
    <w:rsid w:val="0043772E"/>
    <w:rsid w:val="00437C66"/>
    <w:rsid w:val="00437E8E"/>
    <w:rsid w:val="00440487"/>
    <w:rsid w:val="004406BE"/>
    <w:rsid w:val="00440B4C"/>
    <w:rsid w:val="00440B4E"/>
    <w:rsid w:val="00440E38"/>
    <w:rsid w:val="00440E58"/>
    <w:rsid w:val="004410DA"/>
    <w:rsid w:val="004410EA"/>
    <w:rsid w:val="00441403"/>
    <w:rsid w:val="004416E8"/>
    <w:rsid w:val="0044181D"/>
    <w:rsid w:val="0044184D"/>
    <w:rsid w:val="0044192A"/>
    <w:rsid w:val="004419DC"/>
    <w:rsid w:val="00441DEB"/>
    <w:rsid w:val="00441E05"/>
    <w:rsid w:val="004421C6"/>
    <w:rsid w:val="004424F8"/>
    <w:rsid w:val="004426B5"/>
    <w:rsid w:val="00442706"/>
    <w:rsid w:val="00442828"/>
    <w:rsid w:val="00442CE2"/>
    <w:rsid w:val="00442D4E"/>
    <w:rsid w:val="00442EEB"/>
    <w:rsid w:val="004430C5"/>
    <w:rsid w:val="00443B21"/>
    <w:rsid w:val="00443E6F"/>
    <w:rsid w:val="004440D3"/>
    <w:rsid w:val="00444182"/>
    <w:rsid w:val="00444457"/>
    <w:rsid w:val="00444533"/>
    <w:rsid w:val="004446B9"/>
    <w:rsid w:val="0044474D"/>
    <w:rsid w:val="00444A55"/>
    <w:rsid w:val="00444ABB"/>
    <w:rsid w:val="00444AD0"/>
    <w:rsid w:val="00444B2F"/>
    <w:rsid w:val="00444BBC"/>
    <w:rsid w:val="00444C50"/>
    <w:rsid w:val="00444CA0"/>
    <w:rsid w:val="00444CA3"/>
    <w:rsid w:val="0044526A"/>
    <w:rsid w:val="00445617"/>
    <w:rsid w:val="0044562E"/>
    <w:rsid w:val="004456ED"/>
    <w:rsid w:val="00445741"/>
    <w:rsid w:val="004459DC"/>
    <w:rsid w:val="00445BF4"/>
    <w:rsid w:val="00445DE1"/>
    <w:rsid w:val="00445E6C"/>
    <w:rsid w:val="0044616A"/>
    <w:rsid w:val="004463CC"/>
    <w:rsid w:val="004466CA"/>
    <w:rsid w:val="00446717"/>
    <w:rsid w:val="00446A39"/>
    <w:rsid w:val="00446B7C"/>
    <w:rsid w:val="00446F61"/>
    <w:rsid w:val="00447154"/>
    <w:rsid w:val="0044715B"/>
    <w:rsid w:val="004477BB"/>
    <w:rsid w:val="00447C00"/>
    <w:rsid w:val="00447E28"/>
    <w:rsid w:val="00447E79"/>
    <w:rsid w:val="00447FBF"/>
    <w:rsid w:val="0045007D"/>
    <w:rsid w:val="004500BA"/>
    <w:rsid w:val="004502C8"/>
    <w:rsid w:val="00450748"/>
    <w:rsid w:val="00450809"/>
    <w:rsid w:val="0045090E"/>
    <w:rsid w:val="00450FAB"/>
    <w:rsid w:val="004515E1"/>
    <w:rsid w:val="0045170B"/>
    <w:rsid w:val="00451BCE"/>
    <w:rsid w:val="00451E31"/>
    <w:rsid w:val="004520E8"/>
    <w:rsid w:val="00452382"/>
    <w:rsid w:val="004523B6"/>
    <w:rsid w:val="004525A4"/>
    <w:rsid w:val="00452650"/>
    <w:rsid w:val="0045285C"/>
    <w:rsid w:val="00452C9F"/>
    <w:rsid w:val="00452D25"/>
    <w:rsid w:val="00452D52"/>
    <w:rsid w:val="0045326D"/>
    <w:rsid w:val="00453319"/>
    <w:rsid w:val="00453396"/>
    <w:rsid w:val="0045344F"/>
    <w:rsid w:val="0045349A"/>
    <w:rsid w:val="004535C6"/>
    <w:rsid w:val="00453A98"/>
    <w:rsid w:val="0045401B"/>
    <w:rsid w:val="004540D2"/>
    <w:rsid w:val="004544BD"/>
    <w:rsid w:val="0045480B"/>
    <w:rsid w:val="004548EA"/>
    <w:rsid w:val="00454D17"/>
    <w:rsid w:val="00454F09"/>
    <w:rsid w:val="00455123"/>
    <w:rsid w:val="004552FE"/>
    <w:rsid w:val="004555D4"/>
    <w:rsid w:val="004558CB"/>
    <w:rsid w:val="00455951"/>
    <w:rsid w:val="00455AC9"/>
    <w:rsid w:val="00455AFD"/>
    <w:rsid w:val="00455ED9"/>
    <w:rsid w:val="00455FB7"/>
    <w:rsid w:val="004561AB"/>
    <w:rsid w:val="0045657A"/>
    <w:rsid w:val="00456631"/>
    <w:rsid w:val="004569D1"/>
    <w:rsid w:val="00456F8C"/>
    <w:rsid w:val="004570F0"/>
    <w:rsid w:val="0045712D"/>
    <w:rsid w:val="00457454"/>
    <w:rsid w:val="004574E3"/>
    <w:rsid w:val="004578DD"/>
    <w:rsid w:val="00457BCF"/>
    <w:rsid w:val="00457D01"/>
    <w:rsid w:val="00457EAE"/>
    <w:rsid w:val="004604F1"/>
    <w:rsid w:val="00460A95"/>
    <w:rsid w:val="00460C07"/>
    <w:rsid w:val="00461329"/>
    <w:rsid w:val="004617E4"/>
    <w:rsid w:val="00461883"/>
    <w:rsid w:val="004619A9"/>
    <w:rsid w:val="00462104"/>
    <w:rsid w:val="004624DE"/>
    <w:rsid w:val="004629ED"/>
    <w:rsid w:val="00462AFE"/>
    <w:rsid w:val="00462F08"/>
    <w:rsid w:val="00462F17"/>
    <w:rsid w:val="0046307F"/>
    <w:rsid w:val="0046337E"/>
    <w:rsid w:val="0046358A"/>
    <w:rsid w:val="00463636"/>
    <w:rsid w:val="00463B31"/>
    <w:rsid w:val="00463DEA"/>
    <w:rsid w:val="00463E4C"/>
    <w:rsid w:val="00463E7B"/>
    <w:rsid w:val="00463FE4"/>
    <w:rsid w:val="00464060"/>
    <w:rsid w:val="004641AF"/>
    <w:rsid w:val="0046421B"/>
    <w:rsid w:val="0046462C"/>
    <w:rsid w:val="004648EB"/>
    <w:rsid w:val="00464967"/>
    <w:rsid w:val="004649B8"/>
    <w:rsid w:val="00464AE5"/>
    <w:rsid w:val="00464AF8"/>
    <w:rsid w:val="004653C6"/>
    <w:rsid w:val="004654F7"/>
    <w:rsid w:val="00465525"/>
    <w:rsid w:val="00465739"/>
    <w:rsid w:val="0046578E"/>
    <w:rsid w:val="00465995"/>
    <w:rsid w:val="00465B57"/>
    <w:rsid w:val="00465CD5"/>
    <w:rsid w:val="00465F9C"/>
    <w:rsid w:val="004665C0"/>
    <w:rsid w:val="0046676F"/>
    <w:rsid w:val="00466819"/>
    <w:rsid w:val="00466832"/>
    <w:rsid w:val="00466B13"/>
    <w:rsid w:val="00466E5E"/>
    <w:rsid w:val="00466F4E"/>
    <w:rsid w:val="00466F54"/>
    <w:rsid w:val="004670A5"/>
    <w:rsid w:val="004671C7"/>
    <w:rsid w:val="00467381"/>
    <w:rsid w:val="0046764C"/>
    <w:rsid w:val="00467697"/>
    <w:rsid w:val="00467963"/>
    <w:rsid w:val="0046796A"/>
    <w:rsid w:val="00467A9D"/>
    <w:rsid w:val="00467EED"/>
    <w:rsid w:val="0047010C"/>
    <w:rsid w:val="0047021D"/>
    <w:rsid w:val="00470280"/>
    <w:rsid w:val="0047042B"/>
    <w:rsid w:val="004705D2"/>
    <w:rsid w:val="00470A22"/>
    <w:rsid w:val="00470ABF"/>
    <w:rsid w:val="00470C26"/>
    <w:rsid w:val="00470D6A"/>
    <w:rsid w:val="00470E57"/>
    <w:rsid w:val="00471105"/>
    <w:rsid w:val="0047143D"/>
    <w:rsid w:val="0047144D"/>
    <w:rsid w:val="00471488"/>
    <w:rsid w:val="0047162B"/>
    <w:rsid w:val="004717F7"/>
    <w:rsid w:val="004718C7"/>
    <w:rsid w:val="004718E0"/>
    <w:rsid w:val="00471DFE"/>
    <w:rsid w:val="0047219F"/>
    <w:rsid w:val="00472219"/>
    <w:rsid w:val="0047288D"/>
    <w:rsid w:val="0047294C"/>
    <w:rsid w:val="004729B7"/>
    <w:rsid w:val="00472B10"/>
    <w:rsid w:val="00472BF0"/>
    <w:rsid w:val="00472C8D"/>
    <w:rsid w:val="00472EFB"/>
    <w:rsid w:val="00473147"/>
    <w:rsid w:val="004732A5"/>
    <w:rsid w:val="004735E4"/>
    <w:rsid w:val="00473666"/>
    <w:rsid w:val="00473789"/>
    <w:rsid w:val="00473A19"/>
    <w:rsid w:val="00473EB1"/>
    <w:rsid w:val="00473FBA"/>
    <w:rsid w:val="004740A3"/>
    <w:rsid w:val="0047499A"/>
    <w:rsid w:val="004749E1"/>
    <w:rsid w:val="004749F4"/>
    <w:rsid w:val="00474B2F"/>
    <w:rsid w:val="00474C1E"/>
    <w:rsid w:val="00474C80"/>
    <w:rsid w:val="00474FA1"/>
    <w:rsid w:val="004750C4"/>
    <w:rsid w:val="0047583E"/>
    <w:rsid w:val="00475AD3"/>
    <w:rsid w:val="00475CE6"/>
    <w:rsid w:val="00475E08"/>
    <w:rsid w:val="00475EB3"/>
    <w:rsid w:val="004761F1"/>
    <w:rsid w:val="0047642E"/>
    <w:rsid w:val="0047644F"/>
    <w:rsid w:val="004764FD"/>
    <w:rsid w:val="00476509"/>
    <w:rsid w:val="00476548"/>
    <w:rsid w:val="00476A83"/>
    <w:rsid w:val="00476D6F"/>
    <w:rsid w:val="00476E8C"/>
    <w:rsid w:val="00477070"/>
    <w:rsid w:val="00477168"/>
    <w:rsid w:val="00477645"/>
    <w:rsid w:val="00477915"/>
    <w:rsid w:val="0047798D"/>
    <w:rsid w:val="00477B37"/>
    <w:rsid w:val="00477C3D"/>
    <w:rsid w:val="00480134"/>
    <w:rsid w:val="004803F6"/>
    <w:rsid w:val="00480540"/>
    <w:rsid w:val="0048054A"/>
    <w:rsid w:val="00480594"/>
    <w:rsid w:val="00480707"/>
    <w:rsid w:val="004808E0"/>
    <w:rsid w:val="00480A2A"/>
    <w:rsid w:val="00480A9E"/>
    <w:rsid w:val="00480D48"/>
    <w:rsid w:val="00480E32"/>
    <w:rsid w:val="0048143D"/>
    <w:rsid w:val="00481660"/>
    <w:rsid w:val="00481757"/>
    <w:rsid w:val="00481764"/>
    <w:rsid w:val="004817A8"/>
    <w:rsid w:val="00481B6C"/>
    <w:rsid w:val="00481E4A"/>
    <w:rsid w:val="00482392"/>
    <w:rsid w:val="00482422"/>
    <w:rsid w:val="00482622"/>
    <w:rsid w:val="00482625"/>
    <w:rsid w:val="00482946"/>
    <w:rsid w:val="00482C80"/>
    <w:rsid w:val="00483045"/>
    <w:rsid w:val="00483153"/>
    <w:rsid w:val="0048317E"/>
    <w:rsid w:val="00483553"/>
    <w:rsid w:val="0048355E"/>
    <w:rsid w:val="00483A0B"/>
    <w:rsid w:val="00483BF0"/>
    <w:rsid w:val="00483D85"/>
    <w:rsid w:val="00483DD1"/>
    <w:rsid w:val="00483F4C"/>
    <w:rsid w:val="00483F5B"/>
    <w:rsid w:val="0048459D"/>
    <w:rsid w:val="00484789"/>
    <w:rsid w:val="0048482E"/>
    <w:rsid w:val="004849A6"/>
    <w:rsid w:val="00484AE2"/>
    <w:rsid w:val="00484B0E"/>
    <w:rsid w:val="00484E15"/>
    <w:rsid w:val="00484FAC"/>
    <w:rsid w:val="0048537C"/>
    <w:rsid w:val="004859D0"/>
    <w:rsid w:val="004859E0"/>
    <w:rsid w:val="00485B81"/>
    <w:rsid w:val="004860E5"/>
    <w:rsid w:val="00486538"/>
    <w:rsid w:val="00486647"/>
    <w:rsid w:val="00486687"/>
    <w:rsid w:val="0048671A"/>
    <w:rsid w:val="00486882"/>
    <w:rsid w:val="00486AFF"/>
    <w:rsid w:val="00486B1D"/>
    <w:rsid w:val="00486BEC"/>
    <w:rsid w:val="00486CB8"/>
    <w:rsid w:val="00486DB5"/>
    <w:rsid w:val="00486DC5"/>
    <w:rsid w:val="00486F6C"/>
    <w:rsid w:val="004871FE"/>
    <w:rsid w:val="004873A5"/>
    <w:rsid w:val="004873F9"/>
    <w:rsid w:val="00487428"/>
    <w:rsid w:val="0048778F"/>
    <w:rsid w:val="004878CC"/>
    <w:rsid w:val="00487DC1"/>
    <w:rsid w:val="00487FC0"/>
    <w:rsid w:val="0049011D"/>
    <w:rsid w:val="00490298"/>
    <w:rsid w:val="00490478"/>
    <w:rsid w:val="0049055E"/>
    <w:rsid w:val="004905EE"/>
    <w:rsid w:val="004906DC"/>
    <w:rsid w:val="00490B9F"/>
    <w:rsid w:val="00490EE2"/>
    <w:rsid w:val="00490F85"/>
    <w:rsid w:val="0049100C"/>
    <w:rsid w:val="0049107A"/>
    <w:rsid w:val="0049159C"/>
    <w:rsid w:val="0049212C"/>
    <w:rsid w:val="004923D3"/>
    <w:rsid w:val="0049241C"/>
    <w:rsid w:val="0049243B"/>
    <w:rsid w:val="00492A38"/>
    <w:rsid w:val="00492C19"/>
    <w:rsid w:val="00492C1D"/>
    <w:rsid w:val="00492C54"/>
    <w:rsid w:val="00492E27"/>
    <w:rsid w:val="00493486"/>
    <w:rsid w:val="00493623"/>
    <w:rsid w:val="0049375E"/>
    <w:rsid w:val="00493CD1"/>
    <w:rsid w:val="00493E7E"/>
    <w:rsid w:val="004940F9"/>
    <w:rsid w:val="0049410E"/>
    <w:rsid w:val="0049428A"/>
    <w:rsid w:val="0049492A"/>
    <w:rsid w:val="00494A0D"/>
    <w:rsid w:val="004950B8"/>
    <w:rsid w:val="00495109"/>
    <w:rsid w:val="00495581"/>
    <w:rsid w:val="00495B94"/>
    <w:rsid w:val="00495CE9"/>
    <w:rsid w:val="00495E0F"/>
    <w:rsid w:val="004961F9"/>
    <w:rsid w:val="004963D6"/>
    <w:rsid w:val="004963F5"/>
    <w:rsid w:val="004964C2"/>
    <w:rsid w:val="004966A8"/>
    <w:rsid w:val="00496BA3"/>
    <w:rsid w:val="00496CBC"/>
    <w:rsid w:val="00496CF5"/>
    <w:rsid w:val="00496D02"/>
    <w:rsid w:val="00496F7D"/>
    <w:rsid w:val="0049711F"/>
    <w:rsid w:val="00497221"/>
    <w:rsid w:val="00497345"/>
    <w:rsid w:val="00497502"/>
    <w:rsid w:val="00497542"/>
    <w:rsid w:val="004977B4"/>
    <w:rsid w:val="00497D01"/>
    <w:rsid w:val="00497E30"/>
    <w:rsid w:val="00497FF7"/>
    <w:rsid w:val="004A03FC"/>
    <w:rsid w:val="004A0765"/>
    <w:rsid w:val="004A077B"/>
    <w:rsid w:val="004A0BD9"/>
    <w:rsid w:val="004A0FAE"/>
    <w:rsid w:val="004A1241"/>
    <w:rsid w:val="004A12D3"/>
    <w:rsid w:val="004A14C5"/>
    <w:rsid w:val="004A16B8"/>
    <w:rsid w:val="004A1B28"/>
    <w:rsid w:val="004A1BFF"/>
    <w:rsid w:val="004A1C1D"/>
    <w:rsid w:val="004A1F17"/>
    <w:rsid w:val="004A2073"/>
    <w:rsid w:val="004A2127"/>
    <w:rsid w:val="004A21EC"/>
    <w:rsid w:val="004A2224"/>
    <w:rsid w:val="004A2387"/>
    <w:rsid w:val="004A23AC"/>
    <w:rsid w:val="004A241C"/>
    <w:rsid w:val="004A2454"/>
    <w:rsid w:val="004A2588"/>
    <w:rsid w:val="004A2761"/>
    <w:rsid w:val="004A29A6"/>
    <w:rsid w:val="004A2A33"/>
    <w:rsid w:val="004A2E6F"/>
    <w:rsid w:val="004A2F08"/>
    <w:rsid w:val="004A3330"/>
    <w:rsid w:val="004A3352"/>
    <w:rsid w:val="004A3415"/>
    <w:rsid w:val="004A35BD"/>
    <w:rsid w:val="004A35BE"/>
    <w:rsid w:val="004A3789"/>
    <w:rsid w:val="004A383E"/>
    <w:rsid w:val="004A3886"/>
    <w:rsid w:val="004A3B07"/>
    <w:rsid w:val="004A3C64"/>
    <w:rsid w:val="004A3EC3"/>
    <w:rsid w:val="004A3F26"/>
    <w:rsid w:val="004A4031"/>
    <w:rsid w:val="004A44AA"/>
    <w:rsid w:val="004A476C"/>
    <w:rsid w:val="004A4816"/>
    <w:rsid w:val="004A499B"/>
    <w:rsid w:val="004A4B55"/>
    <w:rsid w:val="004A4D71"/>
    <w:rsid w:val="004A4F9E"/>
    <w:rsid w:val="004A508B"/>
    <w:rsid w:val="004A523A"/>
    <w:rsid w:val="004A539D"/>
    <w:rsid w:val="004A5555"/>
    <w:rsid w:val="004A57CC"/>
    <w:rsid w:val="004A621C"/>
    <w:rsid w:val="004A62C0"/>
    <w:rsid w:val="004A632B"/>
    <w:rsid w:val="004A64B2"/>
    <w:rsid w:val="004A64EC"/>
    <w:rsid w:val="004A669B"/>
    <w:rsid w:val="004A67AF"/>
    <w:rsid w:val="004A6903"/>
    <w:rsid w:val="004A6BAB"/>
    <w:rsid w:val="004A6C03"/>
    <w:rsid w:val="004A6E87"/>
    <w:rsid w:val="004A6FDA"/>
    <w:rsid w:val="004A73F1"/>
    <w:rsid w:val="004A7518"/>
    <w:rsid w:val="004A75AA"/>
    <w:rsid w:val="004A77E7"/>
    <w:rsid w:val="004A7828"/>
    <w:rsid w:val="004A7829"/>
    <w:rsid w:val="004A7901"/>
    <w:rsid w:val="004A795E"/>
    <w:rsid w:val="004A7BD7"/>
    <w:rsid w:val="004A7BE9"/>
    <w:rsid w:val="004A7EA6"/>
    <w:rsid w:val="004A7EAF"/>
    <w:rsid w:val="004B02CA"/>
    <w:rsid w:val="004B04E7"/>
    <w:rsid w:val="004B085E"/>
    <w:rsid w:val="004B0860"/>
    <w:rsid w:val="004B0CC6"/>
    <w:rsid w:val="004B0F47"/>
    <w:rsid w:val="004B1120"/>
    <w:rsid w:val="004B1316"/>
    <w:rsid w:val="004B1937"/>
    <w:rsid w:val="004B19CC"/>
    <w:rsid w:val="004B1AB2"/>
    <w:rsid w:val="004B1D4C"/>
    <w:rsid w:val="004B1F99"/>
    <w:rsid w:val="004B2228"/>
    <w:rsid w:val="004B23C1"/>
    <w:rsid w:val="004B242A"/>
    <w:rsid w:val="004B26E2"/>
    <w:rsid w:val="004B2975"/>
    <w:rsid w:val="004B297E"/>
    <w:rsid w:val="004B2B62"/>
    <w:rsid w:val="004B2E99"/>
    <w:rsid w:val="004B2EFC"/>
    <w:rsid w:val="004B3136"/>
    <w:rsid w:val="004B3199"/>
    <w:rsid w:val="004B3208"/>
    <w:rsid w:val="004B362A"/>
    <w:rsid w:val="004B39FD"/>
    <w:rsid w:val="004B3C75"/>
    <w:rsid w:val="004B3E91"/>
    <w:rsid w:val="004B3EC9"/>
    <w:rsid w:val="004B40D7"/>
    <w:rsid w:val="004B436F"/>
    <w:rsid w:val="004B4450"/>
    <w:rsid w:val="004B458E"/>
    <w:rsid w:val="004B479E"/>
    <w:rsid w:val="004B4C8E"/>
    <w:rsid w:val="004B4CD8"/>
    <w:rsid w:val="004B4E12"/>
    <w:rsid w:val="004B5130"/>
    <w:rsid w:val="004B5422"/>
    <w:rsid w:val="004B56DC"/>
    <w:rsid w:val="004B5936"/>
    <w:rsid w:val="004B5D80"/>
    <w:rsid w:val="004B5DD4"/>
    <w:rsid w:val="004B5ED7"/>
    <w:rsid w:val="004B5F35"/>
    <w:rsid w:val="004B60FA"/>
    <w:rsid w:val="004B61B4"/>
    <w:rsid w:val="004B6C62"/>
    <w:rsid w:val="004B6D2D"/>
    <w:rsid w:val="004B6E05"/>
    <w:rsid w:val="004B7075"/>
    <w:rsid w:val="004B72E7"/>
    <w:rsid w:val="004B73DE"/>
    <w:rsid w:val="004B74DA"/>
    <w:rsid w:val="004B774C"/>
    <w:rsid w:val="004B777B"/>
    <w:rsid w:val="004B799B"/>
    <w:rsid w:val="004B7C25"/>
    <w:rsid w:val="004B7D41"/>
    <w:rsid w:val="004B7D45"/>
    <w:rsid w:val="004C000E"/>
    <w:rsid w:val="004C0102"/>
    <w:rsid w:val="004C0139"/>
    <w:rsid w:val="004C01AE"/>
    <w:rsid w:val="004C044F"/>
    <w:rsid w:val="004C0709"/>
    <w:rsid w:val="004C07DB"/>
    <w:rsid w:val="004C132C"/>
    <w:rsid w:val="004C14F7"/>
    <w:rsid w:val="004C16E1"/>
    <w:rsid w:val="004C1B4F"/>
    <w:rsid w:val="004C1DAA"/>
    <w:rsid w:val="004C1E90"/>
    <w:rsid w:val="004C214D"/>
    <w:rsid w:val="004C2229"/>
    <w:rsid w:val="004C2482"/>
    <w:rsid w:val="004C2489"/>
    <w:rsid w:val="004C24D4"/>
    <w:rsid w:val="004C2547"/>
    <w:rsid w:val="004C260F"/>
    <w:rsid w:val="004C270E"/>
    <w:rsid w:val="004C27A2"/>
    <w:rsid w:val="004C2833"/>
    <w:rsid w:val="004C2840"/>
    <w:rsid w:val="004C2DB0"/>
    <w:rsid w:val="004C2DC8"/>
    <w:rsid w:val="004C2F3A"/>
    <w:rsid w:val="004C3145"/>
    <w:rsid w:val="004C3202"/>
    <w:rsid w:val="004C33A5"/>
    <w:rsid w:val="004C3ADD"/>
    <w:rsid w:val="004C4471"/>
    <w:rsid w:val="004C499C"/>
    <w:rsid w:val="004C4C31"/>
    <w:rsid w:val="004C537E"/>
    <w:rsid w:val="004C53CF"/>
    <w:rsid w:val="004C5453"/>
    <w:rsid w:val="004C56B3"/>
    <w:rsid w:val="004C5BD2"/>
    <w:rsid w:val="004C6053"/>
    <w:rsid w:val="004C65CB"/>
    <w:rsid w:val="004C6679"/>
    <w:rsid w:val="004C6768"/>
    <w:rsid w:val="004C68F4"/>
    <w:rsid w:val="004C6EDF"/>
    <w:rsid w:val="004C7186"/>
    <w:rsid w:val="004C71B0"/>
    <w:rsid w:val="004C71DE"/>
    <w:rsid w:val="004C72AF"/>
    <w:rsid w:val="004C745F"/>
    <w:rsid w:val="004C757E"/>
    <w:rsid w:val="004C7662"/>
    <w:rsid w:val="004C7743"/>
    <w:rsid w:val="004C7778"/>
    <w:rsid w:val="004C77D6"/>
    <w:rsid w:val="004C7B70"/>
    <w:rsid w:val="004C7F13"/>
    <w:rsid w:val="004C7FEC"/>
    <w:rsid w:val="004D0145"/>
    <w:rsid w:val="004D032B"/>
    <w:rsid w:val="004D0570"/>
    <w:rsid w:val="004D0DEE"/>
    <w:rsid w:val="004D0FC7"/>
    <w:rsid w:val="004D110A"/>
    <w:rsid w:val="004D17E7"/>
    <w:rsid w:val="004D1805"/>
    <w:rsid w:val="004D182A"/>
    <w:rsid w:val="004D1888"/>
    <w:rsid w:val="004D1B73"/>
    <w:rsid w:val="004D1ED0"/>
    <w:rsid w:val="004D2337"/>
    <w:rsid w:val="004D2462"/>
    <w:rsid w:val="004D260E"/>
    <w:rsid w:val="004D27BE"/>
    <w:rsid w:val="004D2CD3"/>
    <w:rsid w:val="004D2D51"/>
    <w:rsid w:val="004D2E13"/>
    <w:rsid w:val="004D2F44"/>
    <w:rsid w:val="004D314B"/>
    <w:rsid w:val="004D3220"/>
    <w:rsid w:val="004D33C7"/>
    <w:rsid w:val="004D35AF"/>
    <w:rsid w:val="004D38C7"/>
    <w:rsid w:val="004D3AE1"/>
    <w:rsid w:val="004D3B0E"/>
    <w:rsid w:val="004D3BEC"/>
    <w:rsid w:val="004D3D87"/>
    <w:rsid w:val="004D3F28"/>
    <w:rsid w:val="004D4050"/>
    <w:rsid w:val="004D41CC"/>
    <w:rsid w:val="004D4BC8"/>
    <w:rsid w:val="004D4C2D"/>
    <w:rsid w:val="004D4CB9"/>
    <w:rsid w:val="004D4E52"/>
    <w:rsid w:val="004D51CF"/>
    <w:rsid w:val="004D5258"/>
    <w:rsid w:val="004D54AD"/>
    <w:rsid w:val="004D5682"/>
    <w:rsid w:val="004D56CC"/>
    <w:rsid w:val="004D5F12"/>
    <w:rsid w:val="004D5F31"/>
    <w:rsid w:val="004D5FF6"/>
    <w:rsid w:val="004D60B8"/>
    <w:rsid w:val="004D62F7"/>
    <w:rsid w:val="004D6394"/>
    <w:rsid w:val="004D63CC"/>
    <w:rsid w:val="004D6498"/>
    <w:rsid w:val="004D6AD0"/>
    <w:rsid w:val="004D6CD8"/>
    <w:rsid w:val="004D7009"/>
    <w:rsid w:val="004D7057"/>
    <w:rsid w:val="004D7439"/>
    <w:rsid w:val="004D7564"/>
    <w:rsid w:val="004D7637"/>
    <w:rsid w:val="004D79E2"/>
    <w:rsid w:val="004D7B2E"/>
    <w:rsid w:val="004D7D41"/>
    <w:rsid w:val="004D7E3B"/>
    <w:rsid w:val="004D7F76"/>
    <w:rsid w:val="004D7F77"/>
    <w:rsid w:val="004E01FD"/>
    <w:rsid w:val="004E025C"/>
    <w:rsid w:val="004E0501"/>
    <w:rsid w:val="004E0680"/>
    <w:rsid w:val="004E071C"/>
    <w:rsid w:val="004E0834"/>
    <w:rsid w:val="004E0B7C"/>
    <w:rsid w:val="004E0B7E"/>
    <w:rsid w:val="004E107A"/>
    <w:rsid w:val="004E138E"/>
    <w:rsid w:val="004E1953"/>
    <w:rsid w:val="004E1971"/>
    <w:rsid w:val="004E1A25"/>
    <w:rsid w:val="004E1D90"/>
    <w:rsid w:val="004E1FE8"/>
    <w:rsid w:val="004E2293"/>
    <w:rsid w:val="004E28FA"/>
    <w:rsid w:val="004E2AFF"/>
    <w:rsid w:val="004E2D92"/>
    <w:rsid w:val="004E2F04"/>
    <w:rsid w:val="004E2FC5"/>
    <w:rsid w:val="004E2FCE"/>
    <w:rsid w:val="004E31E5"/>
    <w:rsid w:val="004E328C"/>
    <w:rsid w:val="004E37E2"/>
    <w:rsid w:val="004E3940"/>
    <w:rsid w:val="004E39A5"/>
    <w:rsid w:val="004E3E63"/>
    <w:rsid w:val="004E3E77"/>
    <w:rsid w:val="004E3F46"/>
    <w:rsid w:val="004E41D8"/>
    <w:rsid w:val="004E41FA"/>
    <w:rsid w:val="004E4381"/>
    <w:rsid w:val="004E44C8"/>
    <w:rsid w:val="004E4784"/>
    <w:rsid w:val="004E499C"/>
    <w:rsid w:val="004E4A31"/>
    <w:rsid w:val="004E4AE0"/>
    <w:rsid w:val="004E4B28"/>
    <w:rsid w:val="004E4CD3"/>
    <w:rsid w:val="004E5229"/>
    <w:rsid w:val="004E54CB"/>
    <w:rsid w:val="004E54E1"/>
    <w:rsid w:val="004E5682"/>
    <w:rsid w:val="004E56F5"/>
    <w:rsid w:val="004E5843"/>
    <w:rsid w:val="004E592D"/>
    <w:rsid w:val="004E5CE5"/>
    <w:rsid w:val="004E5FE0"/>
    <w:rsid w:val="004E629A"/>
    <w:rsid w:val="004E6682"/>
    <w:rsid w:val="004E6A85"/>
    <w:rsid w:val="004E6B8A"/>
    <w:rsid w:val="004E6D25"/>
    <w:rsid w:val="004E71A1"/>
    <w:rsid w:val="004E7383"/>
    <w:rsid w:val="004E73EA"/>
    <w:rsid w:val="004E7524"/>
    <w:rsid w:val="004E78A8"/>
    <w:rsid w:val="004E7EF1"/>
    <w:rsid w:val="004F004F"/>
    <w:rsid w:val="004F00D0"/>
    <w:rsid w:val="004F00FA"/>
    <w:rsid w:val="004F0190"/>
    <w:rsid w:val="004F0233"/>
    <w:rsid w:val="004F053D"/>
    <w:rsid w:val="004F0668"/>
    <w:rsid w:val="004F0D1E"/>
    <w:rsid w:val="004F0DBD"/>
    <w:rsid w:val="004F14CA"/>
    <w:rsid w:val="004F1746"/>
    <w:rsid w:val="004F1CC8"/>
    <w:rsid w:val="004F1EE0"/>
    <w:rsid w:val="004F1F32"/>
    <w:rsid w:val="004F21D8"/>
    <w:rsid w:val="004F2304"/>
    <w:rsid w:val="004F238E"/>
    <w:rsid w:val="004F2626"/>
    <w:rsid w:val="004F2C8D"/>
    <w:rsid w:val="004F2E09"/>
    <w:rsid w:val="004F2E18"/>
    <w:rsid w:val="004F30B3"/>
    <w:rsid w:val="004F35DE"/>
    <w:rsid w:val="004F3673"/>
    <w:rsid w:val="004F3978"/>
    <w:rsid w:val="004F3A3D"/>
    <w:rsid w:val="004F3B4A"/>
    <w:rsid w:val="004F3CE5"/>
    <w:rsid w:val="004F43B1"/>
    <w:rsid w:val="004F43D0"/>
    <w:rsid w:val="004F44C9"/>
    <w:rsid w:val="004F4567"/>
    <w:rsid w:val="004F4778"/>
    <w:rsid w:val="004F48BC"/>
    <w:rsid w:val="004F49DD"/>
    <w:rsid w:val="004F4AC7"/>
    <w:rsid w:val="004F4C76"/>
    <w:rsid w:val="004F4D27"/>
    <w:rsid w:val="004F5279"/>
    <w:rsid w:val="004F5345"/>
    <w:rsid w:val="004F5651"/>
    <w:rsid w:val="004F589D"/>
    <w:rsid w:val="004F5B40"/>
    <w:rsid w:val="004F5BBD"/>
    <w:rsid w:val="004F5DD4"/>
    <w:rsid w:val="004F60C3"/>
    <w:rsid w:val="004F60DE"/>
    <w:rsid w:val="004F61E7"/>
    <w:rsid w:val="004F6250"/>
    <w:rsid w:val="004F62FB"/>
    <w:rsid w:val="004F637A"/>
    <w:rsid w:val="004F63AC"/>
    <w:rsid w:val="004F670B"/>
    <w:rsid w:val="004F685F"/>
    <w:rsid w:val="004F68E6"/>
    <w:rsid w:val="004F6B14"/>
    <w:rsid w:val="004F6BEC"/>
    <w:rsid w:val="004F6E7C"/>
    <w:rsid w:val="004F7239"/>
    <w:rsid w:val="004F73DF"/>
    <w:rsid w:val="004F742A"/>
    <w:rsid w:val="004F7454"/>
    <w:rsid w:val="004F7613"/>
    <w:rsid w:val="004F76C1"/>
    <w:rsid w:val="004F777E"/>
    <w:rsid w:val="004F78B1"/>
    <w:rsid w:val="004F7C77"/>
    <w:rsid w:val="004F7C87"/>
    <w:rsid w:val="004F7D9A"/>
    <w:rsid w:val="004F7F7B"/>
    <w:rsid w:val="0050026E"/>
    <w:rsid w:val="005004A4"/>
    <w:rsid w:val="005005CA"/>
    <w:rsid w:val="005008C4"/>
    <w:rsid w:val="00501774"/>
    <w:rsid w:val="00501841"/>
    <w:rsid w:val="00501A94"/>
    <w:rsid w:val="00501D1E"/>
    <w:rsid w:val="00501EDE"/>
    <w:rsid w:val="00501F41"/>
    <w:rsid w:val="00501FA4"/>
    <w:rsid w:val="00501FA6"/>
    <w:rsid w:val="00502313"/>
    <w:rsid w:val="0050245F"/>
    <w:rsid w:val="0050253F"/>
    <w:rsid w:val="00502589"/>
    <w:rsid w:val="005026AC"/>
    <w:rsid w:val="0050276A"/>
    <w:rsid w:val="005027F3"/>
    <w:rsid w:val="00502D3E"/>
    <w:rsid w:val="00502F15"/>
    <w:rsid w:val="005030F3"/>
    <w:rsid w:val="00503530"/>
    <w:rsid w:val="00503975"/>
    <w:rsid w:val="00503C3E"/>
    <w:rsid w:val="00503E46"/>
    <w:rsid w:val="00503EF8"/>
    <w:rsid w:val="00504351"/>
    <w:rsid w:val="005046C0"/>
    <w:rsid w:val="005048F0"/>
    <w:rsid w:val="00504B7D"/>
    <w:rsid w:val="00504EBF"/>
    <w:rsid w:val="005053A9"/>
    <w:rsid w:val="0050563A"/>
    <w:rsid w:val="00505767"/>
    <w:rsid w:val="00505B4F"/>
    <w:rsid w:val="00505B6C"/>
    <w:rsid w:val="00505C38"/>
    <w:rsid w:val="00505CFC"/>
    <w:rsid w:val="00506182"/>
    <w:rsid w:val="00506237"/>
    <w:rsid w:val="00506C43"/>
    <w:rsid w:val="00506C55"/>
    <w:rsid w:val="00506CD9"/>
    <w:rsid w:val="00506F9E"/>
    <w:rsid w:val="00506FF5"/>
    <w:rsid w:val="005070C3"/>
    <w:rsid w:val="005070DA"/>
    <w:rsid w:val="005072CC"/>
    <w:rsid w:val="00507356"/>
    <w:rsid w:val="005079CB"/>
    <w:rsid w:val="00507FB8"/>
    <w:rsid w:val="00510566"/>
    <w:rsid w:val="00510658"/>
    <w:rsid w:val="005108FD"/>
    <w:rsid w:val="00510A8D"/>
    <w:rsid w:val="00510B4A"/>
    <w:rsid w:val="00510F0D"/>
    <w:rsid w:val="00511168"/>
    <w:rsid w:val="00511309"/>
    <w:rsid w:val="00511417"/>
    <w:rsid w:val="005116BA"/>
    <w:rsid w:val="005118F4"/>
    <w:rsid w:val="00511A1C"/>
    <w:rsid w:val="00511C74"/>
    <w:rsid w:val="00511CA6"/>
    <w:rsid w:val="00512089"/>
    <w:rsid w:val="005123E7"/>
    <w:rsid w:val="0051251F"/>
    <w:rsid w:val="00512604"/>
    <w:rsid w:val="0051261B"/>
    <w:rsid w:val="005127B1"/>
    <w:rsid w:val="005128A3"/>
    <w:rsid w:val="00512CDE"/>
    <w:rsid w:val="00512D07"/>
    <w:rsid w:val="00512ED9"/>
    <w:rsid w:val="00513444"/>
    <w:rsid w:val="00513604"/>
    <w:rsid w:val="00513AB1"/>
    <w:rsid w:val="00513C55"/>
    <w:rsid w:val="005148BF"/>
    <w:rsid w:val="00514A36"/>
    <w:rsid w:val="00514AA8"/>
    <w:rsid w:val="00514B4E"/>
    <w:rsid w:val="00514D82"/>
    <w:rsid w:val="00514E84"/>
    <w:rsid w:val="0051500E"/>
    <w:rsid w:val="00515131"/>
    <w:rsid w:val="005159B4"/>
    <w:rsid w:val="00515E78"/>
    <w:rsid w:val="00515F9D"/>
    <w:rsid w:val="0051630B"/>
    <w:rsid w:val="00516510"/>
    <w:rsid w:val="005169CA"/>
    <w:rsid w:val="00516C3D"/>
    <w:rsid w:val="00516F8F"/>
    <w:rsid w:val="005171FE"/>
    <w:rsid w:val="0051757E"/>
    <w:rsid w:val="0051794C"/>
    <w:rsid w:val="00517A18"/>
    <w:rsid w:val="00517CAB"/>
    <w:rsid w:val="00517D3D"/>
    <w:rsid w:val="00517EF7"/>
    <w:rsid w:val="00520096"/>
    <w:rsid w:val="005201C1"/>
    <w:rsid w:val="005204CF"/>
    <w:rsid w:val="0052059B"/>
    <w:rsid w:val="0052060E"/>
    <w:rsid w:val="005208BC"/>
    <w:rsid w:val="00520C11"/>
    <w:rsid w:val="00521485"/>
    <w:rsid w:val="005216D9"/>
    <w:rsid w:val="005217A9"/>
    <w:rsid w:val="00521DCF"/>
    <w:rsid w:val="00521EE1"/>
    <w:rsid w:val="00522103"/>
    <w:rsid w:val="0052266B"/>
    <w:rsid w:val="0052298C"/>
    <w:rsid w:val="00522B32"/>
    <w:rsid w:val="00522C57"/>
    <w:rsid w:val="005230AC"/>
    <w:rsid w:val="00523304"/>
    <w:rsid w:val="0052331E"/>
    <w:rsid w:val="0052338C"/>
    <w:rsid w:val="0052362A"/>
    <w:rsid w:val="00523A6B"/>
    <w:rsid w:val="00523AFA"/>
    <w:rsid w:val="00523F2F"/>
    <w:rsid w:val="00524207"/>
    <w:rsid w:val="00524305"/>
    <w:rsid w:val="00524351"/>
    <w:rsid w:val="00524388"/>
    <w:rsid w:val="0052455D"/>
    <w:rsid w:val="005248A2"/>
    <w:rsid w:val="00524A29"/>
    <w:rsid w:val="00524DCF"/>
    <w:rsid w:val="00524DE4"/>
    <w:rsid w:val="00524F85"/>
    <w:rsid w:val="005253AB"/>
    <w:rsid w:val="005253D8"/>
    <w:rsid w:val="0052541E"/>
    <w:rsid w:val="005254E2"/>
    <w:rsid w:val="005255E5"/>
    <w:rsid w:val="00525639"/>
    <w:rsid w:val="0052577D"/>
    <w:rsid w:val="00525894"/>
    <w:rsid w:val="00525944"/>
    <w:rsid w:val="00525AF9"/>
    <w:rsid w:val="00525AFC"/>
    <w:rsid w:val="00525B86"/>
    <w:rsid w:val="00525E08"/>
    <w:rsid w:val="0052602B"/>
    <w:rsid w:val="005261F4"/>
    <w:rsid w:val="00526207"/>
    <w:rsid w:val="005265E7"/>
    <w:rsid w:val="00526BE6"/>
    <w:rsid w:val="00526D8B"/>
    <w:rsid w:val="00526FB7"/>
    <w:rsid w:val="00527170"/>
    <w:rsid w:val="00527452"/>
    <w:rsid w:val="0052773D"/>
    <w:rsid w:val="005279F7"/>
    <w:rsid w:val="00527B23"/>
    <w:rsid w:val="00527E49"/>
    <w:rsid w:val="005306A7"/>
    <w:rsid w:val="0053076F"/>
    <w:rsid w:val="00530BB5"/>
    <w:rsid w:val="00530C0E"/>
    <w:rsid w:val="00530E64"/>
    <w:rsid w:val="00531176"/>
    <w:rsid w:val="00531324"/>
    <w:rsid w:val="0053134A"/>
    <w:rsid w:val="00531557"/>
    <w:rsid w:val="005318F5"/>
    <w:rsid w:val="00531AC8"/>
    <w:rsid w:val="00531AD3"/>
    <w:rsid w:val="00531B2D"/>
    <w:rsid w:val="00531B87"/>
    <w:rsid w:val="00531FBE"/>
    <w:rsid w:val="0053211F"/>
    <w:rsid w:val="0053213B"/>
    <w:rsid w:val="00532211"/>
    <w:rsid w:val="00532501"/>
    <w:rsid w:val="0053274E"/>
    <w:rsid w:val="005327A9"/>
    <w:rsid w:val="0053298D"/>
    <w:rsid w:val="00532AF9"/>
    <w:rsid w:val="00532E73"/>
    <w:rsid w:val="00532F12"/>
    <w:rsid w:val="00533082"/>
    <w:rsid w:val="00533292"/>
    <w:rsid w:val="00533601"/>
    <w:rsid w:val="00533623"/>
    <w:rsid w:val="005337CB"/>
    <w:rsid w:val="005339B2"/>
    <w:rsid w:val="00533A36"/>
    <w:rsid w:val="00533C94"/>
    <w:rsid w:val="00533CF0"/>
    <w:rsid w:val="005340F9"/>
    <w:rsid w:val="0053414D"/>
    <w:rsid w:val="00534176"/>
    <w:rsid w:val="005344B6"/>
    <w:rsid w:val="0053466E"/>
    <w:rsid w:val="0053478E"/>
    <w:rsid w:val="005347A5"/>
    <w:rsid w:val="00534861"/>
    <w:rsid w:val="0053488B"/>
    <w:rsid w:val="00534A89"/>
    <w:rsid w:val="00534BE6"/>
    <w:rsid w:val="00534C9C"/>
    <w:rsid w:val="00534E2B"/>
    <w:rsid w:val="00534F2F"/>
    <w:rsid w:val="00535137"/>
    <w:rsid w:val="005352B7"/>
    <w:rsid w:val="005355B1"/>
    <w:rsid w:val="005357A5"/>
    <w:rsid w:val="005359CE"/>
    <w:rsid w:val="00535A55"/>
    <w:rsid w:val="00535B00"/>
    <w:rsid w:val="00535B72"/>
    <w:rsid w:val="00535E20"/>
    <w:rsid w:val="005362B1"/>
    <w:rsid w:val="00536309"/>
    <w:rsid w:val="0053644A"/>
    <w:rsid w:val="00536644"/>
    <w:rsid w:val="005366F8"/>
    <w:rsid w:val="00536AFE"/>
    <w:rsid w:val="00536B1B"/>
    <w:rsid w:val="00536B86"/>
    <w:rsid w:val="00536E22"/>
    <w:rsid w:val="00536EE8"/>
    <w:rsid w:val="005372AB"/>
    <w:rsid w:val="0053737B"/>
    <w:rsid w:val="00537387"/>
    <w:rsid w:val="005373CA"/>
    <w:rsid w:val="0053742B"/>
    <w:rsid w:val="0053752E"/>
    <w:rsid w:val="005377C6"/>
    <w:rsid w:val="00537925"/>
    <w:rsid w:val="005379D0"/>
    <w:rsid w:val="00537B12"/>
    <w:rsid w:val="00537B9F"/>
    <w:rsid w:val="0054054D"/>
    <w:rsid w:val="0054077A"/>
    <w:rsid w:val="0054096B"/>
    <w:rsid w:val="00540A34"/>
    <w:rsid w:val="00540DF1"/>
    <w:rsid w:val="00540FB0"/>
    <w:rsid w:val="005411F3"/>
    <w:rsid w:val="00541416"/>
    <w:rsid w:val="0054150F"/>
    <w:rsid w:val="005415E9"/>
    <w:rsid w:val="0054168D"/>
    <w:rsid w:val="0054187B"/>
    <w:rsid w:val="00541927"/>
    <w:rsid w:val="005419D8"/>
    <w:rsid w:val="00542201"/>
    <w:rsid w:val="0054229C"/>
    <w:rsid w:val="005423A4"/>
    <w:rsid w:val="005426FA"/>
    <w:rsid w:val="0054287D"/>
    <w:rsid w:val="00542968"/>
    <w:rsid w:val="005429CB"/>
    <w:rsid w:val="0054308E"/>
    <w:rsid w:val="0054321F"/>
    <w:rsid w:val="0054334F"/>
    <w:rsid w:val="00543600"/>
    <w:rsid w:val="00543693"/>
    <w:rsid w:val="005438BB"/>
    <w:rsid w:val="00543913"/>
    <w:rsid w:val="005439CC"/>
    <w:rsid w:val="00543E99"/>
    <w:rsid w:val="0054434C"/>
    <w:rsid w:val="00544429"/>
    <w:rsid w:val="00544605"/>
    <w:rsid w:val="00544724"/>
    <w:rsid w:val="00544AC4"/>
    <w:rsid w:val="00545159"/>
    <w:rsid w:val="00545255"/>
    <w:rsid w:val="0054552E"/>
    <w:rsid w:val="005455BE"/>
    <w:rsid w:val="005455F3"/>
    <w:rsid w:val="0054569B"/>
    <w:rsid w:val="00545C98"/>
    <w:rsid w:val="00545CA7"/>
    <w:rsid w:val="00545E76"/>
    <w:rsid w:val="00545F41"/>
    <w:rsid w:val="00546174"/>
    <w:rsid w:val="00546739"/>
    <w:rsid w:val="00546EE9"/>
    <w:rsid w:val="0054730F"/>
    <w:rsid w:val="00547535"/>
    <w:rsid w:val="00547541"/>
    <w:rsid w:val="00547A1E"/>
    <w:rsid w:val="00547CB9"/>
    <w:rsid w:val="00547D55"/>
    <w:rsid w:val="00547DE9"/>
    <w:rsid w:val="00550017"/>
    <w:rsid w:val="00550480"/>
    <w:rsid w:val="00550A0E"/>
    <w:rsid w:val="00550AF8"/>
    <w:rsid w:val="00550B6D"/>
    <w:rsid w:val="00550D41"/>
    <w:rsid w:val="00550D6D"/>
    <w:rsid w:val="00551231"/>
    <w:rsid w:val="005512D1"/>
    <w:rsid w:val="005514F5"/>
    <w:rsid w:val="00551538"/>
    <w:rsid w:val="0055168D"/>
    <w:rsid w:val="00551732"/>
    <w:rsid w:val="00551860"/>
    <w:rsid w:val="0055189F"/>
    <w:rsid w:val="00551B4A"/>
    <w:rsid w:val="00551C2B"/>
    <w:rsid w:val="00551CA2"/>
    <w:rsid w:val="00551F63"/>
    <w:rsid w:val="00552258"/>
    <w:rsid w:val="00552268"/>
    <w:rsid w:val="00552347"/>
    <w:rsid w:val="0055262E"/>
    <w:rsid w:val="00552756"/>
    <w:rsid w:val="005527F2"/>
    <w:rsid w:val="00552AA3"/>
    <w:rsid w:val="00552AB1"/>
    <w:rsid w:val="00552C2A"/>
    <w:rsid w:val="00552CE0"/>
    <w:rsid w:val="00553034"/>
    <w:rsid w:val="0055357E"/>
    <w:rsid w:val="00553625"/>
    <w:rsid w:val="00553674"/>
    <w:rsid w:val="0055379D"/>
    <w:rsid w:val="00553A50"/>
    <w:rsid w:val="00553BC6"/>
    <w:rsid w:val="005540BE"/>
    <w:rsid w:val="00554256"/>
    <w:rsid w:val="00554934"/>
    <w:rsid w:val="00554B0D"/>
    <w:rsid w:val="00554ECB"/>
    <w:rsid w:val="00554EF9"/>
    <w:rsid w:val="00554FA7"/>
    <w:rsid w:val="0055508C"/>
    <w:rsid w:val="005551FF"/>
    <w:rsid w:val="00555BD9"/>
    <w:rsid w:val="00555DA3"/>
    <w:rsid w:val="00555E66"/>
    <w:rsid w:val="00556013"/>
    <w:rsid w:val="005563C2"/>
    <w:rsid w:val="005565CE"/>
    <w:rsid w:val="005569FE"/>
    <w:rsid w:val="00556B45"/>
    <w:rsid w:val="00556F8E"/>
    <w:rsid w:val="00557329"/>
    <w:rsid w:val="005574C3"/>
    <w:rsid w:val="005574FD"/>
    <w:rsid w:val="00557A61"/>
    <w:rsid w:val="00557B0A"/>
    <w:rsid w:val="00557B73"/>
    <w:rsid w:val="00557CF8"/>
    <w:rsid w:val="005603E8"/>
    <w:rsid w:val="00560568"/>
    <w:rsid w:val="00560623"/>
    <w:rsid w:val="00560681"/>
    <w:rsid w:val="00560769"/>
    <w:rsid w:val="00560852"/>
    <w:rsid w:val="00560924"/>
    <w:rsid w:val="00560C07"/>
    <w:rsid w:val="00560ECE"/>
    <w:rsid w:val="00560ED5"/>
    <w:rsid w:val="0056129E"/>
    <w:rsid w:val="005612F3"/>
    <w:rsid w:val="005613C5"/>
    <w:rsid w:val="00561471"/>
    <w:rsid w:val="005614AE"/>
    <w:rsid w:val="0056154F"/>
    <w:rsid w:val="005615FE"/>
    <w:rsid w:val="005616AD"/>
    <w:rsid w:val="00561A4F"/>
    <w:rsid w:val="00561B50"/>
    <w:rsid w:val="00561BF9"/>
    <w:rsid w:val="00561C1B"/>
    <w:rsid w:val="00562161"/>
    <w:rsid w:val="00562174"/>
    <w:rsid w:val="00562217"/>
    <w:rsid w:val="00562569"/>
    <w:rsid w:val="00562DF3"/>
    <w:rsid w:val="00562F55"/>
    <w:rsid w:val="00562FAD"/>
    <w:rsid w:val="00563365"/>
    <w:rsid w:val="005633A8"/>
    <w:rsid w:val="0056342F"/>
    <w:rsid w:val="005635A6"/>
    <w:rsid w:val="0056361C"/>
    <w:rsid w:val="00563C21"/>
    <w:rsid w:val="00563CA7"/>
    <w:rsid w:val="00563D0D"/>
    <w:rsid w:val="00563EA4"/>
    <w:rsid w:val="005640A5"/>
    <w:rsid w:val="00564121"/>
    <w:rsid w:val="00564197"/>
    <w:rsid w:val="00564271"/>
    <w:rsid w:val="00564364"/>
    <w:rsid w:val="00564438"/>
    <w:rsid w:val="00564529"/>
    <w:rsid w:val="005645CD"/>
    <w:rsid w:val="00564658"/>
    <w:rsid w:val="00564685"/>
    <w:rsid w:val="00564945"/>
    <w:rsid w:val="005649D7"/>
    <w:rsid w:val="00564DA1"/>
    <w:rsid w:val="00564DEC"/>
    <w:rsid w:val="00564E1D"/>
    <w:rsid w:val="00564E75"/>
    <w:rsid w:val="00564E84"/>
    <w:rsid w:val="0056520E"/>
    <w:rsid w:val="005655DC"/>
    <w:rsid w:val="00565701"/>
    <w:rsid w:val="0056578C"/>
    <w:rsid w:val="00565DC9"/>
    <w:rsid w:val="00565F53"/>
    <w:rsid w:val="0056608E"/>
    <w:rsid w:val="005662AE"/>
    <w:rsid w:val="005665A3"/>
    <w:rsid w:val="005666B9"/>
    <w:rsid w:val="0056689E"/>
    <w:rsid w:val="00566A45"/>
    <w:rsid w:val="00566C08"/>
    <w:rsid w:val="00566DCD"/>
    <w:rsid w:val="00566F06"/>
    <w:rsid w:val="00566FA2"/>
    <w:rsid w:val="005672DA"/>
    <w:rsid w:val="00567536"/>
    <w:rsid w:val="0056762E"/>
    <w:rsid w:val="005676C5"/>
    <w:rsid w:val="00567761"/>
    <w:rsid w:val="005677CF"/>
    <w:rsid w:val="00567848"/>
    <w:rsid w:val="00567A52"/>
    <w:rsid w:val="00567EF3"/>
    <w:rsid w:val="00570209"/>
    <w:rsid w:val="00570317"/>
    <w:rsid w:val="0057039F"/>
    <w:rsid w:val="00570531"/>
    <w:rsid w:val="00570C97"/>
    <w:rsid w:val="00570D64"/>
    <w:rsid w:val="00570D73"/>
    <w:rsid w:val="00570EA1"/>
    <w:rsid w:val="00571299"/>
    <w:rsid w:val="005715C3"/>
    <w:rsid w:val="00571A66"/>
    <w:rsid w:val="0057219E"/>
    <w:rsid w:val="005722EA"/>
    <w:rsid w:val="005724B7"/>
    <w:rsid w:val="0057251C"/>
    <w:rsid w:val="00572600"/>
    <w:rsid w:val="00572653"/>
    <w:rsid w:val="00572840"/>
    <w:rsid w:val="0057285B"/>
    <w:rsid w:val="00572877"/>
    <w:rsid w:val="00572FF7"/>
    <w:rsid w:val="00573055"/>
    <w:rsid w:val="005730D7"/>
    <w:rsid w:val="005731E9"/>
    <w:rsid w:val="0057329F"/>
    <w:rsid w:val="0057345F"/>
    <w:rsid w:val="005734F3"/>
    <w:rsid w:val="0057367C"/>
    <w:rsid w:val="005737BB"/>
    <w:rsid w:val="00573ADC"/>
    <w:rsid w:val="00573FB3"/>
    <w:rsid w:val="0057447E"/>
    <w:rsid w:val="005745BD"/>
    <w:rsid w:val="00574600"/>
    <w:rsid w:val="005746A5"/>
    <w:rsid w:val="00574727"/>
    <w:rsid w:val="00574971"/>
    <w:rsid w:val="00574D43"/>
    <w:rsid w:val="00574D44"/>
    <w:rsid w:val="00575016"/>
    <w:rsid w:val="0057507B"/>
    <w:rsid w:val="005753AF"/>
    <w:rsid w:val="005755FE"/>
    <w:rsid w:val="005758F9"/>
    <w:rsid w:val="00575A41"/>
    <w:rsid w:val="00575AFD"/>
    <w:rsid w:val="00575E40"/>
    <w:rsid w:val="00576072"/>
    <w:rsid w:val="00576434"/>
    <w:rsid w:val="005765D5"/>
    <w:rsid w:val="0057693C"/>
    <w:rsid w:val="00576AFB"/>
    <w:rsid w:val="00576D11"/>
    <w:rsid w:val="00577259"/>
    <w:rsid w:val="00577427"/>
    <w:rsid w:val="0057760F"/>
    <w:rsid w:val="00577998"/>
    <w:rsid w:val="00577C05"/>
    <w:rsid w:val="00577CD2"/>
    <w:rsid w:val="00577CD4"/>
    <w:rsid w:val="00577CD6"/>
    <w:rsid w:val="00577E34"/>
    <w:rsid w:val="00580324"/>
    <w:rsid w:val="005803F9"/>
    <w:rsid w:val="0058070A"/>
    <w:rsid w:val="0058078D"/>
    <w:rsid w:val="00580E55"/>
    <w:rsid w:val="005813E1"/>
    <w:rsid w:val="005814C4"/>
    <w:rsid w:val="0058167A"/>
    <w:rsid w:val="00581CA6"/>
    <w:rsid w:val="00581CC3"/>
    <w:rsid w:val="005822B8"/>
    <w:rsid w:val="00582692"/>
    <w:rsid w:val="005827E9"/>
    <w:rsid w:val="00582FE1"/>
    <w:rsid w:val="005834B8"/>
    <w:rsid w:val="00583562"/>
    <w:rsid w:val="00583567"/>
    <w:rsid w:val="0058384F"/>
    <w:rsid w:val="00583919"/>
    <w:rsid w:val="00583A17"/>
    <w:rsid w:val="00583ADB"/>
    <w:rsid w:val="00583BC0"/>
    <w:rsid w:val="00583DB2"/>
    <w:rsid w:val="005843D6"/>
    <w:rsid w:val="00584510"/>
    <w:rsid w:val="00584991"/>
    <w:rsid w:val="00584ADD"/>
    <w:rsid w:val="00584CCF"/>
    <w:rsid w:val="0058532E"/>
    <w:rsid w:val="00585495"/>
    <w:rsid w:val="005857AC"/>
    <w:rsid w:val="0058586E"/>
    <w:rsid w:val="00585A5A"/>
    <w:rsid w:val="00585B4D"/>
    <w:rsid w:val="00585BF2"/>
    <w:rsid w:val="00585EB6"/>
    <w:rsid w:val="00585ECB"/>
    <w:rsid w:val="00586158"/>
    <w:rsid w:val="00586632"/>
    <w:rsid w:val="00586AE1"/>
    <w:rsid w:val="00586B93"/>
    <w:rsid w:val="00586D86"/>
    <w:rsid w:val="00586DD9"/>
    <w:rsid w:val="005870AF"/>
    <w:rsid w:val="005871DC"/>
    <w:rsid w:val="005874CE"/>
    <w:rsid w:val="005875C6"/>
    <w:rsid w:val="00587B73"/>
    <w:rsid w:val="00587DF5"/>
    <w:rsid w:val="00587EAB"/>
    <w:rsid w:val="00590025"/>
    <w:rsid w:val="005900B1"/>
    <w:rsid w:val="005902CA"/>
    <w:rsid w:val="005907DF"/>
    <w:rsid w:val="0059103F"/>
    <w:rsid w:val="005911CE"/>
    <w:rsid w:val="00591397"/>
    <w:rsid w:val="005914FC"/>
    <w:rsid w:val="00591E0A"/>
    <w:rsid w:val="00591FC3"/>
    <w:rsid w:val="005921F4"/>
    <w:rsid w:val="005922BF"/>
    <w:rsid w:val="0059263B"/>
    <w:rsid w:val="0059288F"/>
    <w:rsid w:val="00592A7D"/>
    <w:rsid w:val="00592C8C"/>
    <w:rsid w:val="00592FCD"/>
    <w:rsid w:val="00593302"/>
    <w:rsid w:val="0059378E"/>
    <w:rsid w:val="00593883"/>
    <w:rsid w:val="00593921"/>
    <w:rsid w:val="00593BDF"/>
    <w:rsid w:val="00593D2A"/>
    <w:rsid w:val="00593D31"/>
    <w:rsid w:val="0059406E"/>
    <w:rsid w:val="005943CA"/>
    <w:rsid w:val="0059462C"/>
    <w:rsid w:val="00594998"/>
    <w:rsid w:val="00594A5C"/>
    <w:rsid w:val="00594AAB"/>
    <w:rsid w:val="00594D20"/>
    <w:rsid w:val="00594D28"/>
    <w:rsid w:val="00594D89"/>
    <w:rsid w:val="005952C4"/>
    <w:rsid w:val="0059544E"/>
    <w:rsid w:val="00595563"/>
    <w:rsid w:val="0059563A"/>
    <w:rsid w:val="005959DC"/>
    <w:rsid w:val="00595A0B"/>
    <w:rsid w:val="00595F21"/>
    <w:rsid w:val="00596122"/>
    <w:rsid w:val="005961C9"/>
    <w:rsid w:val="005961D5"/>
    <w:rsid w:val="00596310"/>
    <w:rsid w:val="0059633A"/>
    <w:rsid w:val="0059635D"/>
    <w:rsid w:val="00596567"/>
    <w:rsid w:val="0059657E"/>
    <w:rsid w:val="00596718"/>
    <w:rsid w:val="005969C8"/>
    <w:rsid w:val="00596AB5"/>
    <w:rsid w:val="00596C59"/>
    <w:rsid w:val="005970EB"/>
    <w:rsid w:val="005972E7"/>
    <w:rsid w:val="005973B2"/>
    <w:rsid w:val="00597452"/>
    <w:rsid w:val="00597664"/>
    <w:rsid w:val="00597670"/>
    <w:rsid w:val="00597A32"/>
    <w:rsid w:val="00597C5D"/>
    <w:rsid w:val="00597C61"/>
    <w:rsid w:val="00597E4D"/>
    <w:rsid w:val="00597FCF"/>
    <w:rsid w:val="005A0140"/>
    <w:rsid w:val="005A0275"/>
    <w:rsid w:val="005A0343"/>
    <w:rsid w:val="005A043E"/>
    <w:rsid w:val="005A0498"/>
    <w:rsid w:val="005A049A"/>
    <w:rsid w:val="005A04C7"/>
    <w:rsid w:val="005A0771"/>
    <w:rsid w:val="005A07A8"/>
    <w:rsid w:val="005A0FDA"/>
    <w:rsid w:val="005A15A8"/>
    <w:rsid w:val="005A1812"/>
    <w:rsid w:val="005A1A18"/>
    <w:rsid w:val="005A1F07"/>
    <w:rsid w:val="005A1F28"/>
    <w:rsid w:val="005A2419"/>
    <w:rsid w:val="005A2529"/>
    <w:rsid w:val="005A2605"/>
    <w:rsid w:val="005A2D84"/>
    <w:rsid w:val="005A2DD9"/>
    <w:rsid w:val="005A3169"/>
    <w:rsid w:val="005A33DA"/>
    <w:rsid w:val="005A349F"/>
    <w:rsid w:val="005A351C"/>
    <w:rsid w:val="005A38F1"/>
    <w:rsid w:val="005A3A07"/>
    <w:rsid w:val="005A3A64"/>
    <w:rsid w:val="005A3B89"/>
    <w:rsid w:val="005A3CCA"/>
    <w:rsid w:val="005A3CE3"/>
    <w:rsid w:val="005A3D29"/>
    <w:rsid w:val="005A40F8"/>
    <w:rsid w:val="005A41A8"/>
    <w:rsid w:val="005A41C4"/>
    <w:rsid w:val="005A461B"/>
    <w:rsid w:val="005A46F5"/>
    <w:rsid w:val="005A475E"/>
    <w:rsid w:val="005A4762"/>
    <w:rsid w:val="005A4AFE"/>
    <w:rsid w:val="005A4C25"/>
    <w:rsid w:val="005A4F46"/>
    <w:rsid w:val="005A528F"/>
    <w:rsid w:val="005A535E"/>
    <w:rsid w:val="005A5391"/>
    <w:rsid w:val="005A5715"/>
    <w:rsid w:val="005A5832"/>
    <w:rsid w:val="005A5946"/>
    <w:rsid w:val="005A5C00"/>
    <w:rsid w:val="005A5C3A"/>
    <w:rsid w:val="005A6134"/>
    <w:rsid w:val="005A63BB"/>
    <w:rsid w:val="005A63F7"/>
    <w:rsid w:val="005A644B"/>
    <w:rsid w:val="005A64C3"/>
    <w:rsid w:val="005A6617"/>
    <w:rsid w:val="005A6A67"/>
    <w:rsid w:val="005A6C3B"/>
    <w:rsid w:val="005A6D98"/>
    <w:rsid w:val="005A6DE7"/>
    <w:rsid w:val="005A6EB1"/>
    <w:rsid w:val="005A6F37"/>
    <w:rsid w:val="005A75BF"/>
    <w:rsid w:val="005A7637"/>
    <w:rsid w:val="005A7737"/>
    <w:rsid w:val="005A7763"/>
    <w:rsid w:val="005A7865"/>
    <w:rsid w:val="005A78AE"/>
    <w:rsid w:val="005A7A7C"/>
    <w:rsid w:val="005A7BD8"/>
    <w:rsid w:val="005A7DD8"/>
    <w:rsid w:val="005A7F51"/>
    <w:rsid w:val="005A7FAF"/>
    <w:rsid w:val="005A7FF3"/>
    <w:rsid w:val="005B01DD"/>
    <w:rsid w:val="005B07BC"/>
    <w:rsid w:val="005B0A5F"/>
    <w:rsid w:val="005B0AE2"/>
    <w:rsid w:val="005B0B67"/>
    <w:rsid w:val="005B0EB4"/>
    <w:rsid w:val="005B1038"/>
    <w:rsid w:val="005B1077"/>
    <w:rsid w:val="005B12F9"/>
    <w:rsid w:val="005B15DC"/>
    <w:rsid w:val="005B1661"/>
    <w:rsid w:val="005B1F49"/>
    <w:rsid w:val="005B23C1"/>
    <w:rsid w:val="005B27A3"/>
    <w:rsid w:val="005B2B3D"/>
    <w:rsid w:val="005B2B5E"/>
    <w:rsid w:val="005B2D1C"/>
    <w:rsid w:val="005B2F94"/>
    <w:rsid w:val="005B3418"/>
    <w:rsid w:val="005B347B"/>
    <w:rsid w:val="005B350D"/>
    <w:rsid w:val="005B3573"/>
    <w:rsid w:val="005B36AB"/>
    <w:rsid w:val="005B37EA"/>
    <w:rsid w:val="005B3D58"/>
    <w:rsid w:val="005B45D1"/>
    <w:rsid w:val="005B46A4"/>
    <w:rsid w:val="005B497B"/>
    <w:rsid w:val="005B4B21"/>
    <w:rsid w:val="005B4B29"/>
    <w:rsid w:val="005B54AF"/>
    <w:rsid w:val="005B57E5"/>
    <w:rsid w:val="005B59B4"/>
    <w:rsid w:val="005B59D8"/>
    <w:rsid w:val="005B5C37"/>
    <w:rsid w:val="005B606D"/>
    <w:rsid w:val="005B6435"/>
    <w:rsid w:val="005B6489"/>
    <w:rsid w:val="005B64CA"/>
    <w:rsid w:val="005B660B"/>
    <w:rsid w:val="005B6881"/>
    <w:rsid w:val="005B6C08"/>
    <w:rsid w:val="005B6D09"/>
    <w:rsid w:val="005B71A3"/>
    <w:rsid w:val="005B7462"/>
    <w:rsid w:val="005B7738"/>
    <w:rsid w:val="005B7775"/>
    <w:rsid w:val="005C0008"/>
    <w:rsid w:val="005C0350"/>
    <w:rsid w:val="005C0384"/>
    <w:rsid w:val="005C07DC"/>
    <w:rsid w:val="005C09D4"/>
    <w:rsid w:val="005C0A4B"/>
    <w:rsid w:val="005C0ACC"/>
    <w:rsid w:val="005C0CF7"/>
    <w:rsid w:val="005C0F93"/>
    <w:rsid w:val="005C1166"/>
    <w:rsid w:val="005C12BD"/>
    <w:rsid w:val="005C12D2"/>
    <w:rsid w:val="005C1527"/>
    <w:rsid w:val="005C1646"/>
    <w:rsid w:val="005C1969"/>
    <w:rsid w:val="005C1989"/>
    <w:rsid w:val="005C1E22"/>
    <w:rsid w:val="005C2037"/>
    <w:rsid w:val="005C2427"/>
    <w:rsid w:val="005C255A"/>
    <w:rsid w:val="005C280F"/>
    <w:rsid w:val="005C29BA"/>
    <w:rsid w:val="005C2F3D"/>
    <w:rsid w:val="005C2F42"/>
    <w:rsid w:val="005C3333"/>
    <w:rsid w:val="005C3D7E"/>
    <w:rsid w:val="005C3EA4"/>
    <w:rsid w:val="005C3FC2"/>
    <w:rsid w:val="005C434B"/>
    <w:rsid w:val="005C43ED"/>
    <w:rsid w:val="005C4412"/>
    <w:rsid w:val="005C456F"/>
    <w:rsid w:val="005C4707"/>
    <w:rsid w:val="005C4A5B"/>
    <w:rsid w:val="005C4C08"/>
    <w:rsid w:val="005C4CA9"/>
    <w:rsid w:val="005C5122"/>
    <w:rsid w:val="005C526D"/>
    <w:rsid w:val="005C565B"/>
    <w:rsid w:val="005C59AB"/>
    <w:rsid w:val="005C59EA"/>
    <w:rsid w:val="005C59EF"/>
    <w:rsid w:val="005C5D66"/>
    <w:rsid w:val="005C5D7D"/>
    <w:rsid w:val="005C5E97"/>
    <w:rsid w:val="005C6840"/>
    <w:rsid w:val="005C6ADF"/>
    <w:rsid w:val="005C6C14"/>
    <w:rsid w:val="005C7030"/>
    <w:rsid w:val="005C711E"/>
    <w:rsid w:val="005C718C"/>
    <w:rsid w:val="005C7194"/>
    <w:rsid w:val="005C7195"/>
    <w:rsid w:val="005C72C8"/>
    <w:rsid w:val="005C73DB"/>
    <w:rsid w:val="005C7430"/>
    <w:rsid w:val="005C76BC"/>
    <w:rsid w:val="005C778D"/>
    <w:rsid w:val="005C77EA"/>
    <w:rsid w:val="005C7857"/>
    <w:rsid w:val="005C788C"/>
    <w:rsid w:val="005C7922"/>
    <w:rsid w:val="005C7F27"/>
    <w:rsid w:val="005D009E"/>
    <w:rsid w:val="005D00D3"/>
    <w:rsid w:val="005D01CF"/>
    <w:rsid w:val="005D01EE"/>
    <w:rsid w:val="005D0C24"/>
    <w:rsid w:val="005D0C60"/>
    <w:rsid w:val="005D0C90"/>
    <w:rsid w:val="005D0C91"/>
    <w:rsid w:val="005D0D5E"/>
    <w:rsid w:val="005D0E03"/>
    <w:rsid w:val="005D11CD"/>
    <w:rsid w:val="005D11F8"/>
    <w:rsid w:val="005D143A"/>
    <w:rsid w:val="005D150D"/>
    <w:rsid w:val="005D1613"/>
    <w:rsid w:val="005D165C"/>
    <w:rsid w:val="005D1C07"/>
    <w:rsid w:val="005D1C8D"/>
    <w:rsid w:val="005D1FFB"/>
    <w:rsid w:val="005D2324"/>
    <w:rsid w:val="005D247E"/>
    <w:rsid w:val="005D2480"/>
    <w:rsid w:val="005D24D9"/>
    <w:rsid w:val="005D2595"/>
    <w:rsid w:val="005D28C3"/>
    <w:rsid w:val="005D2A0D"/>
    <w:rsid w:val="005D2AF4"/>
    <w:rsid w:val="005D2B0F"/>
    <w:rsid w:val="005D2E87"/>
    <w:rsid w:val="005D3000"/>
    <w:rsid w:val="005D32D7"/>
    <w:rsid w:val="005D34FC"/>
    <w:rsid w:val="005D369D"/>
    <w:rsid w:val="005D384F"/>
    <w:rsid w:val="005D3B71"/>
    <w:rsid w:val="005D3C14"/>
    <w:rsid w:val="005D4094"/>
    <w:rsid w:val="005D46FC"/>
    <w:rsid w:val="005D48AA"/>
    <w:rsid w:val="005D499E"/>
    <w:rsid w:val="005D4ADF"/>
    <w:rsid w:val="005D4B48"/>
    <w:rsid w:val="005D4DD6"/>
    <w:rsid w:val="005D514A"/>
    <w:rsid w:val="005D5175"/>
    <w:rsid w:val="005D537E"/>
    <w:rsid w:val="005D5947"/>
    <w:rsid w:val="005D5A0D"/>
    <w:rsid w:val="005D607B"/>
    <w:rsid w:val="005D60F1"/>
    <w:rsid w:val="005D6197"/>
    <w:rsid w:val="005D6212"/>
    <w:rsid w:val="005D6371"/>
    <w:rsid w:val="005D6750"/>
    <w:rsid w:val="005D6843"/>
    <w:rsid w:val="005D6B38"/>
    <w:rsid w:val="005D6D40"/>
    <w:rsid w:val="005D6EDE"/>
    <w:rsid w:val="005D7152"/>
    <w:rsid w:val="005D7936"/>
    <w:rsid w:val="005D7C2E"/>
    <w:rsid w:val="005D7D75"/>
    <w:rsid w:val="005D7DE2"/>
    <w:rsid w:val="005E047B"/>
    <w:rsid w:val="005E0907"/>
    <w:rsid w:val="005E0B01"/>
    <w:rsid w:val="005E11E1"/>
    <w:rsid w:val="005E1267"/>
    <w:rsid w:val="005E1401"/>
    <w:rsid w:val="005E157B"/>
    <w:rsid w:val="005E1AE8"/>
    <w:rsid w:val="005E1C4A"/>
    <w:rsid w:val="005E210C"/>
    <w:rsid w:val="005E2584"/>
    <w:rsid w:val="005E277B"/>
    <w:rsid w:val="005E28C7"/>
    <w:rsid w:val="005E2A17"/>
    <w:rsid w:val="005E2AF9"/>
    <w:rsid w:val="005E2BE2"/>
    <w:rsid w:val="005E2ECB"/>
    <w:rsid w:val="005E2F3B"/>
    <w:rsid w:val="005E30BC"/>
    <w:rsid w:val="005E363F"/>
    <w:rsid w:val="005E425A"/>
    <w:rsid w:val="005E451F"/>
    <w:rsid w:val="005E48A1"/>
    <w:rsid w:val="005E48AE"/>
    <w:rsid w:val="005E49C5"/>
    <w:rsid w:val="005E4AC8"/>
    <w:rsid w:val="005E4C07"/>
    <w:rsid w:val="005E4D04"/>
    <w:rsid w:val="005E514F"/>
    <w:rsid w:val="005E5202"/>
    <w:rsid w:val="005E5745"/>
    <w:rsid w:val="005E57A9"/>
    <w:rsid w:val="005E5988"/>
    <w:rsid w:val="005E5AE7"/>
    <w:rsid w:val="005E5D00"/>
    <w:rsid w:val="005E5DB8"/>
    <w:rsid w:val="005E5F99"/>
    <w:rsid w:val="005E638D"/>
    <w:rsid w:val="005E63E2"/>
    <w:rsid w:val="005E65D0"/>
    <w:rsid w:val="005E66EA"/>
    <w:rsid w:val="005E6B94"/>
    <w:rsid w:val="005E6CC4"/>
    <w:rsid w:val="005E7100"/>
    <w:rsid w:val="005E7160"/>
    <w:rsid w:val="005E7216"/>
    <w:rsid w:val="005E7666"/>
    <w:rsid w:val="005E77F2"/>
    <w:rsid w:val="005E7A03"/>
    <w:rsid w:val="005E7CA9"/>
    <w:rsid w:val="005F060D"/>
    <w:rsid w:val="005F072E"/>
    <w:rsid w:val="005F0A1B"/>
    <w:rsid w:val="005F0AEA"/>
    <w:rsid w:val="005F0B22"/>
    <w:rsid w:val="005F0BC5"/>
    <w:rsid w:val="005F0C8A"/>
    <w:rsid w:val="005F11AF"/>
    <w:rsid w:val="005F120D"/>
    <w:rsid w:val="005F13AC"/>
    <w:rsid w:val="005F15C2"/>
    <w:rsid w:val="005F1685"/>
    <w:rsid w:val="005F1717"/>
    <w:rsid w:val="005F1733"/>
    <w:rsid w:val="005F1869"/>
    <w:rsid w:val="005F1D66"/>
    <w:rsid w:val="005F1D7B"/>
    <w:rsid w:val="005F1F09"/>
    <w:rsid w:val="005F2026"/>
    <w:rsid w:val="005F207D"/>
    <w:rsid w:val="005F2082"/>
    <w:rsid w:val="005F246A"/>
    <w:rsid w:val="005F2606"/>
    <w:rsid w:val="005F2892"/>
    <w:rsid w:val="005F2BB6"/>
    <w:rsid w:val="005F2C0E"/>
    <w:rsid w:val="005F2C76"/>
    <w:rsid w:val="005F3394"/>
    <w:rsid w:val="005F3449"/>
    <w:rsid w:val="005F357A"/>
    <w:rsid w:val="005F3651"/>
    <w:rsid w:val="005F387B"/>
    <w:rsid w:val="005F3B37"/>
    <w:rsid w:val="005F3C84"/>
    <w:rsid w:val="005F3D04"/>
    <w:rsid w:val="005F3E50"/>
    <w:rsid w:val="005F3F9D"/>
    <w:rsid w:val="005F42FF"/>
    <w:rsid w:val="005F4314"/>
    <w:rsid w:val="005F43BC"/>
    <w:rsid w:val="005F490C"/>
    <w:rsid w:val="005F4967"/>
    <w:rsid w:val="005F498E"/>
    <w:rsid w:val="005F4D50"/>
    <w:rsid w:val="005F523F"/>
    <w:rsid w:val="005F532F"/>
    <w:rsid w:val="005F5462"/>
    <w:rsid w:val="005F56A2"/>
    <w:rsid w:val="005F5819"/>
    <w:rsid w:val="005F5A16"/>
    <w:rsid w:val="005F60F9"/>
    <w:rsid w:val="005F678E"/>
    <w:rsid w:val="005F6A2D"/>
    <w:rsid w:val="005F6ABC"/>
    <w:rsid w:val="005F6DDE"/>
    <w:rsid w:val="005F7190"/>
    <w:rsid w:val="005F722C"/>
    <w:rsid w:val="005F7794"/>
    <w:rsid w:val="005F77C9"/>
    <w:rsid w:val="005F7A7F"/>
    <w:rsid w:val="00600047"/>
    <w:rsid w:val="00600080"/>
    <w:rsid w:val="0060026B"/>
    <w:rsid w:val="00600723"/>
    <w:rsid w:val="00600816"/>
    <w:rsid w:val="0060082D"/>
    <w:rsid w:val="0060088F"/>
    <w:rsid w:val="006009AB"/>
    <w:rsid w:val="006009B6"/>
    <w:rsid w:val="00600C04"/>
    <w:rsid w:val="00600C09"/>
    <w:rsid w:val="00600E47"/>
    <w:rsid w:val="00600EF4"/>
    <w:rsid w:val="00601221"/>
    <w:rsid w:val="006012BE"/>
    <w:rsid w:val="006014BB"/>
    <w:rsid w:val="00601DF0"/>
    <w:rsid w:val="00601F6F"/>
    <w:rsid w:val="00602278"/>
    <w:rsid w:val="0060227E"/>
    <w:rsid w:val="00602440"/>
    <w:rsid w:val="006026A4"/>
    <w:rsid w:val="006027E3"/>
    <w:rsid w:val="00602ABF"/>
    <w:rsid w:val="00602B82"/>
    <w:rsid w:val="00602CB1"/>
    <w:rsid w:val="00602E17"/>
    <w:rsid w:val="00602FA9"/>
    <w:rsid w:val="00603188"/>
    <w:rsid w:val="006032FE"/>
    <w:rsid w:val="006033AF"/>
    <w:rsid w:val="00603492"/>
    <w:rsid w:val="006034D2"/>
    <w:rsid w:val="0060388F"/>
    <w:rsid w:val="006038DF"/>
    <w:rsid w:val="00603AF1"/>
    <w:rsid w:val="00603B09"/>
    <w:rsid w:val="00603F11"/>
    <w:rsid w:val="006040AB"/>
    <w:rsid w:val="00604522"/>
    <w:rsid w:val="006049AF"/>
    <w:rsid w:val="00604BFF"/>
    <w:rsid w:val="00604D7B"/>
    <w:rsid w:val="00604ED7"/>
    <w:rsid w:val="0060503B"/>
    <w:rsid w:val="00605342"/>
    <w:rsid w:val="00605520"/>
    <w:rsid w:val="0060559C"/>
    <w:rsid w:val="00605C1D"/>
    <w:rsid w:val="00605CD1"/>
    <w:rsid w:val="006060E7"/>
    <w:rsid w:val="00606392"/>
    <w:rsid w:val="006065D0"/>
    <w:rsid w:val="00606710"/>
    <w:rsid w:val="00606B18"/>
    <w:rsid w:val="00607150"/>
    <w:rsid w:val="006073E8"/>
    <w:rsid w:val="00607410"/>
    <w:rsid w:val="00607462"/>
    <w:rsid w:val="0060750C"/>
    <w:rsid w:val="00607613"/>
    <w:rsid w:val="0060789C"/>
    <w:rsid w:val="006079CE"/>
    <w:rsid w:val="00607AEF"/>
    <w:rsid w:val="00607BB0"/>
    <w:rsid w:val="00607C22"/>
    <w:rsid w:val="0061001C"/>
    <w:rsid w:val="00610B53"/>
    <w:rsid w:val="00610BF6"/>
    <w:rsid w:val="00610D36"/>
    <w:rsid w:val="0061111A"/>
    <w:rsid w:val="0061138A"/>
    <w:rsid w:val="006113DB"/>
    <w:rsid w:val="00611B1F"/>
    <w:rsid w:val="00611B61"/>
    <w:rsid w:val="00611D00"/>
    <w:rsid w:val="00611DE8"/>
    <w:rsid w:val="00611F1B"/>
    <w:rsid w:val="0061203F"/>
    <w:rsid w:val="0061206D"/>
    <w:rsid w:val="006122E4"/>
    <w:rsid w:val="006125B8"/>
    <w:rsid w:val="006129FE"/>
    <w:rsid w:val="00612B1F"/>
    <w:rsid w:val="00612C48"/>
    <w:rsid w:val="00612DBF"/>
    <w:rsid w:val="00612E4C"/>
    <w:rsid w:val="00612EDB"/>
    <w:rsid w:val="00613043"/>
    <w:rsid w:val="00613354"/>
    <w:rsid w:val="00613359"/>
    <w:rsid w:val="006135F6"/>
    <w:rsid w:val="00613681"/>
    <w:rsid w:val="0061374D"/>
    <w:rsid w:val="00613A16"/>
    <w:rsid w:val="00613AAF"/>
    <w:rsid w:val="00613CA0"/>
    <w:rsid w:val="006141AD"/>
    <w:rsid w:val="00614454"/>
    <w:rsid w:val="006144BC"/>
    <w:rsid w:val="00614842"/>
    <w:rsid w:val="006148A8"/>
    <w:rsid w:val="006149C2"/>
    <w:rsid w:val="0061502C"/>
    <w:rsid w:val="00615197"/>
    <w:rsid w:val="00615355"/>
    <w:rsid w:val="0061575A"/>
    <w:rsid w:val="00615FEA"/>
    <w:rsid w:val="006161C0"/>
    <w:rsid w:val="006168A5"/>
    <w:rsid w:val="00616963"/>
    <w:rsid w:val="00616A63"/>
    <w:rsid w:val="00616EB1"/>
    <w:rsid w:val="00616F92"/>
    <w:rsid w:val="006170F3"/>
    <w:rsid w:val="0061722D"/>
    <w:rsid w:val="00617275"/>
    <w:rsid w:val="00617574"/>
    <w:rsid w:val="00617983"/>
    <w:rsid w:val="00617ACF"/>
    <w:rsid w:val="00617BAE"/>
    <w:rsid w:val="00617C76"/>
    <w:rsid w:val="00617D2D"/>
    <w:rsid w:val="00617FEB"/>
    <w:rsid w:val="0061DC53"/>
    <w:rsid w:val="00620050"/>
    <w:rsid w:val="0062013A"/>
    <w:rsid w:val="006202F8"/>
    <w:rsid w:val="006206F3"/>
    <w:rsid w:val="00620799"/>
    <w:rsid w:val="0062098E"/>
    <w:rsid w:val="00620E68"/>
    <w:rsid w:val="00621078"/>
    <w:rsid w:val="00621625"/>
    <w:rsid w:val="006218DB"/>
    <w:rsid w:val="00621B88"/>
    <w:rsid w:val="00621EE5"/>
    <w:rsid w:val="006220CC"/>
    <w:rsid w:val="006220EF"/>
    <w:rsid w:val="00622194"/>
    <w:rsid w:val="00622267"/>
    <w:rsid w:val="006222C8"/>
    <w:rsid w:val="0062243D"/>
    <w:rsid w:val="006228C7"/>
    <w:rsid w:val="006229EC"/>
    <w:rsid w:val="00622DC3"/>
    <w:rsid w:val="006238AD"/>
    <w:rsid w:val="00623A4F"/>
    <w:rsid w:val="00623ABE"/>
    <w:rsid w:val="00623B00"/>
    <w:rsid w:val="00623FD4"/>
    <w:rsid w:val="006240D0"/>
    <w:rsid w:val="00624193"/>
    <w:rsid w:val="00624CD0"/>
    <w:rsid w:val="00624D13"/>
    <w:rsid w:val="00624E14"/>
    <w:rsid w:val="00624E6A"/>
    <w:rsid w:val="00624F52"/>
    <w:rsid w:val="00625024"/>
    <w:rsid w:val="0062542C"/>
    <w:rsid w:val="006255D6"/>
    <w:rsid w:val="006256AC"/>
    <w:rsid w:val="00625777"/>
    <w:rsid w:val="00625802"/>
    <w:rsid w:val="006259FF"/>
    <w:rsid w:val="00625A57"/>
    <w:rsid w:val="006262FC"/>
    <w:rsid w:val="00626494"/>
    <w:rsid w:val="0062655E"/>
    <w:rsid w:val="006265C0"/>
    <w:rsid w:val="006266AF"/>
    <w:rsid w:val="006269BA"/>
    <w:rsid w:val="00626A2B"/>
    <w:rsid w:val="006276E7"/>
    <w:rsid w:val="00627725"/>
    <w:rsid w:val="00627906"/>
    <w:rsid w:val="006279D5"/>
    <w:rsid w:val="00627CB2"/>
    <w:rsid w:val="00627D0A"/>
    <w:rsid w:val="00627EDC"/>
    <w:rsid w:val="00630072"/>
    <w:rsid w:val="006304B3"/>
    <w:rsid w:val="006307FF"/>
    <w:rsid w:val="006308E1"/>
    <w:rsid w:val="00630B97"/>
    <w:rsid w:val="00630B9E"/>
    <w:rsid w:val="00630C21"/>
    <w:rsid w:val="00630EB9"/>
    <w:rsid w:val="00630F59"/>
    <w:rsid w:val="0063103D"/>
    <w:rsid w:val="00631116"/>
    <w:rsid w:val="006313EB"/>
    <w:rsid w:val="00631783"/>
    <w:rsid w:val="006317FD"/>
    <w:rsid w:val="00631985"/>
    <w:rsid w:val="00631AF3"/>
    <w:rsid w:val="00631AFB"/>
    <w:rsid w:val="0063234D"/>
    <w:rsid w:val="0063236E"/>
    <w:rsid w:val="00632425"/>
    <w:rsid w:val="006324CC"/>
    <w:rsid w:val="006326B0"/>
    <w:rsid w:val="00632785"/>
    <w:rsid w:val="00632A00"/>
    <w:rsid w:val="00632EDA"/>
    <w:rsid w:val="00633157"/>
    <w:rsid w:val="00633577"/>
    <w:rsid w:val="006336F8"/>
    <w:rsid w:val="00633920"/>
    <w:rsid w:val="00633AF2"/>
    <w:rsid w:val="00633D89"/>
    <w:rsid w:val="00633EEF"/>
    <w:rsid w:val="00633F0C"/>
    <w:rsid w:val="00634003"/>
    <w:rsid w:val="00634038"/>
    <w:rsid w:val="00634125"/>
    <w:rsid w:val="006346F2"/>
    <w:rsid w:val="006347B6"/>
    <w:rsid w:val="006347F8"/>
    <w:rsid w:val="006348AB"/>
    <w:rsid w:val="00634BC4"/>
    <w:rsid w:val="00634DEC"/>
    <w:rsid w:val="00634F15"/>
    <w:rsid w:val="0063527E"/>
    <w:rsid w:val="006355BF"/>
    <w:rsid w:val="00635631"/>
    <w:rsid w:val="0063576F"/>
    <w:rsid w:val="00635798"/>
    <w:rsid w:val="00635962"/>
    <w:rsid w:val="006359C6"/>
    <w:rsid w:val="006359F8"/>
    <w:rsid w:val="00635AE9"/>
    <w:rsid w:val="00635C1C"/>
    <w:rsid w:val="00636046"/>
    <w:rsid w:val="0063632B"/>
    <w:rsid w:val="0063645B"/>
    <w:rsid w:val="006364A6"/>
    <w:rsid w:val="0063680E"/>
    <w:rsid w:val="00636A15"/>
    <w:rsid w:val="00636BCA"/>
    <w:rsid w:val="00636BF0"/>
    <w:rsid w:val="00636DED"/>
    <w:rsid w:val="00636F2C"/>
    <w:rsid w:val="00637167"/>
    <w:rsid w:val="0063724D"/>
    <w:rsid w:val="00637333"/>
    <w:rsid w:val="006373F9"/>
    <w:rsid w:val="00637487"/>
    <w:rsid w:val="00637572"/>
    <w:rsid w:val="00637681"/>
    <w:rsid w:val="006376C3"/>
    <w:rsid w:val="006376F6"/>
    <w:rsid w:val="0063773A"/>
    <w:rsid w:val="0063780D"/>
    <w:rsid w:val="0063783A"/>
    <w:rsid w:val="00637B14"/>
    <w:rsid w:val="00637B70"/>
    <w:rsid w:val="00637E47"/>
    <w:rsid w:val="00640071"/>
    <w:rsid w:val="006400C6"/>
    <w:rsid w:val="0064042C"/>
    <w:rsid w:val="00640464"/>
    <w:rsid w:val="006405CE"/>
    <w:rsid w:val="00640612"/>
    <w:rsid w:val="00640925"/>
    <w:rsid w:val="00640D00"/>
    <w:rsid w:val="006411E8"/>
    <w:rsid w:val="00641223"/>
    <w:rsid w:val="00641274"/>
    <w:rsid w:val="00641330"/>
    <w:rsid w:val="0064170F"/>
    <w:rsid w:val="00641734"/>
    <w:rsid w:val="00641996"/>
    <w:rsid w:val="00641A1D"/>
    <w:rsid w:val="00641AE1"/>
    <w:rsid w:val="00641AE6"/>
    <w:rsid w:val="00641FE1"/>
    <w:rsid w:val="0064203B"/>
    <w:rsid w:val="006423E4"/>
    <w:rsid w:val="00642494"/>
    <w:rsid w:val="006425D0"/>
    <w:rsid w:val="006425E4"/>
    <w:rsid w:val="00642986"/>
    <w:rsid w:val="00642B86"/>
    <w:rsid w:val="00642BDF"/>
    <w:rsid w:val="00642E1D"/>
    <w:rsid w:val="0064348E"/>
    <w:rsid w:val="00643577"/>
    <w:rsid w:val="006437E8"/>
    <w:rsid w:val="00643812"/>
    <w:rsid w:val="00643B7F"/>
    <w:rsid w:val="00643C78"/>
    <w:rsid w:val="00643CA8"/>
    <w:rsid w:val="00643D6E"/>
    <w:rsid w:val="00643DB9"/>
    <w:rsid w:val="00643F09"/>
    <w:rsid w:val="00643FE9"/>
    <w:rsid w:val="006443AA"/>
    <w:rsid w:val="006445E0"/>
    <w:rsid w:val="00644657"/>
    <w:rsid w:val="0064496C"/>
    <w:rsid w:val="00644CAC"/>
    <w:rsid w:val="00644CF6"/>
    <w:rsid w:val="00644EEF"/>
    <w:rsid w:val="00645251"/>
    <w:rsid w:val="0064525B"/>
    <w:rsid w:val="00645290"/>
    <w:rsid w:val="0064546C"/>
    <w:rsid w:val="006454C1"/>
    <w:rsid w:val="00645576"/>
    <w:rsid w:val="006455F0"/>
    <w:rsid w:val="006457A1"/>
    <w:rsid w:val="006457C8"/>
    <w:rsid w:val="00645DD3"/>
    <w:rsid w:val="00645DE9"/>
    <w:rsid w:val="00645E47"/>
    <w:rsid w:val="00646349"/>
    <w:rsid w:val="00646559"/>
    <w:rsid w:val="0064668B"/>
    <w:rsid w:val="006467FD"/>
    <w:rsid w:val="00646A81"/>
    <w:rsid w:val="00646BAC"/>
    <w:rsid w:val="00646CBC"/>
    <w:rsid w:val="00646D4D"/>
    <w:rsid w:val="00646F42"/>
    <w:rsid w:val="00646F57"/>
    <w:rsid w:val="00647223"/>
    <w:rsid w:val="00647416"/>
    <w:rsid w:val="006475A6"/>
    <w:rsid w:val="00647A17"/>
    <w:rsid w:val="00647E11"/>
    <w:rsid w:val="00647FED"/>
    <w:rsid w:val="006500CF"/>
    <w:rsid w:val="006502D9"/>
    <w:rsid w:val="006503BB"/>
    <w:rsid w:val="0065044D"/>
    <w:rsid w:val="0065072B"/>
    <w:rsid w:val="00650888"/>
    <w:rsid w:val="00650969"/>
    <w:rsid w:val="006509CA"/>
    <w:rsid w:val="00650A63"/>
    <w:rsid w:val="00650BDC"/>
    <w:rsid w:val="00650BF8"/>
    <w:rsid w:val="00650D89"/>
    <w:rsid w:val="00650DAD"/>
    <w:rsid w:val="00650E2C"/>
    <w:rsid w:val="00651054"/>
    <w:rsid w:val="0065105E"/>
    <w:rsid w:val="006510FA"/>
    <w:rsid w:val="0065133E"/>
    <w:rsid w:val="006515D4"/>
    <w:rsid w:val="006518E8"/>
    <w:rsid w:val="00651A00"/>
    <w:rsid w:val="00651A03"/>
    <w:rsid w:val="00651B47"/>
    <w:rsid w:val="00651BAD"/>
    <w:rsid w:val="00651E66"/>
    <w:rsid w:val="00651FB1"/>
    <w:rsid w:val="006520E4"/>
    <w:rsid w:val="0065228F"/>
    <w:rsid w:val="0065244B"/>
    <w:rsid w:val="00652532"/>
    <w:rsid w:val="006527D3"/>
    <w:rsid w:val="00652914"/>
    <w:rsid w:val="00652C50"/>
    <w:rsid w:val="00652CC0"/>
    <w:rsid w:val="00652CCD"/>
    <w:rsid w:val="00652D9A"/>
    <w:rsid w:val="0065330A"/>
    <w:rsid w:val="006534EB"/>
    <w:rsid w:val="006537B3"/>
    <w:rsid w:val="006538F0"/>
    <w:rsid w:val="00653AE2"/>
    <w:rsid w:val="00653E0D"/>
    <w:rsid w:val="00653ED2"/>
    <w:rsid w:val="00654155"/>
    <w:rsid w:val="006542C2"/>
    <w:rsid w:val="0065446B"/>
    <w:rsid w:val="00654549"/>
    <w:rsid w:val="00654564"/>
    <w:rsid w:val="0065464E"/>
    <w:rsid w:val="00654665"/>
    <w:rsid w:val="00654721"/>
    <w:rsid w:val="0065498A"/>
    <w:rsid w:val="006549E3"/>
    <w:rsid w:val="00654AB2"/>
    <w:rsid w:val="00654F97"/>
    <w:rsid w:val="006555A4"/>
    <w:rsid w:val="006556D7"/>
    <w:rsid w:val="00655918"/>
    <w:rsid w:val="00655953"/>
    <w:rsid w:val="00655ADF"/>
    <w:rsid w:val="00655DD3"/>
    <w:rsid w:val="0065608F"/>
    <w:rsid w:val="006560AB"/>
    <w:rsid w:val="0065629D"/>
    <w:rsid w:val="0065638D"/>
    <w:rsid w:val="006564DE"/>
    <w:rsid w:val="0065659B"/>
    <w:rsid w:val="00656609"/>
    <w:rsid w:val="006567A7"/>
    <w:rsid w:val="00656A5A"/>
    <w:rsid w:val="00656A68"/>
    <w:rsid w:val="00656B96"/>
    <w:rsid w:val="00656D25"/>
    <w:rsid w:val="00656D2C"/>
    <w:rsid w:val="00656D2F"/>
    <w:rsid w:val="00656E30"/>
    <w:rsid w:val="00656F81"/>
    <w:rsid w:val="00657242"/>
    <w:rsid w:val="006572FC"/>
    <w:rsid w:val="00657BDF"/>
    <w:rsid w:val="006603D0"/>
    <w:rsid w:val="006604D9"/>
    <w:rsid w:val="00660526"/>
    <w:rsid w:val="0066063E"/>
    <w:rsid w:val="00660A63"/>
    <w:rsid w:val="00660F08"/>
    <w:rsid w:val="0066130E"/>
    <w:rsid w:val="0066139D"/>
    <w:rsid w:val="006614A0"/>
    <w:rsid w:val="0066153E"/>
    <w:rsid w:val="006616A6"/>
    <w:rsid w:val="00661762"/>
    <w:rsid w:val="00661FD6"/>
    <w:rsid w:val="006625EE"/>
    <w:rsid w:val="00662626"/>
    <w:rsid w:val="00662793"/>
    <w:rsid w:val="00662856"/>
    <w:rsid w:val="006628A5"/>
    <w:rsid w:val="00662CF1"/>
    <w:rsid w:val="00662DC2"/>
    <w:rsid w:val="00662F52"/>
    <w:rsid w:val="00662FF9"/>
    <w:rsid w:val="00663468"/>
    <w:rsid w:val="0066387B"/>
    <w:rsid w:val="0066397D"/>
    <w:rsid w:val="00663A30"/>
    <w:rsid w:val="00663C34"/>
    <w:rsid w:val="00663E8F"/>
    <w:rsid w:val="00664027"/>
    <w:rsid w:val="0066430F"/>
    <w:rsid w:val="0066449C"/>
    <w:rsid w:val="00665003"/>
    <w:rsid w:val="006653CC"/>
    <w:rsid w:val="00665540"/>
    <w:rsid w:val="00665840"/>
    <w:rsid w:val="006658FA"/>
    <w:rsid w:val="00665B2E"/>
    <w:rsid w:val="00665C30"/>
    <w:rsid w:val="00665CE8"/>
    <w:rsid w:val="00665FD5"/>
    <w:rsid w:val="006663C5"/>
    <w:rsid w:val="00666477"/>
    <w:rsid w:val="0066650A"/>
    <w:rsid w:val="00666539"/>
    <w:rsid w:val="00666630"/>
    <w:rsid w:val="00666B94"/>
    <w:rsid w:val="00666FDE"/>
    <w:rsid w:val="00667121"/>
    <w:rsid w:val="006672E7"/>
    <w:rsid w:val="00667692"/>
    <w:rsid w:val="006679B9"/>
    <w:rsid w:val="00667A39"/>
    <w:rsid w:val="00667B04"/>
    <w:rsid w:val="00667C75"/>
    <w:rsid w:val="00667CAB"/>
    <w:rsid w:val="00667D16"/>
    <w:rsid w:val="00667DB4"/>
    <w:rsid w:val="00670542"/>
    <w:rsid w:val="00670639"/>
    <w:rsid w:val="00670E1C"/>
    <w:rsid w:val="00670E4C"/>
    <w:rsid w:val="00671332"/>
    <w:rsid w:val="0067152E"/>
    <w:rsid w:val="006718BA"/>
    <w:rsid w:val="006718F1"/>
    <w:rsid w:val="00671B51"/>
    <w:rsid w:val="00671C79"/>
    <w:rsid w:val="00672196"/>
    <w:rsid w:val="006723D9"/>
    <w:rsid w:val="006723F5"/>
    <w:rsid w:val="006727B2"/>
    <w:rsid w:val="006728C6"/>
    <w:rsid w:val="00672990"/>
    <w:rsid w:val="00672A08"/>
    <w:rsid w:val="00672E60"/>
    <w:rsid w:val="00673196"/>
    <w:rsid w:val="006732AD"/>
    <w:rsid w:val="00673371"/>
    <w:rsid w:val="006733A2"/>
    <w:rsid w:val="00673671"/>
    <w:rsid w:val="00673BE4"/>
    <w:rsid w:val="00673DD4"/>
    <w:rsid w:val="00673E90"/>
    <w:rsid w:val="00673F42"/>
    <w:rsid w:val="00674192"/>
    <w:rsid w:val="00674253"/>
    <w:rsid w:val="00674417"/>
    <w:rsid w:val="006746E8"/>
    <w:rsid w:val="00674CA3"/>
    <w:rsid w:val="00674D37"/>
    <w:rsid w:val="0067511D"/>
    <w:rsid w:val="00675346"/>
    <w:rsid w:val="00675533"/>
    <w:rsid w:val="00675863"/>
    <w:rsid w:val="0067590D"/>
    <w:rsid w:val="0067598F"/>
    <w:rsid w:val="00675E8F"/>
    <w:rsid w:val="00675E9B"/>
    <w:rsid w:val="00675EE0"/>
    <w:rsid w:val="0067610F"/>
    <w:rsid w:val="006763C7"/>
    <w:rsid w:val="00676681"/>
    <w:rsid w:val="00676B3C"/>
    <w:rsid w:val="00676CF6"/>
    <w:rsid w:val="00676D69"/>
    <w:rsid w:val="00676E32"/>
    <w:rsid w:val="006773B0"/>
    <w:rsid w:val="006773CE"/>
    <w:rsid w:val="006774BF"/>
    <w:rsid w:val="00677536"/>
    <w:rsid w:val="00677688"/>
    <w:rsid w:val="00677826"/>
    <w:rsid w:val="006778E6"/>
    <w:rsid w:val="00677A4A"/>
    <w:rsid w:val="00677C1E"/>
    <w:rsid w:val="006800CF"/>
    <w:rsid w:val="00680946"/>
    <w:rsid w:val="00680ADF"/>
    <w:rsid w:val="00680B17"/>
    <w:rsid w:val="00680EA8"/>
    <w:rsid w:val="00680EE0"/>
    <w:rsid w:val="00680F06"/>
    <w:rsid w:val="00680FB5"/>
    <w:rsid w:val="006810BD"/>
    <w:rsid w:val="00681276"/>
    <w:rsid w:val="0068132E"/>
    <w:rsid w:val="006813BD"/>
    <w:rsid w:val="006814B8"/>
    <w:rsid w:val="006815FD"/>
    <w:rsid w:val="00681683"/>
    <w:rsid w:val="006816A2"/>
    <w:rsid w:val="00681971"/>
    <w:rsid w:val="006822F2"/>
    <w:rsid w:val="006825D5"/>
    <w:rsid w:val="006826D4"/>
    <w:rsid w:val="00682DCC"/>
    <w:rsid w:val="00682EFC"/>
    <w:rsid w:val="00682F6D"/>
    <w:rsid w:val="00682FBB"/>
    <w:rsid w:val="00683583"/>
    <w:rsid w:val="00683961"/>
    <w:rsid w:val="006839BA"/>
    <w:rsid w:val="00683AAD"/>
    <w:rsid w:val="00683C26"/>
    <w:rsid w:val="00683CB4"/>
    <w:rsid w:val="00684215"/>
    <w:rsid w:val="0068422D"/>
    <w:rsid w:val="0068446D"/>
    <w:rsid w:val="006845D1"/>
    <w:rsid w:val="00684875"/>
    <w:rsid w:val="00684C62"/>
    <w:rsid w:val="006854F1"/>
    <w:rsid w:val="00685555"/>
    <w:rsid w:val="00685596"/>
    <w:rsid w:val="006855F8"/>
    <w:rsid w:val="0068568B"/>
    <w:rsid w:val="00685C6A"/>
    <w:rsid w:val="00685DD6"/>
    <w:rsid w:val="00685E2A"/>
    <w:rsid w:val="00685FC0"/>
    <w:rsid w:val="00685FD5"/>
    <w:rsid w:val="00686484"/>
    <w:rsid w:val="006865D4"/>
    <w:rsid w:val="00686830"/>
    <w:rsid w:val="0068684B"/>
    <w:rsid w:val="00686D57"/>
    <w:rsid w:val="00687504"/>
    <w:rsid w:val="00687980"/>
    <w:rsid w:val="00687B84"/>
    <w:rsid w:val="00687C8B"/>
    <w:rsid w:val="00687EDF"/>
    <w:rsid w:val="00687F69"/>
    <w:rsid w:val="00690017"/>
    <w:rsid w:val="00690699"/>
    <w:rsid w:val="00690768"/>
    <w:rsid w:val="00690B23"/>
    <w:rsid w:val="00690F22"/>
    <w:rsid w:val="0069171A"/>
    <w:rsid w:val="00691976"/>
    <w:rsid w:val="00691E48"/>
    <w:rsid w:val="00692444"/>
    <w:rsid w:val="00692522"/>
    <w:rsid w:val="00692586"/>
    <w:rsid w:val="00692A1D"/>
    <w:rsid w:val="00692BA5"/>
    <w:rsid w:val="00692CD4"/>
    <w:rsid w:val="00692F34"/>
    <w:rsid w:val="0069350B"/>
    <w:rsid w:val="0069351B"/>
    <w:rsid w:val="0069399C"/>
    <w:rsid w:val="00693A63"/>
    <w:rsid w:val="00693BCA"/>
    <w:rsid w:val="0069432D"/>
    <w:rsid w:val="0069444F"/>
    <w:rsid w:val="00694755"/>
    <w:rsid w:val="00694CB5"/>
    <w:rsid w:val="00694D04"/>
    <w:rsid w:val="006950EC"/>
    <w:rsid w:val="00695267"/>
    <w:rsid w:val="006958E9"/>
    <w:rsid w:val="00695B68"/>
    <w:rsid w:val="00695CC8"/>
    <w:rsid w:val="0069604B"/>
    <w:rsid w:val="006962CB"/>
    <w:rsid w:val="00696593"/>
    <w:rsid w:val="006965EE"/>
    <w:rsid w:val="006969C0"/>
    <w:rsid w:val="006969C3"/>
    <w:rsid w:val="00696DC4"/>
    <w:rsid w:val="00697419"/>
    <w:rsid w:val="00697442"/>
    <w:rsid w:val="006974CF"/>
    <w:rsid w:val="00697544"/>
    <w:rsid w:val="00697658"/>
    <w:rsid w:val="00697704"/>
    <w:rsid w:val="006979C2"/>
    <w:rsid w:val="00697A4A"/>
    <w:rsid w:val="00697BAA"/>
    <w:rsid w:val="00697C2A"/>
    <w:rsid w:val="00697C35"/>
    <w:rsid w:val="00697C56"/>
    <w:rsid w:val="006A02EF"/>
    <w:rsid w:val="006A0318"/>
    <w:rsid w:val="006A036E"/>
    <w:rsid w:val="006A0488"/>
    <w:rsid w:val="006A0D01"/>
    <w:rsid w:val="006A0E56"/>
    <w:rsid w:val="006A0EDB"/>
    <w:rsid w:val="006A115A"/>
    <w:rsid w:val="006A1173"/>
    <w:rsid w:val="006A1187"/>
    <w:rsid w:val="006A1562"/>
    <w:rsid w:val="006A172F"/>
    <w:rsid w:val="006A184C"/>
    <w:rsid w:val="006A18FF"/>
    <w:rsid w:val="006A1B93"/>
    <w:rsid w:val="006A1C35"/>
    <w:rsid w:val="006A2144"/>
    <w:rsid w:val="006A26FC"/>
    <w:rsid w:val="006A283E"/>
    <w:rsid w:val="006A2866"/>
    <w:rsid w:val="006A28FD"/>
    <w:rsid w:val="006A2F17"/>
    <w:rsid w:val="006A2F19"/>
    <w:rsid w:val="006A2F5F"/>
    <w:rsid w:val="006A2F6C"/>
    <w:rsid w:val="006A36DE"/>
    <w:rsid w:val="006A3AF9"/>
    <w:rsid w:val="006A3D44"/>
    <w:rsid w:val="006A3E06"/>
    <w:rsid w:val="006A3FEB"/>
    <w:rsid w:val="006A40EF"/>
    <w:rsid w:val="006A43E8"/>
    <w:rsid w:val="006A4559"/>
    <w:rsid w:val="006A48AF"/>
    <w:rsid w:val="006A4B82"/>
    <w:rsid w:val="006A4DF6"/>
    <w:rsid w:val="006A5226"/>
    <w:rsid w:val="006A54FA"/>
    <w:rsid w:val="006A599C"/>
    <w:rsid w:val="006A5B28"/>
    <w:rsid w:val="006A5D61"/>
    <w:rsid w:val="006A63D3"/>
    <w:rsid w:val="006A640F"/>
    <w:rsid w:val="006A67F6"/>
    <w:rsid w:val="006A691C"/>
    <w:rsid w:val="006A69D3"/>
    <w:rsid w:val="006A6DBD"/>
    <w:rsid w:val="006A7181"/>
    <w:rsid w:val="006A71CE"/>
    <w:rsid w:val="006A7346"/>
    <w:rsid w:val="006A7433"/>
    <w:rsid w:val="006A77A8"/>
    <w:rsid w:val="006A7E9C"/>
    <w:rsid w:val="006B0505"/>
    <w:rsid w:val="006B0509"/>
    <w:rsid w:val="006B071E"/>
    <w:rsid w:val="006B0891"/>
    <w:rsid w:val="006B08BE"/>
    <w:rsid w:val="006B0961"/>
    <w:rsid w:val="006B0C64"/>
    <w:rsid w:val="006B1092"/>
    <w:rsid w:val="006B12C4"/>
    <w:rsid w:val="006B150C"/>
    <w:rsid w:val="006B1542"/>
    <w:rsid w:val="006B1620"/>
    <w:rsid w:val="006B1784"/>
    <w:rsid w:val="006B1B25"/>
    <w:rsid w:val="006B1B46"/>
    <w:rsid w:val="006B1BA0"/>
    <w:rsid w:val="006B1BE9"/>
    <w:rsid w:val="006B1E50"/>
    <w:rsid w:val="006B20EE"/>
    <w:rsid w:val="006B227C"/>
    <w:rsid w:val="006B2286"/>
    <w:rsid w:val="006B24D8"/>
    <w:rsid w:val="006B2CD3"/>
    <w:rsid w:val="006B2FF2"/>
    <w:rsid w:val="006B3168"/>
    <w:rsid w:val="006B3932"/>
    <w:rsid w:val="006B3989"/>
    <w:rsid w:val="006B3CCF"/>
    <w:rsid w:val="006B3EFE"/>
    <w:rsid w:val="006B3F03"/>
    <w:rsid w:val="006B3FB8"/>
    <w:rsid w:val="006B3FBD"/>
    <w:rsid w:val="006B401A"/>
    <w:rsid w:val="006B40EB"/>
    <w:rsid w:val="006B4200"/>
    <w:rsid w:val="006B4403"/>
    <w:rsid w:val="006B446A"/>
    <w:rsid w:val="006B4716"/>
    <w:rsid w:val="006B4829"/>
    <w:rsid w:val="006B4903"/>
    <w:rsid w:val="006B4AA4"/>
    <w:rsid w:val="006B4AF4"/>
    <w:rsid w:val="006B4B3D"/>
    <w:rsid w:val="006B4F30"/>
    <w:rsid w:val="006B535A"/>
    <w:rsid w:val="006B59E5"/>
    <w:rsid w:val="006B5B45"/>
    <w:rsid w:val="006B5CC5"/>
    <w:rsid w:val="006B5EB0"/>
    <w:rsid w:val="006B63AB"/>
    <w:rsid w:val="006B63FE"/>
    <w:rsid w:val="006B6602"/>
    <w:rsid w:val="006B66C0"/>
    <w:rsid w:val="006B6821"/>
    <w:rsid w:val="006B6A43"/>
    <w:rsid w:val="006B6A88"/>
    <w:rsid w:val="006B6CEA"/>
    <w:rsid w:val="006B7002"/>
    <w:rsid w:val="006B7478"/>
    <w:rsid w:val="006B7509"/>
    <w:rsid w:val="006B7734"/>
    <w:rsid w:val="006B7D46"/>
    <w:rsid w:val="006B7E56"/>
    <w:rsid w:val="006C0239"/>
    <w:rsid w:val="006C0838"/>
    <w:rsid w:val="006C08FC"/>
    <w:rsid w:val="006C0B3C"/>
    <w:rsid w:val="006C0C7B"/>
    <w:rsid w:val="006C0E82"/>
    <w:rsid w:val="006C0F2C"/>
    <w:rsid w:val="006C10C0"/>
    <w:rsid w:val="006C1106"/>
    <w:rsid w:val="006C14EB"/>
    <w:rsid w:val="006C16C4"/>
    <w:rsid w:val="006C17DD"/>
    <w:rsid w:val="006C191F"/>
    <w:rsid w:val="006C1920"/>
    <w:rsid w:val="006C2047"/>
    <w:rsid w:val="006C2182"/>
    <w:rsid w:val="006C233A"/>
    <w:rsid w:val="006C23BB"/>
    <w:rsid w:val="006C263C"/>
    <w:rsid w:val="006C269D"/>
    <w:rsid w:val="006C2719"/>
    <w:rsid w:val="006C2965"/>
    <w:rsid w:val="006C29A4"/>
    <w:rsid w:val="006C2B4F"/>
    <w:rsid w:val="006C2C1A"/>
    <w:rsid w:val="006C2E1F"/>
    <w:rsid w:val="006C2FE5"/>
    <w:rsid w:val="006C34D7"/>
    <w:rsid w:val="006C3619"/>
    <w:rsid w:val="006C3686"/>
    <w:rsid w:val="006C3AED"/>
    <w:rsid w:val="006C3B26"/>
    <w:rsid w:val="006C3BFF"/>
    <w:rsid w:val="006C3E6E"/>
    <w:rsid w:val="006C3EF7"/>
    <w:rsid w:val="006C3FDA"/>
    <w:rsid w:val="006C40BC"/>
    <w:rsid w:val="006C4189"/>
    <w:rsid w:val="006C419C"/>
    <w:rsid w:val="006C424F"/>
    <w:rsid w:val="006C42F7"/>
    <w:rsid w:val="006C434E"/>
    <w:rsid w:val="006C4450"/>
    <w:rsid w:val="006C4750"/>
    <w:rsid w:val="006C47BC"/>
    <w:rsid w:val="006C47F4"/>
    <w:rsid w:val="006C4F21"/>
    <w:rsid w:val="006C50C5"/>
    <w:rsid w:val="006C50F5"/>
    <w:rsid w:val="006C520F"/>
    <w:rsid w:val="006C523D"/>
    <w:rsid w:val="006C5360"/>
    <w:rsid w:val="006C573E"/>
    <w:rsid w:val="006C57EB"/>
    <w:rsid w:val="006C5819"/>
    <w:rsid w:val="006C5EB3"/>
    <w:rsid w:val="006C5ED5"/>
    <w:rsid w:val="006C5F2B"/>
    <w:rsid w:val="006C6222"/>
    <w:rsid w:val="006C62BD"/>
    <w:rsid w:val="006C6B66"/>
    <w:rsid w:val="006C6B92"/>
    <w:rsid w:val="006C6E6F"/>
    <w:rsid w:val="006C700F"/>
    <w:rsid w:val="006C7152"/>
    <w:rsid w:val="006C72B5"/>
    <w:rsid w:val="006C7DA8"/>
    <w:rsid w:val="006C7E36"/>
    <w:rsid w:val="006C7F9C"/>
    <w:rsid w:val="006D0065"/>
    <w:rsid w:val="006D0121"/>
    <w:rsid w:val="006D0192"/>
    <w:rsid w:val="006D01AB"/>
    <w:rsid w:val="006D01D8"/>
    <w:rsid w:val="006D03E4"/>
    <w:rsid w:val="006D0715"/>
    <w:rsid w:val="006D07C2"/>
    <w:rsid w:val="006D09AC"/>
    <w:rsid w:val="006D09B7"/>
    <w:rsid w:val="006D09C4"/>
    <w:rsid w:val="006D0ACB"/>
    <w:rsid w:val="006D0BDB"/>
    <w:rsid w:val="006D0C71"/>
    <w:rsid w:val="006D0DDA"/>
    <w:rsid w:val="006D0E68"/>
    <w:rsid w:val="006D0FC2"/>
    <w:rsid w:val="006D1438"/>
    <w:rsid w:val="006D14B2"/>
    <w:rsid w:val="006D16AB"/>
    <w:rsid w:val="006D19F6"/>
    <w:rsid w:val="006D1D51"/>
    <w:rsid w:val="006D1E16"/>
    <w:rsid w:val="006D1F1F"/>
    <w:rsid w:val="006D23F9"/>
    <w:rsid w:val="006D24BE"/>
    <w:rsid w:val="006D2504"/>
    <w:rsid w:val="006D25CB"/>
    <w:rsid w:val="006D25E9"/>
    <w:rsid w:val="006D2875"/>
    <w:rsid w:val="006D28EC"/>
    <w:rsid w:val="006D2A22"/>
    <w:rsid w:val="006D2BAF"/>
    <w:rsid w:val="006D2F2C"/>
    <w:rsid w:val="006D3116"/>
    <w:rsid w:val="006D3396"/>
    <w:rsid w:val="006D3675"/>
    <w:rsid w:val="006D3734"/>
    <w:rsid w:val="006D3BCF"/>
    <w:rsid w:val="006D3C05"/>
    <w:rsid w:val="006D3C51"/>
    <w:rsid w:val="006D3F98"/>
    <w:rsid w:val="006D434A"/>
    <w:rsid w:val="006D4487"/>
    <w:rsid w:val="006D45EA"/>
    <w:rsid w:val="006D467F"/>
    <w:rsid w:val="006D4763"/>
    <w:rsid w:val="006D4A65"/>
    <w:rsid w:val="006D5108"/>
    <w:rsid w:val="006D5327"/>
    <w:rsid w:val="006D5362"/>
    <w:rsid w:val="006D54B8"/>
    <w:rsid w:val="006D55D3"/>
    <w:rsid w:val="006D56D0"/>
    <w:rsid w:val="006D5A90"/>
    <w:rsid w:val="006D5AE8"/>
    <w:rsid w:val="006D5E4B"/>
    <w:rsid w:val="006D5E6D"/>
    <w:rsid w:val="006D5FD0"/>
    <w:rsid w:val="006D62B3"/>
    <w:rsid w:val="006D650F"/>
    <w:rsid w:val="006D66E2"/>
    <w:rsid w:val="006D676D"/>
    <w:rsid w:val="006D682C"/>
    <w:rsid w:val="006D6AF5"/>
    <w:rsid w:val="006D6DB5"/>
    <w:rsid w:val="006D6DCF"/>
    <w:rsid w:val="006D6EEB"/>
    <w:rsid w:val="006D713F"/>
    <w:rsid w:val="006D71CF"/>
    <w:rsid w:val="006D7439"/>
    <w:rsid w:val="006D76CB"/>
    <w:rsid w:val="006D7795"/>
    <w:rsid w:val="006D7B82"/>
    <w:rsid w:val="006D7FC2"/>
    <w:rsid w:val="006E0784"/>
    <w:rsid w:val="006E0BAA"/>
    <w:rsid w:val="006E0F66"/>
    <w:rsid w:val="006E1132"/>
    <w:rsid w:val="006E1207"/>
    <w:rsid w:val="006E144C"/>
    <w:rsid w:val="006E1576"/>
    <w:rsid w:val="006E18EC"/>
    <w:rsid w:val="006E19A3"/>
    <w:rsid w:val="006E1CC8"/>
    <w:rsid w:val="006E21A3"/>
    <w:rsid w:val="006E2465"/>
    <w:rsid w:val="006E2851"/>
    <w:rsid w:val="006E2951"/>
    <w:rsid w:val="006E2B95"/>
    <w:rsid w:val="006E2C4C"/>
    <w:rsid w:val="006E2C9C"/>
    <w:rsid w:val="006E3012"/>
    <w:rsid w:val="006E306B"/>
    <w:rsid w:val="006E34C2"/>
    <w:rsid w:val="006E3755"/>
    <w:rsid w:val="006E3769"/>
    <w:rsid w:val="006E3797"/>
    <w:rsid w:val="006E381E"/>
    <w:rsid w:val="006E3861"/>
    <w:rsid w:val="006E3C61"/>
    <w:rsid w:val="006E3CA0"/>
    <w:rsid w:val="006E3F62"/>
    <w:rsid w:val="006E408A"/>
    <w:rsid w:val="006E45A8"/>
    <w:rsid w:val="006E486F"/>
    <w:rsid w:val="006E4ADE"/>
    <w:rsid w:val="006E4BD5"/>
    <w:rsid w:val="006E4E12"/>
    <w:rsid w:val="006E4F66"/>
    <w:rsid w:val="006E5102"/>
    <w:rsid w:val="006E5111"/>
    <w:rsid w:val="006E54CC"/>
    <w:rsid w:val="006E5551"/>
    <w:rsid w:val="006E5785"/>
    <w:rsid w:val="006E5D2C"/>
    <w:rsid w:val="006E5DB9"/>
    <w:rsid w:val="006E6209"/>
    <w:rsid w:val="006E6311"/>
    <w:rsid w:val="006E6433"/>
    <w:rsid w:val="006E6682"/>
    <w:rsid w:val="006E66E0"/>
    <w:rsid w:val="006E6796"/>
    <w:rsid w:val="006E6861"/>
    <w:rsid w:val="006E68D9"/>
    <w:rsid w:val="006E68E5"/>
    <w:rsid w:val="006E6B7E"/>
    <w:rsid w:val="006E6C61"/>
    <w:rsid w:val="006E6D51"/>
    <w:rsid w:val="006E7301"/>
    <w:rsid w:val="006E74C0"/>
    <w:rsid w:val="006E76F1"/>
    <w:rsid w:val="006E78E2"/>
    <w:rsid w:val="006E7991"/>
    <w:rsid w:val="006E7A22"/>
    <w:rsid w:val="006E7A40"/>
    <w:rsid w:val="006E7C8E"/>
    <w:rsid w:val="006E7EC2"/>
    <w:rsid w:val="006F00A1"/>
    <w:rsid w:val="006F01B1"/>
    <w:rsid w:val="006F01CB"/>
    <w:rsid w:val="006F025A"/>
    <w:rsid w:val="006F0351"/>
    <w:rsid w:val="006F043F"/>
    <w:rsid w:val="006F0573"/>
    <w:rsid w:val="006F07FD"/>
    <w:rsid w:val="006F099D"/>
    <w:rsid w:val="006F0A1F"/>
    <w:rsid w:val="006F0BEE"/>
    <w:rsid w:val="006F0D60"/>
    <w:rsid w:val="006F0DBE"/>
    <w:rsid w:val="006F0ED0"/>
    <w:rsid w:val="006F0F50"/>
    <w:rsid w:val="006F1148"/>
    <w:rsid w:val="006F135E"/>
    <w:rsid w:val="006F1548"/>
    <w:rsid w:val="006F154A"/>
    <w:rsid w:val="006F162A"/>
    <w:rsid w:val="006F168F"/>
    <w:rsid w:val="006F16D3"/>
    <w:rsid w:val="006F184D"/>
    <w:rsid w:val="006F1979"/>
    <w:rsid w:val="006F19F1"/>
    <w:rsid w:val="006F1AE9"/>
    <w:rsid w:val="006F1D45"/>
    <w:rsid w:val="006F1EAB"/>
    <w:rsid w:val="006F1F31"/>
    <w:rsid w:val="006F22CC"/>
    <w:rsid w:val="006F2391"/>
    <w:rsid w:val="006F24AF"/>
    <w:rsid w:val="006F2DB9"/>
    <w:rsid w:val="006F3112"/>
    <w:rsid w:val="006F3140"/>
    <w:rsid w:val="006F31FF"/>
    <w:rsid w:val="006F3561"/>
    <w:rsid w:val="006F39F0"/>
    <w:rsid w:val="006F3AB1"/>
    <w:rsid w:val="006F3AE7"/>
    <w:rsid w:val="006F3FF3"/>
    <w:rsid w:val="006F4250"/>
    <w:rsid w:val="006F45E2"/>
    <w:rsid w:val="006F4754"/>
    <w:rsid w:val="006F4919"/>
    <w:rsid w:val="006F4A89"/>
    <w:rsid w:val="006F4B4F"/>
    <w:rsid w:val="006F4CDD"/>
    <w:rsid w:val="006F4D08"/>
    <w:rsid w:val="006F5126"/>
    <w:rsid w:val="006F5133"/>
    <w:rsid w:val="006F531C"/>
    <w:rsid w:val="006F588C"/>
    <w:rsid w:val="006F59C5"/>
    <w:rsid w:val="006F5B2A"/>
    <w:rsid w:val="006F5F74"/>
    <w:rsid w:val="006F6218"/>
    <w:rsid w:val="006F640E"/>
    <w:rsid w:val="006F6446"/>
    <w:rsid w:val="006F6471"/>
    <w:rsid w:val="006F64BE"/>
    <w:rsid w:val="006F6C8A"/>
    <w:rsid w:val="006F6F76"/>
    <w:rsid w:val="006F7090"/>
    <w:rsid w:val="006F7125"/>
    <w:rsid w:val="006F77FA"/>
    <w:rsid w:val="006F7E3A"/>
    <w:rsid w:val="006F7FB8"/>
    <w:rsid w:val="007001BE"/>
    <w:rsid w:val="007001DA"/>
    <w:rsid w:val="007003ED"/>
    <w:rsid w:val="00700438"/>
    <w:rsid w:val="00700522"/>
    <w:rsid w:val="00700820"/>
    <w:rsid w:val="00700839"/>
    <w:rsid w:val="00700B05"/>
    <w:rsid w:val="00700D19"/>
    <w:rsid w:val="00700D26"/>
    <w:rsid w:val="007015C3"/>
    <w:rsid w:val="0070194B"/>
    <w:rsid w:val="00701C0F"/>
    <w:rsid w:val="00701C8D"/>
    <w:rsid w:val="00701CFB"/>
    <w:rsid w:val="00701DDB"/>
    <w:rsid w:val="007020B2"/>
    <w:rsid w:val="007024A7"/>
    <w:rsid w:val="00702B2F"/>
    <w:rsid w:val="00702B65"/>
    <w:rsid w:val="00702D40"/>
    <w:rsid w:val="00702E5F"/>
    <w:rsid w:val="00703033"/>
    <w:rsid w:val="007032AB"/>
    <w:rsid w:val="007033E6"/>
    <w:rsid w:val="007035D0"/>
    <w:rsid w:val="00703693"/>
    <w:rsid w:val="007036EE"/>
    <w:rsid w:val="0070372C"/>
    <w:rsid w:val="00703863"/>
    <w:rsid w:val="00703EDB"/>
    <w:rsid w:val="00704220"/>
    <w:rsid w:val="00704447"/>
    <w:rsid w:val="0070452B"/>
    <w:rsid w:val="00704532"/>
    <w:rsid w:val="00704552"/>
    <w:rsid w:val="0070455C"/>
    <w:rsid w:val="007046A8"/>
    <w:rsid w:val="00704738"/>
    <w:rsid w:val="007047F6"/>
    <w:rsid w:val="00704893"/>
    <w:rsid w:val="00705287"/>
    <w:rsid w:val="0070548B"/>
    <w:rsid w:val="0070584B"/>
    <w:rsid w:val="00705868"/>
    <w:rsid w:val="00705AD1"/>
    <w:rsid w:val="0070613C"/>
    <w:rsid w:val="007061BE"/>
    <w:rsid w:val="007063E6"/>
    <w:rsid w:val="00706421"/>
    <w:rsid w:val="0070676D"/>
    <w:rsid w:val="00706B3C"/>
    <w:rsid w:val="00706CDF"/>
    <w:rsid w:val="00706D3D"/>
    <w:rsid w:val="00706D59"/>
    <w:rsid w:val="00706F6A"/>
    <w:rsid w:val="00707954"/>
    <w:rsid w:val="00707C7D"/>
    <w:rsid w:val="00710061"/>
    <w:rsid w:val="0071006C"/>
    <w:rsid w:val="00710154"/>
    <w:rsid w:val="00710440"/>
    <w:rsid w:val="007107BE"/>
    <w:rsid w:val="00710952"/>
    <w:rsid w:val="00710A19"/>
    <w:rsid w:val="00710AE8"/>
    <w:rsid w:val="00710BFA"/>
    <w:rsid w:val="00710E00"/>
    <w:rsid w:val="00710F96"/>
    <w:rsid w:val="00711146"/>
    <w:rsid w:val="007114C8"/>
    <w:rsid w:val="007115A8"/>
    <w:rsid w:val="00711629"/>
    <w:rsid w:val="007116C5"/>
    <w:rsid w:val="00711C34"/>
    <w:rsid w:val="00711E2B"/>
    <w:rsid w:val="00711F83"/>
    <w:rsid w:val="007121F9"/>
    <w:rsid w:val="007125BC"/>
    <w:rsid w:val="00712D66"/>
    <w:rsid w:val="00713015"/>
    <w:rsid w:val="0071328A"/>
    <w:rsid w:val="007132BD"/>
    <w:rsid w:val="0071348C"/>
    <w:rsid w:val="007135BF"/>
    <w:rsid w:val="00713703"/>
    <w:rsid w:val="007139E6"/>
    <w:rsid w:val="00713AF5"/>
    <w:rsid w:val="00713CA1"/>
    <w:rsid w:val="00713E9F"/>
    <w:rsid w:val="0071413C"/>
    <w:rsid w:val="00714327"/>
    <w:rsid w:val="0071448D"/>
    <w:rsid w:val="007144B4"/>
    <w:rsid w:val="0071469E"/>
    <w:rsid w:val="007147E2"/>
    <w:rsid w:val="007147E3"/>
    <w:rsid w:val="007148C2"/>
    <w:rsid w:val="00714D11"/>
    <w:rsid w:val="00714E5D"/>
    <w:rsid w:val="00715474"/>
    <w:rsid w:val="00715613"/>
    <w:rsid w:val="0071571D"/>
    <w:rsid w:val="00715AA8"/>
    <w:rsid w:val="00715C38"/>
    <w:rsid w:val="00715C49"/>
    <w:rsid w:val="00715D92"/>
    <w:rsid w:val="00715E74"/>
    <w:rsid w:val="00715ED7"/>
    <w:rsid w:val="007161A3"/>
    <w:rsid w:val="00716485"/>
    <w:rsid w:val="00716664"/>
    <w:rsid w:val="007167FF"/>
    <w:rsid w:val="00716871"/>
    <w:rsid w:val="00716A6A"/>
    <w:rsid w:val="00716D4C"/>
    <w:rsid w:val="00717253"/>
    <w:rsid w:val="00717AB9"/>
    <w:rsid w:val="00717C31"/>
    <w:rsid w:val="00717E53"/>
    <w:rsid w:val="007200CE"/>
    <w:rsid w:val="00720163"/>
    <w:rsid w:val="00720186"/>
    <w:rsid w:val="00720294"/>
    <w:rsid w:val="007203FD"/>
    <w:rsid w:val="0072053A"/>
    <w:rsid w:val="007206F9"/>
    <w:rsid w:val="00720CCD"/>
    <w:rsid w:val="00720D17"/>
    <w:rsid w:val="00720EC7"/>
    <w:rsid w:val="00721022"/>
    <w:rsid w:val="007210B9"/>
    <w:rsid w:val="00721198"/>
    <w:rsid w:val="00721253"/>
    <w:rsid w:val="00721448"/>
    <w:rsid w:val="0072168D"/>
    <w:rsid w:val="00721C40"/>
    <w:rsid w:val="00721D18"/>
    <w:rsid w:val="00721DC6"/>
    <w:rsid w:val="00721FAC"/>
    <w:rsid w:val="0072202F"/>
    <w:rsid w:val="00722098"/>
    <w:rsid w:val="0072209E"/>
    <w:rsid w:val="007222AD"/>
    <w:rsid w:val="0072287C"/>
    <w:rsid w:val="00722953"/>
    <w:rsid w:val="00722B60"/>
    <w:rsid w:val="00722CB1"/>
    <w:rsid w:val="007231F1"/>
    <w:rsid w:val="00723656"/>
    <w:rsid w:val="00723B0B"/>
    <w:rsid w:val="00723BB3"/>
    <w:rsid w:val="00723DF1"/>
    <w:rsid w:val="00723F38"/>
    <w:rsid w:val="00724125"/>
    <w:rsid w:val="0072416D"/>
    <w:rsid w:val="007243FE"/>
    <w:rsid w:val="007244BE"/>
    <w:rsid w:val="007245EB"/>
    <w:rsid w:val="00724730"/>
    <w:rsid w:val="00724A6F"/>
    <w:rsid w:val="00724D02"/>
    <w:rsid w:val="00724DC8"/>
    <w:rsid w:val="0072508A"/>
    <w:rsid w:val="007253BB"/>
    <w:rsid w:val="00725569"/>
    <w:rsid w:val="00725699"/>
    <w:rsid w:val="007256AB"/>
    <w:rsid w:val="00725B87"/>
    <w:rsid w:val="00725CED"/>
    <w:rsid w:val="00726098"/>
    <w:rsid w:val="0072627B"/>
    <w:rsid w:val="00726325"/>
    <w:rsid w:val="00726623"/>
    <w:rsid w:val="0072664B"/>
    <w:rsid w:val="007269A4"/>
    <w:rsid w:val="00726ACE"/>
    <w:rsid w:val="00726AD4"/>
    <w:rsid w:val="00726AD9"/>
    <w:rsid w:val="00726BB2"/>
    <w:rsid w:val="00726F14"/>
    <w:rsid w:val="007273E5"/>
    <w:rsid w:val="00727771"/>
    <w:rsid w:val="00727844"/>
    <w:rsid w:val="00727955"/>
    <w:rsid w:val="00727EFF"/>
    <w:rsid w:val="00730287"/>
    <w:rsid w:val="00730A27"/>
    <w:rsid w:val="00730B55"/>
    <w:rsid w:val="00730E78"/>
    <w:rsid w:val="00730F93"/>
    <w:rsid w:val="0073132A"/>
    <w:rsid w:val="0073153E"/>
    <w:rsid w:val="00731559"/>
    <w:rsid w:val="00731827"/>
    <w:rsid w:val="0073189C"/>
    <w:rsid w:val="00731B6C"/>
    <w:rsid w:val="00731CAE"/>
    <w:rsid w:val="00731D5C"/>
    <w:rsid w:val="00731E6D"/>
    <w:rsid w:val="00731FFA"/>
    <w:rsid w:val="007321ED"/>
    <w:rsid w:val="00732688"/>
    <w:rsid w:val="00732AF7"/>
    <w:rsid w:val="00732E70"/>
    <w:rsid w:val="00732F86"/>
    <w:rsid w:val="00732F9C"/>
    <w:rsid w:val="007330F1"/>
    <w:rsid w:val="0073319F"/>
    <w:rsid w:val="007334A7"/>
    <w:rsid w:val="00733A11"/>
    <w:rsid w:val="00733A3A"/>
    <w:rsid w:val="00733B98"/>
    <w:rsid w:val="007343BC"/>
    <w:rsid w:val="00734906"/>
    <w:rsid w:val="00734928"/>
    <w:rsid w:val="00734AC1"/>
    <w:rsid w:val="00734DDC"/>
    <w:rsid w:val="00735081"/>
    <w:rsid w:val="0073508B"/>
    <w:rsid w:val="007351D0"/>
    <w:rsid w:val="007351D7"/>
    <w:rsid w:val="0073527B"/>
    <w:rsid w:val="00735288"/>
    <w:rsid w:val="00735298"/>
    <w:rsid w:val="0073578C"/>
    <w:rsid w:val="0073578F"/>
    <w:rsid w:val="00735DA1"/>
    <w:rsid w:val="00735E05"/>
    <w:rsid w:val="00736041"/>
    <w:rsid w:val="00736216"/>
    <w:rsid w:val="007362D1"/>
    <w:rsid w:val="0073642C"/>
    <w:rsid w:val="00736464"/>
    <w:rsid w:val="00736BE7"/>
    <w:rsid w:val="00736C8C"/>
    <w:rsid w:val="00736F47"/>
    <w:rsid w:val="0073734E"/>
    <w:rsid w:val="007376D2"/>
    <w:rsid w:val="007404D8"/>
    <w:rsid w:val="00740757"/>
    <w:rsid w:val="00740AD8"/>
    <w:rsid w:val="00740B2E"/>
    <w:rsid w:val="00740CAF"/>
    <w:rsid w:val="00740D3B"/>
    <w:rsid w:val="00740EB6"/>
    <w:rsid w:val="00740F37"/>
    <w:rsid w:val="00740FBB"/>
    <w:rsid w:val="00740FD6"/>
    <w:rsid w:val="00741357"/>
    <w:rsid w:val="00741448"/>
    <w:rsid w:val="00741470"/>
    <w:rsid w:val="007414F7"/>
    <w:rsid w:val="00741835"/>
    <w:rsid w:val="0074192D"/>
    <w:rsid w:val="00741A1D"/>
    <w:rsid w:val="0074204F"/>
    <w:rsid w:val="0074274E"/>
    <w:rsid w:val="0074295F"/>
    <w:rsid w:val="007429AE"/>
    <w:rsid w:val="00742A29"/>
    <w:rsid w:val="00742A70"/>
    <w:rsid w:val="00742A94"/>
    <w:rsid w:val="00742C5A"/>
    <w:rsid w:val="00742C91"/>
    <w:rsid w:val="0074303B"/>
    <w:rsid w:val="00743049"/>
    <w:rsid w:val="007431B0"/>
    <w:rsid w:val="007433C1"/>
    <w:rsid w:val="007435A6"/>
    <w:rsid w:val="007438D3"/>
    <w:rsid w:val="00743AA7"/>
    <w:rsid w:val="00743B59"/>
    <w:rsid w:val="00743C99"/>
    <w:rsid w:val="00743D1F"/>
    <w:rsid w:val="00743DE4"/>
    <w:rsid w:val="007447DF"/>
    <w:rsid w:val="00744913"/>
    <w:rsid w:val="00744A53"/>
    <w:rsid w:val="00744F9F"/>
    <w:rsid w:val="0074543F"/>
    <w:rsid w:val="007454AB"/>
    <w:rsid w:val="00745532"/>
    <w:rsid w:val="007458D3"/>
    <w:rsid w:val="00745BA4"/>
    <w:rsid w:val="00745F27"/>
    <w:rsid w:val="00746084"/>
    <w:rsid w:val="007464B6"/>
    <w:rsid w:val="00746892"/>
    <w:rsid w:val="00746ACC"/>
    <w:rsid w:val="007472F9"/>
    <w:rsid w:val="0074731B"/>
    <w:rsid w:val="007477FF"/>
    <w:rsid w:val="00747EDA"/>
    <w:rsid w:val="00747EE7"/>
    <w:rsid w:val="00750050"/>
    <w:rsid w:val="007500C8"/>
    <w:rsid w:val="00750436"/>
    <w:rsid w:val="007507C1"/>
    <w:rsid w:val="007508F5"/>
    <w:rsid w:val="00750B25"/>
    <w:rsid w:val="0075140D"/>
    <w:rsid w:val="00751651"/>
    <w:rsid w:val="007517F3"/>
    <w:rsid w:val="00751B84"/>
    <w:rsid w:val="007522D3"/>
    <w:rsid w:val="007523E0"/>
    <w:rsid w:val="007525D0"/>
    <w:rsid w:val="0075272A"/>
    <w:rsid w:val="0075272C"/>
    <w:rsid w:val="007528C7"/>
    <w:rsid w:val="007528E1"/>
    <w:rsid w:val="007528E9"/>
    <w:rsid w:val="00752A3C"/>
    <w:rsid w:val="00752AF8"/>
    <w:rsid w:val="00752CF1"/>
    <w:rsid w:val="0075338D"/>
    <w:rsid w:val="00753597"/>
    <w:rsid w:val="00753A42"/>
    <w:rsid w:val="00753A72"/>
    <w:rsid w:val="00753B43"/>
    <w:rsid w:val="00753D88"/>
    <w:rsid w:val="00753F91"/>
    <w:rsid w:val="0075402B"/>
    <w:rsid w:val="0075402E"/>
    <w:rsid w:val="00754265"/>
    <w:rsid w:val="007545B7"/>
    <w:rsid w:val="00754783"/>
    <w:rsid w:val="007549CA"/>
    <w:rsid w:val="007549E7"/>
    <w:rsid w:val="00754B19"/>
    <w:rsid w:val="00754C48"/>
    <w:rsid w:val="00754C4A"/>
    <w:rsid w:val="007550D9"/>
    <w:rsid w:val="0075512B"/>
    <w:rsid w:val="0075514A"/>
    <w:rsid w:val="00755226"/>
    <w:rsid w:val="007556A8"/>
    <w:rsid w:val="00755852"/>
    <w:rsid w:val="00755A85"/>
    <w:rsid w:val="00755D79"/>
    <w:rsid w:val="00755EEE"/>
    <w:rsid w:val="00756502"/>
    <w:rsid w:val="007565D2"/>
    <w:rsid w:val="007567F2"/>
    <w:rsid w:val="00756BDE"/>
    <w:rsid w:val="00756C99"/>
    <w:rsid w:val="00756CDE"/>
    <w:rsid w:val="00756DF4"/>
    <w:rsid w:val="00756F36"/>
    <w:rsid w:val="00757262"/>
    <w:rsid w:val="00757823"/>
    <w:rsid w:val="007579C3"/>
    <w:rsid w:val="00757B02"/>
    <w:rsid w:val="00757CBC"/>
    <w:rsid w:val="00757CC5"/>
    <w:rsid w:val="00757EE5"/>
    <w:rsid w:val="00757F3B"/>
    <w:rsid w:val="007600D8"/>
    <w:rsid w:val="00760513"/>
    <w:rsid w:val="007609ED"/>
    <w:rsid w:val="00760A8A"/>
    <w:rsid w:val="00760CDB"/>
    <w:rsid w:val="00760D44"/>
    <w:rsid w:val="00760F0F"/>
    <w:rsid w:val="00760F61"/>
    <w:rsid w:val="0076146A"/>
    <w:rsid w:val="00761721"/>
    <w:rsid w:val="007617C7"/>
    <w:rsid w:val="00761825"/>
    <w:rsid w:val="00761ADD"/>
    <w:rsid w:val="00761E96"/>
    <w:rsid w:val="00761EE3"/>
    <w:rsid w:val="007621BE"/>
    <w:rsid w:val="00762291"/>
    <w:rsid w:val="00762578"/>
    <w:rsid w:val="00762748"/>
    <w:rsid w:val="007627AB"/>
    <w:rsid w:val="00762968"/>
    <w:rsid w:val="00762EEA"/>
    <w:rsid w:val="00762FD4"/>
    <w:rsid w:val="00763194"/>
    <w:rsid w:val="007635AE"/>
    <w:rsid w:val="00763B1A"/>
    <w:rsid w:val="00763F79"/>
    <w:rsid w:val="00764180"/>
    <w:rsid w:val="0076427F"/>
    <w:rsid w:val="00764366"/>
    <w:rsid w:val="00764507"/>
    <w:rsid w:val="007648F2"/>
    <w:rsid w:val="00764ACD"/>
    <w:rsid w:val="00764C18"/>
    <w:rsid w:val="00764DEE"/>
    <w:rsid w:val="007651E5"/>
    <w:rsid w:val="007656FC"/>
    <w:rsid w:val="007657D3"/>
    <w:rsid w:val="00765A7B"/>
    <w:rsid w:val="00765E7F"/>
    <w:rsid w:val="0076629D"/>
    <w:rsid w:val="0076651E"/>
    <w:rsid w:val="00766568"/>
    <w:rsid w:val="0076683E"/>
    <w:rsid w:val="00766872"/>
    <w:rsid w:val="00766AA1"/>
    <w:rsid w:val="00766AF9"/>
    <w:rsid w:val="00766BA7"/>
    <w:rsid w:val="00766DFE"/>
    <w:rsid w:val="00766E5A"/>
    <w:rsid w:val="00766F40"/>
    <w:rsid w:val="00767CBC"/>
    <w:rsid w:val="00770031"/>
    <w:rsid w:val="007704D4"/>
    <w:rsid w:val="00770790"/>
    <w:rsid w:val="0077096F"/>
    <w:rsid w:val="00770A1F"/>
    <w:rsid w:val="00770AB7"/>
    <w:rsid w:val="00770CD0"/>
    <w:rsid w:val="00770D3C"/>
    <w:rsid w:val="00770F18"/>
    <w:rsid w:val="00770F2C"/>
    <w:rsid w:val="007710F0"/>
    <w:rsid w:val="007713DF"/>
    <w:rsid w:val="007718D0"/>
    <w:rsid w:val="00771B5E"/>
    <w:rsid w:val="00771F29"/>
    <w:rsid w:val="0077207D"/>
    <w:rsid w:val="0077219B"/>
    <w:rsid w:val="0077230F"/>
    <w:rsid w:val="00772343"/>
    <w:rsid w:val="00772522"/>
    <w:rsid w:val="0077258F"/>
    <w:rsid w:val="00772831"/>
    <w:rsid w:val="00772AF6"/>
    <w:rsid w:val="00772BFB"/>
    <w:rsid w:val="00772C69"/>
    <w:rsid w:val="007734A6"/>
    <w:rsid w:val="00773824"/>
    <w:rsid w:val="007738C0"/>
    <w:rsid w:val="00773AEE"/>
    <w:rsid w:val="00773F96"/>
    <w:rsid w:val="0077409F"/>
    <w:rsid w:val="007742FB"/>
    <w:rsid w:val="00774376"/>
    <w:rsid w:val="00774383"/>
    <w:rsid w:val="007744FE"/>
    <w:rsid w:val="007749DB"/>
    <w:rsid w:val="00774BE7"/>
    <w:rsid w:val="00774F4B"/>
    <w:rsid w:val="00774FD2"/>
    <w:rsid w:val="0077515B"/>
    <w:rsid w:val="007752BE"/>
    <w:rsid w:val="0077538B"/>
    <w:rsid w:val="0077589D"/>
    <w:rsid w:val="00775E05"/>
    <w:rsid w:val="00776457"/>
    <w:rsid w:val="007765A0"/>
    <w:rsid w:val="007769B6"/>
    <w:rsid w:val="00776A64"/>
    <w:rsid w:val="00776C8B"/>
    <w:rsid w:val="00776D8C"/>
    <w:rsid w:val="00776D9C"/>
    <w:rsid w:val="00777010"/>
    <w:rsid w:val="0077746E"/>
    <w:rsid w:val="007778BE"/>
    <w:rsid w:val="007779E5"/>
    <w:rsid w:val="00777F5E"/>
    <w:rsid w:val="00777FD3"/>
    <w:rsid w:val="007800AC"/>
    <w:rsid w:val="007802C5"/>
    <w:rsid w:val="0078042F"/>
    <w:rsid w:val="00780713"/>
    <w:rsid w:val="007809E5"/>
    <w:rsid w:val="00780BDB"/>
    <w:rsid w:val="00780CE5"/>
    <w:rsid w:val="007810CB"/>
    <w:rsid w:val="007810CF"/>
    <w:rsid w:val="007811C2"/>
    <w:rsid w:val="007812B9"/>
    <w:rsid w:val="00781465"/>
    <w:rsid w:val="007815F8"/>
    <w:rsid w:val="00781A20"/>
    <w:rsid w:val="00781A62"/>
    <w:rsid w:val="00781C2F"/>
    <w:rsid w:val="00781C97"/>
    <w:rsid w:val="00781DB7"/>
    <w:rsid w:val="00781DF2"/>
    <w:rsid w:val="00782262"/>
    <w:rsid w:val="00782516"/>
    <w:rsid w:val="007825F8"/>
    <w:rsid w:val="00782890"/>
    <w:rsid w:val="007829BB"/>
    <w:rsid w:val="007829E8"/>
    <w:rsid w:val="00782DDC"/>
    <w:rsid w:val="00782FE2"/>
    <w:rsid w:val="0078343E"/>
    <w:rsid w:val="007834A1"/>
    <w:rsid w:val="0078366D"/>
    <w:rsid w:val="007836E0"/>
    <w:rsid w:val="007838C7"/>
    <w:rsid w:val="00783A02"/>
    <w:rsid w:val="00783F22"/>
    <w:rsid w:val="00783F70"/>
    <w:rsid w:val="00784144"/>
    <w:rsid w:val="00784373"/>
    <w:rsid w:val="007843E5"/>
    <w:rsid w:val="00784725"/>
    <w:rsid w:val="007848FE"/>
    <w:rsid w:val="00784981"/>
    <w:rsid w:val="00784CF4"/>
    <w:rsid w:val="0078518D"/>
    <w:rsid w:val="007851C8"/>
    <w:rsid w:val="00785480"/>
    <w:rsid w:val="00785A33"/>
    <w:rsid w:val="00785A7A"/>
    <w:rsid w:val="00785B6B"/>
    <w:rsid w:val="00785BE3"/>
    <w:rsid w:val="00785E1C"/>
    <w:rsid w:val="00785FE0"/>
    <w:rsid w:val="00786019"/>
    <w:rsid w:val="007860A5"/>
    <w:rsid w:val="0078668A"/>
    <w:rsid w:val="007867F9"/>
    <w:rsid w:val="00786982"/>
    <w:rsid w:val="00786986"/>
    <w:rsid w:val="00786A37"/>
    <w:rsid w:val="00786E15"/>
    <w:rsid w:val="00786E50"/>
    <w:rsid w:val="00786F2E"/>
    <w:rsid w:val="00787466"/>
    <w:rsid w:val="007877B9"/>
    <w:rsid w:val="007879E5"/>
    <w:rsid w:val="00787B3F"/>
    <w:rsid w:val="00787C0E"/>
    <w:rsid w:val="00787DE1"/>
    <w:rsid w:val="00787F30"/>
    <w:rsid w:val="0079020D"/>
    <w:rsid w:val="0079078C"/>
    <w:rsid w:val="007907AA"/>
    <w:rsid w:val="00790BB7"/>
    <w:rsid w:val="007912A3"/>
    <w:rsid w:val="0079133B"/>
    <w:rsid w:val="0079134F"/>
    <w:rsid w:val="0079159F"/>
    <w:rsid w:val="0079177D"/>
    <w:rsid w:val="0079199A"/>
    <w:rsid w:val="00791D89"/>
    <w:rsid w:val="00791E71"/>
    <w:rsid w:val="00791F35"/>
    <w:rsid w:val="007920B6"/>
    <w:rsid w:val="007920E7"/>
    <w:rsid w:val="00792123"/>
    <w:rsid w:val="0079224E"/>
    <w:rsid w:val="00792701"/>
    <w:rsid w:val="00792960"/>
    <w:rsid w:val="00792F06"/>
    <w:rsid w:val="0079325E"/>
    <w:rsid w:val="00793532"/>
    <w:rsid w:val="0079372F"/>
    <w:rsid w:val="0079376C"/>
    <w:rsid w:val="007937E0"/>
    <w:rsid w:val="007938E6"/>
    <w:rsid w:val="00793BCE"/>
    <w:rsid w:val="00794341"/>
    <w:rsid w:val="007944CF"/>
    <w:rsid w:val="00794503"/>
    <w:rsid w:val="007946DD"/>
    <w:rsid w:val="00794AB1"/>
    <w:rsid w:val="00794B92"/>
    <w:rsid w:val="00794C2E"/>
    <w:rsid w:val="00794F34"/>
    <w:rsid w:val="00795348"/>
    <w:rsid w:val="0079560A"/>
    <w:rsid w:val="007957E0"/>
    <w:rsid w:val="007958AC"/>
    <w:rsid w:val="00795A72"/>
    <w:rsid w:val="00795DE9"/>
    <w:rsid w:val="00796025"/>
    <w:rsid w:val="0079615C"/>
    <w:rsid w:val="00796633"/>
    <w:rsid w:val="0079676C"/>
    <w:rsid w:val="00797618"/>
    <w:rsid w:val="00797796"/>
    <w:rsid w:val="0079796D"/>
    <w:rsid w:val="00797D77"/>
    <w:rsid w:val="00797DFB"/>
    <w:rsid w:val="00797E2F"/>
    <w:rsid w:val="00797F60"/>
    <w:rsid w:val="007A0340"/>
    <w:rsid w:val="007A03BA"/>
    <w:rsid w:val="007A05A6"/>
    <w:rsid w:val="007A0644"/>
    <w:rsid w:val="007A07CA"/>
    <w:rsid w:val="007A0E16"/>
    <w:rsid w:val="007A0FD7"/>
    <w:rsid w:val="007A103A"/>
    <w:rsid w:val="007A13B6"/>
    <w:rsid w:val="007A147A"/>
    <w:rsid w:val="007A149C"/>
    <w:rsid w:val="007A15AF"/>
    <w:rsid w:val="007A1711"/>
    <w:rsid w:val="007A1A70"/>
    <w:rsid w:val="007A1CBE"/>
    <w:rsid w:val="007A214A"/>
    <w:rsid w:val="007A2615"/>
    <w:rsid w:val="007A2713"/>
    <w:rsid w:val="007A27AB"/>
    <w:rsid w:val="007A2807"/>
    <w:rsid w:val="007A2863"/>
    <w:rsid w:val="007A2A50"/>
    <w:rsid w:val="007A2A7E"/>
    <w:rsid w:val="007A2BE1"/>
    <w:rsid w:val="007A2C4A"/>
    <w:rsid w:val="007A2D9C"/>
    <w:rsid w:val="007A2EE6"/>
    <w:rsid w:val="007A36E1"/>
    <w:rsid w:val="007A38AE"/>
    <w:rsid w:val="007A394F"/>
    <w:rsid w:val="007A3C1E"/>
    <w:rsid w:val="007A42B0"/>
    <w:rsid w:val="007A43E2"/>
    <w:rsid w:val="007A44A1"/>
    <w:rsid w:val="007A450B"/>
    <w:rsid w:val="007A451A"/>
    <w:rsid w:val="007A4882"/>
    <w:rsid w:val="007A4987"/>
    <w:rsid w:val="007A498F"/>
    <w:rsid w:val="007A4A24"/>
    <w:rsid w:val="007A4ABB"/>
    <w:rsid w:val="007A4B0D"/>
    <w:rsid w:val="007A4B0F"/>
    <w:rsid w:val="007A4F42"/>
    <w:rsid w:val="007A50E3"/>
    <w:rsid w:val="007A50EB"/>
    <w:rsid w:val="007A5319"/>
    <w:rsid w:val="007A5345"/>
    <w:rsid w:val="007A5601"/>
    <w:rsid w:val="007A5631"/>
    <w:rsid w:val="007A5887"/>
    <w:rsid w:val="007A58BE"/>
    <w:rsid w:val="007A592C"/>
    <w:rsid w:val="007A5A75"/>
    <w:rsid w:val="007A5C06"/>
    <w:rsid w:val="007A5C2A"/>
    <w:rsid w:val="007A5D94"/>
    <w:rsid w:val="007A5D9E"/>
    <w:rsid w:val="007A5F0F"/>
    <w:rsid w:val="007A614D"/>
    <w:rsid w:val="007A6525"/>
    <w:rsid w:val="007A6757"/>
    <w:rsid w:val="007A6919"/>
    <w:rsid w:val="007A6D54"/>
    <w:rsid w:val="007A6E44"/>
    <w:rsid w:val="007A6EED"/>
    <w:rsid w:val="007A7094"/>
    <w:rsid w:val="007A7158"/>
    <w:rsid w:val="007A758E"/>
    <w:rsid w:val="007A79D7"/>
    <w:rsid w:val="007A7DAB"/>
    <w:rsid w:val="007B014D"/>
    <w:rsid w:val="007B0296"/>
    <w:rsid w:val="007B042B"/>
    <w:rsid w:val="007B04C7"/>
    <w:rsid w:val="007B0524"/>
    <w:rsid w:val="007B0779"/>
    <w:rsid w:val="007B0981"/>
    <w:rsid w:val="007B0F0A"/>
    <w:rsid w:val="007B10F3"/>
    <w:rsid w:val="007B111F"/>
    <w:rsid w:val="007B11AD"/>
    <w:rsid w:val="007B137A"/>
    <w:rsid w:val="007B13FD"/>
    <w:rsid w:val="007B1521"/>
    <w:rsid w:val="007B16D7"/>
    <w:rsid w:val="007B17C2"/>
    <w:rsid w:val="007B194E"/>
    <w:rsid w:val="007B1E32"/>
    <w:rsid w:val="007B22CC"/>
    <w:rsid w:val="007B27B7"/>
    <w:rsid w:val="007B31C3"/>
    <w:rsid w:val="007B31F8"/>
    <w:rsid w:val="007B37D1"/>
    <w:rsid w:val="007B383B"/>
    <w:rsid w:val="007B3E01"/>
    <w:rsid w:val="007B4076"/>
    <w:rsid w:val="007B4178"/>
    <w:rsid w:val="007B4835"/>
    <w:rsid w:val="007B49F1"/>
    <w:rsid w:val="007B4A2A"/>
    <w:rsid w:val="007B4CAD"/>
    <w:rsid w:val="007B4ED5"/>
    <w:rsid w:val="007B50C6"/>
    <w:rsid w:val="007B560C"/>
    <w:rsid w:val="007B5846"/>
    <w:rsid w:val="007B5BF1"/>
    <w:rsid w:val="007B5C47"/>
    <w:rsid w:val="007B5EE3"/>
    <w:rsid w:val="007B5EE8"/>
    <w:rsid w:val="007B6130"/>
    <w:rsid w:val="007B6175"/>
    <w:rsid w:val="007B637E"/>
    <w:rsid w:val="007B644F"/>
    <w:rsid w:val="007B6475"/>
    <w:rsid w:val="007B66D9"/>
    <w:rsid w:val="007B6BBD"/>
    <w:rsid w:val="007B6E9A"/>
    <w:rsid w:val="007B70E7"/>
    <w:rsid w:val="007B712F"/>
    <w:rsid w:val="007B72EA"/>
    <w:rsid w:val="007B7354"/>
    <w:rsid w:val="007B7440"/>
    <w:rsid w:val="007B76CF"/>
    <w:rsid w:val="007B78F8"/>
    <w:rsid w:val="007B7AA6"/>
    <w:rsid w:val="007B7D07"/>
    <w:rsid w:val="007B7F8F"/>
    <w:rsid w:val="007C031D"/>
    <w:rsid w:val="007C04BC"/>
    <w:rsid w:val="007C050B"/>
    <w:rsid w:val="007C06DE"/>
    <w:rsid w:val="007C09DB"/>
    <w:rsid w:val="007C112C"/>
    <w:rsid w:val="007C1695"/>
    <w:rsid w:val="007C195A"/>
    <w:rsid w:val="007C1A4E"/>
    <w:rsid w:val="007C1BAF"/>
    <w:rsid w:val="007C1D05"/>
    <w:rsid w:val="007C2116"/>
    <w:rsid w:val="007C2275"/>
    <w:rsid w:val="007C23AB"/>
    <w:rsid w:val="007C2462"/>
    <w:rsid w:val="007C246A"/>
    <w:rsid w:val="007C25C5"/>
    <w:rsid w:val="007C25DE"/>
    <w:rsid w:val="007C263D"/>
    <w:rsid w:val="007C26DB"/>
    <w:rsid w:val="007C29AE"/>
    <w:rsid w:val="007C29DB"/>
    <w:rsid w:val="007C29FE"/>
    <w:rsid w:val="007C2C4B"/>
    <w:rsid w:val="007C2EBA"/>
    <w:rsid w:val="007C3195"/>
    <w:rsid w:val="007C31D2"/>
    <w:rsid w:val="007C393D"/>
    <w:rsid w:val="007C3B21"/>
    <w:rsid w:val="007C3C62"/>
    <w:rsid w:val="007C3C98"/>
    <w:rsid w:val="007C3CE9"/>
    <w:rsid w:val="007C4292"/>
    <w:rsid w:val="007C4CD2"/>
    <w:rsid w:val="007C504E"/>
    <w:rsid w:val="007C50E5"/>
    <w:rsid w:val="007C51A4"/>
    <w:rsid w:val="007C5270"/>
    <w:rsid w:val="007C55A9"/>
    <w:rsid w:val="007C578B"/>
    <w:rsid w:val="007C57BC"/>
    <w:rsid w:val="007C583E"/>
    <w:rsid w:val="007C5A2E"/>
    <w:rsid w:val="007C5ADE"/>
    <w:rsid w:val="007C5C93"/>
    <w:rsid w:val="007C6039"/>
    <w:rsid w:val="007C63E4"/>
    <w:rsid w:val="007C6607"/>
    <w:rsid w:val="007C6798"/>
    <w:rsid w:val="007C6BC7"/>
    <w:rsid w:val="007C738D"/>
    <w:rsid w:val="007C74C8"/>
    <w:rsid w:val="007C7F04"/>
    <w:rsid w:val="007D056E"/>
    <w:rsid w:val="007D07F6"/>
    <w:rsid w:val="007D0F81"/>
    <w:rsid w:val="007D1347"/>
    <w:rsid w:val="007D158C"/>
    <w:rsid w:val="007D15D8"/>
    <w:rsid w:val="007D17FC"/>
    <w:rsid w:val="007D1903"/>
    <w:rsid w:val="007D1A32"/>
    <w:rsid w:val="007D1DA8"/>
    <w:rsid w:val="007D1F6E"/>
    <w:rsid w:val="007D2469"/>
    <w:rsid w:val="007D266D"/>
    <w:rsid w:val="007D2972"/>
    <w:rsid w:val="007D2C3E"/>
    <w:rsid w:val="007D2D07"/>
    <w:rsid w:val="007D3086"/>
    <w:rsid w:val="007D3520"/>
    <w:rsid w:val="007D3B92"/>
    <w:rsid w:val="007D4269"/>
    <w:rsid w:val="007D43B9"/>
    <w:rsid w:val="007D45D8"/>
    <w:rsid w:val="007D48B9"/>
    <w:rsid w:val="007D4A6B"/>
    <w:rsid w:val="007D4BC8"/>
    <w:rsid w:val="007D4C6E"/>
    <w:rsid w:val="007D4FC8"/>
    <w:rsid w:val="007D51AF"/>
    <w:rsid w:val="007D549A"/>
    <w:rsid w:val="007D56A4"/>
    <w:rsid w:val="007D5834"/>
    <w:rsid w:val="007D5A10"/>
    <w:rsid w:val="007D5BEA"/>
    <w:rsid w:val="007D5CAE"/>
    <w:rsid w:val="007D60DB"/>
    <w:rsid w:val="007D62BD"/>
    <w:rsid w:val="007D62C2"/>
    <w:rsid w:val="007D62EC"/>
    <w:rsid w:val="007D652B"/>
    <w:rsid w:val="007D6531"/>
    <w:rsid w:val="007D654B"/>
    <w:rsid w:val="007D6735"/>
    <w:rsid w:val="007D6A03"/>
    <w:rsid w:val="007D6C26"/>
    <w:rsid w:val="007D6CCA"/>
    <w:rsid w:val="007D6FBA"/>
    <w:rsid w:val="007D70A8"/>
    <w:rsid w:val="007D7179"/>
    <w:rsid w:val="007D71F7"/>
    <w:rsid w:val="007D7475"/>
    <w:rsid w:val="007D747F"/>
    <w:rsid w:val="007D75FC"/>
    <w:rsid w:val="007D777B"/>
    <w:rsid w:val="007D787D"/>
    <w:rsid w:val="007D78EF"/>
    <w:rsid w:val="007D7BAA"/>
    <w:rsid w:val="007D7CA0"/>
    <w:rsid w:val="007E03DA"/>
    <w:rsid w:val="007E06E2"/>
    <w:rsid w:val="007E0967"/>
    <w:rsid w:val="007E0C1D"/>
    <w:rsid w:val="007E0E22"/>
    <w:rsid w:val="007E0E7C"/>
    <w:rsid w:val="007E0F09"/>
    <w:rsid w:val="007E0FAF"/>
    <w:rsid w:val="007E1012"/>
    <w:rsid w:val="007E1253"/>
    <w:rsid w:val="007E1256"/>
    <w:rsid w:val="007E152B"/>
    <w:rsid w:val="007E16DC"/>
    <w:rsid w:val="007E179C"/>
    <w:rsid w:val="007E1879"/>
    <w:rsid w:val="007E18DC"/>
    <w:rsid w:val="007E1AAD"/>
    <w:rsid w:val="007E1AF3"/>
    <w:rsid w:val="007E1E57"/>
    <w:rsid w:val="007E1FCB"/>
    <w:rsid w:val="007E23C1"/>
    <w:rsid w:val="007E23CE"/>
    <w:rsid w:val="007E2759"/>
    <w:rsid w:val="007E2B79"/>
    <w:rsid w:val="007E3070"/>
    <w:rsid w:val="007E3108"/>
    <w:rsid w:val="007E3589"/>
    <w:rsid w:val="007E38CC"/>
    <w:rsid w:val="007E3CA5"/>
    <w:rsid w:val="007E3F8A"/>
    <w:rsid w:val="007E41DA"/>
    <w:rsid w:val="007E432B"/>
    <w:rsid w:val="007E4811"/>
    <w:rsid w:val="007E4904"/>
    <w:rsid w:val="007E49D4"/>
    <w:rsid w:val="007E4D69"/>
    <w:rsid w:val="007E504D"/>
    <w:rsid w:val="007E553D"/>
    <w:rsid w:val="007E56E2"/>
    <w:rsid w:val="007E58EE"/>
    <w:rsid w:val="007E59FD"/>
    <w:rsid w:val="007E5E7B"/>
    <w:rsid w:val="007E5F7E"/>
    <w:rsid w:val="007E6436"/>
    <w:rsid w:val="007E6526"/>
    <w:rsid w:val="007E663F"/>
    <w:rsid w:val="007E6A5E"/>
    <w:rsid w:val="007E6A5F"/>
    <w:rsid w:val="007E6D42"/>
    <w:rsid w:val="007E6ED4"/>
    <w:rsid w:val="007E6F6A"/>
    <w:rsid w:val="007E6F82"/>
    <w:rsid w:val="007E7038"/>
    <w:rsid w:val="007E7049"/>
    <w:rsid w:val="007E76E6"/>
    <w:rsid w:val="007E7AD7"/>
    <w:rsid w:val="007E7DB1"/>
    <w:rsid w:val="007E7F51"/>
    <w:rsid w:val="007F001F"/>
    <w:rsid w:val="007F012D"/>
    <w:rsid w:val="007F014D"/>
    <w:rsid w:val="007F0247"/>
    <w:rsid w:val="007F0259"/>
    <w:rsid w:val="007F075F"/>
    <w:rsid w:val="007F094C"/>
    <w:rsid w:val="007F0A79"/>
    <w:rsid w:val="007F0B9F"/>
    <w:rsid w:val="007F0C3C"/>
    <w:rsid w:val="007F0F3F"/>
    <w:rsid w:val="007F1288"/>
    <w:rsid w:val="007F139D"/>
    <w:rsid w:val="007F157E"/>
    <w:rsid w:val="007F188F"/>
    <w:rsid w:val="007F1BE0"/>
    <w:rsid w:val="007F1C16"/>
    <w:rsid w:val="007F1FD0"/>
    <w:rsid w:val="007F20BA"/>
    <w:rsid w:val="007F21A2"/>
    <w:rsid w:val="007F23FA"/>
    <w:rsid w:val="007F262C"/>
    <w:rsid w:val="007F26A2"/>
    <w:rsid w:val="007F2797"/>
    <w:rsid w:val="007F29E5"/>
    <w:rsid w:val="007F2D8D"/>
    <w:rsid w:val="007F2DB5"/>
    <w:rsid w:val="007F2FE4"/>
    <w:rsid w:val="007F300B"/>
    <w:rsid w:val="007F30B5"/>
    <w:rsid w:val="007F33B2"/>
    <w:rsid w:val="007F3424"/>
    <w:rsid w:val="007F35D3"/>
    <w:rsid w:val="007F37A1"/>
    <w:rsid w:val="007F396B"/>
    <w:rsid w:val="007F3B96"/>
    <w:rsid w:val="007F3C64"/>
    <w:rsid w:val="007F3CFB"/>
    <w:rsid w:val="007F3E36"/>
    <w:rsid w:val="007F4377"/>
    <w:rsid w:val="007F43DF"/>
    <w:rsid w:val="007F4553"/>
    <w:rsid w:val="007F4701"/>
    <w:rsid w:val="007F498E"/>
    <w:rsid w:val="007F4BB5"/>
    <w:rsid w:val="007F530B"/>
    <w:rsid w:val="007F53BE"/>
    <w:rsid w:val="007F54CB"/>
    <w:rsid w:val="007F5965"/>
    <w:rsid w:val="007F59D2"/>
    <w:rsid w:val="007F5C2A"/>
    <w:rsid w:val="007F5F69"/>
    <w:rsid w:val="007F66DC"/>
    <w:rsid w:val="007F6719"/>
    <w:rsid w:val="007F6A31"/>
    <w:rsid w:val="007F6A53"/>
    <w:rsid w:val="007F6E48"/>
    <w:rsid w:val="007F7141"/>
    <w:rsid w:val="007F7286"/>
    <w:rsid w:val="007F72EC"/>
    <w:rsid w:val="007F74D4"/>
    <w:rsid w:val="007F74FF"/>
    <w:rsid w:val="007F772A"/>
    <w:rsid w:val="007F786A"/>
    <w:rsid w:val="007F7969"/>
    <w:rsid w:val="007F7BF0"/>
    <w:rsid w:val="007F7D76"/>
    <w:rsid w:val="00800189"/>
    <w:rsid w:val="008001DC"/>
    <w:rsid w:val="00800539"/>
    <w:rsid w:val="008006C4"/>
    <w:rsid w:val="008007B3"/>
    <w:rsid w:val="008007C2"/>
    <w:rsid w:val="008007C4"/>
    <w:rsid w:val="00800850"/>
    <w:rsid w:val="008008D2"/>
    <w:rsid w:val="00800B17"/>
    <w:rsid w:val="00800B1A"/>
    <w:rsid w:val="008010EF"/>
    <w:rsid w:val="008011C3"/>
    <w:rsid w:val="0080145F"/>
    <w:rsid w:val="0080157A"/>
    <w:rsid w:val="008016FF"/>
    <w:rsid w:val="008017AA"/>
    <w:rsid w:val="0080187F"/>
    <w:rsid w:val="00801F23"/>
    <w:rsid w:val="00801F51"/>
    <w:rsid w:val="00802085"/>
    <w:rsid w:val="008020A9"/>
    <w:rsid w:val="008020D2"/>
    <w:rsid w:val="008022AA"/>
    <w:rsid w:val="008023F3"/>
    <w:rsid w:val="008025BD"/>
    <w:rsid w:val="008026AC"/>
    <w:rsid w:val="008027E2"/>
    <w:rsid w:val="00802B3B"/>
    <w:rsid w:val="00803068"/>
    <w:rsid w:val="00803096"/>
    <w:rsid w:val="008031C1"/>
    <w:rsid w:val="00803294"/>
    <w:rsid w:val="00803300"/>
    <w:rsid w:val="0080345E"/>
    <w:rsid w:val="00803502"/>
    <w:rsid w:val="008035F2"/>
    <w:rsid w:val="00803606"/>
    <w:rsid w:val="008036D9"/>
    <w:rsid w:val="008037E0"/>
    <w:rsid w:val="0080391C"/>
    <w:rsid w:val="00803C47"/>
    <w:rsid w:val="0080402F"/>
    <w:rsid w:val="00804139"/>
    <w:rsid w:val="0080442F"/>
    <w:rsid w:val="00804794"/>
    <w:rsid w:val="0080499A"/>
    <w:rsid w:val="00804A13"/>
    <w:rsid w:val="00804AB7"/>
    <w:rsid w:val="00804D20"/>
    <w:rsid w:val="00804E98"/>
    <w:rsid w:val="00804EE5"/>
    <w:rsid w:val="00805045"/>
    <w:rsid w:val="00805096"/>
    <w:rsid w:val="00805BC6"/>
    <w:rsid w:val="00805E6E"/>
    <w:rsid w:val="00805F5E"/>
    <w:rsid w:val="00805FBB"/>
    <w:rsid w:val="008060E9"/>
    <w:rsid w:val="0080618C"/>
    <w:rsid w:val="00806633"/>
    <w:rsid w:val="0080665E"/>
    <w:rsid w:val="00806811"/>
    <w:rsid w:val="00806EBC"/>
    <w:rsid w:val="00806F77"/>
    <w:rsid w:val="008072C0"/>
    <w:rsid w:val="008072EB"/>
    <w:rsid w:val="00807322"/>
    <w:rsid w:val="0080758C"/>
    <w:rsid w:val="008078FB"/>
    <w:rsid w:val="00807A05"/>
    <w:rsid w:val="00807C13"/>
    <w:rsid w:val="00807CDB"/>
    <w:rsid w:val="00807D94"/>
    <w:rsid w:val="00810130"/>
    <w:rsid w:val="008101FF"/>
    <w:rsid w:val="008103CE"/>
    <w:rsid w:val="0081054B"/>
    <w:rsid w:val="008106BB"/>
    <w:rsid w:val="008106DC"/>
    <w:rsid w:val="00810A4E"/>
    <w:rsid w:val="00810B35"/>
    <w:rsid w:val="00810BD8"/>
    <w:rsid w:val="00810C94"/>
    <w:rsid w:val="00810D75"/>
    <w:rsid w:val="00810E23"/>
    <w:rsid w:val="00810F06"/>
    <w:rsid w:val="00810F17"/>
    <w:rsid w:val="008113E2"/>
    <w:rsid w:val="00811838"/>
    <w:rsid w:val="00811C85"/>
    <w:rsid w:val="00811D3B"/>
    <w:rsid w:val="00811D7C"/>
    <w:rsid w:val="008120D7"/>
    <w:rsid w:val="00812116"/>
    <w:rsid w:val="008124E9"/>
    <w:rsid w:val="00812773"/>
    <w:rsid w:val="0081292B"/>
    <w:rsid w:val="00812A08"/>
    <w:rsid w:val="00812B51"/>
    <w:rsid w:val="00812DC9"/>
    <w:rsid w:val="00813082"/>
    <w:rsid w:val="008131BC"/>
    <w:rsid w:val="00813955"/>
    <w:rsid w:val="00813D4F"/>
    <w:rsid w:val="00813FB0"/>
    <w:rsid w:val="0081454A"/>
    <w:rsid w:val="00814825"/>
    <w:rsid w:val="00814A31"/>
    <w:rsid w:val="00814B33"/>
    <w:rsid w:val="00814CE2"/>
    <w:rsid w:val="00815143"/>
    <w:rsid w:val="008154EC"/>
    <w:rsid w:val="00815B20"/>
    <w:rsid w:val="00815D0B"/>
    <w:rsid w:val="00815D31"/>
    <w:rsid w:val="00816156"/>
    <w:rsid w:val="008164BA"/>
    <w:rsid w:val="00816621"/>
    <w:rsid w:val="00816730"/>
    <w:rsid w:val="0081674E"/>
    <w:rsid w:val="008167DA"/>
    <w:rsid w:val="00816970"/>
    <w:rsid w:val="00816A51"/>
    <w:rsid w:val="00816C06"/>
    <w:rsid w:val="00816E29"/>
    <w:rsid w:val="008171A1"/>
    <w:rsid w:val="0081720F"/>
    <w:rsid w:val="008172E7"/>
    <w:rsid w:val="0081769D"/>
    <w:rsid w:val="00817B03"/>
    <w:rsid w:val="00817CBA"/>
    <w:rsid w:val="008203A0"/>
    <w:rsid w:val="00820423"/>
    <w:rsid w:val="0082053C"/>
    <w:rsid w:val="008205A7"/>
    <w:rsid w:val="00820B90"/>
    <w:rsid w:val="00820CD5"/>
    <w:rsid w:val="00820ECE"/>
    <w:rsid w:val="00820F0A"/>
    <w:rsid w:val="00821336"/>
    <w:rsid w:val="00821396"/>
    <w:rsid w:val="008214C3"/>
    <w:rsid w:val="008216E8"/>
    <w:rsid w:val="00821E45"/>
    <w:rsid w:val="008221BF"/>
    <w:rsid w:val="0082239C"/>
    <w:rsid w:val="00822463"/>
    <w:rsid w:val="008226AE"/>
    <w:rsid w:val="00822838"/>
    <w:rsid w:val="008229F4"/>
    <w:rsid w:val="00822A36"/>
    <w:rsid w:val="00822A46"/>
    <w:rsid w:val="00822B64"/>
    <w:rsid w:val="00822C6A"/>
    <w:rsid w:val="00822D72"/>
    <w:rsid w:val="00822EAA"/>
    <w:rsid w:val="00822F68"/>
    <w:rsid w:val="00823019"/>
    <w:rsid w:val="008230F5"/>
    <w:rsid w:val="008231CB"/>
    <w:rsid w:val="00823250"/>
    <w:rsid w:val="00823271"/>
    <w:rsid w:val="008235DD"/>
    <w:rsid w:val="00823814"/>
    <w:rsid w:val="00823A95"/>
    <w:rsid w:val="00823FFD"/>
    <w:rsid w:val="008241FB"/>
    <w:rsid w:val="0082421F"/>
    <w:rsid w:val="00824395"/>
    <w:rsid w:val="00824475"/>
    <w:rsid w:val="0082498F"/>
    <w:rsid w:val="00824A99"/>
    <w:rsid w:val="00824B6E"/>
    <w:rsid w:val="00824B83"/>
    <w:rsid w:val="00824C35"/>
    <w:rsid w:val="00824E19"/>
    <w:rsid w:val="00824E6E"/>
    <w:rsid w:val="008252BE"/>
    <w:rsid w:val="008253D4"/>
    <w:rsid w:val="00825999"/>
    <w:rsid w:val="00825DB5"/>
    <w:rsid w:val="00825DB9"/>
    <w:rsid w:val="00826271"/>
    <w:rsid w:val="0082640E"/>
    <w:rsid w:val="00826A6B"/>
    <w:rsid w:val="00826F68"/>
    <w:rsid w:val="00826FBA"/>
    <w:rsid w:val="0082718B"/>
    <w:rsid w:val="008273CB"/>
    <w:rsid w:val="008273F1"/>
    <w:rsid w:val="00827610"/>
    <w:rsid w:val="00827902"/>
    <w:rsid w:val="0082792A"/>
    <w:rsid w:val="008279EB"/>
    <w:rsid w:val="00827A9A"/>
    <w:rsid w:val="00827AFE"/>
    <w:rsid w:val="00827CD2"/>
    <w:rsid w:val="0083005E"/>
    <w:rsid w:val="008302E1"/>
    <w:rsid w:val="0083032D"/>
    <w:rsid w:val="008306C6"/>
    <w:rsid w:val="008306C9"/>
    <w:rsid w:val="0083075B"/>
    <w:rsid w:val="00830C21"/>
    <w:rsid w:val="00830D4B"/>
    <w:rsid w:val="00830E21"/>
    <w:rsid w:val="00830F7C"/>
    <w:rsid w:val="0083110B"/>
    <w:rsid w:val="008311D2"/>
    <w:rsid w:val="008312D2"/>
    <w:rsid w:val="0083132A"/>
    <w:rsid w:val="00831665"/>
    <w:rsid w:val="0083167D"/>
    <w:rsid w:val="008319AD"/>
    <w:rsid w:val="00831C0B"/>
    <w:rsid w:val="00831C49"/>
    <w:rsid w:val="00831DBE"/>
    <w:rsid w:val="00831E4C"/>
    <w:rsid w:val="00831E74"/>
    <w:rsid w:val="008320AC"/>
    <w:rsid w:val="00832479"/>
    <w:rsid w:val="00832A78"/>
    <w:rsid w:val="00832AE1"/>
    <w:rsid w:val="00832B6B"/>
    <w:rsid w:val="00832C01"/>
    <w:rsid w:val="00832C23"/>
    <w:rsid w:val="0083301C"/>
    <w:rsid w:val="008332C6"/>
    <w:rsid w:val="00833685"/>
    <w:rsid w:val="0083368F"/>
    <w:rsid w:val="008337F6"/>
    <w:rsid w:val="008339DB"/>
    <w:rsid w:val="00833A2E"/>
    <w:rsid w:val="00833C75"/>
    <w:rsid w:val="00834064"/>
    <w:rsid w:val="0083408D"/>
    <w:rsid w:val="0083431C"/>
    <w:rsid w:val="00834459"/>
    <w:rsid w:val="008347FA"/>
    <w:rsid w:val="00834838"/>
    <w:rsid w:val="00834A3F"/>
    <w:rsid w:val="00834B70"/>
    <w:rsid w:val="00834BAB"/>
    <w:rsid w:val="00834E4E"/>
    <w:rsid w:val="008351DB"/>
    <w:rsid w:val="008352BE"/>
    <w:rsid w:val="00835321"/>
    <w:rsid w:val="008357D0"/>
    <w:rsid w:val="00835824"/>
    <w:rsid w:val="00835E96"/>
    <w:rsid w:val="00835F55"/>
    <w:rsid w:val="008360D3"/>
    <w:rsid w:val="0083617C"/>
    <w:rsid w:val="0083651E"/>
    <w:rsid w:val="008365FA"/>
    <w:rsid w:val="0083689A"/>
    <w:rsid w:val="00836DB4"/>
    <w:rsid w:val="00836F03"/>
    <w:rsid w:val="00836F1E"/>
    <w:rsid w:val="00836F7D"/>
    <w:rsid w:val="00837075"/>
    <w:rsid w:val="0083737E"/>
    <w:rsid w:val="008374AF"/>
    <w:rsid w:val="0083773B"/>
    <w:rsid w:val="0083781D"/>
    <w:rsid w:val="00837977"/>
    <w:rsid w:val="00837A99"/>
    <w:rsid w:val="00837ACD"/>
    <w:rsid w:val="00837D0A"/>
    <w:rsid w:val="00837E80"/>
    <w:rsid w:val="008402A0"/>
    <w:rsid w:val="0084046E"/>
    <w:rsid w:val="008406E4"/>
    <w:rsid w:val="00840987"/>
    <w:rsid w:val="00840E0C"/>
    <w:rsid w:val="00840FD9"/>
    <w:rsid w:val="008411CD"/>
    <w:rsid w:val="008412F4"/>
    <w:rsid w:val="0084168F"/>
    <w:rsid w:val="0084186A"/>
    <w:rsid w:val="008418AD"/>
    <w:rsid w:val="00841B8D"/>
    <w:rsid w:val="00841BB9"/>
    <w:rsid w:val="00841F27"/>
    <w:rsid w:val="00841F62"/>
    <w:rsid w:val="008420B0"/>
    <w:rsid w:val="008420F8"/>
    <w:rsid w:val="00842766"/>
    <w:rsid w:val="008427AE"/>
    <w:rsid w:val="00842848"/>
    <w:rsid w:val="0084287C"/>
    <w:rsid w:val="00842B27"/>
    <w:rsid w:val="00842CD3"/>
    <w:rsid w:val="00842EDF"/>
    <w:rsid w:val="008430EF"/>
    <w:rsid w:val="00843342"/>
    <w:rsid w:val="0084342F"/>
    <w:rsid w:val="008434CF"/>
    <w:rsid w:val="008434EC"/>
    <w:rsid w:val="0084353B"/>
    <w:rsid w:val="008435C4"/>
    <w:rsid w:val="00843615"/>
    <w:rsid w:val="00843961"/>
    <w:rsid w:val="00843A25"/>
    <w:rsid w:val="00843B02"/>
    <w:rsid w:val="00843C06"/>
    <w:rsid w:val="00843DE2"/>
    <w:rsid w:val="00843DEA"/>
    <w:rsid w:val="00843EE3"/>
    <w:rsid w:val="00843F8B"/>
    <w:rsid w:val="00843FC0"/>
    <w:rsid w:val="0084408E"/>
    <w:rsid w:val="008440F1"/>
    <w:rsid w:val="008441EB"/>
    <w:rsid w:val="00844277"/>
    <w:rsid w:val="00844285"/>
    <w:rsid w:val="0084429E"/>
    <w:rsid w:val="008442A7"/>
    <w:rsid w:val="00844325"/>
    <w:rsid w:val="008443DA"/>
    <w:rsid w:val="008444DA"/>
    <w:rsid w:val="0084457F"/>
    <w:rsid w:val="00844953"/>
    <w:rsid w:val="00844AE4"/>
    <w:rsid w:val="00845028"/>
    <w:rsid w:val="00845288"/>
    <w:rsid w:val="0084544E"/>
    <w:rsid w:val="0084544F"/>
    <w:rsid w:val="00845524"/>
    <w:rsid w:val="0084558A"/>
    <w:rsid w:val="0084562C"/>
    <w:rsid w:val="00845A99"/>
    <w:rsid w:val="00845C73"/>
    <w:rsid w:val="008461A6"/>
    <w:rsid w:val="008462D1"/>
    <w:rsid w:val="0084637B"/>
    <w:rsid w:val="008466B0"/>
    <w:rsid w:val="00846747"/>
    <w:rsid w:val="00846D9E"/>
    <w:rsid w:val="00846DBC"/>
    <w:rsid w:val="00846F1F"/>
    <w:rsid w:val="00847886"/>
    <w:rsid w:val="008479B7"/>
    <w:rsid w:val="00847A60"/>
    <w:rsid w:val="00847C2D"/>
    <w:rsid w:val="00847C58"/>
    <w:rsid w:val="00847CFE"/>
    <w:rsid w:val="00847DA6"/>
    <w:rsid w:val="00850116"/>
    <w:rsid w:val="008506C1"/>
    <w:rsid w:val="00850771"/>
    <w:rsid w:val="00850B3C"/>
    <w:rsid w:val="00850B69"/>
    <w:rsid w:val="00850B98"/>
    <w:rsid w:val="00850BC4"/>
    <w:rsid w:val="00851011"/>
    <w:rsid w:val="00851164"/>
    <w:rsid w:val="008511B2"/>
    <w:rsid w:val="0085128E"/>
    <w:rsid w:val="00851490"/>
    <w:rsid w:val="00851576"/>
    <w:rsid w:val="0085162F"/>
    <w:rsid w:val="00851697"/>
    <w:rsid w:val="0085196D"/>
    <w:rsid w:val="00851DE3"/>
    <w:rsid w:val="00851F3E"/>
    <w:rsid w:val="00851F86"/>
    <w:rsid w:val="00852077"/>
    <w:rsid w:val="008521D6"/>
    <w:rsid w:val="00852377"/>
    <w:rsid w:val="008524B3"/>
    <w:rsid w:val="0085252D"/>
    <w:rsid w:val="00852569"/>
    <w:rsid w:val="008525A9"/>
    <w:rsid w:val="0085271D"/>
    <w:rsid w:val="00852720"/>
    <w:rsid w:val="00852A25"/>
    <w:rsid w:val="00852C8A"/>
    <w:rsid w:val="00852D21"/>
    <w:rsid w:val="0085301A"/>
    <w:rsid w:val="008530BC"/>
    <w:rsid w:val="008533DC"/>
    <w:rsid w:val="00853685"/>
    <w:rsid w:val="0085369B"/>
    <w:rsid w:val="008536ED"/>
    <w:rsid w:val="00853858"/>
    <w:rsid w:val="00853ABC"/>
    <w:rsid w:val="00853CE3"/>
    <w:rsid w:val="00853D37"/>
    <w:rsid w:val="00853DD0"/>
    <w:rsid w:val="00854096"/>
    <w:rsid w:val="0085424A"/>
    <w:rsid w:val="0085427B"/>
    <w:rsid w:val="008542B9"/>
    <w:rsid w:val="00854329"/>
    <w:rsid w:val="00854631"/>
    <w:rsid w:val="008546BC"/>
    <w:rsid w:val="00854CC2"/>
    <w:rsid w:val="00854DAB"/>
    <w:rsid w:val="008552A2"/>
    <w:rsid w:val="00855369"/>
    <w:rsid w:val="00855619"/>
    <w:rsid w:val="00855B89"/>
    <w:rsid w:val="00855B9E"/>
    <w:rsid w:val="00855BBB"/>
    <w:rsid w:val="00855D0C"/>
    <w:rsid w:val="00855E79"/>
    <w:rsid w:val="00855EA0"/>
    <w:rsid w:val="00855F90"/>
    <w:rsid w:val="00856064"/>
    <w:rsid w:val="008563F9"/>
    <w:rsid w:val="00856601"/>
    <w:rsid w:val="00856CA6"/>
    <w:rsid w:val="00856D11"/>
    <w:rsid w:val="0085708A"/>
    <w:rsid w:val="008573F1"/>
    <w:rsid w:val="008574A7"/>
    <w:rsid w:val="008574E9"/>
    <w:rsid w:val="008576F3"/>
    <w:rsid w:val="00857B77"/>
    <w:rsid w:val="00857C19"/>
    <w:rsid w:val="00857DD9"/>
    <w:rsid w:val="00857F54"/>
    <w:rsid w:val="00860CAF"/>
    <w:rsid w:val="00860CBC"/>
    <w:rsid w:val="00860D39"/>
    <w:rsid w:val="00860D43"/>
    <w:rsid w:val="0086164E"/>
    <w:rsid w:val="00861896"/>
    <w:rsid w:val="00861938"/>
    <w:rsid w:val="008619DA"/>
    <w:rsid w:val="00861A73"/>
    <w:rsid w:val="00861B19"/>
    <w:rsid w:val="00861BCD"/>
    <w:rsid w:val="00861DCD"/>
    <w:rsid w:val="008624AC"/>
    <w:rsid w:val="00862509"/>
    <w:rsid w:val="00862846"/>
    <w:rsid w:val="008628F9"/>
    <w:rsid w:val="00862AFE"/>
    <w:rsid w:val="00862D10"/>
    <w:rsid w:val="00862FCE"/>
    <w:rsid w:val="00863033"/>
    <w:rsid w:val="00863125"/>
    <w:rsid w:val="008631AD"/>
    <w:rsid w:val="008631CD"/>
    <w:rsid w:val="008631D8"/>
    <w:rsid w:val="0086358E"/>
    <w:rsid w:val="00863670"/>
    <w:rsid w:val="00863B49"/>
    <w:rsid w:val="00863E5D"/>
    <w:rsid w:val="00863F9A"/>
    <w:rsid w:val="0086407E"/>
    <w:rsid w:val="008645DE"/>
    <w:rsid w:val="008646CE"/>
    <w:rsid w:val="008647DC"/>
    <w:rsid w:val="00864800"/>
    <w:rsid w:val="00864B09"/>
    <w:rsid w:val="00864BBB"/>
    <w:rsid w:val="00864D45"/>
    <w:rsid w:val="00864DA6"/>
    <w:rsid w:val="008651B3"/>
    <w:rsid w:val="00865282"/>
    <w:rsid w:val="008653B5"/>
    <w:rsid w:val="00865517"/>
    <w:rsid w:val="0086559C"/>
    <w:rsid w:val="00865675"/>
    <w:rsid w:val="008658F9"/>
    <w:rsid w:val="00865A5C"/>
    <w:rsid w:val="00865C5D"/>
    <w:rsid w:val="0086612F"/>
    <w:rsid w:val="0086632D"/>
    <w:rsid w:val="008667A3"/>
    <w:rsid w:val="0086686C"/>
    <w:rsid w:val="008668A8"/>
    <w:rsid w:val="008669C2"/>
    <w:rsid w:val="008669DB"/>
    <w:rsid w:val="00866F14"/>
    <w:rsid w:val="00867A46"/>
    <w:rsid w:val="00867AB3"/>
    <w:rsid w:val="00867C72"/>
    <w:rsid w:val="00867D21"/>
    <w:rsid w:val="00867D31"/>
    <w:rsid w:val="00867F3B"/>
    <w:rsid w:val="00870556"/>
    <w:rsid w:val="00870565"/>
    <w:rsid w:val="0087056F"/>
    <w:rsid w:val="008708C1"/>
    <w:rsid w:val="00870F06"/>
    <w:rsid w:val="00871001"/>
    <w:rsid w:val="008711DC"/>
    <w:rsid w:val="0087134E"/>
    <w:rsid w:val="008713F2"/>
    <w:rsid w:val="008714ED"/>
    <w:rsid w:val="00871528"/>
    <w:rsid w:val="008715F2"/>
    <w:rsid w:val="008719D9"/>
    <w:rsid w:val="00871B4E"/>
    <w:rsid w:val="00871F1F"/>
    <w:rsid w:val="00872142"/>
    <w:rsid w:val="00872C8F"/>
    <w:rsid w:val="00873398"/>
    <w:rsid w:val="00873828"/>
    <w:rsid w:val="00873858"/>
    <w:rsid w:val="008738B9"/>
    <w:rsid w:val="00873A97"/>
    <w:rsid w:val="00873CF4"/>
    <w:rsid w:val="00873D69"/>
    <w:rsid w:val="00873DBF"/>
    <w:rsid w:val="0087403E"/>
    <w:rsid w:val="00874302"/>
    <w:rsid w:val="008747E4"/>
    <w:rsid w:val="0087495B"/>
    <w:rsid w:val="008749F6"/>
    <w:rsid w:val="00874AE4"/>
    <w:rsid w:val="00874C27"/>
    <w:rsid w:val="00874CA2"/>
    <w:rsid w:val="00874D1C"/>
    <w:rsid w:val="00874ECB"/>
    <w:rsid w:val="008751CB"/>
    <w:rsid w:val="008755C0"/>
    <w:rsid w:val="00875743"/>
    <w:rsid w:val="0087577A"/>
    <w:rsid w:val="00875A70"/>
    <w:rsid w:val="00875B2D"/>
    <w:rsid w:val="00875CB0"/>
    <w:rsid w:val="008764AA"/>
    <w:rsid w:val="00876B0C"/>
    <w:rsid w:val="0087713E"/>
    <w:rsid w:val="0087720B"/>
    <w:rsid w:val="008772B6"/>
    <w:rsid w:val="00877839"/>
    <w:rsid w:val="00877A3D"/>
    <w:rsid w:val="00877C02"/>
    <w:rsid w:val="00877D15"/>
    <w:rsid w:val="00877FBD"/>
    <w:rsid w:val="00880387"/>
    <w:rsid w:val="008803CB"/>
    <w:rsid w:val="00880C2C"/>
    <w:rsid w:val="00880E61"/>
    <w:rsid w:val="00881656"/>
    <w:rsid w:val="00882172"/>
    <w:rsid w:val="0088246D"/>
    <w:rsid w:val="008825B3"/>
    <w:rsid w:val="00882611"/>
    <w:rsid w:val="00882754"/>
    <w:rsid w:val="008828CE"/>
    <w:rsid w:val="0088296E"/>
    <w:rsid w:val="00882972"/>
    <w:rsid w:val="00882C3C"/>
    <w:rsid w:val="00882D8E"/>
    <w:rsid w:val="00882F51"/>
    <w:rsid w:val="00883019"/>
    <w:rsid w:val="00883209"/>
    <w:rsid w:val="0088370B"/>
    <w:rsid w:val="008839B5"/>
    <w:rsid w:val="00883B75"/>
    <w:rsid w:val="00883D86"/>
    <w:rsid w:val="00883F0A"/>
    <w:rsid w:val="00884329"/>
    <w:rsid w:val="0088463C"/>
    <w:rsid w:val="0088481D"/>
    <w:rsid w:val="00884F03"/>
    <w:rsid w:val="00884F3E"/>
    <w:rsid w:val="00884FF5"/>
    <w:rsid w:val="00885142"/>
    <w:rsid w:val="0088520D"/>
    <w:rsid w:val="0088534B"/>
    <w:rsid w:val="00885E2E"/>
    <w:rsid w:val="00885FFD"/>
    <w:rsid w:val="008862DF"/>
    <w:rsid w:val="00886382"/>
    <w:rsid w:val="00886403"/>
    <w:rsid w:val="008865A7"/>
    <w:rsid w:val="008866FC"/>
    <w:rsid w:val="0088695D"/>
    <w:rsid w:val="0088697C"/>
    <w:rsid w:val="00886B79"/>
    <w:rsid w:val="00886BEF"/>
    <w:rsid w:val="00886E17"/>
    <w:rsid w:val="00887784"/>
    <w:rsid w:val="00887B23"/>
    <w:rsid w:val="00887B2A"/>
    <w:rsid w:val="00887BB7"/>
    <w:rsid w:val="00887FA4"/>
    <w:rsid w:val="008902AD"/>
    <w:rsid w:val="0089053A"/>
    <w:rsid w:val="00890704"/>
    <w:rsid w:val="0089094B"/>
    <w:rsid w:val="00890BC5"/>
    <w:rsid w:val="00890D79"/>
    <w:rsid w:val="00890EA9"/>
    <w:rsid w:val="00891059"/>
    <w:rsid w:val="0089115F"/>
    <w:rsid w:val="00891556"/>
    <w:rsid w:val="00891942"/>
    <w:rsid w:val="00891968"/>
    <w:rsid w:val="00891B75"/>
    <w:rsid w:val="008920F1"/>
    <w:rsid w:val="00892184"/>
    <w:rsid w:val="0089245D"/>
    <w:rsid w:val="008924A6"/>
    <w:rsid w:val="008925C6"/>
    <w:rsid w:val="0089294A"/>
    <w:rsid w:val="00892960"/>
    <w:rsid w:val="00892CDC"/>
    <w:rsid w:val="00892EBE"/>
    <w:rsid w:val="00892F34"/>
    <w:rsid w:val="008930F8"/>
    <w:rsid w:val="008932AE"/>
    <w:rsid w:val="00893595"/>
    <w:rsid w:val="008937B5"/>
    <w:rsid w:val="00893994"/>
    <w:rsid w:val="00893C68"/>
    <w:rsid w:val="00893E3C"/>
    <w:rsid w:val="00893ED3"/>
    <w:rsid w:val="008940AB"/>
    <w:rsid w:val="008940AC"/>
    <w:rsid w:val="00894269"/>
    <w:rsid w:val="00894449"/>
    <w:rsid w:val="008947C5"/>
    <w:rsid w:val="00894868"/>
    <w:rsid w:val="00894BDC"/>
    <w:rsid w:val="00894CC3"/>
    <w:rsid w:val="00894F94"/>
    <w:rsid w:val="008950C9"/>
    <w:rsid w:val="0089518F"/>
    <w:rsid w:val="00895367"/>
    <w:rsid w:val="0089546E"/>
    <w:rsid w:val="008954B9"/>
    <w:rsid w:val="00895565"/>
    <w:rsid w:val="008955D3"/>
    <w:rsid w:val="00895A4E"/>
    <w:rsid w:val="00896058"/>
    <w:rsid w:val="008960AF"/>
    <w:rsid w:val="00896328"/>
    <w:rsid w:val="008963F6"/>
    <w:rsid w:val="008964F4"/>
    <w:rsid w:val="00896675"/>
    <w:rsid w:val="0089709B"/>
    <w:rsid w:val="008970AB"/>
    <w:rsid w:val="008971FF"/>
    <w:rsid w:val="00897257"/>
    <w:rsid w:val="0089778D"/>
    <w:rsid w:val="008977CD"/>
    <w:rsid w:val="008977DF"/>
    <w:rsid w:val="00897B6B"/>
    <w:rsid w:val="00897F7B"/>
    <w:rsid w:val="008A04B9"/>
    <w:rsid w:val="008A0644"/>
    <w:rsid w:val="008A06DF"/>
    <w:rsid w:val="008A0730"/>
    <w:rsid w:val="008A0891"/>
    <w:rsid w:val="008A0F77"/>
    <w:rsid w:val="008A100F"/>
    <w:rsid w:val="008A10EF"/>
    <w:rsid w:val="008A16BE"/>
    <w:rsid w:val="008A1760"/>
    <w:rsid w:val="008A185F"/>
    <w:rsid w:val="008A1CD0"/>
    <w:rsid w:val="008A1D3C"/>
    <w:rsid w:val="008A1D72"/>
    <w:rsid w:val="008A1E45"/>
    <w:rsid w:val="008A1E8B"/>
    <w:rsid w:val="008A2209"/>
    <w:rsid w:val="008A2218"/>
    <w:rsid w:val="008A238D"/>
    <w:rsid w:val="008A298F"/>
    <w:rsid w:val="008A2BF0"/>
    <w:rsid w:val="008A2C8B"/>
    <w:rsid w:val="008A3079"/>
    <w:rsid w:val="008A30B7"/>
    <w:rsid w:val="008A3225"/>
    <w:rsid w:val="008A323D"/>
    <w:rsid w:val="008A3A46"/>
    <w:rsid w:val="008A3C26"/>
    <w:rsid w:val="008A3D19"/>
    <w:rsid w:val="008A429B"/>
    <w:rsid w:val="008A4685"/>
    <w:rsid w:val="008A46AE"/>
    <w:rsid w:val="008A4A1D"/>
    <w:rsid w:val="008A4BB7"/>
    <w:rsid w:val="008A4D05"/>
    <w:rsid w:val="008A4F0E"/>
    <w:rsid w:val="008A5361"/>
    <w:rsid w:val="008A54C6"/>
    <w:rsid w:val="008A56CF"/>
    <w:rsid w:val="008A5964"/>
    <w:rsid w:val="008A5A13"/>
    <w:rsid w:val="008A5ABC"/>
    <w:rsid w:val="008A6092"/>
    <w:rsid w:val="008A6551"/>
    <w:rsid w:val="008A66B2"/>
    <w:rsid w:val="008A69B2"/>
    <w:rsid w:val="008A6B42"/>
    <w:rsid w:val="008A6F34"/>
    <w:rsid w:val="008A716E"/>
    <w:rsid w:val="008A73E4"/>
    <w:rsid w:val="008A77AE"/>
    <w:rsid w:val="008A7864"/>
    <w:rsid w:val="008A792E"/>
    <w:rsid w:val="008A795F"/>
    <w:rsid w:val="008A7D20"/>
    <w:rsid w:val="008A7D4C"/>
    <w:rsid w:val="008B0617"/>
    <w:rsid w:val="008B0883"/>
    <w:rsid w:val="008B0970"/>
    <w:rsid w:val="008B0971"/>
    <w:rsid w:val="008B09AB"/>
    <w:rsid w:val="008B0A0F"/>
    <w:rsid w:val="008B0B1D"/>
    <w:rsid w:val="008B0B68"/>
    <w:rsid w:val="008B0B8B"/>
    <w:rsid w:val="008B0BAE"/>
    <w:rsid w:val="008B0E5F"/>
    <w:rsid w:val="008B0F6F"/>
    <w:rsid w:val="008B0F9B"/>
    <w:rsid w:val="008B10C8"/>
    <w:rsid w:val="008B1486"/>
    <w:rsid w:val="008B18D4"/>
    <w:rsid w:val="008B1AE7"/>
    <w:rsid w:val="008B1AF3"/>
    <w:rsid w:val="008B20E8"/>
    <w:rsid w:val="008B2190"/>
    <w:rsid w:val="008B22EE"/>
    <w:rsid w:val="008B2416"/>
    <w:rsid w:val="008B24B7"/>
    <w:rsid w:val="008B2762"/>
    <w:rsid w:val="008B2893"/>
    <w:rsid w:val="008B28FF"/>
    <w:rsid w:val="008B2C3E"/>
    <w:rsid w:val="008B2EA4"/>
    <w:rsid w:val="008B2F47"/>
    <w:rsid w:val="008B2F5A"/>
    <w:rsid w:val="008B30BE"/>
    <w:rsid w:val="008B33F2"/>
    <w:rsid w:val="008B3413"/>
    <w:rsid w:val="008B37EB"/>
    <w:rsid w:val="008B384F"/>
    <w:rsid w:val="008B385B"/>
    <w:rsid w:val="008B386F"/>
    <w:rsid w:val="008B38B4"/>
    <w:rsid w:val="008B3BE6"/>
    <w:rsid w:val="008B3C2C"/>
    <w:rsid w:val="008B3D40"/>
    <w:rsid w:val="008B3D97"/>
    <w:rsid w:val="008B3E71"/>
    <w:rsid w:val="008B4024"/>
    <w:rsid w:val="008B412E"/>
    <w:rsid w:val="008B43C7"/>
    <w:rsid w:val="008B4555"/>
    <w:rsid w:val="008B488A"/>
    <w:rsid w:val="008B48A0"/>
    <w:rsid w:val="008B4CE1"/>
    <w:rsid w:val="008B4EF6"/>
    <w:rsid w:val="008B4F78"/>
    <w:rsid w:val="008B5285"/>
    <w:rsid w:val="008B5992"/>
    <w:rsid w:val="008B5BF9"/>
    <w:rsid w:val="008B5C9C"/>
    <w:rsid w:val="008B5D0C"/>
    <w:rsid w:val="008B5FCC"/>
    <w:rsid w:val="008B600F"/>
    <w:rsid w:val="008B6062"/>
    <w:rsid w:val="008B64B5"/>
    <w:rsid w:val="008B6859"/>
    <w:rsid w:val="008B6902"/>
    <w:rsid w:val="008B698E"/>
    <w:rsid w:val="008B6A9B"/>
    <w:rsid w:val="008B6AE2"/>
    <w:rsid w:val="008B6C59"/>
    <w:rsid w:val="008B6FDE"/>
    <w:rsid w:val="008B703D"/>
    <w:rsid w:val="008B713A"/>
    <w:rsid w:val="008B770D"/>
    <w:rsid w:val="008B7B18"/>
    <w:rsid w:val="008B7BD0"/>
    <w:rsid w:val="008B7CC5"/>
    <w:rsid w:val="008C0029"/>
    <w:rsid w:val="008C05E3"/>
    <w:rsid w:val="008C062A"/>
    <w:rsid w:val="008C08DE"/>
    <w:rsid w:val="008C0AB9"/>
    <w:rsid w:val="008C0E44"/>
    <w:rsid w:val="008C0EEB"/>
    <w:rsid w:val="008C0EF0"/>
    <w:rsid w:val="008C1051"/>
    <w:rsid w:val="008C152E"/>
    <w:rsid w:val="008C16B7"/>
    <w:rsid w:val="008C1C43"/>
    <w:rsid w:val="008C1C99"/>
    <w:rsid w:val="008C1C9D"/>
    <w:rsid w:val="008C1CF1"/>
    <w:rsid w:val="008C1F38"/>
    <w:rsid w:val="008C2452"/>
    <w:rsid w:val="008C24AF"/>
    <w:rsid w:val="008C2520"/>
    <w:rsid w:val="008C2584"/>
    <w:rsid w:val="008C2640"/>
    <w:rsid w:val="008C295B"/>
    <w:rsid w:val="008C2A98"/>
    <w:rsid w:val="008C2B65"/>
    <w:rsid w:val="008C2DC9"/>
    <w:rsid w:val="008C2DFC"/>
    <w:rsid w:val="008C2ED0"/>
    <w:rsid w:val="008C2F6D"/>
    <w:rsid w:val="008C30FD"/>
    <w:rsid w:val="008C3213"/>
    <w:rsid w:val="008C3224"/>
    <w:rsid w:val="008C3877"/>
    <w:rsid w:val="008C3AE9"/>
    <w:rsid w:val="008C3DCD"/>
    <w:rsid w:val="008C403E"/>
    <w:rsid w:val="008C407F"/>
    <w:rsid w:val="008C45D6"/>
    <w:rsid w:val="008C4933"/>
    <w:rsid w:val="008C496B"/>
    <w:rsid w:val="008C4A08"/>
    <w:rsid w:val="008C4B53"/>
    <w:rsid w:val="008C4EA8"/>
    <w:rsid w:val="008C4EF9"/>
    <w:rsid w:val="008C50B7"/>
    <w:rsid w:val="008C515D"/>
    <w:rsid w:val="008C52A2"/>
    <w:rsid w:val="008C5B24"/>
    <w:rsid w:val="008C6242"/>
    <w:rsid w:val="008C6293"/>
    <w:rsid w:val="008C6D3A"/>
    <w:rsid w:val="008C6E4C"/>
    <w:rsid w:val="008C730A"/>
    <w:rsid w:val="008C75F3"/>
    <w:rsid w:val="008C76EB"/>
    <w:rsid w:val="008C7713"/>
    <w:rsid w:val="008C7719"/>
    <w:rsid w:val="008C7AAC"/>
    <w:rsid w:val="008C7B26"/>
    <w:rsid w:val="008CF84D"/>
    <w:rsid w:val="008D02DF"/>
    <w:rsid w:val="008D04C2"/>
    <w:rsid w:val="008D088C"/>
    <w:rsid w:val="008D0961"/>
    <w:rsid w:val="008D0C67"/>
    <w:rsid w:val="008D0CC1"/>
    <w:rsid w:val="008D103E"/>
    <w:rsid w:val="008D10BF"/>
    <w:rsid w:val="008D127C"/>
    <w:rsid w:val="008D1440"/>
    <w:rsid w:val="008D1449"/>
    <w:rsid w:val="008D15B3"/>
    <w:rsid w:val="008D173F"/>
    <w:rsid w:val="008D181C"/>
    <w:rsid w:val="008D1964"/>
    <w:rsid w:val="008D2084"/>
    <w:rsid w:val="008D263D"/>
    <w:rsid w:val="008D270B"/>
    <w:rsid w:val="008D29AA"/>
    <w:rsid w:val="008D2F9A"/>
    <w:rsid w:val="008D33D2"/>
    <w:rsid w:val="008D3429"/>
    <w:rsid w:val="008D38EE"/>
    <w:rsid w:val="008D3AD9"/>
    <w:rsid w:val="008D3BAC"/>
    <w:rsid w:val="008D3C68"/>
    <w:rsid w:val="008D3C8D"/>
    <w:rsid w:val="008D3D9B"/>
    <w:rsid w:val="008D3E97"/>
    <w:rsid w:val="008D409B"/>
    <w:rsid w:val="008D40A6"/>
    <w:rsid w:val="008D477F"/>
    <w:rsid w:val="008D4791"/>
    <w:rsid w:val="008D4CA6"/>
    <w:rsid w:val="008D4DCA"/>
    <w:rsid w:val="008D4F0D"/>
    <w:rsid w:val="008D5114"/>
    <w:rsid w:val="008D5347"/>
    <w:rsid w:val="008D5836"/>
    <w:rsid w:val="008D598A"/>
    <w:rsid w:val="008D5DCB"/>
    <w:rsid w:val="008D5FE2"/>
    <w:rsid w:val="008D60FD"/>
    <w:rsid w:val="008D697D"/>
    <w:rsid w:val="008D6A8B"/>
    <w:rsid w:val="008D6BEB"/>
    <w:rsid w:val="008D6C2F"/>
    <w:rsid w:val="008D6F84"/>
    <w:rsid w:val="008D70D9"/>
    <w:rsid w:val="008D7208"/>
    <w:rsid w:val="008D752F"/>
    <w:rsid w:val="008D7964"/>
    <w:rsid w:val="008D7B12"/>
    <w:rsid w:val="008D7B69"/>
    <w:rsid w:val="008D7F51"/>
    <w:rsid w:val="008E01D9"/>
    <w:rsid w:val="008E04D7"/>
    <w:rsid w:val="008E053C"/>
    <w:rsid w:val="008E0567"/>
    <w:rsid w:val="008E074D"/>
    <w:rsid w:val="008E0A37"/>
    <w:rsid w:val="008E0CDE"/>
    <w:rsid w:val="008E0DB3"/>
    <w:rsid w:val="008E101C"/>
    <w:rsid w:val="008E1862"/>
    <w:rsid w:val="008E1B3F"/>
    <w:rsid w:val="008E1C42"/>
    <w:rsid w:val="008E1C94"/>
    <w:rsid w:val="008E1D9B"/>
    <w:rsid w:val="008E2076"/>
    <w:rsid w:val="008E2568"/>
    <w:rsid w:val="008E269F"/>
    <w:rsid w:val="008E26BA"/>
    <w:rsid w:val="008E26DB"/>
    <w:rsid w:val="008E26DD"/>
    <w:rsid w:val="008E291F"/>
    <w:rsid w:val="008E312C"/>
    <w:rsid w:val="008E31BE"/>
    <w:rsid w:val="008E32C4"/>
    <w:rsid w:val="008E334D"/>
    <w:rsid w:val="008E34E1"/>
    <w:rsid w:val="008E3797"/>
    <w:rsid w:val="008E3A26"/>
    <w:rsid w:val="008E3B2F"/>
    <w:rsid w:val="008E3E26"/>
    <w:rsid w:val="008E423E"/>
    <w:rsid w:val="008E431A"/>
    <w:rsid w:val="008E47C3"/>
    <w:rsid w:val="008E4825"/>
    <w:rsid w:val="008E49C7"/>
    <w:rsid w:val="008E4B32"/>
    <w:rsid w:val="008E4D1D"/>
    <w:rsid w:val="008E4D89"/>
    <w:rsid w:val="008E4DDB"/>
    <w:rsid w:val="008E4EA8"/>
    <w:rsid w:val="008E51DD"/>
    <w:rsid w:val="008E542A"/>
    <w:rsid w:val="008E5612"/>
    <w:rsid w:val="008E5898"/>
    <w:rsid w:val="008E5A04"/>
    <w:rsid w:val="008E5C1D"/>
    <w:rsid w:val="008E5D2B"/>
    <w:rsid w:val="008E5E20"/>
    <w:rsid w:val="008E604C"/>
    <w:rsid w:val="008E6629"/>
    <w:rsid w:val="008E6835"/>
    <w:rsid w:val="008E6886"/>
    <w:rsid w:val="008E6915"/>
    <w:rsid w:val="008E6D47"/>
    <w:rsid w:val="008E6E88"/>
    <w:rsid w:val="008E7238"/>
    <w:rsid w:val="008E724B"/>
    <w:rsid w:val="008E7342"/>
    <w:rsid w:val="008E76CD"/>
    <w:rsid w:val="008E78A2"/>
    <w:rsid w:val="008E797D"/>
    <w:rsid w:val="008E7BC1"/>
    <w:rsid w:val="008E7CA7"/>
    <w:rsid w:val="008E7E97"/>
    <w:rsid w:val="008F0281"/>
    <w:rsid w:val="008F02C0"/>
    <w:rsid w:val="008F0534"/>
    <w:rsid w:val="008F0748"/>
    <w:rsid w:val="008F07A6"/>
    <w:rsid w:val="008F0B87"/>
    <w:rsid w:val="008F0C7A"/>
    <w:rsid w:val="008F0D8F"/>
    <w:rsid w:val="008F116B"/>
    <w:rsid w:val="008F12F7"/>
    <w:rsid w:val="008F1365"/>
    <w:rsid w:val="008F13B8"/>
    <w:rsid w:val="008F13D1"/>
    <w:rsid w:val="008F16A0"/>
    <w:rsid w:val="008F198A"/>
    <w:rsid w:val="008F19E9"/>
    <w:rsid w:val="008F1AD1"/>
    <w:rsid w:val="008F1C53"/>
    <w:rsid w:val="008F1FE0"/>
    <w:rsid w:val="008F205D"/>
    <w:rsid w:val="008F2104"/>
    <w:rsid w:val="008F21CD"/>
    <w:rsid w:val="008F2297"/>
    <w:rsid w:val="008F23CB"/>
    <w:rsid w:val="008F266B"/>
    <w:rsid w:val="008F278E"/>
    <w:rsid w:val="008F2804"/>
    <w:rsid w:val="008F2E8A"/>
    <w:rsid w:val="008F3801"/>
    <w:rsid w:val="008F3AE2"/>
    <w:rsid w:val="008F4208"/>
    <w:rsid w:val="008F4470"/>
    <w:rsid w:val="008F466F"/>
    <w:rsid w:val="008F47BB"/>
    <w:rsid w:val="008F486B"/>
    <w:rsid w:val="008F48B2"/>
    <w:rsid w:val="008F48C7"/>
    <w:rsid w:val="008F4D0E"/>
    <w:rsid w:val="008F4E4A"/>
    <w:rsid w:val="008F506E"/>
    <w:rsid w:val="008F521F"/>
    <w:rsid w:val="008F5308"/>
    <w:rsid w:val="008F54E7"/>
    <w:rsid w:val="008F551A"/>
    <w:rsid w:val="008F5619"/>
    <w:rsid w:val="008F5D35"/>
    <w:rsid w:val="008F5DE8"/>
    <w:rsid w:val="008F5DF0"/>
    <w:rsid w:val="008F5F49"/>
    <w:rsid w:val="008F61FF"/>
    <w:rsid w:val="008F63B5"/>
    <w:rsid w:val="008F667E"/>
    <w:rsid w:val="008F6E4C"/>
    <w:rsid w:val="008F7069"/>
    <w:rsid w:val="008F71D9"/>
    <w:rsid w:val="008F76E6"/>
    <w:rsid w:val="008F7837"/>
    <w:rsid w:val="008F78C0"/>
    <w:rsid w:val="008F78CA"/>
    <w:rsid w:val="008F7996"/>
    <w:rsid w:val="008F7A17"/>
    <w:rsid w:val="008F7ABD"/>
    <w:rsid w:val="008F7C1F"/>
    <w:rsid w:val="008F7DA6"/>
    <w:rsid w:val="00900163"/>
    <w:rsid w:val="00900603"/>
    <w:rsid w:val="009007DF"/>
    <w:rsid w:val="009009C0"/>
    <w:rsid w:val="00901005"/>
    <w:rsid w:val="0090132C"/>
    <w:rsid w:val="009013EB"/>
    <w:rsid w:val="0090144A"/>
    <w:rsid w:val="00901604"/>
    <w:rsid w:val="009018A9"/>
    <w:rsid w:val="00901C41"/>
    <w:rsid w:val="00901CD8"/>
    <w:rsid w:val="00901FF0"/>
    <w:rsid w:val="0090201A"/>
    <w:rsid w:val="0090236A"/>
    <w:rsid w:val="0090266A"/>
    <w:rsid w:val="00902AC9"/>
    <w:rsid w:val="00902B9F"/>
    <w:rsid w:val="00902C1D"/>
    <w:rsid w:val="00902CEA"/>
    <w:rsid w:val="00902EE8"/>
    <w:rsid w:val="009034ED"/>
    <w:rsid w:val="0090373B"/>
    <w:rsid w:val="00903939"/>
    <w:rsid w:val="00903B89"/>
    <w:rsid w:val="00903BBC"/>
    <w:rsid w:val="00903F5E"/>
    <w:rsid w:val="0090405B"/>
    <w:rsid w:val="00904202"/>
    <w:rsid w:val="009044DB"/>
    <w:rsid w:val="00904621"/>
    <w:rsid w:val="0090467E"/>
    <w:rsid w:val="00904898"/>
    <w:rsid w:val="0090492A"/>
    <w:rsid w:val="00904EAF"/>
    <w:rsid w:val="00904ED9"/>
    <w:rsid w:val="00904FA9"/>
    <w:rsid w:val="009050CA"/>
    <w:rsid w:val="009054FE"/>
    <w:rsid w:val="0090555E"/>
    <w:rsid w:val="00905D14"/>
    <w:rsid w:val="00906057"/>
    <w:rsid w:val="0090628B"/>
    <w:rsid w:val="009068C7"/>
    <w:rsid w:val="00906A1F"/>
    <w:rsid w:val="00906A71"/>
    <w:rsid w:val="00906CA5"/>
    <w:rsid w:val="00906D64"/>
    <w:rsid w:val="0090717C"/>
    <w:rsid w:val="00907462"/>
    <w:rsid w:val="00907483"/>
    <w:rsid w:val="009076E7"/>
    <w:rsid w:val="009076E8"/>
    <w:rsid w:val="00907A3D"/>
    <w:rsid w:val="00910106"/>
    <w:rsid w:val="00910113"/>
    <w:rsid w:val="00910128"/>
    <w:rsid w:val="00910295"/>
    <w:rsid w:val="009103A0"/>
    <w:rsid w:val="009104BF"/>
    <w:rsid w:val="0091060F"/>
    <w:rsid w:val="00910638"/>
    <w:rsid w:val="00910715"/>
    <w:rsid w:val="0091083D"/>
    <w:rsid w:val="0091091E"/>
    <w:rsid w:val="00910957"/>
    <w:rsid w:val="00910A48"/>
    <w:rsid w:val="00910A6E"/>
    <w:rsid w:val="00910A83"/>
    <w:rsid w:val="00910BF2"/>
    <w:rsid w:val="00911408"/>
    <w:rsid w:val="00911744"/>
    <w:rsid w:val="00911B68"/>
    <w:rsid w:val="00911BDD"/>
    <w:rsid w:val="00911E45"/>
    <w:rsid w:val="00912143"/>
    <w:rsid w:val="00912159"/>
    <w:rsid w:val="009121CD"/>
    <w:rsid w:val="00912309"/>
    <w:rsid w:val="009127B8"/>
    <w:rsid w:val="00912812"/>
    <w:rsid w:val="00912B80"/>
    <w:rsid w:val="00912FBE"/>
    <w:rsid w:val="00912FE7"/>
    <w:rsid w:val="009130F8"/>
    <w:rsid w:val="00913460"/>
    <w:rsid w:val="00913764"/>
    <w:rsid w:val="00913867"/>
    <w:rsid w:val="00913993"/>
    <w:rsid w:val="00913B6D"/>
    <w:rsid w:val="00914196"/>
    <w:rsid w:val="00914243"/>
    <w:rsid w:val="009147B8"/>
    <w:rsid w:val="00914A11"/>
    <w:rsid w:val="00914CD5"/>
    <w:rsid w:val="00914E65"/>
    <w:rsid w:val="009154AF"/>
    <w:rsid w:val="00915699"/>
    <w:rsid w:val="009157D8"/>
    <w:rsid w:val="009158A3"/>
    <w:rsid w:val="00916056"/>
    <w:rsid w:val="0091612C"/>
    <w:rsid w:val="00916282"/>
    <w:rsid w:val="009162C5"/>
    <w:rsid w:val="00916337"/>
    <w:rsid w:val="00916422"/>
    <w:rsid w:val="00916614"/>
    <w:rsid w:val="00916834"/>
    <w:rsid w:val="00916D62"/>
    <w:rsid w:val="00916F2E"/>
    <w:rsid w:val="00917059"/>
    <w:rsid w:val="0091742B"/>
    <w:rsid w:val="0091787E"/>
    <w:rsid w:val="009179AF"/>
    <w:rsid w:val="00917B92"/>
    <w:rsid w:val="00917D11"/>
    <w:rsid w:val="00920395"/>
    <w:rsid w:val="009203A0"/>
    <w:rsid w:val="009206A6"/>
    <w:rsid w:val="00920A4B"/>
    <w:rsid w:val="00920A6D"/>
    <w:rsid w:val="00920BE0"/>
    <w:rsid w:val="00920D80"/>
    <w:rsid w:val="00920F9D"/>
    <w:rsid w:val="009213D9"/>
    <w:rsid w:val="009215DD"/>
    <w:rsid w:val="009216D0"/>
    <w:rsid w:val="00921CE1"/>
    <w:rsid w:val="00922060"/>
    <w:rsid w:val="009221BF"/>
    <w:rsid w:val="00922781"/>
    <w:rsid w:val="009229EC"/>
    <w:rsid w:val="00922E31"/>
    <w:rsid w:val="00922FBF"/>
    <w:rsid w:val="00922FF9"/>
    <w:rsid w:val="009230F5"/>
    <w:rsid w:val="009238E6"/>
    <w:rsid w:val="00923BBF"/>
    <w:rsid w:val="00923C7F"/>
    <w:rsid w:val="00924020"/>
    <w:rsid w:val="00924326"/>
    <w:rsid w:val="00924510"/>
    <w:rsid w:val="00924A0E"/>
    <w:rsid w:val="00924A78"/>
    <w:rsid w:val="00924D7A"/>
    <w:rsid w:val="00924EC1"/>
    <w:rsid w:val="00924F43"/>
    <w:rsid w:val="00924FAB"/>
    <w:rsid w:val="00925650"/>
    <w:rsid w:val="0092596E"/>
    <w:rsid w:val="00925995"/>
    <w:rsid w:val="00926039"/>
    <w:rsid w:val="00926052"/>
    <w:rsid w:val="0092625A"/>
    <w:rsid w:val="00926501"/>
    <w:rsid w:val="00926C7D"/>
    <w:rsid w:val="00926F12"/>
    <w:rsid w:val="009270E7"/>
    <w:rsid w:val="009272DF"/>
    <w:rsid w:val="009273D6"/>
    <w:rsid w:val="009277E1"/>
    <w:rsid w:val="00927997"/>
    <w:rsid w:val="00927999"/>
    <w:rsid w:val="00927A9D"/>
    <w:rsid w:val="00927B02"/>
    <w:rsid w:val="00927ED0"/>
    <w:rsid w:val="0093007D"/>
    <w:rsid w:val="0093041B"/>
    <w:rsid w:val="0093054A"/>
    <w:rsid w:val="0093067A"/>
    <w:rsid w:val="009308CA"/>
    <w:rsid w:val="00930B6E"/>
    <w:rsid w:val="00930B74"/>
    <w:rsid w:val="00930E2B"/>
    <w:rsid w:val="00930EE9"/>
    <w:rsid w:val="00930F91"/>
    <w:rsid w:val="009311DC"/>
    <w:rsid w:val="009315A2"/>
    <w:rsid w:val="00931FE9"/>
    <w:rsid w:val="009325F4"/>
    <w:rsid w:val="00932604"/>
    <w:rsid w:val="00932689"/>
    <w:rsid w:val="009326F5"/>
    <w:rsid w:val="00932841"/>
    <w:rsid w:val="0093289A"/>
    <w:rsid w:val="009329C6"/>
    <w:rsid w:val="00932B14"/>
    <w:rsid w:val="00932C26"/>
    <w:rsid w:val="00932DA0"/>
    <w:rsid w:val="00932DF9"/>
    <w:rsid w:val="00932E8D"/>
    <w:rsid w:val="009331E8"/>
    <w:rsid w:val="009335C6"/>
    <w:rsid w:val="009338C5"/>
    <w:rsid w:val="00933954"/>
    <w:rsid w:val="00933BCB"/>
    <w:rsid w:val="00933CAF"/>
    <w:rsid w:val="00933E4A"/>
    <w:rsid w:val="00933F2C"/>
    <w:rsid w:val="00934138"/>
    <w:rsid w:val="00934250"/>
    <w:rsid w:val="00934323"/>
    <w:rsid w:val="0093439F"/>
    <w:rsid w:val="009344F1"/>
    <w:rsid w:val="0093475C"/>
    <w:rsid w:val="009347B5"/>
    <w:rsid w:val="009349B8"/>
    <w:rsid w:val="00934A05"/>
    <w:rsid w:val="00934E2F"/>
    <w:rsid w:val="009351B3"/>
    <w:rsid w:val="009351C8"/>
    <w:rsid w:val="00935218"/>
    <w:rsid w:val="00935294"/>
    <w:rsid w:val="00935433"/>
    <w:rsid w:val="00935629"/>
    <w:rsid w:val="00935664"/>
    <w:rsid w:val="00935708"/>
    <w:rsid w:val="00935815"/>
    <w:rsid w:val="00935B30"/>
    <w:rsid w:val="00935BB9"/>
    <w:rsid w:val="00935E43"/>
    <w:rsid w:val="00935F38"/>
    <w:rsid w:val="00936A1C"/>
    <w:rsid w:val="00936E09"/>
    <w:rsid w:val="009372F8"/>
    <w:rsid w:val="00937376"/>
    <w:rsid w:val="00937674"/>
    <w:rsid w:val="00937957"/>
    <w:rsid w:val="00937997"/>
    <w:rsid w:val="00937D9D"/>
    <w:rsid w:val="00937EDB"/>
    <w:rsid w:val="00940042"/>
    <w:rsid w:val="00940709"/>
    <w:rsid w:val="009407E0"/>
    <w:rsid w:val="00940A09"/>
    <w:rsid w:val="00940C29"/>
    <w:rsid w:val="00940F85"/>
    <w:rsid w:val="00941276"/>
    <w:rsid w:val="009412D4"/>
    <w:rsid w:val="00941466"/>
    <w:rsid w:val="0094149E"/>
    <w:rsid w:val="009415F9"/>
    <w:rsid w:val="009416D6"/>
    <w:rsid w:val="00941A0F"/>
    <w:rsid w:val="00941B32"/>
    <w:rsid w:val="00942A30"/>
    <w:rsid w:val="00942D7A"/>
    <w:rsid w:val="00942D84"/>
    <w:rsid w:val="0094309E"/>
    <w:rsid w:val="00943239"/>
    <w:rsid w:val="0094344B"/>
    <w:rsid w:val="009434D4"/>
    <w:rsid w:val="00943638"/>
    <w:rsid w:val="00943677"/>
    <w:rsid w:val="00943BC1"/>
    <w:rsid w:val="00943CF6"/>
    <w:rsid w:val="009446CA"/>
    <w:rsid w:val="00944836"/>
    <w:rsid w:val="00944EF2"/>
    <w:rsid w:val="009452C0"/>
    <w:rsid w:val="0094533E"/>
    <w:rsid w:val="009455EC"/>
    <w:rsid w:val="009458AE"/>
    <w:rsid w:val="00945AC6"/>
    <w:rsid w:val="0094607B"/>
    <w:rsid w:val="00946501"/>
    <w:rsid w:val="00946554"/>
    <w:rsid w:val="00946A17"/>
    <w:rsid w:val="00946AB3"/>
    <w:rsid w:val="00946E26"/>
    <w:rsid w:val="00946E9D"/>
    <w:rsid w:val="009470FB"/>
    <w:rsid w:val="009473D9"/>
    <w:rsid w:val="00947471"/>
    <w:rsid w:val="0094770F"/>
    <w:rsid w:val="00947754"/>
    <w:rsid w:val="009479B4"/>
    <w:rsid w:val="00947A4D"/>
    <w:rsid w:val="00947B03"/>
    <w:rsid w:val="00947CC6"/>
    <w:rsid w:val="00947DB7"/>
    <w:rsid w:val="00947F5C"/>
    <w:rsid w:val="009500AD"/>
    <w:rsid w:val="009500D9"/>
    <w:rsid w:val="00950118"/>
    <w:rsid w:val="0095090B"/>
    <w:rsid w:val="00950A92"/>
    <w:rsid w:val="00950AD7"/>
    <w:rsid w:val="00950F53"/>
    <w:rsid w:val="00950F6B"/>
    <w:rsid w:val="00951312"/>
    <w:rsid w:val="00951363"/>
    <w:rsid w:val="0095147D"/>
    <w:rsid w:val="00951544"/>
    <w:rsid w:val="0095174A"/>
    <w:rsid w:val="009518F6"/>
    <w:rsid w:val="00951B2E"/>
    <w:rsid w:val="00951D7A"/>
    <w:rsid w:val="00952078"/>
    <w:rsid w:val="00952304"/>
    <w:rsid w:val="009523E1"/>
    <w:rsid w:val="00952473"/>
    <w:rsid w:val="009524C9"/>
    <w:rsid w:val="009527FF"/>
    <w:rsid w:val="00952802"/>
    <w:rsid w:val="00952935"/>
    <w:rsid w:val="00952937"/>
    <w:rsid w:val="00952EC7"/>
    <w:rsid w:val="009531FE"/>
    <w:rsid w:val="00953858"/>
    <w:rsid w:val="00953A53"/>
    <w:rsid w:val="00953AB8"/>
    <w:rsid w:val="00953DB0"/>
    <w:rsid w:val="009541E0"/>
    <w:rsid w:val="00954336"/>
    <w:rsid w:val="00954494"/>
    <w:rsid w:val="00954585"/>
    <w:rsid w:val="009547DC"/>
    <w:rsid w:val="00954848"/>
    <w:rsid w:val="009548DC"/>
    <w:rsid w:val="00954961"/>
    <w:rsid w:val="00954AF8"/>
    <w:rsid w:val="00954CFD"/>
    <w:rsid w:val="00954EF8"/>
    <w:rsid w:val="00955088"/>
    <w:rsid w:val="00955339"/>
    <w:rsid w:val="00955BC5"/>
    <w:rsid w:val="00955E61"/>
    <w:rsid w:val="00955E92"/>
    <w:rsid w:val="00955EC1"/>
    <w:rsid w:val="00955EEF"/>
    <w:rsid w:val="00955EF1"/>
    <w:rsid w:val="00955F45"/>
    <w:rsid w:val="0095610B"/>
    <w:rsid w:val="009561CF"/>
    <w:rsid w:val="009563CF"/>
    <w:rsid w:val="0095646B"/>
    <w:rsid w:val="009564F1"/>
    <w:rsid w:val="00956613"/>
    <w:rsid w:val="009566DA"/>
    <w:rsid w:val="00956907"/>
    <w:rsid w:val="00956916"/>
    <w:rsid w:val="0095710B"/>
    <w:rsid w:val="009574C6"/>
    <w:rsid w:val="00957D72"/>
    <w:rsid w:val="00957DA0"/>
    <w:rsid w:val="00957E0C"/>
    <w:rsid w:val="009600E5"/>
    <w:rsid w:val="0096012C"/>
    <w:rsid w:val="009601F0"/>
    <w:rsid w:val="00960840"/>
    <w:rsid w:val="00960B3B"/>
    <w:rsid w:val="00961030"/>
    <w:rsid w:val="00961087"/>
    <w:rsid w:val="0096114A"/>
    <w:rsid w:val="009612EC"/>
    <w:rsid w:val="009616FF"/>
    <w:rsid w:val="00961744"/>
    <w:rsid w:val="00961866"/>
    <w:rsid w:val="00961929"/>
    <w:rsid w:val="0096193C"/>
    <w:rsid w:val="00961DD8"/>
    <w:rsid w:val="00961FBE"/>
    <w:rsid w:val="009624C6"/>
    <w:rsid w:val="00962567"/>
    <w:rsid w:val="00962877"/>
    <w:rsid w:val="00962C65"/>
    <w:rsid w:val="009631BB"/>
    <w:rsid w:val="00963282"/>
    <w:rsid w:val="00963582"/>
    <w:rsid w:val="0096381F"/>
    <w:rsid w:val="00963A43"/>
    <w:rsid w:val="00963A7A"/>
    <w:rsid w:val="00963B8B"/>
    <w:rsid w:val="00963D2A"/>
    <w:rsid w:val="00963F03"/>
    <w:rsid w:val="00963FB9"/>
    <w:rsid w:val="00964547"/>
    <w:rsid w:val="00964AC5"/>
    <w:rsid w:val="00964BCF"/>
    <w:rsid w:val="00964D4F"/>
    <w:rsid w:val="00965138"/>
    <w:rsid w:val="00965656"/>
    <w:rsid w:val="00965729"/>
    <w:rsid w:val="0096585F"/>
    <w:rsid w:val="0096594F"/>
    <w:rsid w:val="00965963"/>
    <w:rsid w:val="00965BB0"/>
    <w:rsid w:val="00965D03"/>
    <w:rsid w:val="00965EF1"/>
    <w:rsid w:val="00966086"/>
    <w:rsid w:val="009660D6"/>
    <w:rsid w:val="00966250"/>
    <w:rsid w:val="00966302"/>
    <w:rsid w:val="0096651D"/>
    <w:rsid w:val="009668AC"/>
    <w:rsid w:val="0096691D"/>
    <w:rsid w:val="0096695C"/>
    <w:rsid w:val="00966D6B"/>
    <w:rsid w:val="00966E14"/>
    <w:rsid w:val="0096713D"/>
    <w:rsid w:val="009671AD"/>
    <w:rsid w:val="009674E7"/>
    <w:rsid w:val="009674F3"/>
    <w:rsid w:val="009676E3"/>
    <w:rsid w:val="00967B71"/>
    <w:rsid w:val="00967C0F"/>
    <w:rsid w:val="00967D0C"/>
    <w:rsid w:val="0097014A"/>
    <w:rsid w:val="009701A3"/>
    <w:rsid w:val="009702E1"/>
    <w:rsid w:val="00970339"/>
    <w:rsid w:val="009707DE"/>
    <w:rsid w:val="0097110F"/>
    <w:rsid w:val="00971134"/>
    <w:rsid w:val="009711A0"/>
    <w:rsid w:val="0097143E"/>
    <w:rsid w:val="00971543"/>
    <w:rsid w:val="0097162B"/>
    <w:rsid w:val="009716CC"/>
    <w:rsid w:val="009719E7"/>
    <w:rsid w:val="00971B24"/>
    <w:rsid w:val="00971B64"/>
    <w:rsid w:val="00971CFD"/>
    <w:rsid w:val="00971D95"/>
    <w:rsid w:val="00972050"/>
    <w:rsid w:val="009723AF"/>
    <w:rsid w:val="00972540"/>
    <w:rsid w:val="009725E5"/>
    <w:rsid w:val="00972645"/>
    <w:rsid w:val="00972805"/>
    <w:rsid w:val="00972ADC"/>
    <w:rsid w:val="00972D42"/>
    <w:rsid w:val="00972DC5"/>
    <w:rsid w:val="00972F94"/>
    <w:rsid w:val="009732CF"/>
    <w:rsid w:val="0097355C"/>
    <w:rsid w:val="00973629"/>
    <w:rsid w:val="00973943"/>
    <w:rsid w:val="00973F6F"/>
    <w:rsid w:val="00974106"/>
    <w:rsid w:val="00974231"/>
    <w:rsid w:val="00974427"/>
    <w:rsid w:val="00974464"/>
    <w:rsid w:val="00974953"/>
    <w:rsid w:val="00974ED1"/>
    <w:rsid w:val="009751A1"/>
    <w:rsid w:val="009752EF"/>
    <w:rsid w:val="0097533E"/>
    <w:rsid w:val="00975428"/>
    <w:rsid w:val="009757F4"/>
    <w:rsid w:val="00975A34"/>
    <w:rsid w:val="00975D8A"/>
    <w:rsid w:val="00976075"/>
    <w:rsid w:val="00976100"/>
    <w:rsid w:val="009764FB"/>
    <w:rsid w:val="0097680D"/>
    <w:rsid w:val="009769A7"/>
    <w:rsid w:val="00976A6F"/>
    <w:rsid w:val="00976B77"/>
    <w:rsid w:val="00976BEE"/>
    <w:rsid w:val="00976CF3"/>
    <w:rsid w:val="009770FF"/>
    <w:rsid w:val="0097720F"/>
    <w:rsid w:val="0097722E"/>
    <w:rsid w:val="009774E6"/>
    <w:rsid w:val="00977559"/>
    <w:rsid w:val="009775A0"/>
    <w:rsid w:val="009777EF"/>
    <w:rsid w:val="00977822"/>
    <w:rsid w:val="00977889"/>
    <w:rsid w:val="009800BC"/>
    <w:rsid w:val="00980298"/>
    <w:rsid w:val="009803CA"/>
    <w:rsid w:val="0098049F"/>
    <w:rsid w:val="00980611"/>
    <w:rsid w:val="0098081D"/>
    <w:rsid w:val="009808F3"/>
    <w:rsid w:val="00980B0E"/>
    <w:rsid w:val="00980C15"/>
    <w:rsid w:val="00980CB0"/>
    <w:rsid w:val="00980FEB"/>
    <w:rsid w:val="0098147C"/>
    <w:rsid w:val="00981500"/>
    <w:rsid w:val="00981DA2"/>
    <w:rsid w:val="00981E06"/>
    <w:rsid w:val="00981FD1"/>
    <w:rsid w:val="0098215C"/>
    <w:rsid w:val="009823D3"/>
    <w:rsid w:val="009823F6"/>
    <w:rsid w:val="00982583"/>
    <w:rsid w:val="00982A81"/>
    <w:rsid w:val="00982C5D"/>
    <w:rsid w:val="009831CF"/>
    <w:rsid w:val="009834D9"/>
    <w:rsid w:val="009835B7"/>
    <w:rsid w:val="009835D0"/>
    <w:rsid w:val="00983926"/>
    <w:rsid w:val="00983A04"/>
    <w:rsid w:val="00983AD0"/>
    <w:rsid w:val="00983B5E"/>
    <w:rsid w:val="00983C35"/>
    <w:rsid w:val="00983EA7"/>
    <w:rsid w:val="00984965"/>
    <w:rsid w:val="009849E9"/>
    <w:rsid w:val="00984C10"/>
    <w:rsid w:val="00984F67"/>
    <w:rsid w:val="009850BB"/>
    <w:rsid w:val="00985160"/>
    <w:rsid w:val="00985217"/>
    <w:rsid w:val="009854F5"/>
    <w:rsid w:val="009856B4"/>
    <w:rsid w:val="0098574C"/>
    <w:rsid w:val="00985F5E"/>
    <w:rsid w:val="009860CE"/>
    <w:rsid w:val="00986137"/>
    <w:rsid w:val="00986204"/>
    <w:rsid w:val="009862AA"/>
    <w:rsid w:val="00986338"/>
    <w:rsid w:val="009864F7"/>
    <w:rsid w:val="0098675D"/>
    <w:rsid w:val="00986861"/>
    <w:rsid w:val="009868DB"/>
    <w:rsid w:val="00986A18"/>
    <w:rsid w:val="00986BDF"/>
    <w:rsid w:val="00986D05"/>
    <w:rsid w:val="00986FED"/>
    <w:rsid w:val="00987225"/>
    <w:rsid w:val="00987239"/>
    <w:rsid w:val="009872D1"/>
    <w:rsid w:val="0098731A"/>
    <w:rsid w:val="0098739A"/>
    <w:rsid w:val="009873C9"/>
    <w:rsid w:val="009873F3"/>
    <w:rsid w:val="0098795C"/>
    <w:rsid w:val="0098796F"/>
    <w:rsid w:val="00987B1C"/>
    <w:rsid w:val="00987D59"/>
    <w:rsid w:val="00987E21"/>
    <w:rsid w:val="00987E98"/>
    <w:rsid w:val="00990E7B"/>
    <w:rsid w:val="0099104D"/>
    <w:rsid w:val="0099123A"/>
    <w:rsid w:val="0099127D"/>
    <w:rsid w:val="00991798"/>
    <w:rsid w:val="0099185F"/>
    <w:rsid w:val="00991919"/>
    <w:rsid w:val="009920EB"/>
    <w:rsid w:val="00992565"/>
    <w:rsid w:val="009925CB"/>
    <w:rsid w:val="00992658"/>
    <w:rsid w:val="00992886"/>
    <w:rsid w:val="009929A4"/>
    <w:rsid w:val="00992BEA"/>
    <w:rsid w:val="009937C4"/>
    <w:rsid w:val="00993814"/>
    <w:rsid w:val="00993823"/>
    <w:rsid w:val="00993D59"/>
    <w:rsid w:val="00993FE7"/>
    <w:rsid w:val="00994254"/>
    <w:rsid w:val="0099430C"/>
    <w:rsid w:val="009943D1"/>
    <w:rsid w:val="00994668"/>
    <w:rsid w:val="0099494A"/>
    <w:rsid w:val="00994A2F"/>
    <w:rsid w:val="00994ABF"/>
    <w:rsid w:val="00994C32"/>
    <w:rsid w:val="00994E66"/>
    <w:rsid w:val="00994F00"/>
    <w:rsid w:val="0099502F"/>
    <w:rsid w:val="009954A4"/>
    <w:rsid w:val="0099569C"/>
    <w:rsid w:val="009957B3"/>
    <w:rsid w:val="00996251"/>
    <w:rsid w:val="0099629B"/>
    <w:rsid w:val="00996332"/>
    <w:rsid w:val="0099660D"/>
    <w:rsid w:val="00996724"/>
    <w:rsid w:val="00996740"/>
    <w:rsid w:val="00996850"/>
    <w:rsid w:val="0099685F"/>
    <w:rsid w:val="00996900"/>
    <w:rsid w:val="00996959"/>
    <w:rsid w:val="00996B42"/>
    <w:rsid w:val="00996C2C"/>
    <w:rsid w:val="00996D34"/>
    <w:rsid w:val="0099737E"/>
    <w:rsid w:val="0099738F"/>
    <w:rsid w:val="0099745F"/>
    <w:rsid w:val="00997879"/>
    <w:rsid w:val="00997AE0"/>
    <w:rsid w:val="00997B4E"/>
    <w:rsid w:val="00997D44"/>
    <w:rsid w:val="00997ED0"/>
    <w:rsid w:val="00997F0A"/>
    <w:rsid w:val="00997F11"/>
    <w:rsid w:val="009A0918"/>
    <w:rsid w:val="009A0959"/>
    <w:rsid w:val="009A0C3F"/>
    <w:rsid w:val="009A0D87"/>
    <w:rsid w:val="009A0FF2"/>
    <w:rsid w:val="009A1131"/>
    <w:rsid w:val="009A1153"/>
    <w:rsid w:val="009A11F2"/>
    <w:rsid w:val="009A12A5"/>
    <w:rsid w:val="009A13ED"/>
    <w:rsid w:val="009A159B"/>
    <w:rsid w:val="009A15D2"/>
    <w:rsid w:val="009A1CD4"/>
    <w:rsid w:val="009A1E71"/>
    <w:rsid w:val="009A2167"/>
    <w:rsid w:val="009A22EF"/>
    <w:rsid w:val="009A284A"/>
    <w:rsid w:val="009A2C76"/>
    <w:rsid w:val="009A2DB8"/>
    <w:rsid w:val="009A304D"/>
    <w:rsid w:val="009A3288"/>
    <w:rsid w:val="009A347D"/>
    <w:rsid w:val="009A3803"/>
    <w:rsid w:val="009A390C"/>
    <w:rsid w:val="009A3B05"/>
    <w:rsid w:val="009A3B16"/>
    <w:rsid w:val="009A3C9C"/>
    <w:rsid w:val="009A3CFC"/>
    <w:rsid w:val="009A402D"/>
    <w:rsid w:val="009A411E"/>
    <w:rsid w:val="009A4176"/>
    <w:rsid w:val="009A42A3"/>
    <w:rsid w:val="009A49FE"/>
    <w:rsid w:val="009A4DEC"/>
    <w:rsid w:val="009A5237"/>
    <w:rsid w:val="009A5487"/>
    <w:rsid w:val="009A5871"/>
    <w:rsid w:val="009A596F"/>
    <w:rsid w:val="009A5A37"/>
    <w:rsid w:val="009A5A83"/>
    <w:rsid w:val="009A5EAD"/>
    <w:rsid w:val="009A635D"/>
    <w:rsid w:val="009A640F"/>
    <w:rsid w:val="009A66A2"/>
    <w:rsid w:val="009A6A2C"/>
    <w:rsid w:val="009A6D6B"/>
    <w:rsid w:val="009A6E98"/>
    <w:rsid w:val="009A70FF"/>
    <w:rsid w:val="009A7261"/>
    <w:rsid w:val="009A7541"/>
    <w:rsid w:val="009A7634"/>
    <w:rsid w:val="009A7834"/>
    <w:rsid w:val="009A7904"/>
    <w:rsid w:val="009A7B4B"/>
    <w:rsid w:val="009A7CA3"/>
    <w:rsid w:val="009A7FC3"/>
    <w:rsid w:val="009B0482"/>
    <w:rsid w:val="009B05B2"/>
    <w:rsid w:val="009B06CC"/>
    <w:rsid w:val="009B0869"/>
    <w:rsid w:val="009B0B0A"/>
    <w:rsid w:val="009B10C6"/>
    <w:rsid w:val="009B10D5"/>
    <w:rsid w:val="009B14A7"/>
    <w:rsid w:val="009B1981"/>
    <w:rsid w:val="009B1A70"/>
    <w:rsid w:val="009B1B27"/>
    <w:rsid w:val="009B1C18"/>
    <w:rsid w:val="009B1ECF"/>
    <w:rsid w:val="009B21AD"/>
    <w:rsid w:val="009B23E0"/>
    <w:rsid w:val="009B2434"/>
    <w:rsid w:val="009B271C"/>
    <w:rsid w:val="009B2F75"/>
    <w:rsid w:val="009B31F1"/>
    <w:rsid w:val="009B3283"/>
    <w:rsid w:val="009B3287"/>
    <w:rsid w:val="009B32AE"/>
    <w:rsid w:val="009B33B5"/>
    <w:rsid w:val="009B3441"/>
    <w:rsid w:val="009B3512"/>
    <w:rsid w:val="009B3643"/>
    <w:rsid w:val="009B36C9"/>
    <w:rsid w:val="009B382C"/>
    <w:rsid w:val="009B397E"/>
    <w:rsid w:val="009B3AEB"/>
    <w:rsid w:val="009B3EDD"/>
    <w:rsid w:val="009B4703"/>
    <w:rsid w:val="009B49CB"/>
    <w:rsid w:val="009B4AB7"/>
    <w:rsid w:val="009B4B9A"/>
    <w:rsid w:val="009B4D45"/>
    <w:rsid w:val="009B4D61"/>
    <w:rsid w:val="009B532D"/>
    <w:rsid w:val="009B59C8"/>
    <w:rsid w:val="009B5C72"/>
    <w:rsid w:val="009B5E6F"/>
    <w:rsid w:val="009B604D"/>
    <w:rsid w:val="009B641B"/>
    <w:rsid w:val="009B648F"/>
    <w:rsid w:val="009B660B"/>
    <w:rsid w:val="009B67AB"/>
    <w:rsid w:val="009B6A14"/>
    <w:rsid w:val="009B6DC7"/>
    <w:rsid w:val="009B6E46"/>
    <w:rsid w:val="009B6E7F"/>
    <w:rsid w:val="009B708C"/>
    <w:rsid w:val="009B72FD"/>
    <w:rsid w:val="009B74CF"/>
    <w:rsid w:val="009B7A44"/>
    <w:rsid w:val="009B7C95"/>
    <w:rsid w:val="009C0105"/>
    <w:rsid w:val="009C0232"/>
    <w:rsid w:val="009C0270"/>
    <w:rsid w:val="009C032E"/>
    <w:rsid w:val="009C04B2"/>
    <w:rsid w:val="009C04C1"/>
    <w:rsid w:val="009C052C"/>
    <w:rsid w:val="009C05EA"/>
    <w:rsid w:val="009C0CE3"/>
    <w:rsid w:val="009C0F91"/>
    <w:rsid w:val="009C10C9"/>
    <w:rsid w:val="009C11F8"/>
    <w:rsid w:val="009C1595"/>
    <w:rsid w:val="009C1EE6"/>
    <w:rsid w:val="009C2026"/>
    <w:rsid w:val="009C2227"/>
    <w:rsid w:val="009C235C"/>
    <w:rsid w:val="009C244B"/>
    <w:rsid w:val="009C24AD"/>
    <w:rsid w:val="009C2751"/>
    <w:rsid w:val="009C2773"/>
    <w:rsid w:val="009C2A91"/>
    <w:rsid w:val="009C2B9E"/>
    <w:rsid w:val="009C2D60"/>
    <w:rsid w:val="009C2FB2"/>
    <w:rsid w:val="009C312D"/>
    <w:rsid w:val="009C3276"/>
    <w:rsid w:val="009C36DE"/>
    <w:rsid w:val="009C36F1"/>
    <w:rsid w:val="009C37D2"/>
    <w:rsid w:val="009C380E"/>
    <w:rsid w:val="009C3A6F"/>
    <w:rsid w:val="009C3B66"/>
    <w:rsid w:val="009C3E94"/>
    <w:rsid w:val="009C3F0D"/>
    <w:rsid w:val="009C3F3A"/>
    <w:rsid w:val="009C4052"/>
    <w:rsid w:val="009C40BA"/>
    <w:rsid w:val="009C45F4"/>
    <w:rsid w:val="009C4697"/>
    <w:rsid w:val="009C492F"/>
    <w:rsid w:val="009C4952"/>
    <w:rsid w:val="009C4B1F"/>
    <w:rsid w:val="009C4BDC"/>
    <w:rsid w:val="009C4C5A"/>
    <w:rsid w:val="009C4EF5"/>
    <w:rsid w:val="009C5073"/>
    <w:rsid w:val="009C50CA"/>
    <w:rsid w:val="009C5107"/>
    <w:rsid w:val="009C5458"/>
    <w:rsid w:val="009C5A04"/>
    <w:rsid w:val="009C5B78"/>
    <w:rsid w:val="009C5CA4"/>
    <w:rsid w:val="009C5D4E"/>
    <w:rsid w:val="009C5FC0"/>
    <w:rsid w:val="009C601D"/>
    <w:rsid w:val="009C631F"/>
    <w:rsid w:val="009C6323"/>
    <w:rsid w:val="009C6783"/>
    <w:rsid w:val="009C6839"/>
    <w:rsid w:val="009C692A"/>
    <w:rsid w:val="009C69D1"/>
    <w:rsid w:val="009C6B22"/>
    <w:rsid w:val="009C6C80"/>
    <w:rsid w:val="009C77F7"/>
    <w:rsid w:val="009C7873"/>
    <w:rsid w:val="009C7A10"/>
    <w:rsid w:val="009C7B12"/>
    <w:rsid w:val="009C7B4E"/>
    <w:rsid w:val="009C7D07"/>
    <w:rsid w:val="009C7E70"/>
    <w:rsid w:val="009C7F23"/>
    <w:rsid w:val="009C7FBE"/>
    <w:rsid w:val="009D0170"/>
    <w:rsid w:val="009D03B9"/>
    <w:rsid w:val="009D0405"/>
    <w:rsid w:val="009D045E"/>
    <w:rsid w:val="009D0810"/>
    <w:rsid w:val="009D0820"/>
    <w:rsid w:val="009D0EAB"/>
    <w:rsid w:val="009D1258"/>
    <w:rsid w:val="009D129E"/>
    <w:rsid w:val="009D12C8"/>
    <w:rsid w:val="009D13AA"/>
    <w:rsid w:val="009D1707"/>
    <w:rsid w:val="009D1959"/>
    <w:rsid w:val="009D1A93"/>
    <w:rsid w:val="009D1EA1"/>
    <w:rsid w:val="009D203E"/>
    <w:rsid w:val="009D22EB"/>
    <w:rsid w:val="009D2403"/>
    <w:rsid w:val="009D271E"/>
    <w:rsid w:val="009D27FD"/>
    <w:rsid w:val="009D29D6"/>
    <w:rsid w:val="009D2A60"/>
    <w:rsid w:val="009D2BD2"/>
    <w:rsid w:val="009D2DB9"/>
    <w:rsid w:val="009D2E8D"/>
    <w:rsid w:val="009D306B"/>
    <w:rsid w:val="009D3141"/>
    <w:rsid w:val="009D31A0"/>
    <w:rsid w:val="009D332F"/>
    <w:rsid w:val="009D337F"/>
    <w:rsid w:val="009D33F9"/>
    <w:rsid w:val="009D3B19"/>
    <w:rsid w:val="009D3F34"/>
    <w:rsid w:val="009D41EB"/>
    <w:rsid w:val="009D4221"/>
    <w:rsid w:val="009D4425"/>
    <w:rsid w:val="009D4460"/>
    <w:rsid w:val="009D4590"/>
    <w:rsid w:val="009D4591"/>
    <w:rsid w:val="009D46EC"/>
    <w:rsid w:val="009D4B14"/>
    <w:rsid w:val="009D4C26"/>
    <w:rsid w:val="009D4F68"/>
    <w:rsid w:val="009D503D"/>
    <w:rsid w:val="009D5177"/>
    <w:rsid w:val="009D5281"/>
    <w:rsid w:val="009D5376"/>
    <w:rsid w:val="009D539B"/>
    <w:rsid w:val="009D541F"/>
    <w:rsid w:val="009D5895"/>
    <w:rsid w:val="009D5B86"/>
    <w:rsid w:val="009D5C26"/>
    <w:rsid w:val="009D6689"/>
    <w:rsid w:val="009D669E"/>
    <w:rsid w:val="009D66D9"/>
    <w:rsid w:val="009D6749"/>
    <w:rsid w:val="009D679C"/>
    <w:rsid w:val="009D69B0"/>
    <w:rsid w:val="009D6A67"/>
    <w:rsid w:val="009D7709"/>
    <w:rsid w:val="009D773E"/>
    <w:rsid w:val="009D7772"/>
    <w:rsid w:val="009D7965"/>
    <w:rsid w:val="009D7D1A"/>
    <w:rsid w:val="009D7DEE"/>
    <w:rsid w:val="009DD16B"/>
    <w:rsid w:val="009E016D"/>
    <w:rsid w:val="009E03DB"/>
    <w:rsid w:val="009E04A9"/>
    <w:rsid w:val="009E04AB"/>
    <w:rsid w:val="009E051D"/>
    <w:rsid w:val="009E05F8"/>
    <w:rsid w:val="009E0A84"/>
    <w:rsid w:val="009E0D33"/>
    <w:rsid w:val="009E0E8E"/>
    <w:rsid w:val="009E0F2C"/>
    <w:rsid w:val="009E1346"/>
    <w:rsid w:val="009E14D9"/>
    <w:rsid w:val="009E154E"/>
    <w:rsid w:val="009E1597"/>
    <w:rsid w:val="009E170E"/>
    <w:rsid w:val="009E1CB0"/>
    <w:rsid w:val="009E1CB5"/>
    <w:rsid w:val="009E1F5F"/>
    <w:rsid w:val="009E20C8"/>
    <w:rsid w:val="009E2182"/>
    <w:rsid w:val="009E23CC"/>
    <w:rsid w:val="009E2413"/>
    <w:rsid w:val="009E25CD"/>
    <w:rsid w:val="009E266A"/>
    <w:rsid w:val="009E27CB"/>
    <w:rsid w:val="009E28A1"/>
    <w:rsid w:val="009E2D8D"/>
    <w:rsid w:val="009E2F35"/>
    <w:rsid w:val="009E3158"/>
    <w:rsid w:val="009E3327"/>
    <w:rsid w:val="009E3400"/>
    <w:rsid w:val="009E3568"/>
    <w:rsid w:val="009E3687"/>
    <w:rsid w:val="009E3777"/>
    <w:rsid w:val="009E3CA2"/>
    <w:rsid w:val="009E3F2D"/>
    <w:rsid w:val="009E3F46"/>
    <w:rsid w:val="009E40AF"/>
    <w:rsid w:val="009E41B9"/>
    <w:rsid w:val="009E42AF"/>
    <w:rsid w:val="009E4837"/>
    <w:rsid w:val="009E4916"/>
    <w:rsid w:val="009E4984"/>
    <w:rsid w:val="009E4B30"/>
    <w:rsid w:val="009E4D76"/>
    <w:rsid w:val="009E50A9"/>
    <w:rsid w:val="009E52B4"/>
    <w:rsid w:val="009E567E"/>
    <w:rsid w:val="009E5805"/>
    <w:rsid w:val="009E58A4"/>
    <w:rsid w:val="009E5912"/>
    <w:rsid w:val="009E6103"/>
    <w:rsid w:val="009E6220"/>
    <w:rsid w:val="009E62C2"/>
    <w:rsid w:val="009E63F2"/>
    <w:rsid w:val="009E6819"/>
    <w:rsid w:val="009E707D"/>
    <w:rsid w:val="009E70EF"/>
    <w:rsid w:val="009E7167"/>
    <w:rsid w:val="009E7186"/>
    <w:rsid w:val="009E75B0"/>
    <w:rsid w:val="009E77B7"/>
    <w:rsid w:val="009E7823"/>
    <w:rsid w:val="009E790D"/>
    <w:rsid w:val="009F0397"/>
    <w:rsid w:val="009F04E5"/>
    <w:rsid w:val="009F0760"/>
    <w:rsid w:val="009F07F5"/>
    <w:rsid w:val="009F0870"/>
    <w:rsid w:val="009F0E87"/>
    <w:rsid w:val="009F11FB"/>
    <w:rsid w:val="009F13FA"/>
    <w:rsid w:val="009F144D"/>
    <w:rsid w:val="009F1780"/>
    <w:rsid w:val="009F1B23"/>
    <w:rsid w:val="009F1B7F"/>
    <w:rsid w:val="009F1F6A"/>
    <w:rsid w:val="009F21C1"/>
    <w:rsid w:val="009F26A4"/>
    <w:rsid w:val="009F282C"/>
    <w:rsid w:val="009F28F5"/>
    <w:rsid w:val="009F2EB1"/>
    <w:rsid w:val="009F2EF1"/>
    <w:rsid w:val="009F2F27"/>
    <w:rsid w:val="009F2F40"/>
    <w:rsid w:val="009F2FB4"/>
    <w:rsid w:val="009F3040"/>
    <w:rsid w:val="009F3069"/>
    <w:rsid w:val="009F330A"/>
    <w:rsid w:val="009F3415"/>
    <w:rsid w:val="009F349B"/>
    <w:rsid w:val="009F350C"/>
    <w:rsid w:val="009F378E"/>
    <w:rsid w:val="009F388F"/>
    <w:rsid w:val="009F3906"/>
    <w:rsid w:val="009F3A2B"/>
    <w:rsid w:val="009F3B31"/>
    <w:rsid w:val="009F3B37"/>
    <w:rsid w:val="009F4166"/>
    <w:rsid w:val="009F42EB"/>
    <w:rsid w:val="009F42FE"/>
    <w:rsid w:val="009F4329"/>
    <w:rsid w:val="009F45F5"/>
    <w:rsid w:val="009F4832"/>
    <w:rsid w:val="009F48B2"/>
    <w:rsid w:val="009F4B4E"/>
    <w:rsid w:val="009F4DAB"/>
    <w:rsid w:val="009F502D"/>
    <w:rsid w:val="009F503F"/>
    <w:rsid w:val="009F545F"/>
    <w:rsid w:val="009F54F5"/>
    <w:rsid w:val="009F5868"/>
    <w:rsid w:val="009F5969"/>
    <w:rsid w:val="009F5A02"/>
    <w:rsid w:val="009F5AC4"/>
    <w:rsid w:val="009F624B"/>
    <w:rsid w:val="009F6270"/>
    <w:rsid w:val="009F653B"/>
    <w:rsid w:val="009F6687"/>
    <w:rsid w:val="009F66C5"/>
    <w:rsid w:val="009F7B56"/>
    <w:rsid w:val="00A00211"/>
    <w:rsid w:val="00A003CB"/>
    <w:rsid w:val="00A00674"/>
    <w:rsid w:val="00A006D4"/>
    <w:rsid w:val="00A006E5"/>
    <w:rsid w:val="00A0080B"/>
    <w:rsid w:val="00A00A47"/>
    <w:rsid w:val="00A00A67"/>
    <w:rsid w:val="00A00C47"/>
    <w:rsid w:val="00A00E17"/>
    <w:rsid w:val="00A0102F"/>
    <w:rsid w:val="00A01038"/>
    <w:rsid w:val="00A01083"/>
    <w:rsid w:val="00A014F0"/>
    <w:rsid w:val="00A01AD8"/>
    <w:rsid w:val="00A01EB0"/>
    <w:rsid w:val="00A01ECD"/>
    <w:rsid w:val="00A021AA"/>
    <w:rsid w:val="00A0279A"/>
    <w:rsid w:val="00A02823"/>
    <w:rsid w:val="00A028AF"/>
    <w:rsid w:val="00A02954"/>
    <w:rsid w:val="00A02AB2"/>
    <w:rsid w:val="00A02B28"/>
    <w:rsid w:val="00A02CDE"/>
    <w:rsid w:val="00A02DBA"/>
    <w:rsid w:val="00A02DE0"/>
    <w:rsid w:val="00A0305B"/>
    <w:rsid w:val="00A032C3"/>
    <w:rsid w:val="00A033A6"/>
    <w:rsid w:val="00A0369F"/>
    <w:rsid w:val="00A036FA"/>
    <w:rsid w:val="00A03B6B"/>
    <w:rsid w:val="00A03CF9"/>
    <w:rsid w:val="00A03D45"/>
    <w:rsid w:val="00A043DC"/>
    <w:rsid w:val="00A043DD"/>
    <w:rsid w:val="00A0445C"/>
    <w:rsid w:val="00A05020"/>
    <w:rsid w:val="00A0588D"/>
    <w:rsid w:val="00A0599F"/>
    <w:rsid w:val="00A05D39"/>
    <w:rsid w:val="00A05F3B"/>
    <w:rsid w:val="00A0637B"/>
    <w:rsid w:val="00A06587"/>
    <w:rsid w:val="00A06745"/>
    <w:rsid w:val="00A069D7"/>
    <w:rsid w:val="00A0722D"/>
    <w:rsid w:val="00A0724A"/>
    <w:rsid w:val="00A072BC"/>
    <w:rsid w:val="00A07317"/>
    <w:rsid w:val="00A073DE"/>
    <w:rsid w:val="00A07460"/>
    <w:rsid w:val="00A07490"/>
    <w:rsid w:val="00A0751B"/>
    <w:rsid w:val="00A079B6"/>
    <w:rsid w:val="00A07B3F"/>
    <w:rsid w:val="00A100BF"/>
    <w:rsid w:val="00A106A8"/>
    <w:rsid w:val="00A10730"/>
    <w:rsid w:val="00A11C7B"/>
    <w:rsid w:val="00A121E7"/>
    <w:rsid w:val="00A123B3"/>
    <w:rsid w:val="00A1247D"/>
    <w:rsid w:val="00A1265E"/>
    <w:rsid w:val="00A12806"/>
    <w:rsid w:val="00A12B5B"/>
    <w:rsid w:val="00A12D88"/>
    <w:rsid w:val="00A12E6D"/>
    <w:rsid w:val="00A12F4C"/>
    <w:rsid w:val="00A13084"/>
    <w:rsid w:val="00A13191"/>
    <w:rsid w:val="00A13249"/>
    <w:rsid w:val="00A135F6"/>
    <w:rsid w:val="00A139E5"/>
    <w:rsid w:val="00A13D02"/>
    <w:rsid w:val="00A140EA"/>
    <w:rsid w:val="00A14434"/>
    <w:rsid w:val="00A14518"/>
    <w:rsid w:val="00A1466D"/>
    <w:rsid w:val="00A14674"/>
    <w:rsid w:val="00A14FD5"/>
    <w:rsid w:val="00A14FDE"/>
    <w:rsid w:val="00A14FFE"/>
    <w:rsid w:val="00A1512B"/>
    <w:rsid w:val="00A15264"/>
    <w:rsid w:val="00A15785"/>
    <w:rsid w:val="00A15792"/>
    <w:rsid w:val="00A15836"/>
    <w:rsid w:val="00A16097"/>
    <w:rsid w:val="00A16282"/>
    <w:rsid w:val="00A1642F"/>
    <w:rsid w:val="00A16438"/>
    <w:rsid w:val="00A16759"/>
    <w:rsid w:val="00A167DD"/>
    <w:rsid w:val="00A169BE"/>
    <w:rsid w:val="00A16ACA"/>
    <w:rsid w:val="00A16D68"/>
    <w:rsid w:val="00A16E47"/>
    <w:rsid w:val="00A17078"/>
    <w:rsid w:val="00A176FA"/>
    <w:rsid w:val="00A1770F"/>
    <w:rsid w:val="00A17722"/>
    <w:rsid w:val="00A17880"/>
    <w:rsid w:val="00A178CD"/>
    <w:rsid w:val="00A2013B"/>
    <w:rsid w:val="00A20258"/>
    <w:rsid w:val="00A202A0"/>
    <w:rsid w:val="00A20465"/>
    <w:rsid w:val="00A2052A"/>
    <w:rsid w:val="00A205F8"/>
    <w:rsid w:val="00A2098D"/>
    <w:rsid w:val="00A20A28"/>
    <w:rsid w:val="00A20C9A"/>
    <w:rsid w:val="00A20DBA"/>
    <w:rsid w:val="00A20DE0"/>
    <w:rsid w:val="00A215ED"/>
    <w:rsid w:val="00A21710"/>
    <w:rsid w:val="00A21949"/>
    <w:rsid w:val="00A21DB8"/>
    <w:rsid w:val="00A21E48"/>
    <w:rsid w:val="00A228F0"/>
    <w:rsid w:val="00A22ADE"/>
    <w:rsid w:val="00A22B42"/>
    <w:rsid w:val="00A22CB0"/>
    <w:rsid w:val="00A22DA5"/>
    <w:rsid w:val="00A230F2"/>
    <w:rsid w:val="00A23147"/>
    <w:rsid w:val="00A23236"/>
    <w:rsid w:val="00A23606"/>
    <w:rsid w:val="00A23AD0"/>
    <w:rsid w:val="00A23B07"/>
    <w:rsid w:val="00A23D25"/>
    <w:rsid w:val="00A2401B"/>
    <w:rsid w:val="00A241B2"/>
    <w:rsid w:val="00A241CB"/>
    <w:rsid w:val="00A247CF"/>
    <w:rsid w:val="00A2480B"/>
    <w:rsid w:val="00A2491C"/>
    <w:rsid w:val="00A24DB0"/>
    <w:rsid w:val="00A24ED5"/>
    <w:rsid w:val="00A25675"/>
    <w:rsid w:val="00A256C2"/>
    <w:rsid w:val="00A25870"/>
    <w:rsid w:val="00A25AA2"/>
    <w:rsid w:val="00A25C19"/>
    <w:rsid w:val="00A25C77"/>
    <w:rsid w:val="00A25F44"/>
    <w:rsid w:val="00A25FC3"/>
    <w:rsid w:val="00A26215"/>
    <w:rsid w:val="00A262EA"/>
    <w:rsid w:val="00A2648C"/>
    <w:rsid w:val="00A26DBF"/>
    <w:rsid w:val="00A27085"/>
    <w:rsid w:val="00A27139"/>
    <w:rsid w:val="00A272B9"/>
    <w:rsid w:val="00A2737B"/>
    <w:rsid w:val="00A27397"/>
    <w:rsid w:val="00A27812"/>
    <w:rsid w:val="00A2799E"/>
    <w:rsid w:val="00A27C77"/>
    <w:rsid w:val="00A27EE1"/>
    <w:rsid w:val="00A27EF8"/>
    <w:rsid w:val="00A300EF"/>
    <w:rsid w:val="00A3017C"/>
    <w:rsid w:val="00A301B9"/>
    <w:rsid w:val="00A3056E"/>
    <w:rsid w:val="00A3063A"/>
    <w:rsid w:val="00A30807"/>
    <w:rsid w:val="00A30808"/>
    <w:rsid w:val="00A30E63"/>
    <w:rsid w:val="00A311FB"/>
    <w:rsid w:val="00A31370"/>
    <w:rsid w:val="00A3153C"/>
    <w:rsid w:val="00A3155D"/>
    <w:rsid w:val="00A31580"/>
    <w:rsid w:val="00A318F8"/>
    <w:rsid w:val="00A31D5C"/>
    <w:rsid w:val="00A3206B"/>
    <w:rsid w:val="00A320CB"/>
    <w:rsid w:val="00A32159"/>
    <w:rsid w:val="00A32335"/>
    <w:rsid w:val="00A323C8"/>
    <w:rsid w:val="00A324D2"/>
    <w:rsid w:val="00A32640"/>
    <w:rsid w:val="00A32875"/>
    <w:rsid w:val="00A32904"/>
    <w:rsid w:val="00A32AFE"/>
    <w:rsid w:val="00A32C99"/>
    <w:rsid w:val="00A33346"/>
    <w:rsid w:val="00A333E7"/>
    <w:rsid w:val="00A3419C"/>
    <w:rsid w:val="00A343CB"/>
    <w:rsid w:val="00A3445A"/>
    <w:rsid w:val="00A34735"/>
    <w:rsid w:val="00A3491A"/>
    <w:rsid w:val="00A34947"/>
    <w:rsid w:val="00A34953"/>
    <w:rsid w:val="00A34EE9"/>
    <w:rsid w:val="00A35014"/>
    <w:rsid w:val="00A35124"/>
    <w:rsid w:val="00A3522B"/>
    <w:rsid w:val="00A35587"/>
    <w:rsid w:val="00A35617"/>
    <w:rsid w:val="00A35768"/>
    <w:rsid w:val="00A359F4"/>
    <w:rsid w:val="00A35EBD"/>
    <w:rsid w:val="00A35F84"/>
    <w:rsid w:val="00A3611D"/>
    <w:rsid w:val="00A361A6"/>
    <w:rsid w:val="00A36C34"/>
    <w:rsid w:val="00A36E62"/>
    <w:rsid w:val="00A36EB7"/>
    <w:rsid w:val="00A36FAE"/>
    <w:rsid w:val="00A371CF"/>
    <w:rsid w:val="00A376E9"/>
    <w:rsid w:val="00A37A10"/>
    <w:rsid w:val="00A37B09"/>
    <w:rsid w:val="00A37BDC"/>
    <w:rsid w:val="00A37FF3"/>
    <w:rsid w:val="00A400C2"/>
    <w:rsid w:val="00A4014E"/>
    <w:rsid w:val="00A40171"/>
    <w:rsid w:val="00A40275"/>
    <w:rsid w:val="00A4036D"/>
    <w:rsid w:val="00A40623"/>
    <w:rsid w:val="00A40770"/>
    <w:rsid w:val="00A41290"/>
    <w:rsid w:val="00A41366"/>
    <w:rsid w:val="00A416A6"/>
    <w:rsid w:val="00A41D11"/>
    <w:rsid w:val="00A41E12"/>
    <w:rsid w:val="00A4220B"/>
    <w:rsid w:val="00A42277"/>
    <w:rsid w:val="00A422E8"/>
    <w:rsid w:val="00A4235D"/>
    <w:rsid w:val="00A4237A"/>
    <w:rsid w:val="00A42386"/>
    <w:rsid w:val="00A423B7"/>
    <w:rsid w:val="00A426A1"/>
    <w:rsid w:val="00A42A0E"/>
    <w:rsid w:val="00A42BBD"/>
    <w:rsid w:val="00A430DA"/>
    <w:rsid w:val="00A4351D"/>
    <w:rsid w:val="00A4365A"/>
    <w:rsid w:val="00A436C0"/>
    <w:rsid w:val="00A43B04"/>
    <w:rsid w:val="00A43BEE"/>
    <w:rsid w:val="00A44003"/>
    <w:rsid w:val="00A441B9"/>
    <w:rsid w:val="00A44695"/>
    <w:rsid w:val="00A44910"/>
    <w:rsid w:val="00A44A54"/>
    <w:rsid w:val="00A44B26"/>
    <w:rsid w:val="00A44B7A"/>
    <w:rsid w:val="00A44DAC"/>
    <w:rsid w:val="00A44F7D"/>
    <w:rsid w:val="00A452D2"/>
    <w:rsid w:val="00A458C8"/>
    <w:rsid w:val="00A45A64"/>
    <w:rsid w:val="00A45AF4"/>
    <w:rsid w:val="00A45B6A"/>
    <w:rsid w:val="00A45FF8"/>
    <w:rsid w:val="00A46117"/>
    <w:rsid w:val="00A462F0"/>
    <w:rsid w:val="00A46513"/>
    <w:rsid w:val="00A4651F"/>
    <w:rsid w:val="00A468EF"/>
    <w:rsid w:val="00A4696B"/>
    <w:rsid w:val="00A46AFC"/>
    <w:rsid w:val="00A46B55"/>
    <w:rsid w:val="00A46EC1"/>
    <w:rsid w:val="00A46F27"/>
    <w:rsid w:val="00A4709B"/>
    <w:rsid w:val="00A4722A"/>
    <w:rsid w:val="00A47278"/>
    <w:rsid w:val="00A47350"/>
    <w:rsid w:val="00A47382"/>
    <w:rsid w:val="00A473B0"/>
    <w:rsid w:val="00A47494"/>
    <w:rsid w:val="00A474D2"/>
    <w:rsid w:val="00A47661"/>
    <w:rsid w:val="00A47738"/>
    <w:rsid w:val="00A47796"/>
    <w:rsid w:val="00A47816"/>
    <w:rsid w:val="00A4789F"/>
    <w:rsid w:val="00A47955"/>
    <w:rsid w:val="00A47ABD"/>
    <w:rsid w:val="00A47AD0"/>
    <w:rsid w:val="00A50073"/>
    <w:rsid w:val="00A504D5"/>
    <w:rsid w:val="00A505FC"/>
    <w:rsid w:val="00A50677"/>
    <w:rsid w:val="00A51032"/>
    <w:rsid w:val="00A5172C"/>
    <w:rsid w:val="00A51777"/>
    <w:rsid w:val="00A51917"/>
    <w:rsid w:val="00A519EB"/>
    <w:rsid w:val="00A51B62"/>
    <w:rsid w:val="00A51F4C"/>
    <w:rsid w:val="00A52270"/>
    <w:rsid w:val="00A522EA"/>
    <w:rsid w:val="00A523FD"/>
    <w:rsid w:val="00A527C6"/>
    <w:rsid w:val="00A527FC"/>
    <w:rsid w:val="00A52FFB"/>
    <w:rsid w:val="00A531BE"/>
    <w:rsid w:val="00A536A0"/>
    <w:rsid w:val="00A536A4"/>
    <w:rsid w:val="00A53E27"/>
    <w:rsid w:val="00A53E3E"/>
    <w:rsid w:val="00A54265"/>
    <w:rsid w:val="00A544FC"/>
    <w:rsid w:val="00A5492D"/>
    <w:rsid w:val="00A54BF1"/>
    <w:rsid w:val="00A54D24"/>
    <w:rsid w:val="00A5500C"/>
    <w:rsid w:val="00A553BD"/>
    <w:rsid w:val="00A554C7"/>
    <w:rsid w:val="00A55C5C"/>
    <w:rsid w:val="00A55CE8"/>
    <w:rsid w:val="00A55DD3"/>
    <w:rsid w:val="00A56180"/>
    <w:rsid w:val="00A56501"/>
    <w:rsid w:val="00A5669D"/>
    <w:rsid w:val="00A566A5"/>
    <w:rsid w:val="00A568EF"/>
    <w:rsid w:val="00A569B8"/>
    <w:rsid w:val="00A57191"/>
    <w:rsid w:val="00A5748E"/>
    <w:rsid w:val="00A577B7"/>
    <w:rsid w:val="00A60264"/>
    <w:rsid w:val="00A608F2"/>
    <w:rsid w:val="00A60CE6"/>
    <w:rsid w:val="00A60EB8"/>
    <w:rsid w:val="00A610A2"/>
    <w:rsid w:val="00A610BC"/>
    <w:rsid w:val="00A614EA"/>
    <w:rsid w:val="00A6172D"/>
    <w:rsid w:val="00A62343"/>
    <w:rsid w:val="00A62363"/>
    <w:rsid w:val="00A62585"/>
    <w:rsid w:val="00A628F3"/>
    <w:rsid w:val="00A6291F"/>
    <w:rsid w:val="00A62A8E"/>
    <w:rsid w:val="00A62AEF"/>
    <w:rsid w:val="00A62B26"/>
    <w:rsid w:val="00A62BFF"/>
    <w:rsid w:val="00A62E21"/>
    <w:rsid w:val="00A63312"/>
    <w:rsid w:val="00A633B7"/>
    <w:rsid w:val="00A6343B"/>
    <w:rsid w:val="00A6349A"/>
    <w:rsid w:val="00A634B1"/>
    <w:rsid w:val="00A634CF"/>
    <w:rsid w:val="00A63CB0"/>
    <w:rsid w:val="00A63D79"/>
    <w:rsid w:val="00A63E03"/>
    <w:rsid w:val="00A641B5"/>
    <w:rsid w:val="00A643F5"/>
    <w:rsid w:val="00A644DC"/>
    <w:rsid w:val="00A646A4"/>
    <w:rsid w:val="00A64F13"/>
    <w:rsid w:val="00A65573"/>
    <w:rsid w:val="00A65840"/>
    <w:rsid w:val="00A65A40"/>
    <w:rsid w:val="00A65BC8"/>
    <w:rsid w:val="00A65C0B"/>
    <w:rsid w:val="00A65C72"/>
    <w:rsid w:val="00A65E46"/>
    <w:rsid w:val="00A66515"/>
    <w:rsid w:val="00A66D91"/>
    <w:rsid w:val="00A66EE7"/>
    <w:rsid w:val="00A66EEF"/>
    <w:rsid w:val="00A67299"/>
    <w:rsid w:val="00A672E3"/>
    <w:rsid w:val="00A67DFE"/>
    <w:rsid w:val="00A67E45"/>
    <w:rsid w:val="00A67F2B"/>
    <w:rsid w:val="00A701FC"/>
    <w:rsid w:val="00A70739"/>
    <w:rsid w:val="00A707AD"/>
    <w:rsid w:val="00A70D70"/>
    <w:rsid w:val="00A70D80"/>
    <w:rsid w:val="00A70E29"/>
    <w:rsid w:val="00A70FCC"/>
    <w:rsid w:val="00A710FF"/>
    <w:rsid w:val="00A715F4"/>
    <w:rsid w:val="00A71696"/>
    <w:rsid w:val="00A71819"/>
    <w:rsid w:val="00A71901"/>
    <w:rsid w:val="00A7193C"/>
    <w:rsid w:val="00A71B15"/>
    <w:rsid w:val="00A7216F"/>
    <w:rsid w:val="00A7238F"/>
    <w:rsid w:val="00A72528"/>
    <w:rsid w:val="00A72586"/>
    <w:rsid w:val="00A72914"/>
    <w:rsid w:val="00A729A5"/>
    <w:rsid w:val="00A72BCD"/>
    <w:rsid w:val="00A72D6B"/>
    <w:rsid w:val="00A731D6"/>
    <w:rsid w:val="00A73298"/>
    <w:rsid w:val="00A7364A"/>
    <w:rsid w:val="00A73665"/>
    <w:rsid w:val="00A73672"/>
    <w:rsid w:val="00A73769"/>
    <w:rsid w:val="00A73A3E"/>
    <w:rsid w:val="00A73B10"/>
    <w:rsid w:val="00A73BF7"/>
    <w:rsid w:val="00A73DFA"/>
    <w:rsid w:val="00A74488"/>
    <w:rsid w:val="00A7459A"/>
    <w:rsid w:val="00A746A1"/>
    <w:rsid w:val="00A746D4"/>
    <w:rsid w:val="00A7472A"/>
    <w:rsid w:val="00A7492C"/>
    <w:rsid w:val="00A74AAC"/>
    <w:rsid w:val="00A74CDF"/>
    <w:rsid w:val="00A74D07"/>
    <w:rsid w:val="00A74D12"/>
    <w:rsid w:val="00A74E46"/>
    <w:rsid w:val="00A74FB0"/>
    <w:rsid w:val="00A751AE"/>
    <w:rsid w:val="00A755D0"/>
    <w:rsid w:val="00A755D8"/>
    <w:rsid w:val="00A756D2"/>
    <w:rsid w:val="00A7576D"/>
    <w:rsid w:val="00A7585C"/>
    <w:rsid w:val="00A75916"/>
    <w:rsid w:val="00A75A3C"/>
    <w:rsid w:val="00A75AB7"/>
    <w:rsid w:val="00A75C48"/>
    <w:rsid w:val="00A75F5B"/>
    <w:rsid w:val="00A76092"/>
    <w:rsid w:val="00A76176"/>
    <w:rsid w:val="00A766B7"/>
    <w:rsid w:val="00A769E6"/>
    <w:rsid w:val="00A76D6C"/>
    <w:rsid w:val="00A7F62F"/>
    <w:rsid w:val="00A8000E"/>
    <w:rsid w:val="00A8009B"/>
    <w:rsid w:val="00A80475"/>
    <w:rsid w:val="00A805F0"/>
    <w:rsid w:val="00A80666"/>
    <w:rsid w:val="00A80A72"/>
    <w:rsid w:val="00A80B40"/>
    <w:rsid w:val="00A80E16"/>
    <w:rsid w:val="00A80E64"/>
    <w:rsid w:val="00A80EB8"/>
    <w:rsid w:val="00A81163"/>
    <w:rsid w:val="00A811C2"/>
    <w:rsid w:val="00A81354"/>
    <w:rsid w:val="00A81400"/>
    <w:rsid w:val="00A81697"/>
    <w:rsid w:val="00A81AF6"/>
    <w:rsid w:val="00A81B39"/>
    <w:rsid w:val="00A81E7F"/>
    <w:rsid w:val="00A8219A"/>
    <w:rsid w:val="00A821F6"/>
    <w:rsid w:val="00A8279C"/>
    <w:rsid w:val="00A82872"/>
    <w:rsid w:val="00A82A04"/>
    <w:rsid w:val="00A82A1A"/>
    <w:rsid w:val="00A82B12"/>
    <w:rsid w:val="00A82C4B"/>
    <w:rsid w:val="00A82D5F"/>
    <w:rsid w:val="00A83063"/>
    <w:rsid w:val="00A834B2"/>
    <w:rsid w:val="00A8358C"/>
    <w:rsid w:val="00A83DB5"/>
    <w:rsid w:val="00A83E13"/>
    <w:rsid w:val="00A83E98"/>
    <w:rsid w:val="00A8426E"/>
    <w:rsid w:val="00A843E7"/>
    <w:rsid w:val="00A844A7"/>
    <w:rsid w:val="00A8457F"/>
    <w:rsid w:val="00A84656"/>
    <w:rsid w:val="00A8496E"/>
    <w:rsid w:val="00A84B93"/>
    <w:rsid w:val="00A84FE7"/>
    <w:rsid w:val="00A84FF6"/>
    <w:rsid w:val="00A85219"/>
    <w:rsid w:val="00A85758"/>
    <w:rsid w:val="00A85A2A"/>
    <w:rsid w:val="00A85B8D"/>
    <w:rsid w:val="00A85C76"/>
    <w:rsid w:val="00A85FCB"/>
    <w:rsid w:val="00A86878"/>
    <w:rsid w:val="00A8694E"/>
    <w:rsid w:val="00A86D2C"/>
    <w:rsid w:val="00A86F7C"/>
    <w:rsid w:val="00A87090"/>
    <w:rsid w:val="00A87219"/>
    <w:rsid w:val="00A8783B"/>
    <w:rsid w:val="00A878BF"/>
    <w:rsid w:val="00A879F0"/>
    <w:rsid w:val="00A87BBF"/>
    <w:rsid w:val="00A87BE9"/>
    <w:rsid w:val="00A87DBD"/>
    <w:rsid w:val="00A87E60"/>
    <w:rsid w:val="00A905DF"/>
    <w:rsid w:val="00A90B28"/>
    <w:rsid w:val="00A90CF5"/>
    <w:rsid w:val="00A90FA3"/>
    <w:rsid w:val="00A91110"/>
    <w:rsid w:val="00A914A8"/>
    <w:rsid w:val="00A91611"/>
    <w:rsid w:val="00A91DF5"/>
    <w:rsid w:val="00A91F20"/>
    <w:rsid w:val="00A92115"/>
    <w:rsid w:val="00A92229"/>
    <w:rsid w:val="00A92AD5"/>
    <w:rsid w:val="00A92B72"/>
    <w:rsid w:val="00A92BCB"/>
    <w:rsid w:val="00A92EF9"/>
    <w:rsid w:val="00A9314E"/>
    <w:rsid w:val="00A9326A"/>
    <w:rsid w:val="00A93295"/>
    <w:rsid w:val="00A936FD"/>
    <w:rsid w:val="00A93A57"/>
    <w:rsid w:val="00A93EF4"/>
    <w:rsid w:val="00A9414A"/>
    <w:rsid w:val="00A9453F"/>
    <w:rsid w:val="00A94542"/>
    <w:rsid w:val="00A94AB0"/>
    <w:rsid w:val="00A94CCB"/>
    <w:rsid w:val="00A94E22"/>
    <w:rsid w:val="00A94E4B"/>
    <w:rsid w:val="00A952B9"/>
    <w:rsid w:val="00A957AC"/>
    <w:rsid w:val="00A95A2E"/>
    <w:rsid w:val="00A95C68"/>
    <w:rsid w:val="00A95C91"/>
    <w:rsid w:val="00A95CE8"/>
    <w:rsid w:val="00A95E78"/>
    <w:rsid w:val="00A9617A"/>
    <w:rsid w:val="00A961D9"/>
    <w:rsid w:val="00A963C3"/>
    <w:rsid w:val="00A964D9"/>
    <w:rsid w:val="00A966E6"/>
    <w:rsid w:val="00A96730"/>
    <w:rsid w:val="00A96898"/>
    <w:rsid w:val="00A969CE"/>
    <w:rsid w:val="00A96A7E"/>
    <w:rsid w:val="00A9712C"/>
    <w:rsid w:val="00A971A2"/>
    <w:rsid w:val="00A9733C"/>
    <w:rsid w:val="00A97466"/>
    <w:rsid w:val="00A97528"/>
    <w:rsid w:val="00A97A53"/>
    <w:rsid w:val="00A97D54"/>
    <w:rsid w:val="00A97F39"/>
    <w:rsid w:val="00A97F7F"/>
    <w:rsid w:val="00A97FF1"/>
    <w:rsid w:val="00AA01BF"/>
    <w:rsid w:val="00AA057D"/>
    <w:rsid w:val="00AA0589"/>
    <w:rsid w:val="00AA05E4"/>
    <w:rsid w:val="00AA0743"/>
    <w:rsid w:val="00AA0785"/>
    <w:rsid w:val="00AA09D9"/>
    <w:rsid w:val="00AA0F6B"/>
    <w:rsid w:val="00AA1082"/>
    <w:rsid w:val="00AA10A4"/>
    <w:rsid w:val="00AA1336"/>
    <w:rsid w:val="00AA1337"/>
    <w:rsid w:val="00AA151C"/>
    <w:rsid w:val="00AA1831"/>
    <w:rsid w:val="00AA185A"/>
    <w:rsid w:val="00AA1B5D"/>
    <w:rsid w:val="00AA1BE5"/>
    <w:rsid w:val="00AA1C65"/>
    <w:rsid w:val="00AA1CFF"/>
    <w:rsid w:val="00AA1D68"/>
    <w:rsid w:val="00AA1DCE"/>
    <w:rsid w:val="00AA2384"/>
    <w:rsid w:val="00AA250D"/>
    <w:rsid w:val="00AA2955"/>
    <w:rsid w:val="00AA29DD"/>
    <w:rsid w:val="00AA2B66"/>
    <w:rsid w:val="00AA2C98"/>
    <w:rsid w:val="00AA2CA7"/>
    <w:rsid w:val="00AA2F7C"/>
    <w:rsid w:val="00AA31D5"/>
    <w:rsid w:val="00AA3489"/>
    <w:rsid w:val="00AA36A4"/>
    <w:rsid w:val="00AA3A83"/>
    <w:rsid w:val="00AA3ABC"/>
    <w:rsid w:val="00AA3AE6"/>
    <w:rsid w:val="00AA3E62"/>
    <w:rsid w:val="00AA3FFE"/>
    <w:rsid w:val="00AA404B"/>
    <w:rsid w:val="00AA409A"/>
    <w:rsid w:val="00AA4274"/>
    <w:rsid w:val="00AA42DE"/>
    <w:rsid w:val="00AA438D"/>
    <w:rsid w:val="00AA44CC"/>
    <w:rsid w:val="00AA4AEA"/>
    <w:rsid w:val="00AA4E48"/>
    <w:rsid w:val="00AA4FED"/>
    <w:rsid w:val="00AA50CC"/>
    <w:rsid w:val="00AA5150"/>
    <w:rsid w:val="00AA5439"/>
    <w:rsid w:val="00AA60F0"/>
    <w:rsid w:val="00AA6438"/>
    <w:rsid w:val="00AA6490"/>
    <w:rsid w:val="00AA6A0C"/>
    <w:rsid w:val="00AA6F87"/>
    <w:rsid w:val="00AA6F9E"/>
    <w:rsid w:val="00AA7003"/>
    <w:rsid w:val="00AA7416"/>
    <w:rsid w:val="00AA7445"/>
    <w:rsid w:val="00AA759E"/>
    <w:rsid w:val="00AA7854"/>
    <w:rsid w:val="00AA78DD"/>
    <w:rsid w:val="00AA7A2B"/>
    <w:rsid w:val="00AA7C55"/>
    <w:rsid w:val="00AA7F3C"/>
    <w:rsid w:val="00AA7F74"/>
    <w:rsid w:val="00AB0210"/>
    <w:rsid w:val="00AB049B"/>
    <w:rsid w:val="00AB04E2"/>
    <w:rsid w:val="00AB078F"/>
    <w:rsid w:val="00AB07A3"/>
    <w:rsid w:val="00AB07E8"/>
    <w:rsid w:val="00AB0879"/>
    <w:rsid w:val="00AB090B"/>
    <w:rsid w:val="00AB090C"/>
    <w:rsid w:val="00AB0B28"/>
    <w:rsid w:val="00AB0BC0"/>
    <w:rsid w:val="00AB0CE2"/>
    <w:rsid w:val="00AB0F4E"/>
    <w:rsid w:val="00AB1429"/>
    <w:rsid w:val="00AB145F"/>
    <w:rsid w:val="00AB1668"/>
    <w:rsid w:val="00AB18D8"/>
    <w:rsid w:val="00AB1FAB"/>
    <w:rsid w:val="00AB2048"/>
    <w:rsid w:val="00AB206E"/>
    <w:rsid w:val="00AB2179"/>
    <w:rsid w:val="00AB2301"/>
    <w:rsid w:val="00AB2453"/>
    <w:rsid w:val="00AB247E"/>
    <w:rsid w:val="00AB273C"/>
    <w:rsid w:val="00AB2BCC"/>
    <w:rsid w:val="00AB2D3C"/>
    <w:rsid w:val="00AB2E22"/>
    <w:rsid w:val="00AB3148"/>
    <w:rsid w:val="00AB325F"/>
    <w:rsid w:val="00AB3430"/>
    <w:rsid w:val="00AB3719"/>
    <w:rsid w:val="00AB3789"/>
    <w:rsid w:val="00AB3A8A"/>
    <w:rsid w:val="00AB3C5D"/>
    <w:rsid w:val="00AB3CCD"/>
    <w:rsid w:val="00AB3CE4"/>
    <w:rsid w:val="00AB3E34"/>
    <w:rsid w:val="00AB40DF"/>
    <w:rsid w:val="00AB414D"/>
    <w:rsid w:val="00AB44DE"/>
    <w:rsid w:val="00AB4A68"/>
    <w:rsid w:val="00AB4D67"/>
    <w:rsid w:val="00AB4DD5"/>
    <w:rsid w:val="00AB4FE9"/>
    <w:rsid w:val="00AB500B"/>
    <w:rsid w:val="00AB51F6"/>
    <w:rsid w:val="00AB534C"/>
    <w:rsid w:val="00AB53E0"/>
    <w:rsid w:val="00AB5415"/>
    <w:rsid w:val="00AB5664"/>
    <w:rsid w:val="00AB5818"/>
    <w:rsid w:val="00AB5A6C"/>
    <w:rsid w:val="00AB62CA"/>
    <w:rsid w:val="00AB62E0"/>
    <w:rsid w:val="00AB64C5"/>
    <w:rsid w:val="00AB67DC"/>
    <w:rsid w:val="00AB688D"/>
    <w:rsid w:val="00AB7045"/>
    <w:rsid w:val="00AB727F"/>
    <w:rsid w:val="00AB7606"/>
    <w:rsid w:val="00AB7D10"/>
    <w:rsid w:val="00AB7D32"/>
    <w:rsid w:val="00AB7F91"/>
    <w:rsid w:val="00AC0288"/>
    <w:rsid w:val="00AC02A8"/>
    <w:rsid w:val="00AC0747"/>
    <w:rsid w:val="00AC0C5F"/>
    <w:rsid w:val="00AC0C79"/>
    <w:rsid w:val="00AC0DCC"/>
    <w:rsid w:val="00AC0F2F"/>
    <w:rsid w:val="00AC146B"/>
    <w:rsid w:val="00AC15E0"/>
    <w:rsid w:val="00AC1842"/>
    <w:rsid w:val="00AC1BB4"/>
    <w:rsid w:val="00AC1E28"/>
    <w:rsid w:val="00AC1F2F"/>
    <w:rsid w:val="00AC2106"/>
    <w:rsid w:val="00AC2171"/>
    <w:rsid w:val="00AC26AD"/>
    <w:rsid w:val="00AC2717"/>
    <w:rsid w:val="00AC2749"/>
    <w:rsid w:val="00AC2819"/>
    <w:rsid w:val="00AC293B"/>
    <w:rsid w:val="00AC2994"/>
    <w:rsid w:val="00AC30DD"/>
    <w:rsid w:val="00AC34F1"/>
    <w:rsid w:val="00AC3610"/>
    <w:rsid w:val="00AC3A07"/>
    <w:rsid w:val="00AC3CDE"/>
    <w:rsid w:val="00AC3D0E"/>
    <w:rsid w:val="00AC44CB"/>
    <w:rsid w:val="00AC4681"/>
    <w:rsid w:val="00AC46CE"/>
    <w:rsid w:val="00AC46EF"/>
    <w:rsid w:val="00AC478B"/>
    <w:rsid w:val="00AC4877"/>
    <w:rsid w:val="00AC4A62"/>
    <w:rsid w:val="00AC4B2F"/>
    <w:rsid w:val="00AC4B40"/>
    <w:rsid w:val="00AC4C4F"/>
    <w:rsid w:val="00AC4E30"/>
    <w:rsid w:val="00AC5177"/>
    <w:rsid w:val="00AC540D"/>
    <w:rsid w:val="00AC56A1"/>
    <w:rsid w:val="00AC59A0"/>
    <w:rsid w:val="00AC5A9F"/>
    <w:rsid w:val="00AC5B04"/>
    <w:rsid w:val="00AC5CC1"/>
    <w:rsid w:val="00AC60C0"/>
    <w:rsid w:val="00AC6301"/>
    <w:rsid w:val="00AC643B"/>
    <w:rsid w:val="00AC64C6"/>
    <w:rsid w:val="00AC6728"/>
    <w:rsid w:val="00AC6839"/>
    <w:rsid w:val="00AC6F2D"/>
    <w:rsid w:val="00AC70A5"/>
    <w:rsid w:val="00AC751A"/>
    <w:rsid w:val="00AC77A0"/>
    <w:rsid w:val="00AC78B1"/>
    <w:rsid w:val="00AC7A12"/>
    <w:rsid w:val="00AC7DC3"/>
    <w:rsid w:val="00AC7EDF"/>
    <w:rsid w:val="00AD00AB"/>
    <w:rsid w:val="00AD012C"/>
    <w:rsid w:val="00AD01AF"/>
    <w:rsid w:val="00AD0A05"/>
    <w:rsid w:val="00AD0D34"/>
    <w:rsid w:val="00AD0D4B"/>
    <w:rsid w:val="00AD0F70"/>
    <w:rsid w:val="00AD0FEC"/>
    <w:rsid w:val="00AD10CC"/>
    <w:rsid w:val="00AD153A"/>
    <w:rsid w:val="00AD1C88"/>
    <w:rsid w:val="00AD2063"/>
    <w:rsid w:val="00AD2350"/>
    <w:rsid w:val="00AD248E"/>
    <w:rsid w:val="00AD2542"/>
    <w:rsid w:val="00AD28AE"/>
    <w:rsid w:val="00AD299D"/>
    <w:rsid w:val="00AD2B53"/>
    <w:rsid w:val="00AD2C6D"/>
    <w:rsid w:val="00AD2E87"/>
    <w:rsid w:val="00AD31AF"/>
    <w:rsid w:val="00AD33DE"/>
    <w:rsid w:val="00AD38C5"/>
    <w:rsid w:val="00AD3988"/>
    <w:rsid w:val="00AD3E60"/>
    <w:rsid w:val="00AD42B2"/>
    <w:rsid w:val="00AD4445"/>
    <w:rsid w:val="00AD44BA"/>
    <w:rsid w:val="00AD4522"/>
    <w:rsid w:val="00AD4663"/>
    <w:rsid w:val="00AD4765"/>
    <w:rsid w:val="00AD47BF"/>
    <w:rsid w:val="00AD4B7E"/>
    <w:rsid w:val="00AD4B8B"/>
    <w:rsid w:val="00AD4EF5"/>
    <w:rsid w:val="00AD52A5"/>
    <w:rsid w:val="00AD55F2"/>
    <w:rsid w:val="00AD5A6B"/>
    <w:rsid w:val="00AD5B6B"/>
    <w:rsid w:val="00AD5DB1"/>
    <w:rsid w:val="00AD5EAA"/>
    <w:rsid w:val="00AD5F13"/>
    <w:rsid w:val="00AD5F3C"/>
    <w:rsid w:val="00AD60E3"/>
    <w:rsid w:val="00AD63A8"/>
    <w:rsid w:val="00AD63C9"/>
    <w:rsid w:val="00AD6472"/>
    <w:rsid w:val="00AD6919"/>
    <w:rsid w:val="00AD6DC7"/>
    <w:rsid w:val="00AD7109"/>
    <w:rsid w:val="00AD7270"/>
    <w:rsid w:val="00AD74CB"/>
    <w:rsid w:val="00AD7515"/>
    <w:rsid w:val="00AD7781"/>
    <w:rsid w:val="00AD7AE5"/>
    <w:rsid w:val="00AD7BA3"/>
    <w:rsid w:val="00AD7D21"/>
    <w:rsid w:val="00AD7DB1"/>
    <w:rsid w:val="00AE0015"/>
    <w:rsid w:val="00AE03F0"/>
    <w:rsid w:val="00AE0461"/>
    <w:rsid w:val="00AE0783"/>
    <w:rsid w:val="00AE097C"/>
    <w:rsid w:val="00AE0B69"/>
    <w:rsid w:val="00AE0C16"/>
    <w:rsid w:val="00AE0CED"/>
    <w:rsid w:val="00AE0D6E"/>
    <w:rsid w:val="00AE0DA6"/>
    <w:rsid w:val="00AE1247"/>
    <w:rsid w:val="00AE13C7"/>
    <w:rsid w:val="00AE1563"/>
    <w:rsid w:val="00AE180B"/>
    <w:rsid w:val="00AE18ED"/>
    <w:rsid w:val="00AE18FD"/>
    <w:rsid w:val="00AE19BA"/>
    <w:rsid w:val="00AE1A0E"/>
    <w:rsid w:val="00AE1A9C"/>
    <w:rsid w:val="00AE1DA4"/>
    <w:rsid w:val="00AE20B5"/>
    <w:rsid w:val="00AE217B"/>
    <w:rsid w:val="00AE21FA"/>
    <w:rsid w:val="00AE2301"/>
    <w:rsid w:val="00AE26C7"/>
    <w:rsid w:val="00AE2A36"/>
    <w:rsid w:val="00AE2AA3"/>
    <w:rsid w:val="00AE2EAF"/>
    <w:rsid w:val="00AE3065"/>
    <w:rsid w:val="00AE308F"/>
    <w:rsid w:val="00AE3171"/>
    <w:rsid w:val="00AE3224"/>
    <w:rsid w:val="00AE33DC"/>
    <w:rsid w:val="00AE36B4"/>
    <w:rsid w:val="00AE38CB"/>
    <w:rsid w:val="00AE3C64"/>
    <w:rsid w:val="00AE3D89"/>
    <w:rsid w:val="00AE3E0F"/>
    <w:rsid w:val="00AE3EB9"/>
    <w:rsid w:val="00AE3FB2"/>
    <w:rsid w:val="00AE40B2"/>
    <w:rsid w:val="00AE40D3"/>
    <w:rsid w:val="00AE4213"/>
    <w:rsid w:val="00AE4226"/>
    <w:rsid w:val="00AE4252"/>
    <w:rsid w:val="00AE42F6"/>
    <w:rsid w:val="00AE4426"/>
    <w:rsid w:val="00AE452B"/>
    <w:rsid w:val="00AE4610"/>
    <w:rsid w:val="00AE4A97"/>
    <w:rsid w:val="00AE4D36"/>
    <w:rsid w:val="00AE4FAD"/>
    <w:rsid w:val="00AE50A5"/>
    <w:rsid w:val="00AE521D"/>
    <w:rsid w:val="00AE5705"/>
    <w:rsid w:val="00AE5927"/>
    <w:rsid w:val="00AE5E4A"/>
    <w:rsid w:val="00AE5F00"/>
    <w:rsid w:val="00AE6549"/>
    <w:rsid w:val="00AE6554"/>
    <w:rsid w:val="00AE6613"/>
    <w:rsid w:val="00AE67D5"/>
    <w:rsid w:val="00AE6869"/>
    <w:rsid w:val="00AE6AE0"/>
    <w:rsid w:val="00AE6DD1"/>
    <w:rsid w:val="00AE6DE3"/>
    <w:rsid w:val="00AE6DEC"/>
    <w:rsid w:val="00AE7540"/>
    <w:rsid w:val="00AE764B"/>
    <w:rsid w:val="00AE7653"/>
    <w:rsid w:val="00AE7663"/>
    <w:rsid w:val="00AE7AB1"/>
    <w:rsid w:val="00AF0052"/>
    <w:rsid w:val="00AF00A4"/>
    <w:rsid w:val="00AF055C"/>
    <w:rsid w:val="00AF062B"/>
    <w:rsid w:val="00AF073B"/>
    <w:rsid w:val="00AF0768"/>
    <w:rsid w:val="00AF077C"/>
    <w:rsid w:val="00AF07A8"/>
    <w:rsid w:val="00AF097D"/>
    <w:rsid w:val="00AF0E45"/>
    <w:rsid w:val="00AF0F66"/>
    <w:rsid w:val="00AF0FCF"/>
    <w:rsid w:val="00AF106B"/>
    <w:rsid w:val="00AF1443"/>
    <w:rsid w:val="00AF1567"/>
    <w:rsid w:val="00AF1717"/>
    <w:rsid w:val="00AF1AF2"/>
    <w:rsid w:val="00AF1BE4"/>
    <w:rsid w:val="00AF22AA"/>
    <w:rsid w:val="00AF249E"/>
    <w:rsid w:val="00AF24F1"/>
    <w:rsid w:val="00AF254E"/>
    <w:rsid w:val="00AF2689"/>
    <w:rsid w:val="00AF27E4"/>
    <w:rsid w:val="00AF2850"/>
    <w:rsid w:val="00AF2B44"/>
    <w:rsid w:val="00AF2C98"/>
    <w:rsid w:val="00AF2E1C"/>
    <w:rsid w:val="00AF2F93"/>
    <w:rsid w:val="00AF306A"/>
    <w:rsid w:val="00AF32D2"/>
    <w:rsid w:val="00AF3556"/>
    <w:rsid w:val="00AF367A"/>
    <w:rsid w:val="00AF3822"/>
    <w:rsid w:val="00AF3929"/>
    <w:rsid w:val="00AF399E"/>
    <w:rsid w:val="00AF3ABA"/>
    <w:rsid w:val="00AF3AD2"/>
    <w:rsid w:val="00AF403F"/>
    <w:rsid w:val="00AF4474"/>
    <w:rsid w:val="00AF465C"/>
    <w:rsid w:val="00AF4D7A"/>
    <w:rsid w:val="00AF519E"/>
    <w:rsid w:val="00AF5239"/>
    <w:rsid w:val="00AF565F"/>
    <w:rsid w:val="00AF5746"/>
    <w:rsid w:val="00AF5778"/>
    <w:rsid w:val="00AF5789"/>
    <w:rsid w:val="00AF58BD"/>
    <w:rsid w:val="00AF5AAF"/>
    <w:rsid w:val="00AF5BCB"/>
    <w:rsid w:val="00AF5C46"/>
    <w:rsid w:val="00AF5CE3"/>
    <w:rsid w:val="00AF5D0F"/>
    <w:rsid w:val="00AF6596"/>
    <w:rsid w:val="00AF6950"/>
    <w:rsid w:val="00AF6A9B"/>
    <w:rsid w:val="00AF6B27"/>
    <w:rsid w:val="00AF6F65"/>
    <w:rsid w:val="00AF7063"/>
    <w:rsid w:val="00AF71B7"/>
    <w:rsid w:val="00AF760C"/>
    <w:rsid w:val="00AF7754"/>
    <w:rsid w:val="00AF7B51"/>
    <w:rsid w:val="00AF7C31"/>
    <w:rsid w:val="00AF7E64"/>
    <w:rsid w:val="00AF7F3B"/>
    <w:rsid w:val="00AF7F62"/>
    <w:rsid w:val="00B0008F"/>
    <w:rsid w:val="00B007EA"/>
    <w:rsid w:val="00B00B91"/>
    <w:rsid w:val="00B010AD"/>
    <w:rsid w:val="00B01146"/>
    <w:rsid w:val="00B014E0"/>
    <w:rsid w:val="00B01546"/>
    <w:rsid w:val="00B016DE"/>
    <w:rsid w:val="00B01884"/>
    <w:rsid w:val="00B01AD0"/>
    <w:rsid w:val="00B01DE2"/>
    <w:rsid w:val="00B020B5"/>
    <w:rsid w:val="00B02183"/>
    <w:rsid w:val="00B02392"/>
    <w:rsid w:val="00B0257A"/>
    <w:rsid w:val="00B02588"/>
    <w:rsid w:val="00B02772"/>
    <w:rsid w:val="00B02B5D"/>
    <w:rsid w:val="00B02D3D"/>
    <w:rsid w:val="00B0306E"/>
    <w:rsid w:val="00B030F1"/>
    <w:rsid w:val="00B033E7"/>
    <w:rsid w:val="00B03547"/>
    <w:rsid w:val="00B0378D"/>
    <w:rsid w:val="00B037B6"/>
    <w:rsid w:val="00B03D21"/>
    <w:rsid w:val="00B03D7F"/>
    <w:rsid w:val="00B03E40"/>
    <w:rsid w:val="00B04686"/>
    <w:rsid w:val="00B047A7"/>
    <w:rsid w:val="00B04BDE"/>
    <w:rsid w:val="00B04BE6"/>
    <w:rsid w:val="00B04D1E"/>
    <w:rsid w:val="00B04D32"/>
    <w:rsid w:val="00B04D37"/>
    <w:rsid w:val="00B04E52"/>
    <w:rsid w:val="00B04E87"/>
    <w:rsid w:val="00B05069"/>
    <w:rsid w:val="00B05241"/>
    <w:rsid w:val="00B05A37"/>
    <w:rsid w:val="00B05A59"/>
    <w:rsid w:val="00B05CF1"/>
    <w:rsid w:val="00B05D47"/>
    <w:rsid w:val="00B0616B"/>
    <w:rsid w:val="00B0617F"/>
    <w:rsid w:val="00B06720"/>
    <w:rsid w:val="00B06AC3"/>
    <w:rsid w:val="00B06D54"/>
    <w:rsid w:val="00B0711F"/>
    <w:rsid w:val="00B071E4"/>
    <w:rsid w:val="00B0741B"/>
    <w:rsid w:val="00B07465"/>
    <w:rsid w:val="00B076B1"/>
    <w:rsid w:val="00B0788E"/>
    <w:rsid w:val="00B07A6E"/>
    <w:rsid w:val="00B07BDB"/>
    <w:rsid w:val="00B1003D"/>
    <w:rsid w:val="00B100A7"/>
    <w:rsid w:val="00B10372"/>
    <w:rsid w:val="00B10461"/>
    <w:rsid w:val="00B10555"/>
    <w:rsid w:val="00B108C4"/>
    <w:rsid w:val="00B10D00"/>
    <w:rsid w:val="00B10DFD"/>
    <w:rsid w:val="00B10EAF"/>
    <w:rsid w:val="00B112B8"/>
    <w:rsid w:val="00B115FC"/>
    <w:rsid w:val="00B116B7"/>
    <w:rsid w:val="00B11A62"/>
    <w:rsid w:val="00B11BE8"/>
    <w:rsid w:val="00B11D5A"/>
    <w:rsid w:val="00B11DC3"/>
    <w:rsid w:val="00B1201F"/>
    <w:rsid w:val="00B12094"/>
    <w:rsid w:val="00B123C9"/>
    <w:rsid w:val="00B12770"/>
    <w:rsid w:val="00B12810"/>
    <w:rsid w:val="00B128EF"/>
    <w:rsid w:val="00B12CA6"/>
    <w:rsid w:val="00B12DDF"/>
    <w:rsid w:val="00B12E47"/>
    <w:rsid w:val="00B12F79"/>
    <w:rsid w:val="00B1332D"/>
    <w:rsid w:val="00B13458"/>
    <w:rsid w:val="00B134AF"/>
    <w:rsid w:val="00B13563"/>
    <w:rsid w:val="00B13643"/>
    <w:rsid w:val="00B13670"/>
    <w:rsid w:val="00B13B02"/>
    <w:rsid w:val="00B13CEF"/>
    <w:rsid w:val="00B13DDC"/>
    <w:rsid w:val="00B13E1C"/>
    <w:rsid w:val="00B14195"/>
    <w:rsid w:val="00B144DC"/>
    <w:rsid w:val="00B146B1"/>
    <w:rsid w:val="00B14722"/>
    <w:rsid w:val="00B14815"/>
    <w:rsid w:val="00B14A3F"/>
    <w:rsid w:val="00B14CA7"/>
    <w:rsid w:val="00B14D88"/>
    <w:rsid w:val="00B14F4C"/>
    <w:rsid w:val="00B150BC"/>
    <w:rsid w:val="00B15513"/>
    <w:rsid w:val="00B15572"/>
    <w:rsid w:val="00B15DB3"/>
    <w:rsid w:val="00B1622A"/>
    <w:rsid w:val="00B16417"/>
    <w:rsid w:val="00B1685B"/>
    <w:rsid w:val="00B16BE2"/>
    <w:rsid w:val="00B16CE7"/>
    <w:rsid w:val="00B16F55"/>
    <w:rsid w:val="00B1700F"/>
    <w:rsid w:val="00B17012"/>
    <w:rsid w:val="00B17296"/>
    <w:rsid w:val="00B17473"/>
    <w:rsid w:val="00B17754"/>
    <w:rsid w:val="00B17761"/>
    <w:rsid w:val="00B179FB"/>
    <w:rsid w:val="00B17A7D"/>
    <w:rsid w:val="00B17BE2"/>
    <w:rsid w:val="00B17CE0"/>
    <w:rsid w:val="00B17DE0"/>
    <w:rsid w:val="00B2006E"/>
    <w:rsid w:val="00B2037C"/>
    <w:rsid w:val="00B20624"/>
    <w:rsid w:val="00B2066E"/>
    <w:rsid w:val="00B2085F"/>
    <w:rsid w:val="00B20A4B"/>
    <w:rsid w:val="00B20D18"/>
    <w:rsid w:val="00B2148E"/>
    <w:rsid w:val="00B21895"/>
    <w:rsid w:val="00B2191E"/>
    <w:rsid w:val="00B21C3C"/>
    <w:rsid w:val="00B22183"/>
    <w:rsid w:val="00B221FE"/>
    <w:rsid w:val="00B229AC"/>
    <w:rsid w:val="00B22D90"/>
    <w:rsid w:val="00B231A0"/>
    <w:rsid w:val="00B232BF"/>
    <w:rsid w:val="00B23701"/>
    <w:rsid w:val="00B238C5"/>
    <w:rsid w:val="00B23989"/>
    <w:rsid w:val="00B23BB8"/>
    <w:rsid w:val="00B23F9E"/>
    <w:rsid w:val="00B23FE8"/>
    <w:rsid w:val="00B24137"/>
    <w:rsid w:val="00B24387"/>
    <w:rsid w:val="00B2439F"/>
    <w:rsid w:val="00B245A0"/>
    <w:rsid w:val="00B2487C"/>
    <w:rsid w:val="00B24934"/>
    <w:rsid w:val="00B249F1"/>
    <w:rsid w:val="00B24A71"/>
    <w:rsid w:val="00B24D6E"/>
    <w:rsid w:val="00B24E39"/>
    <w:rsid w:val="00B24EC9"/>
    <w:rsid w:val="00B257FA"/>
    <w:rsid w:val="00B259E5"/>
    <w:rsid w:val="00B25D4B"/>
    <w:rsid w:val="00B25D5A"/>
    <w:rsid w:val="00B26484"/>
    <w:rsid w:val="00B2663D"/>
    <w:rsid w:val="00B26708"/>
    <w:rsid w:val="00B26884"/>
    <w:rsid w:val="00B26BCD"/>
    <w:rsid w:val="00B26FAF"/>
    <w:rsid w:val="00B2707C"/>
    <w:rsid w:val="00B270E4"/>
    <w:rsid w:val="00B2715A"/>
    <w:rsid w:val="00B27224"/>
    <w:rsid w:val="00B27300"/>
    <w:rsid w:val="00B273BD"/>
    <w:rsid w:val="00B27D58"/>
    <w:rsid w:val="00B27D79"/>
    <w:rsid w:val="00B27F3E"/>
    <w:rsid w:val="00B30453"/>
    <w:rsid w:val="00B308C2"/>
    <w:rsid w:val="00B309CE"/>
    <w:rsid w:val="00B30A46"/>
    <w:rsid w:val="00B30A77"/>
    <w:rsid w:val="00B30D1B"/>
    <w:rsid w:val="00B30D66"/>
    <w:rsid w:val="00B311AC"/>
    <w:rsid w:val="00B316EB"/>
    <w:rsid w:val="00B318D9"/>
    <w:rsid w:val="00B319B9"/>
    <w:rsid w:val="00B31C90"/>
    <w:rsid w:val="00B31D51"/>
    <w:rsid w:val="00B31DAF"/>
    <w:rsid w:val="00B31EC5"/>
    <w:rsid w:val="00B31FEB"/>
    <w:rsid w:val="00B32368"/>
    <w:rsid w:val="00B32455"/>
    <w:rsid w:val="00B3256E"/>
    <w:rsid w:val="00B32619"/>
    <w:rsid w:val="00B32A41"/>
    <w:rsid w:val="00B32AB1"/>
    <w:rsid w:val="00B32ADD"/>
    <w:rsid w:val="00B32D42"/>
    <w:rsid w:val="00B3337C"/>
    <w:rsid w:val="00B3375F"/>
    <w:rsid w:val="00B3378B"/>
    <w:rsid w:val="00B337AF"/>
    <w:rsid w:val="00B33FBF"/>
    <w:rsid w:val="00B3438F"/>
    <w:rsid w:val="00B343E9"/>
    <w:rsid w:val="00B34465"/>
    <w:rsid w:val="00B34650"/>
    <w:rsid w:val="00B34849"/>
    <w:rsid w:val="00B34B39"/>
    <w:rsid w:val="00B34BEF"/>
    <w:rsid w:val="00B34E60"/>
    <w:rsid w:val="00B353D7"/>
    <w:rsid w:val="00B3578F"/>
    <w:rsid w:val="00B35A94"/>
    <w:rsid w:val="00B35EC8"/>
    <w:rsid w:val="00B3625E"/>
    <w:rsid w:val="00B364AF"/>
    <w:rsid w:val="00B36668"/>
    <w:rsid w:val="00B366EF"/>
    <w:rsid w:val="00B368B9"/>
    <w:rsid w:val="00B36A9D"/>
    <w:rsid w:val="00B36FFC"/>
    <w:rsid w:val="00B37067"/>
    <w:rsid w:val="00B3719F"/>
    <w:rsid w:val="00B371F1"/>
    <w:rsid w:val="00B37291"/>
    <w:rsid w:val="00B37822"/>
    <w:rsid w:val="00B37CCD"/>
    <w:rsid w:val="00B40196"/>
    <w:rsid w:val="00B40222"/>
    <w:rsid w:val="00B403E9"/>
    <w:rsid w:val="00B4040D"/>
    <w:rsid w:val="00B40418"/>
    <w:rsid w:val="00B405BD"/>
    <w:rsid w:val="00B409E4"/>
    <w:rsid w:val="00B40AA2"/>
    <w:rsid w:val="00B40B81"/>
    <w:rsid w:val="00B40E8E"/>
    <w:rsid w:val="00B411B0"/>
    <w:rsid w:val="00B41371"/>
    <w:rsid w:val="00B41432"/>
    <w:rsid w:val="00B41B53"/>
    <w:rsid w:val="00B41B88"/>
    <w:rsid w:val="00B41BAC"/>
    <w:rsid w:val="00B41BC7"/>
    <w:rsid w:val="00B41DB6"/>
    <w:rsid w:val="00B41FDE"/>
    <w:rsid w:val="00B42349"/>
    <w:rsid w:val="00B42546"/>
    <w:rsid w:val="00B428FA"/>
    <w:rsid w:val="00B4290B"/>
    <w:rsid w:val="00B4296B"/>
    <w:rsid w:val="00B42C2B"/>
    <w:rsid w:val="00B42D50"/>
    <w:rsid w:val="00B42E3A"/>
    <w:rsid w:val="00B43022"/>
    <w:rsid w:val="00B43193"/>
    <w:rsid w:val="00B431D1"/>
    <w:rsid w:val="00B43549"/>
    <w:rsid w:val="00B43651"/>
    <w:rsid w:val="00B4367F"/>
    <w:rsid w:val="00B436AA"/>
    <w:rsid w:val="00B43CCC"/>
    <w:rsid w:val="00B43DD3"/>
    <w:rsid w:val="00B43EDE"/>
    <w:rsid w:val="00B44131"/>
    <w:rsid w:val="00B44148"/>
    <w:rsid w:val="00B4429F"/>
    <w:rsid w:val="00B445C5"/>
    <w:rsid w:val="00B446FC"/>
    <w:rsid w:val="00B447E7"/>
    <w:rsid w:val="00B44860"/>
    <w:rsid w:val="00B44958"/>
    <w:rsid w:val="00B449E8"/>
    <w:rsid w:val="00B44A2E"/>
    <w:rsid w:val="00B44AC1"/>
    <w:rsid w:val="00B44DF8"/>
    <w:rsid w:val="00B44F1F"/>
    <w:rsid w:val="00B44FC8"/>
    <w:rsid w:val="00B45163"/>
    <w:rsid w:val="00B4541E"/>
    <w:rsid w:val="00B45485"/>
    <w:rsid w:val="00B45850"/>
    <w:rsid w:val="00B458FE"/>
    <w:rsid w:val="00B45C0C"/>
    <w:rsid w:val="00B45E7D"/>
    <w:rsid w:val="00B45F3F"/>
    <w:rsid w:val="00B45FDF"/>
    <w:rsid w:val="00B46042"/>
    <w:rsid w:val="00B465B4"/>
    <w:rsid w:val="00B46697"/>
    <w:rsid w:val="00B46764"/>
    <w:rsid w:val="00B46789"/>
    <w:rsid w:val="00B467D8"/>
    <w:rsid w:val="00B4699D"/>
    <w:rsid w:val="00B46EDE"/>
    <w:rsid w:val="00B4700F"/>
    <w:rsid w:val="00B4764C"/>
    <w:rsid w:val="00B476C0"/>
    <w:rsid w:val="00B477D1"/>
    <w:rsid w:val="00B4798C"/>
    <w:rsid w:val="00B47CC7"/>
    <w:rsid w:val="00B47F88"/>
    <w:rsid w:val="00B505CA"/>
    <w:rsid w:val="00B50870"/>
    <w:rsid w:val="00B50B3A"/>
    <w:rsid w:val="00B50C43"/>
    <w:rsid w:val="00B50E37"/>
    <w:rsid w:val="00B50E5D"/>
    <w:rsid w:val="00B50E62"/>
    <w:rsid w:val="00B5105F"/>
    <w:rsid w:val="00B51424"/>
    <w:rsid w:val="00B516AA"/>
    <w:rsid w:val="00B519EB"/>
    <w:rsid w:val="00B51A7F"/>
    <w:rsid w:val="00B51C43"/>
    <w:rsid w:val="00B5214C"/>
    <w:rsid w:val="00B5242A"/>
    <w:rsid w:val="00B5259F"/>
    <w:rsid w:val="00B5266B"/>
    <w:rsid w:val="00B5268B"/>
    <w:rsid w:val="00B5273F"/>
    <w:rsid w:val="00B5274F"/>
    <w:rsid w:val="00B52965"/>
    <w:rsid w:val="00B52BDE"/>
    <w:rsid w:val="00B52D91"/>
    <w:rsid w:val="00B53160"/>
    <w:rsid w:val="00B5371F"/>
    <w:rsid w:val="00B5372B"/>
    <w:rsid w:val="00B53A40"/>
    <w:rsid w:val="00B53B46"/>
    <w:rsid w:val="00B540CA"/>
    <w:rsid w:val="00B5413A"/>
    <w:rsid w:val="00B543DE"/>
    <w:rsid w:val="00B545B7"/>
    <w:rsid w:val="00B546A0"/>
    <w:rsid w:val="00B548AC"/>
    <w:rsid w:val="00B54B88"/>
    <w:rsid w:val="00B550F5"/>
    <w:rsid w:val="00B55112"/>
    <w:rsid w:val="00B5536F"/>
    <w:rsid w:val="00B5547B"/>
    <w:rsid w:val="00B5548A"/>
    <w:rsid w:val="00B55658"/>
    <w:rsid w:val="00B558C2"/>
    <w:rsid w:val="00B55AF7"/>
    <w:rsid w:val="00B55BB2"/>
    <w:rsid w:val="00B55C41"/>
    <w:rsid w:val="00B55E78"/>
    <w:rsid w:val="00B56053"/>
    <w:rsid w:val="00B5672F"/>
    <w:rsid w:val="00B56C6D"/>
    <w:rsid w:val="00B56F71"/>
    <w:rsid w:val="00B57216"/>
    <w:rsid w:val="00B57345"/>
    <w:rsid w:val="00B575DE"/>
    <w:rsid w:val="00B579A1"/>
    <w:rsid w:val="00B57CA1"/>
    <w:rsid w:val="00B57D11"/>
    <w:rsid w:val="00B57D7B"/>
    <w:rsid w:val="00B57F38"/>
    <w:rsid w:val="00B6045E"/>
    <w:rsid w:val="00B60BFC"/>
    <w:rsid w:val="00B60C46"/>
    <w:rsid w:val="00B60E14"/>
    <w:rsid w:val="00B60F85"/>
    <w:rsid w:val="00B61538"/>
    <w:rsid w:val="00B61598"/>
    <w:rsid w:val="00B61BD8"/>
    <w:rsid w:val="00B61C31"/>
    <w:rsid w:val="00B623DE"/>
    <w:rsid w:val="00B6252B"/>
    <w:rsid w:val="00B62875"/>
    <w:rsid w:val="00B62E31"/>
    <w:rsid w:val="00B62EB1"/>
    <w:rsid w:val="00B62FE4"/>
    <w:rsid w:val="00B632DC"/>
    <w:rsid w:val="00B6343F"/>
    <w:rsid w:val="00B6344E"/>
    <w:rsid w:val="00B6358C"/>
    <w:rsid w:val="00B6370F"/>
    <w:rsid w:val="00B638BF"/>
    <w:rsid w:val="00B6390E"/>
    <w:rsid w:val="00B6396A"/>
    <w:rsid w:val="00B63BF1"/>
    <w:rsid w:val="00B63C87"/>
    <w:rsid w:val="00B63E93"/>
    <w:rsid w:val="00B6416B"/>
    <w:rsid w:val="00B64236"/>
    <w:rsid w:val="00B64552"/>
    <w:rsid w:val="00B64719"/>
    <w:rsid w:val="00B6487E"/>
    <w:rsid w:val="00B6506A"/>
    <w:rsid w:val="00B656F2"/>
    <w:rsid w:val="00B6583D"/>
    <w:rsid w:val="00B65A11"/>
    <w:rsid w:val="00B65D09"/>
    <w:rsid w:val="00B65DB1"/>
    <w:rsid w:val="00B65E26"/>
    <w:rsid w:val="00B65E75"/>
    <w:rsid w:val="00B66512"/>
    <w:rsid w:val="00B66567"/>
    <w:rsid w:val="00B66621"/>
    <w:rsid w:val="00B66812"/>
    <w:rsid w:val="00B66897"/>
    <w:rsid w:val="00B669D0"/>
    <w:rsid w:val="00B669D2"/>
    <w:rsid w:val="00B66A8E"/>
    <w:rsid w:val="00B66BC1"/>
    <w:rsid w:val="00B6707B"/>
    <w:rsid w:val="00B6727C"/>
    <w:rsid w:val="00B672E8"/>
    <w:rsid w:val="00B6797A"/>
    <w:rsid w:val="00B67DF1"/>
    <w:rsid w:val="00B67F75"/>
    <w:rsid w:val="00B7009C"/>
    <w:rsid w:val="00B7043C"/>
    <w:rsid w:val="00B70615"/>
    <w:rsid w:val="00B7061A"/>
    <w:rsid w:val="00B7066E"/>
    <w:rsid w:val="00B706D7"/>
    <w:rsid w:val="00B7090F"/>
    <w:rsid w:val="00B7091E"/>
    <w:rsid w:val="00B70CAF"/>
    <w:rsid w:val="00B70E36"/>
    <w:rsid w:val="00B70EA0"/>
    <w:rsid w:val="00B70EC7"/>
    <w:rsid w:val="00B7180F"/>
    <w:rsid w:val="00B71C57"/>
    <w:rsid w:val="00B71E11"/>
    <w:rsid w:val="00B72530"/>
    <w:rsid w:val="00B727D4"/>
    <w:rsid w:val="00B72C60"/>
    <w:rsid w:val="00B730EB"/>
    <w:rsid w:val="00B7346C"/>
    <w:rsid w:val="00B73534"/>
    <w:rsid w:val="00B73556"/>
    <w:rsid w:val="00B735B5"/>
    <w:rsid w:val="00B7390B"/>
    <w:rsid w:val="00B73BD7"/>
    <w:rsid w:val="00B73F52"/>
    <w:rsid w:val="00B7409E"/>
    <w:rsid w:val="00B7420B"/>
    <w:rsid w:val="00B743A3"/>
    <w:rsid w:val="00B743AA"/>
    <w:rsid w:val="00B743CF"/>
    <w:rsid w:val="00B743F8"/>
    <w:rsid w:val="00B746AB"/>
    <w:rsid w:val="00B74722"/>
    <w:rsid w:val="00B74983"/>
    <w:rsid w:val="00B74AC6"/>
    <w:rsid w:val="00B74DB0"/>
    <w:rsid w:val="00B75062"/>
    <w:rsid w:val="00B7509B"/>
    <w:rsid w:val="00B75486"/>
    <w:rsid w:val="00B754AC"/>
    <w:rsid w:val="00B755E7"/>
    <w:rsid w:val="00B75712"/>
    <w:rsid w:val="00B75772"/>
    <w:rsid w:val="00B759CA"/>
    <w:rsid w:val="00B75C20"/>
    <w:rsid w:val="00B75CF7"/>
    <w:rsid w:val="00B75F9D"/>
    <w:rsid w:val="00B764C9"/>
    <w:rsid w:val="00B76950"/>
    <w:rsid w:val="00B76977"/>
    <w:rsid w:val="00B769C2"/>
    <w:rsid w:val="00B76BB3"/>
    <w:rsid w:val="00B76C46"/>
    <w:rsid w:val="00B76CFC"/>
    <w:rsid w:val="00B76EB9"/>
    <w:rsid w:val="00B770C7"/>
    <w:rsid w:val="00B77139"/>
    <w:rsid w:val="00B7748C"/>
    <w:rsid w:val="00B776D1"/>
    <w:rsid w:val="00B7772D"/>
    <w:rsid w:val="00B77A36"/>
    <w:rsid w:val="00B77A72"/>
    <w:rsid w:val="00B77B5E"/>
    <w:rsid w:val="00B77BE2"/>
    <w:rsid w:val="00B77CAA"/>
    <w:rsid w:val="00B77DAD"/>
    <w:rsid w:val="00B77FCE"/>
    <w:rsid w:val="00B80025"/>
    <w:rsid w:val="00B8018A"/>
    <w:rsid w:val="00B80244"/>
    <w:rsid w:val="00B8061D"/>
    <w:rsid w:val="00B80627"/>
    <w:rsid w:val="00B80836"/>
    <w:rsid w:val="00B809DC"/>
    <w:rsid w:val="00B80AB1"/>
    <w:rsid w:val="00B80C71"/>
    <w:rsid w:val="00B8128B"/>
    <w:rsid w:val="00B814D3"/>
    <w:rsid w:val="00B8156B"/>
    <w:rsid w:val="00B8163C"/>
    <w:rsid w:val="00B81715"/>
    <w:rsid w:val="00B818CE"/>
    <w:rsid w:val="00B81916"/>
    <w:rsid w:val="00B81AAC"/>
    <w:rsid w:val="00B81BB9"/>
    <w:rsid w:val="00B81C3E"/>
    <w:rsid w:val="00B82405"/>
    <w:rsid w:val="00B825A0"/>
    <w:rsid w:val="00B8260F"/>
    <w:rsid w:val="00B8265E"/>
    <w:rsid w:val="00B82664"/>
    <w:rsid w:val="00B82693"/>
    <w:rsid w:val="00B82C12"/>
    <w:rsid w:val="00B83023"/>
    <w:rsid w:val="00B831EE"/>
    <w:rsid w:val="00B83421"/>
    <w:rsid w:val="00B83424"/>
    <w:rsid w:val="00B83A81"/>
    <w:rsid w:val="00B83E7E"/>
    <w:rsid w:val="00B8415E"/>
    <w:rsid w:val="00B846D8"/>
    <w:rsid w:val="00B846EC"/>
    <w:rsid w:val="00B847FF"/>
    <w:rsid w:val="00B84839"/>
    <w:rsid w:val="00B849F4"/>
    <w:rsid w:val="00B84A37"/>
    <w:rsid w:val="00B84C94"/>
    <w:rsid w:val="00B84F84"/>
    <w:rsid w:val="00B85026"/>
    <w:rsid w:val="00B8520D"/>
    <w:rsid w:val="00B85A6B"/>
    <w:rsid w:val="00B85DAB"/>
    <w:rsid w:val="00B85EF2"/>
    <w:rsid w:val="00B85F6F"/>
    <w:rsid w:val="00B86000"/>
    <w:rsid w:val="00B861C4"/>
    <w:rsid w:val="00B8630F"/>
    <w:rsid w:val="00B86381"/>
    <w:rsid w:val="00B86524"/>
    <w:rsid w:val="00B86794"/>
    <w:rsid w:val="00B86CC0"/>
    <w:rsid w:val="00B870B6"/>
    <w:rsid w:val="00B876FE"/>
    <w:rsid w:val="00B87FFC"/>
    <w:rsid w:val="00B90102"/>
    <w:rsid w:val="00B90615"/>
    <w:rsid w:val="00B90703"/>
    <w:rsid w:val="00B90851"/>
    <w:rsid w:val="00B90904"/>
    <w:rsid w:val="00B91042"/>
    <w:rsid w:val="00B910E2"/>
    <w:rsid w:val="00B91359"/>
    <w:rsid w:val="00B91708"/>
    <w:rsid w:val="00B91967"/>
    <w:rsid w:val="00B91EE4"/>
    <w:rsid w:val="00B91FDA"/>
    <w:rsid w:val="00B92335"/>
    <w:rsid w:val="00B926D7"/>
    <w:rsid w:val="00B930BA"/>
    <w:rsid w:val="00B9350C"/>
    <w:rsid w:val="00B937F2"/>
    <w:rsid w:val="00B93A97"/>
    <w:rsid w:val="00B93CEB"/>
    <w:rsid w:val="00B94154"/>
    <w:rsid w:val="00B941E7"/>
    <w:rsid w:val="00B94211"/>
    <w:rsid w:val="00B9426A"/>
    <w:rsid w:val="00B9442F"/>
    <w:rsid w:val="00B94547"/>
    <w:rsid w:val="00B9488B"/>
    <w:rsid w:val="00B94A68"/>
    <w:rsid w:val="00B94B7B"/>
    <w:rsid w:val="00B94E48"/>
    <w:rsid w:val="00B9511D"/>
    <w:rsid w:val="00B95233"/>
    <w:rsid w:val="00B952FC"/>
    <w:rsid w:val="00B9539E"/>
    <w:rsid w:val="00B953D6"/>
    <w:rsid w:val="00B95592"/>
    <w:rsid w:val="00B955C1"/>
    <w:rsid w:val="00B9577F"/>
    <w:rsid w:val="00B95867"/>
    <w:rsid w:val="00B95E54"/>
    <w:rsid w:val="00B95FF5"/>
    <w:rsid w:val="00B960F1"/>
    <w:rsid w:val="00B9623A"/>
    <w:rsid w:val="00B96272"/>
    <w:rsid w:val="00B962C3"/>
    <w:rsid w:val="00B962F7"/>
    <w:rsid w:val="00B966BC"/>
    <w:rsid w:val="00B96728"/>
    <w:rsid w:val="00B96A2B"/>
    <w:rsid w:val="00B96B80"/>
    <w:rsid w:val="00B96BFC"/>
    <w:rsid w:val="00B96C2D"/>
    <w:rsid w:val="00B96D3C"/>
    <w:rsid w:val="00B96DAD"/>
    <w:rsid w:val="00B97174"/>
    <w:rsid w:val="00B97520"/>
    <w:rsid w:val="00B97539"/>
    <w:rsid w:val="00B9768A"/>
    <w:rsid w:val="00B977D0"/>
    <w:rsid w:val="00B97A00"/>
    <w:rsid w:val="00B97C8F"/>
    <w:rsid w:val="00B97F04"/>
    <w:rsid w:val="00B97F4B"/>
    <w:rsid w:val="00BA0652"/>
    <w:rsid w:val="00BA06A8"/>
    <w:rsid w:val="00BA07B7"/>
    <w:rsid w:val="00BA07CB"/>
    <w:rsid w:val="00BA090D"/>
    <w:rsid w:val="00BA0936"/>
    <w:rsid w:val="00BA0979"/>
    <w:rsid w:val="00BA09C6"/>
    <w:rsid w:val="00BA10FB"/>
    <w:rsid w:val="00BA11CB"/>
    <w:rsid w:val="00BA13C1"/>
    <w:rsid w:val="00BA2129"/>
    <w:rsid w:val="00BA2263"/>
    <w:rsid w:val="00BA22AF"/>
    <w:rsid w:val="00BA2387"/>
    <w:rsid w:val="00BA240E"/>
    <w:rsid w:val="00BA2B7A"/>
    <w:rsid w:val="00BA2F1E"/>
    <w:rsid w:val="00BA2FC5"/>
    <w:rsid w:val="00BA3006"/>
    <w:rsid w:val="00BA3104"/>
    <w:rsid w:val="00BA3282"/>
    <w:rsid w:val="00BA3367"/>
    <w:rsid w:val="00BA3814"/>
    <w:rsid w:val="00BA3CA3"/>
    <w:rsid w:val="00BA3E9C"/>
    <w:rsid w:val="00BA3EFF"/>
    <w:rsid w:val="00BA40F3"/>
    <w:rsid w:val="00BA481D"/>
    <w:rsid w:val="00BA4BE6"/>
    <w:rsid w:val="00BA4DCD"/>
    <w:rsid w:val="00BA516C"/>
    <w:rsid w:val="00BA51AA"/>
    <w:rsid w:val="00BA5462"/>
    <w:rsid w:val="00BA565B"/>
    <w:rsid w:val="00BA5675"/>
    <w:rsid w:val="00BA5DDB"/>
    <w:rsid w:val="00BA5FDE"/>
    <w:rsid w:val="00BA610F"/>
    <w:rsid w:val="00BA65B2"/>
    <w:rsid w:val="00BA669F"/>
    <w:rsid w:val="00BA6715"/>
    <w:rsid w:val="00BA69EB"/>
    <w:rsid w:val="00BA6AA5"/>
    <w:rsid w:val="00BA6ABC"/>
    <w:rsid w:val="00BA6D5B"/>
    <w:rsid w:val="00BA6E92"/>
    <w:rsid w:val="00BA6EC6"/>
    <w:rsid w:val="00BA7287"/>
    <w:rsid w:val="00BA750A"/>
    <w:rsid w:val="00BA7671"/>
    <w:rsid w:val="00BA7A58"/>
    <w:rsid w:val="00BA7BC4"/>
    <w:rsid w:val="00BA7C73"/>
    <w:rsid w:val="00BA7CD5"/>
    <w:rsid w:val="00BA7FD2"/>
    <w:rsid w:val="00BB007F"/>
    <w:rsid w:val="00BB0190"/>
    <w:rsid w:val="00BB02FB"/>
    <w:rsid w:val="00BB0517"/>
    <w:rsid w:val="00BB052F"/>
    <w:rsid w:val="00BB06DD"/>
    <w:rsid w:val="00BB0841"/>
    <w:rsid w:val="00BB08FB"/>
    <w:rsid w:val="00BB0B82"/>
    <w:rsid w:val="00BB0D51"/>
    <w:rsid w:val="00BB0D6E"/>
    <w:rsid w:val="00BB0D93"/>
    <w:rsid w:val="00BB10A9"/>
    <w:rsid w:val="00BB1425"/>
    <w:rsid w:val="00BB15FC"/>
    <w:rsid w:val="00BB19A0"/>
    <w:rsid w:val="00BB1B15"/>
    <w:rsid w:val="00BB1DC0"/>
    <w:rsid w:val="00BB1FD4"/>
    <w:rsid w:val="00BB2059"/>
    <w:rsid w:val="00BB21E2"/>
    <w:rsid w:val="00BB226A"/>
    <w:rsid w:val="00BB255B"/>
    <w:rsid w:val="00BB2A22"/>
    <w:rsid w:val="00BB3412"/>
    <w:rsid w:val="00BB4013"/>
    <w:rsid w:val="00BB4185"/>
    <w:rsid w:val="00BB4923"/>
    <w:rsid w:val="00BB498D"/>
    <w:rsid w:val="00BB4C0E"/>
    <w:rsid w:val="00BB4CA2"/>
    <w:rsid w:val="00BB4D6F"/>
    <w:rsid w:val="00BB5001"/>
    <w:rsid w:val="00BB5619"/>
    <w:rsid w:val="00BB56CF"/>
    <w:rsid w:val="00BB57D7"/>
    <w:rsid w:val="00BB5F28"/>
    <w:rsid w:val="00BB5F41"/>
    <w:rsid w:val="00BB6488"/>
    <w:rsid w:val="00BB6727"/>
    <w:rsid w:val="00BB6788"/>
    <w:rsid w:val="00BB67D3"/>
    <w:rsid w:val="00BB67DD"/>
    <w:rsid w:val="00BB687E"/>
    <w:rsid w:val="00BB68E1"/>
    <w:rsid w:val="00BB6A71"/>
    <w:rsid w:val="00BB6CDD"/>
    <w:rsid w:val="00BB6E1D"/>
    <w:rsid w:val="00BB6EBE"/>
    <w:rsid w:val="00BB6F08"/>
    <w:rsid w:val="00BB6FCE"/>
    <w:rsid w:val="00BB73E3"/>
    <w:rsid w:val="00BB77F0"/>
    <w:rsid w:val="00BB7871"/>
    <w:rsid w:val="00BB7BAE"/>
    <w:rsid w:val="00BB7E14"/>
    <w:rsid w:val="00BC0037"/>
    <w:rsid w:val="00BC02E9"/>
    <w:rsid w:val="00BC065B"/>
    <w:rsid w:val="00BC078C"/>
    <w:rsid w:val="00BC0A39"/>
    <w:rsid w:val="00BC0F67"/>
    <w:rsid w:val="00BC1057"/>
    <w:rsid w:val="00BC110C"/>
    <w:rsid w:val="00BC11EA"/>
    <w:rsid w:val="00BC148D"/>
    <w:rsid w:val="00BC162C"/>
    <w:rsid w:val="00BC165F"/>
    <w:rsid w:val="00BC1660"/>
    <w:rsid w:val="00BC16DE"/>
    <w:rsid w:val="00BC1962"/>
    <w:rsid w:val="00BC1A44"/>
    <w:rsid w:val="00BC20D0"/>
    <w:rsid w:val="00BC2241"/>
    <w:rsid w:val="00BC23BD"/>
    <w:rsid w:val="00BC2923"/>
    <w:rsid w:val="00BC29C2"/>
    <w:rsid w:val="00BC2C4A"/>
    <w:rsid w:val="00BC34C0"/>
    <w:rsid w:val="00BC35E2"/>
    <w:rsid w:val="00BC372E"/>
    <w:rsid w:val="00BC3869"/>
    <w:rsid w:val="00BC3D02"/>
    <w:rsid w:val="00BC3EB1"/>
    <w:rsid w:val="00BC3FC2"/>
    <w:rsid w:val="00BC4040"/>
    <w:rsid w:val="00BC41A4"/>
    <w:rsid w:val="00BC4223"/>
    <w:rsid w:val="00BC431B"/>
    <w:rsid w:val="00BC43FC"/>
    <w:rsid w:val="00BC443F"/>
    <w:rsid w:val="00BC4460"/>
    <w:rsid w:val="00BC44BA"/>
    <w:rsid w:val="00BC44CE"/>
    <w:rsid w:val="00BC4666"/>
    <w:rsid w:val="00BC47A3"/>
    <w:rsid w:val="00BC47D5"/>
    <w:rsid w:val="00BC4D8C"/>
    <w:rsid w:val="00BC4F2A"/>
    <w:rsid w:val="00BC5115"/>
    <w:rsid w:val="00BC521D"/>
    <w:rsid w:val="00BC52D4"/>
    <w:rsid w:val="00BC58B5"/>
    <w:rsid w:val="00BC58D7"/>
    <w:rsid w:val="00BC595C"/>
    <w:rsid w:val="00BC5E9B"/>
    <w:rsid w:val="00BC63B1"/>
    <w:rsid w:val="00BC655C"/>
    <w:rsid w:val="00BC65A5"/>
    <w:rsid w:val="00BC6666"/>
    <w:rsid w:val="00BC681E"/>
    <w:rsid w:val="00BC6AAF"/>
    <w:rsid w:val="00BC6D92"/>
    <w:rsid w:val="00BC7275"/>
    <w:rsid w:val="00BC72DB"/>
    <w:rsid w:val="00BC73E5"/>
    <w:rsid w:val="00BC7663"/>
    <w:rsid w:val="00BC788A"/>
    <w:rsid w:val="00BC7C71"/>
    <w:rsid w:val="00BC7D11"/>
    <w:rsid w:val="00BC7D1F"/>
    <w:rsid w:val="00BD0006"/>
    <w:rsid w:val="00BD0070"/>
    <w:rsid w:val="00BD0126"/>
    <w:rsid w:val="00BD0575"/>
    <w:rsid w:val="00BD05D5"/>
    <w:rsid w:val="00BD08B3"/>
    <w:rsid w:val="00BD0991"/>
    <w:rsid w:val="00BD0A8A"/>
    <w:rsid w:val="00BD0D54"/>
    <w:rsid w:val="00BD0FDB"/>
    <w:rsid w:val="00BD1038"/>
    <w:rsid w:val="00BD1071"/>
    <w:rsid w:val="00BD10E1"/>
    <w:rsid w:val="00BD149B"/>
    <w:rsid w:val="00BD1C6C"/>
    <w:rsid w:val="00BD1C93"/>
    <w:rsid w:val="00BD1DF5"/>
    <w:rsid w:val="00BD205D"/>
    <w:rsid w:val="00BD206B"/>
    <w:rsid w:val="00BD206E"/>
    <w:rsid w:val="00BD20E4"/>
    <w:rsid w:val="00BD2711"/>
    <w:rsid w:val="00BD2755"/>
    <w:rsid w:val="00BD2C65"/>
    <w:rsid w:val="00BD2FC1"/>
    <w:rsid w:val="00BD31AB"/>
    <w:rsid w:val="00BD34D3"/>
    <w:rsid w:val="00BD3C81"/>
    <w:rsid w:val="00BD3DC9"/>
    <w:rsid w:val="00BD41AE"/>
    <w:rsid w:val="00BD438E"/>
    <w:rsid w:val="00BD454B"/>
    <w:rsid w:val="00BD4593"/>
    <w:rsid w:val="00BD4636"/>
    <w:rsid w:val="00BD489A"/>
    <w:rsid w:val="00BD4C3E"/>
    <w:rsid w:val="00BD4DA8"/>
    <w:rsid w:val="00BD5234"/>
    <w:rsid w:val="00BD54A4"/>
    <w:rsid w:val="00BD54D9"/>
    <w:rsid w:val="00BD5A7B"/>
    <w:rsid w:val="00BD5CB0"/>
    <w:rsid w:val="00BD5D74"/>
    <w:rsid w:val="00BD5E2C"/>
    <w:rsid w:val="00BD5FF2"/>
    <w:rsid w:val="00BD606B"/>
    <w:rsid w:val="00BD615E"/>
    <w:rsid w:val="00BD624B"/>
    <w:rsid w:val="00BD6541"/>
    <w:rsid w:val="00BD667F"/>
    <w:rsid w:val="00BD66A3"/>
    <w:rsid w:val="00BD6844"/>
    <w:rsid w:val="00BD68C8"/>
    <w:rsid w:val="00BD6F54"/>
    <w:rsid w:val="00BD70B1"/>
    <w:rsid w:val="00BD736C"/>
    <w:rsid w:val="00BD7431"/>
    <w:rsid w:val="00BD78E6"/>
    <w:rsid w:val="00BD796B"/>
    <w:rsid w:val="00BD79D0"/>
    <w:rsid w:val="00BD7AF9"/>
    <w:rsid w:val="00BD7E75"/>
    <w:rsid w:val="00BD7EA6"/>
    <w:rsid w:val="00BD7EAD"/>
    <w:rsid w:val="00BE0101"/>
    <w:rsid w:val="00BE04BE"/>
    <w:rsid w:val="00BE05E2"/>
    <w:rsid w:val="00BE0603"/>
    <w:rsid w:val="00BE0608"/>
    <w:rsid w:val="00BE0D00"/>
    <w:rsid w:val="00BE0D49"/>
    <w:rsid w:val="00BE114D"/>
    <w:rsid w:val="00BE1378"/>
    <w:rsid w:val="00BE151F"/>
    <w:rsid w:val="00BE1872"/>
    <w:rsid w:val="00BE1D1C"/>
    <w:rsid w:val="00BE264A"/>
    <w:rsid w:val="00BE29E0"/>
    <w:rsid w:val="00BE2DB4"/>
    <w:rsid w:val="00BE327C"/>
    <w:rsid w:val="00BE328A"/>
    <w:rsid w:val="00BE33A2"/>
    <w:rsid w:val="00BE354D"/>
    <w:rsid w:val="00BE360B"/>
    <w:rsid w:val="00BE39DC"/>
    <w:rsid w:val="00BE3A92"/>
    <w:rsid w:val="00BE3E76"/>
    <w:rsid w:val="00BE41B0"/>
    <w:rsid w:val="00BE42EE"/>
    <w:rsid w:val="00BE43DD"/>
    <w:rsid w:val="00BE4993"/>
    <w:rsid w:val="00BE51DA"/>
    <w:rsid w:val="00BE5405"/>
    <w:rsid w:val="00BE5483"/>
    <w:rsid w:val="00BE5554"/>
    <w:rsid w:val="00BE55C5"/>
    <w:rsid w:val="00BE58CF"/>
    <w:rsid w:val="00BE5B20"/>
    <w:rsid w:val="00BE6001"/>
    <w:rsid w:val="00BE66E9"/>
    <w:rsid w:val="00BE6709"/>
    <w:rsid w:val="00BE6B1D"/>
    <w:rsid w:val="00BE6D22"/>
    <w:rsid w:val="00BE6F25"/>
    <w:rsid w:val="00BE702E"/>
    <w:rsid w:val="00BE7104"/>
    <w:rsid w:val="00BE7A99"/>
    <w:rsid w:val="00BE7D7B"/>
    <w:rsid w:val="00BE7D83"/>
    <w:rsid w:val="00BE7D9D"/>
    <w:rsid w:val="00BE7E47"/>
    <w:rsid w:val="00BE7FC4"/>
    <w:rsid w:val="00BF02EE"/>
    <w:rsid w:val="00BF055E"/>
    <w:rsid w:val="00BF05E3"/>
    <w:rsid w:val="00BF0DB2"/>
    <w:rsid w:val="00BF0E5F"/>
    <w:rsid w:val="00BF1137"/>
    <w:rsid w:val="00BF16A6"/>
    <w:rsid w:val="00BF1B50"/>
    <w:rsid w:val="00BF1E59"/>
    <w:rsid w:val="00BF1F9D"/>
    <w:rsid w:val="00BF1FDD"/>
    <w:rsid w:val="00BF20BA"/>
    <w:rsid w:val="00BF2150"/>
    <w:rsid w:val="00BF27C6"/>
    <w:rsid w:val="00BF28B6"/>
    <w:rsid w:val="00BF2C3F"/>
    <w:rsid w:val="00BF2D6C"/>
    <w:rsid w:val="00BF300F"/>
    <w:rsid w:val="00BF3178"/>
    <w:rsid w:val="00BF323F"/>
    <w:rsid w:val="00BF351F"/>
    <w:rsid w:val="00BF3A36"/>
    <w:rsid w:val="00BF3C52"/>
    <w:rsid w:val="00BF3CBF"/>
    <w:rsid w:val="00BF3D18"/>
    <w:rsid w:val="00BF3E07"/>
    <w:rsid w:val="00BF3FEB"/>
    <w:rsid w:val="00BF42A6"/>
    <w:rsid w:val="00BF43F6"/>
    <w:rsid w:val="00BF4419"/>
    <w:rsid w:val="00BF4664"/>
    <w:rsid w:val="00BF4AD7"/>
    <w:rsid w:val="00BF4B13"/>
    <w:rsid w:val="00BF4BA3"/>
    <w:rsid w:val="00BF4D5B"/>
    <w:rsid w:val="00BF4DAF"/>
    <w:rsid w:val="00BF50E0"/>
    <w:rsid w:val="00BF54FA"/>
    <w:rsid w:val="00BF57EF"/>
    <w:rsid w:val="00BF5C9E"/>
    <w:rsid w:val="00BF5E71"/>
    <w:rsid w:val="00BF61A9"/>
    <w:rsid w:val="00BF62CD"/>
    <w:rsid w:val="00BF636D"/>
    <w:rsid w:val="00BF641D"/>
    <w:rsid w:val="00BF6556"/>
    <w:rsid w:val="00BF67D0"/>
    <w:rsid w:val="00BF6822"/>
    <w:rsid w:val="00BF68C2"/>
    <w:rsid w:val="00BF6AFF"/>
    <w:rsid w:val="00BF6B33"/>
    <w:rsid w:val="00BF6BA7"/>
    <w:rsid w:val="00BF70D8"/>
    <w:rsid w:val="00BF71AF"/>
    <w:rsid w:val="00BF7357"/>
    <w:rsid w:val="00BF7411"/>
    <w:rsid w:val="00BF7494"/>
    <w:rsid w:val="00BF751F"/>
    <w:rsid w:val="00BF7B9C"/>
    <w:rsid w:val="00BF7CC1"/>
    <w:rsid w:val="00BF7E18"/>
    <w:rsid w:val="00BF7E43"/>
    <w:rsid w:val="00C0021C"/>
    <w:rsid w:val="00C0046A"/>
    <w:rsid w:val="00C0050D"/>
    <w:rsid w:val="00C007BD"/>
    <w:rsid w:val="00C01455"/>
    <w:rsid w:val="00C01EA8"/>
    <w:rsid w:val="00C02117"/>
    <w:rsid w:val="00C026A7"/>
    <w:rsid w:val="00C027C3"/>
    <w:rsid w:val="00C0282E"/>
    <w:rsid w:val="00C02852"/>
    <w:rsid w:val="00C028C7"/>
    <w:rsid w:val="00C02917"/>
    <w:rsid w:val="00C02949"/>
    <w:rsid w:val="00C03045"/>
    <w:rsid w:val="00C03115"/>
    <w:rsid w:val="00C03816"/>
    <w:rsid w:val="00C03B09"/>
    <w:rsid w:val="00C03FB5"/>
    <w:rsid w:val="00C0429D"/>
    <w:rsid w:val="00C04579"/>
    <w:rsid w:val="00C047EF"/>
    <w:rsid w:val="00C04B62"/>
    <w:rsid w:val="00C04CAE"/>
    <w:rsid w:val="00C04D1A"/>
    <w:rsid w:val="00C04E5B"/>
    <w:rsid w:val="00C0504B"/>
    <w:rsid w:val="00C052BB"/>
    <w:rsid w:val="00C05370"/>
    <w:rsid w:val="00C0542D"/>
    <w:rsid w:val="00C05576"/>
    <w:rsid w:val="00C0558D"/>
    <w:rsid w:val="00C05796"/>
    <w:rsid w:val="00C058B4"/>
    <w:rsid w:val="00C05CF2"/>
    <w:rsid w:val="00C05F22"/>
    <w:rsid w:val="00C06026"/>
    <w:rsid w:val="00C06223"/>
    <w:rsid w:val="00C06252"/>
    <w:rsid w:val="00C0671B"/>
    <w:rsid w:val="00C0686C"/>
    <w:rsid w:val="00C06986"/>
    <w:rsid w:val="00C06CA1"/>
    <w:rsid w:val="00C06FED"/>
    <w:rsid w:val="00C07007"/>
    <w:rsid w:val="00C0723E"/>
    <w:rsid w:val="00C0725A"/>
    <w:rsid w:val="00C07387"/>
    <w:rsid w:val="00C074B1"/>
    <w:rsid w:val="00C07512"/>
    <w:rsid w:val="00C077AB"/>
    <w:rsid w:val="00C07B28"/>
    <w:rsid w:val="00C07D05"/>
    <w:rsid w:val="00C07EC3"/>
    <w:rsid w:val="00C1070A"/>
    <w:rsid w:val="00C1083E"/>
    <w:rsid w:val="00C10998"/>
    <w:rsid w:val="00C109A3"/>
    <w:rsid w:val="00C10BA8"/>
    <w:rsid w:val="00C10C38"/>
    <w:rsid w:val="00C10C45"/>
    <w:rsid w:val="00C10D0F"/>
    <w:rsid w:val="00C10E8D"/>
    <w:rsid w:val="00C110CD"/>
    <w:rsid w:val="00C11152"/>
    <w:rsid w:val="00C11244"/>
    <w:rsid w:val="00C113C5"/>
    <w:rsid w:val="00C1152D"/>
    <w:rsid w:val="00C11574"/>
    <w:rsid w:val="00C115F9"/>
    <w:rsid w:val="00C117E4"/>
    <w:rsid w:val="00C11906"/>
    <w:rsid w:val="00C11928"/>
    <w:rsid w:val="00C11B97"/>
    <w:rsid w:val="00C11CB1"/>
    <w:rsid w:val="00C11D80"/>
    <w:rsid w:val="00C11EF5"/>
    <w:rsid w:val="00C120E4"/>
    <w:rsid w:val="00C12482"/>
    <w:rsid w:val="00C12564"/>
    <w:rsid w:val="00C12707"/>
    <w:rsid w:val="00C12929"/>
    <w:rsid w:val="00C12BBE"/>
    <w:rsid w:val="00C12D04"/>
    <w:rsid w:val="00C12D19"/>
    <w:rsid w:val="00C13221"/>
    <w:rsid w:val="00C134C7"/>
    <w:rsid w:val="00C13602"/>
    <w:rsid w:val="00C136C0"/>
    <w:rsid w:val="00C137B1"/>
    <w:rsid w:val="00C1397D"/>
    <w:rsid w:val="00C13ABD"/>
    <w:rsid w:val="00C13B89"/>
    <w:rsid w:val="00C14075"/>
    <w:rsid w:val="00C142AB"/>
    <w:rsid w:val="00C14357"/>
    <w:rsid w:val="00C143C0"/>
    <w:rsid w:val="00C144D2"/>
    <w:rsid w:val="00C1463F"/>
    <w:rsid w:val="00C147E2"/>
    <w:rsid w:val="00C149BF"/>
    <w:rsid w:val="00C14A17"/>
    <w:rsid w:val="00C14CE3"/>
    <w:rsid w:val="00C14D13"/>
    <w:rsid w:val="00C14ED0"/>
    <w:rsid w:val="00C14F58"/>
    <w:rsid w:val="00C14FC3"/>
    <w:rsid w:val="00C150A4"/>
    <w:rsid w:val="00C1525D"/>
    <w:rsid w:val="00C15445"/>
    <w:rsid w:val="00C15729"/>
    <w:rsid w:val="00C1572F"/>
    <w:rsid w:val="00C15E9B"/>
    <w:rsid w:val="00C15F1E"/>
    <w:rsid w:val="00C16372"/>
    <w:rsid w:val="00C163D4"/>
    <w:rsid w:val="00C1687A"/>
    <w:rsid w:val="00C16952"/>
    <w:rsid w:val="00C16999"/>
    <w:rsid w:val="00C169A4"/>
    <w:rsid w:val="00C16C12"/>
    <w:rsid w:val="00C16C2A"/>
    <w:rsid w:val="00C17028"/>
    <w:rsid w:val="00C170DF"/>
    <w:rsid w:val="00C17144"/>
    <w:rsid w:val="00C17172"/>
    <w:rsid w:val="00C171DB"/>
    <w:rsid w:val="00C17387"/>
    <w:rsid w:val="00C1778B"/>
    <w:rsid w:val="00C177A3"/>
    <w:rsid w:val="00C1795B"/>
    <w:rsid w:val="00C17BEF"/>
    <w:rsid w:val="00C17DB5"/>
    <w:rsid w:val="00C200A4"/>
    <w:rsid w:val="00C2040D"/>
    <w:rsid w:val="00C204B1"/>
    <w:rsid w:val="00C20720"/>
    <w:rsid w:val="00C20924"/>
    <w:rsid w:val="00C20950"/>
    <w:rsid w:val="00C20D2A"/>
    <w:rsid w:val="00C20EAE"/>
    <w:rsid w:val="00C2154E"/>
    <w:rsid w:val="00C21931"/>
    <w:rsid w:val="00C21B10"/>
    <w:rsid w:val="00C21D62"/>
    <w:rsid w:val="00C21DB8"/>
    <w:rsid w:val="00C21E67"/>
    <w:rsid w:val="00C221B5"/>
    <w:rsid w:val="00C227AE"/>
    <w:rsid w:val="00C22A45"/>
    <w:rsid w:val="00C22A70"/>
    <w:rsid w:val="00C22D7F"/>
    <w:rsid w:val="00C2319E"/>
    <w:rsid w:val="00C231A9"/>
    <w:rsid w:val="00C23338"/>
    <w:rsid w:val="00C234CB"/>
    <w:rsid w:val="00C23C44"/>
    <w:rsid w:val="00C23C4E"/>
    <w:rsid w:val="00C23CF1"/>
    <w:rsid w:val="00C23F68"/>
    <w:rsid w:val="00C240AF"/>
    <w:rsid w:val="00C24123"/>
    <w:rsid w:val="00C24227"/>
    <w:rsid w:val="00C2428C"/>
    <w:rsid w:val="00C242BA"/>
    <w:rsid w:val="00C243CD"/>
    <w:rsid w:val="00C24460"/>
    <w:rsid w:val="00C24632"/>
    <w:rsid w:val="00C24661"/>
    <w:rsid w:val="00C24696"/>
    <w:rsid w:val="00C2473F"/>
    <w:rsid w:val="00C2496B"/>
    <w:rsid w:val="00C24A9C"/>
    <w:rsid w:val="00C24C96"/>
    <w:rsid w:val="00C24F72"/>
    <w:rsid w:val="00C24FF7"/>
    <w:rsid w:val="00C254CE"/>
    <w:rsid w:val="00C25750"/>
    <w:rsid w:val="00C257ED"/>
    <w:rsid w:val="00C25859"/>
    <w:rsid w:val="00C25957"/>
    <w:rsid w:val="00C25A2D"/>
    <w:rsid w:val="00C25B7A"/>
    <w:rsid w:val="00C25F93"/>
    <w:rsid w:val="00C26067"/>
    <w:rsid w:val="00C26087"/>
    <w:rsid w:val="00C2613A"/>
    <w:rsid w:val="00C268BD"/>
    <w:rsid w:val="00C26B92"/>
    <w:rsid w:val="00C26C3F"/>
    <w:rsid w:val="00C2710D"/>
    <w:rsid w:val="00C2713C"/>
    <w:rsid w:val="00C27353"/>
    <w:rsid w:val="00C27370"/>
    <w:rsid w:val="00C273B6"/>
    <w:rsid w:val="00C273D2"/>
    <w:rsid w:val="00C275E5"/>
    <w:rsid w:val="00C27630"/>
    <w:rsid w:val="00C27838"/>
    <w:rsid w:val="00C27850"/>
    <w:rsid w:val="00C27AFF"/>
    <w:rsid w:val="00C27B9D"/>
    <w:rsid w:val="00C27BCE"/>
    <w:rsid w:val="00C27E4C"/>
    <w:rsid w:val="00C27F94"/>
    <w:rsid w:val="00C300AB"/>
    <w:rsid w:val="00C300BD"/>
    <w:rsid w:val="00C3016B"/>
    <w:rsid w:val="00C301A7"/>
    <w:rsid w:val="00C3021E"/>
    <w:rsid w:val="00C302D4"/>
    <w:rsid w:val="00C306DD"/>
    <w:rsid w:val="00C30AF9"/>
    <w:rsid w:val="00C30B19"/>
    <w:rsid w:val="00C30F05"/>
    <w:rsid w:val="00C30F29"/>
    <w:rsid w:val="00C30F30"/>
    <w:rsid w:val="00C3122A"/>
    <w:rsid w:val="00C315E7"/>
    <w:rsid w:val="00C317AD"/>
    <w:rsid w:val="00C3184E"/>
    <w:rsid w:val="00C31AA6"/>
    <w:rsid w:val="00C31BFF"/>
    <w:rsid w:val="00C31C2A"/>
    <w:rsid w:val="00C31E43"/>
    <w:rsid w:val="00C31EE0"/>
    <w:rsid w:val="00C32061"/>
    <w:rsid w:val="00C32069"/>
    <w:rsid w:val="00C321B6"/>
    <w:rsid w:val="00C331AC"/>
    <w:rsid w:val="00C33216"/>
    <w:rsid w:val="00C33251"/>
    <w:rsid w:val="00C3329E"/>
    <w:rsid w:val="00C33305"/>
    <w:rsid w:val="00C33528"/>
    <w:rsid w:val="00C3364D"/>
    <w:rsid w:val="00C338EF"/>
    <w:rsid w:val="00C3393A"/>
    <w:rsid w:val="00C33F45"/>
    <w:rsid w:val="00C343BA"/>
    <w:rsid w:val="00C344EE"/>
    <w:rsid w:val="00C34820"/>
    <w:rsid w:val="00C34859"/>
    <w:rsid w:val="00C3492C"/>
    <w:rsid w:val="00C34DF3"/>
    <w:rsid w:val="00C35044"/>
    <w:rsid w:val="00C35253"/>
    <w:rsid w:val="00C353C8"/>
    <w:rsid w:val="00C354C1"/>
    <w:rsid w:val="00C35539"/>
    <w:rsid w:val="00C3579F"/>
    <w:rsid w:val="00C35B81"/>
    <w:rsid w:val="00C35C66"/>
    <w:rsid w:val="00C35EF3"/>
    <w:rsid w:val="00C363A9"/>
    <w:rsid w:val="00C36EC6"/>
    <w:rsid w:val="00C36F02"/>
    <w:rsid w:val="00C376C5"/>
    <w:rsid w:val="00C377C2"/>
    <w:rsid w:val="00C379D8"/>
    <w:rsid w:val="00C37A05"/>
    <w:rsid w:val="00C37BCA"/>
    <w:rsid w:val="00C37C15"/>
    <w:rsid w:val="00C37C63"/>
    <w:rsid w:val="00C37F80"/>
    <w:rsid w:val="00C37F84"/>
    <w:rsid w:val="00C37FC9"/>
    <w:rsid w:val="00C40A40"/>
    <w:rsid w:val="00C40C5C"/>
    <w:rsid w:val="00C40C66"/>
    <w:rsid w:val="00C4113E"/>
    <w:rsid w:val="00C4115E"/>
    <w:rsid w:val="00C41EB4"/>
    <w:rsid w:val="00C42033"/>
    <w:rsid w:val="00C42159"/>
    <w:rsid w:val="00C422BE"/>
    <w:rsid w:val="00C4230C"/>
    <w:rsid w:val="00C42612"/>
    <w:rsid w:val="00C426A1"/>
    <w:rsid w:val="00C42824"/>
    <w:rsid w:val="00C42C72"/>
    <w:rsid w:val="00C42CD5"/>
    <w:rsid w:val="00C42D3E"/>
    <w:rsid w:val="00C42F6B"/>
    <w:rsid w:val="00C42FF6"/>
    <w:rsid w:val="00C430D2"/>
    <w:rsid w:val="00C4342B"/>
    <w:rsid w:val="00C43CFD"/>
    <w:rsid w:val="00C43DB4"/>
    <w:rsid w:val="00C4403E"/>
    <w:rsid w:val="00C4459D"/>
    <w:rsid w:val="00C44625"/>
    <w:rsid w:val="00C44712"/>
    <w:rsid w:val="00C4477A"/>
    <w:rsid w:val="00C447D9"/>
    <w:rsid w:val="00C44D36"/>
    <w:rsid w:val="00C44D43"/>
    <w:rsid w:val="00C44F3E"/>
    <w:rsid w:val="00C450E7"/>
    <w:rsid w:val="00C451D4"/>
    <w:rsid w:val="00C45494"/>
    <w:rsid w:val="00C459B3"/>
    <w:rsid w:val="00C45E86"/>
    <w:rsid w:val="00C460E2"/>
    <w:rsid w:val="00C464B0"/>
    <w:rsid w:val="00C46845"/>
    <w:rsid w:val="00C468CC"/>
    <w:rsid w:val="00C46931"/>
    <w:rsid w:val="00C46C0A"/>
    <w:rsid w:val="00C46CC3"/>
    <w:rsid w:val="00C46F3A"/>
    <w:rsid w:val="00C46FD4"/>
    <w:rsid w:val="00C4722F"/>
    <w:rsid w:val="00C47791"/>
    <w:rsid w:val="00C47BAC"/>
    <w:rsid w:val="00C47DFC"/>
    <w:rsid w:val="00C5003B"/>
    <w:rsid w:val="00C500E5"/>
    <w:rsid w:val="00C5011C"/>
    <w:rsid w:val="00C501C3"/>
    <w:rsid w:val="00C50427"/>
    <w:rsid w:val="00C509AE"/>
    <w:rsid w:val="00C50A36"/>
    <w:rsid w:val="00C50B21"/>
    <w:rsid w:val="00C50B4E"/>
    <w:rsid w:val="00C50C27"/>
    <w:rsid w:val="00C50D14"/>
    <w:rsid w:val="00C50F1B"/>
    <w:rsid w:val="00C50F92"/>
    <w:rsid w:val="00C51094"/>
    <w:rsid w:val="00C512B1"/>
    <w:rsid w:val="00C5143E"/>
    <w:rsid w:val="00C516B5"/>
    <w:rsid w:val="00C519EB"/>
    <w:rsid w:val="00C51D3A"/>
    <w:rsid w:val="00C51D9D"/>
    <w:rsid w:val="00C51F8A"/>
    <w:rsid w:val="00C51FFF"/>
    <w:rsid w:val="00C5216D"/>
    <w:rsid w:val="00C52425"/>
    <w:rsid w:val="00C52463"/>
    <w:rsid w:val="00C5247D"/>
    <w:rsid w:val="00C5266B"/>
    <w:rsid w:val="00C52710"/>
    <w:rsid w:val="00C52756"/>
    <w:rsid w:val="00C527C7"/>
    <w:rsid w:val="00C5298D"/>
    <w:rsid w:val="00C52BD0"/>
    <w:rsid w:val="00C53019"/>
    <w:rsid w:val="00C5309B"/>
    <w:rsid w:val="00C53204"/>
    <w:rsid w:val="00C533B3"/>
    <w:rsid w:val="00C53564"/>
    <w:rsid w:val="00C538C0"/>
    <w:rsid w:val="00C53A71"/>
    <w:rsid w:val="00C53C07"/>
    <w:rsid w:val="00C542C0"/>
    <w:rsid w:val="00C542DB"/>
    <w:rsid w:val="00C5447F"/>
    <w:rsid w:val="00C546C5"/>
    <w:rsid w:val="00C546ED"/>
    <w:rsid w:val="00C548FE"/>
    <w:rsid w:val="00C54ACB"/>
    <w:rsid w:val="00C54E5A"/>
    <w:rsid w:val="00C5514C"/>
    <w:rsid w:val="00C55428"/>
    <w:rsid w:val="00C554A3"/>
    <w:rsid w:val="00C554E8"/>
    <w:rsid w:val="00C556F2"/>
    <w:rsid w:val="00C55762"/>
    <w:rsid w:val="00C5585E"/>
    <w:rsid w:val="00C5586F"/>
    <w:rsid w:val="00C55A04"/>
    <w:rsid w:val="00C55DC9"/>
    <w:rsid w:val="00C560FF"/>
    <w:rsid w:val="00C561E8"/>
    <w:rsid w:val="00C566BB"/>
    <w:rsid w:val="00C566BF"/>
    <w:rsid w:val="00C56837"/>
    <w:rsid w:val="00C56FF0"/>
    <w:rsid w:val="00C5733F"/>
    <w:rsid w:val="00C57492"/>
    <w:rsid w:val="00C576AF"/>
    <w:rsid w:val="00C576CE"/>
    <w:rsid w:val="00C57BC2"/>
    <w:rsid w:val="00C57BFD"/>
    <w:rsid w:val="00C60029"/>
    <w:rsid w:val="00C601D0"/>
    <w:rsid w:val="00C60280"/>
    <w:rsid w:val="00C6034D"/>
    <w:rsid w:val="00C603CF"/>
    <w:rsid w:val="00C60987"/>
    <w:rsid w:val="00C60C01"/>
    <w:rsid w:val="00C60CF1"/>
    <w:rsid w:val="00C60E9D"/>
    <w:rsid w:val="00C6156A"/>
    <w:rsid w:val="00C61851"/>
    <w:rsid w:val="00C618EF"/>
    <w:rsid w:val="00C61B84"/>
    <w:rsid w:val="00C6205F"/>
    <w:rsid w:val="00C622D4"/>
    <w:rsid w:val="00C6241C"/>
    <w:rsid w:val="00C6286D"/>
    <w:rsid w:val="00C628B9"/>
    <w:rsid w:val="00C6292A"/>
    <w:rsid w:val="00C62A3E"/>
    <w:rsid w:val="00C62B25"/>
    <w:rsid w:val="00C62BDD"/>
    <w:rsid w:val="00C62D01"/>
    <w:rsid w:val="00C62D08"/>
    <w:rsid w:val="00C62F24"/>
    <w:rsid w:val="00C62F5E"/>
    <w:rsid w:val="00C63269"/>
    <w:rsid w:val="00C6329B"/>
    <w:rsid w:val="00C6347A"/>
    <w:rsid w:val="00C63575"/>
    <w:rsid w:val="00C6374C"/>
    <w:rsid w:val="00C639D5"/>
    <w:rsid w:val="00C63A67"/>
    <w:rsid w:val="00C63CA5"/>
    <w:rsid w:val="00C63DE2"/>
    <w:rsid w:val="00C6408F"/>
    <w:rsid w:val="00C641DC"/>
    <w:rsid w:val="00C641FF"/>
    <w:rsid w:val="00C642AD"/>
    <w:rsid w:val="00C642F6"/>
    <w:rsid w:val="00C6449C"/>
    <w:rsid w:val="00C647A3"/>
    <w:rsid w:val="00C64C4A"/>
    <w:rsid w:val="00C64DF0"/>
    <w:rsid w:val="00C64EC3"/>
    <w:rsid w:val="00C650ED"/>
    <w:rsid w:val="00C6529A"/>
    <w:rsid w:val="00C65359"/>
    <w:rsid w:val="00C654AA"/>
    <w:rsid w:val="00C6565B"/>
    <w:rsid w:val="00C65A08"/>
    <w:rsid w:val="00C65D37"/>
    <w:rsid w:val="00C65E60"/>
    <w:rsid w:val="00C65E7A"/>
    <w:rsid w:val="00C65FC4"/>
    <w:rsid w:val="00C6610A"/>
    <w:rsid w:val="00C66206"/>
    <w:rsid w:val="00C66306"/>
    <w:rsid w:val="00C663C8"/>
    <w:rsid w:val="00C66598"/>
    <w:rsid w:val="00C66785"/>
    <w:rsid w:val="00C667CB"/>
    <w:rsid w:val="00C669E8"/>
    <w:rsid w:val="00C66CA9"/>
    <w:rsid w:val="00C66DBA"/>
    <w:rsid w:val="00C67348"/>
    <w:rsid w:val="00C6760B"/>
    <w:rsid w:val="00C67A1D"/>
    <w:rsid w:val="00C67B9F"/>
    <w:rsid w:val="00C67DD6"/>
    <w:rsid w:val="00C6DC9F"/>
    <w:rsid w:val="00C7085D"/>
    <w:rsid w:val="00C708AB"/>
    <w:rsid w:val="00C70A78"/>
    <w:rsid w:val="00C70A98"/>
    <w:rsid w:val="00C70C43"/>
    <w:rsid w:val="00C70CFE"/>
    <w:rsid w:val="00C70D13"/>
    <w:rsid w:val="00C71190"/>
    <w:rsid w:val="00C712E0"/>
    <w:rsid w:val="00C716FC"/>
    <w:rsid w:val="00C71700"/>
    <w:rsid w:val="00C71735"/>
    <w:rsid w:val="00C7187D"/>
    <w:rsid w:val="00C71F2A"/>
    <w:rsid w:val="00C71F4F"/>
    <w:rsid w:val="00C7209D"/>
    <w:rsid w:val="00C7233D"/>
    <w:rsid w:val="00C72534"/>
    <w:rsid w:val="00C729B0"/>
    <w:rsid w:val="00C729CD"/>
    <w:rsid w:val="00C72BE9"/>
    <w:rsid w:val="00C72DBC"/>
    <w:rsid w:val="00C7310C"/>
    <w:rsid w:val="00C733DA"/>
    <w:rsid w:val="00C7341F"/>
    <w:rsid w:val="00C73438"/>
    <w:rsid w:val="00C73634"/>
    <w:rsid w:val="00C7384A"/>
    <w:rsid w:val="00C73EAE"/>
    <w:rsid w:val="00C73FB3"/>
    <w:rsid w:val="00C740A3"/>
    <w:rsid w:val="00C740CB"/>
    <w:rsid w:val="00C74142"/>
    <w:rsid w:val="00C743B1"/>
    <w:rsid w:val="00C745EC"/>
    <w:rsid w:val="00C74810"/>
    <w:rsid w:val="00C74A1B"/>
    <w:rsid w:val="00C74E19"/>
    <w:rsid w:val="00C75224"/>
    <w:rsid w:val="00C753F5"/>
    <w:rsid w:val="00C7584F"/>
    <w:rsid w:val="00C758B7"/>
    <w:rsid w:val="00C75987"/>
    <w:rsid w:val="00C75D10"/>
    <w:rsid w:val="00C75FAE"/>
    <w:rsid w:val="00C76136"/>
    <w:rsid w:val="00C7618B"/>
    <w:rsid w:val="00C762E9"/>
    <w:rsid w:val="00C76529"/>
    <w:rsid w:val="00C765E8"/>
    <w:rsid w:val="00C7669C"/>
    <w:rsid w:val="00C7672C"/>
    <w:rsid w:val="00C7673A"/>
    <w:rsid w:val="00C76897"/>
    <w:rsid w:val="00C7695C"/>
    <w:rsid w:val="00C769CB"/>
    <w:rsid w:val="00C76A5A"/>
    <w:rsid w:val="00C76E9A"/>
    <w:rsid w:val="00C76F5C"/>
    <w:rsid w:val="00C77056"/>
    <w:rsid w:val="00C775B4"/>
    <w:rsid w:val="00C775EE"/>
    <w:rsid w:val="00C776B8"/>
    <w:rsid w:val="00C77916"/>
    <w:rsid w:val="00C77999"/>
    <w:rsid w:val="00C77A29"/>
    <w:rsid w:val="00C77D60"/>
    <w:rsid w:val="00C77E25"/>
    <w:rsid w:val="00C80338"/>
    <w:rsid w:val="00C805D1"/>
    <w:rsid w:val="00C809A9"/>
    <w:rsid w:val="00C80B69"/>
    <w:rsid w:val="00C80D93"/>
    <w:rsid w:val="00C810B5"/>
    <w:rsid w:val="00C8114B"/>
    <w:rsid w:val="00C8126F"/>
    <w:rsid w:val="00C81658"/>
    <w:rsid w:val="00C8182B"/>
    <w:rsid w:val="00C8194E"/>
    <w:rsid w:val="00C81A9E"/>
    <w:rsid w:val="00C81AA4"/>
    <w:rsid w:val="00C81B52"/>
    <w:rsid w:val="00C81EBE"/>
    <w:rsid w:val="00C81EC4"/>
    <w:rsid w:val="00C820BE"/>
    <w:rsid w:val="00C82255"/>
    <w:rsid w:val="00C822B5"/>
    <w:rsid w:val="00C824B6"/>
    <w:rsid w:val="00C8295E"/>
    <w:rsid w:val="00C82ADB"/>
    <w:rsid w:val="00C83082"/>
    <w:rsid w:val="00C8309D"/>
    <w:rsid w:val="00C831A8"/>
    <w:rsid w:val="00C831E5"/>
    <w:rsid w:val="00C832AE"/>
    <w:rsid w:val="00C83783"/>
    <w:rsid w:val="00C8383B"/>
    <w:rsid w:val="00C838B4"/>
    <w:rsid w:val="00C83B9F"/>
    <w:rsid w:val="00C83EFC"/>
    <w:rsid w:val="00C83F54"/>
    <w:rsid w:val="00C844FF"/>
    <w:rsid w:val="00C848CF"/>
    <w:rsid w:val="00C8495C"/>
    <w:rsid w:val="00C84B04"/>
    <w:rsid w:val="00C84B11"/>
    <w:rsid w:val="00C84C4C"/>
    <w:rsid w:val="00C85021"/>
    <w:rsid w:val="00C85130"/>
    <w:rsid w:val="00C851A7"/>
    <w:rsid w:val="00C85421"/>
    <w:rsid w:val="00C85569"/>
    <w:rsid w:val="00C856F6"/>
    <w:rsid w:val="00C85A50"/>
    <w:rsid w:val="00C85CAA"/>
    <w:rsid w:val="00C85EFD"/>
    <w:rsid w:val="00C85EFF"/>
    <w:rsid w:val="00C86229"/>
    <w:rsid w:val="00C86528"/>
    <w:rsid w:val="00C866BB"/>
    <w:rsid w:val="00C866E8"/>
    <w:rsid w:val="00C86981"/>
    <w:rsid w:val="00C86C39"/>
    <w:rsid w:val="00C86D91"/>
    <w:rsid w:val="00C874EC"/>
    <w:rsid w:val="00C87B1C"/>
    <w:rsid w:val="00C87E3D"/>
    <w:rsid w:val="00C90406"/>
    <w:rsid w:val="00C905E6"/>
    <w:rsid w:val="00C906D7"/>
    <w:rsid w:val="00C90732"/>
    <w:rsid w:val="00C9079C"/>
    <w:rsid w:val="00C9083B"/>
    <w:rsid w:val="00C90C03"/>
    <w:rsid w:val="00C90C37"/>
    <w:rsid w:val="00C90E7B"/>
    <w:rsid w:val="00C90F83"/>
    <w:rsid w:val="00C910C0"/>
    <w:rsid w:val="00C911F6"/>
    <w:rsid w:val="00C91209"/>
    <w:rsid w:val="00C91530"/>
    <w:rsid w:val="00C91549"/>
    <w:rsid w:val="00C91655"/>
    <w:rsid w:val="00C91FFE"/>
    <w:rsid w:val="00C92353"/>
    <w:rsid w:val="00C929DD"/>
    <w:rsid w:val="00C92AF5"/>
    <w:rsid w:val="00C92F80"/>
    <w:rsid w:val="00C9302C"/>
    <w:rsid w:val="00C931D4"/>
    <w:rsid w:val="00C932A7"/>
    <w:rsid w:val="00C93AAE"/>
    <w:rsid w:val="00C93BA7"/>
    <w:rsid w:val="00C93D45"/>
    <w:rsid w:val="00C93D95"/>
    <w:rsid w:val="00C93F33"/>
    <w:rsid w:val="00C940F8"/>
    <w:rsid w:val="00C94151"/>
    <w:rsid w:val="00C9417E"/>
    <w:rsid w:val="00C94191"/>
    <w:rsid w:val="00C94354"/>
    <w:rsid w:val="00C94415"/>
    <w:rsid w:val="00C94677"/>
    <w:rsid w:val="00C946C3"/>
    <w:rsid w:val="00C947DA"/>
    <w:rsid w:val="00C94A35"/>
    <w:rsid w:val="00C94B4A"/>
    <w:rsid w:val="00C94CF2"/>
    <w:rsid w:val="00C94D7F"/>
    <w:rsid w:val="00C94FA0"/>
    <w:rsid w:val="00C9500F"/>
    <w:rsid w:val="00C95079"/>
    <w:rsid w:val="00C952BB"/>
    <w:rsid w:val="00C9547C"/>
    <w:rsid w:val="00C9554A"/>
    <w:rsid w:val="00C95828"/>
    <w:rsid w:val="00C95A63"/>
    <w:rsid w:val="00C95A78"/>
    <w:rsid w:val="00C95D92"/>
    <w:rsid w:val="00C9621D"/>
    <w:rsid w:val="00C965D5"/>
    <w:rsid w:val="00C9664C"/>
    <w:rsid w:val="00C9668F"/>
    <w:rsid w:val="00C9670E"/>
    <w:rsid w:val="00C96828"/>
    <w:rsid w:val="00C96B43"/>
    <w:rsid w:val="00C96BFC"/>
    <w:rsid w:val="00C96D3C"/>
    <w:rsid w:val="00C97033"/>
    <w:rsid w:val="00C9727C"/>
    <w:rsid w:val="00C9752B"/>
    <w:rsid w:val="00C97833"/>
    <w:rsid w:val="00C97881"/>
    <w:rsid w:val="00C979CA"/>
    <w:rsid w:val="00C979D3"/>
    <w:rsid w:val="00C97C2B"/>
    <w:rsid w:val="00C97CBF"/>
    <w:rsid w:val="00C97D01"/>
    <w:rsid w:val="00C97F69"/>
    <w:rsid w:val="00CA0135"/>
    <w:rsid w:val="00CA0189"/>
    <w:rsid w:val="00CA03AE"/>
    <w:rsid w:val="00CA064D"/>
    <w:rsid w:val="00CA06AD"/>
    <w:rsid w:val="00CA06F7"/>
    <w:rsid w:val="00CA08BC"/>
    <w:rsid w:val="00CA0A3C"/>
    <w:rsid w:val="00CA0D35"/>
    <w:rsid w:val="00CA0D38"/>
    <w:rsid w:val="00CA0DCF"/>
    <w:rsid w:val="00CA103C"/>
    <w:rsid w:val="00CA11A2"/>
    <w:rsid w:val="00CA1248"/>
    <w:rsid w:val="00CA1345"/>
    <w:rsid w:val="00CA14CE"/>
    <w:rsid w:val="00CA14F2"/>
    <w:rsid w:val="00CA1997"/>
    <w:rsid w:val="00CA20A0"/>
    <w:rsid w:val="00CA23B2"/>
    <w:rsid w:val="00CA2512"/>
    <w:rsid w:val="00CA2905"/>
    <w:rsid w:val="00CA2A5C"/>
    <w:rsid w:val="00CA2CA3"/>
    <w:rsid w:val="00CA2E78"/>
    <w:rsid w:val="00CA322E"/>
    <w:rsid w:val="00CA338C"/>
    <w:rsid w:val="00CA35C5"/>
    <w:rsid w:val="00CA35D1"/>
    <w:rsid w:val="00CA368B"/>
    <w:rsid w:val="00CA382E"/>
    <w:rsid w:val="00CA3A30"/>
    <w:rsid w:val="00CA3A6B"/>
    <w:rsid w:val="00CA40D1"/>
    <w:rsid w:val="00CA41BD"/>
    <w:rsid w:val="00CA4270"/>
    <w:rsid w:val="00CA4295"/>
    <w:rsid w:val="00CA4375"/>
    <w:rsid w:val="00CA444F"/>
    <w:rsid w:val="00CA48E3"/>
    <w:rsid w:val="00CA48F2"/>
    <w:rsid w:val="00CA494F"/>
    <w:rsid w:val="00CA4A62"/>
    <w:rsid w:val="00CA4ACB"/>
    <w:rsid w:val="00CA58E6"/>
    <w:rsid w:val="00CA5A72"/>
    <w:rsid w:val="00CA5B51"/>
    <w:rsid w:val="00CA60CB"/>
    <w:rsid w:val="00CA659A"/>
    <w:rsid w:val="00CA67C6"/>
    <w:rsid w:val="00CA685D"/>
    <w:rsid w:val="00CA6881"/>
    <w:rsid w:val="00CA6A74"/>
    <w:rsid w:val="00CA6A7D"/>
    <w:rsid w:val="00CA6B15"/>
    <w:rsid w:val="00CA6B91"/>
    <w:rsid w:val="00CA6BB1"/>
    <w:rsid w:val="00CA6D18"/>
    <w:rsid w:val="00CA6EE6"/>
    <w:rsid w:val="00CA70A9"/>
    <w:rsid w:val="00CA70C8"/>
    <w:rsid w:val="00CA73AE"/>
    <w:rsid w:val="00CA7777"/>
    <w:rsid w:val="00CA78AA"/>
    <w:rsid w:val="00CA7C3F"/>
    <w:rsid w:val="00CA7EDB"/>
    <w:rsid w:val="00CB0067"/>
    <w:rsid w:val="00CB0548"/>
    <w:rsid w:val="00CB07DE"/>
    <w:rsid w:val="00CB08E7"/>
    <w:rsid w:val="00CB0A10"/>
    <w:rsid w:val="00CB0A33"/>
    <w:rsid w:val="00CB0BFD"/>
    <w:rsid w:val="00CB0C3F"/>
    <w:rsid w:val="00CB1343"/>
    <w:rsid w:val="00CB134F"/>
    <w:rsid w:val="00CB15CB"/>
    <w:rsid w:val="00CB1BA3"/>
    <w:rsid w:val="00CB1CA7"/>
    <w:rsid w:val="00CB23A0"/>
    <w:rsid w:val="00CB240E"/>
    <w:rsid w:val="00CB2556"/>
    <w:rsid w:val="00CB261D"/>
    <w:rsid w:val="00CB298B"/>
    <w:rsid w:val="00CB2A91"/>
    <w:rsid w:val="00CB2B27"/>
    <w:rsid w:val="00CB2BDB"/>
    <w:rsid w:val="00CB316F"/>
    <w:rsid w:val="00CB318D"/>
    <w:rsid w:val="00CB32EB"/>
    <w:rsid w:val="00CB3379"/>
    <w:rsid w:val="00CB34A3"/>
    <w:rsid w:val="00CB3598"/>
    <w:rsid w:val="00CB3655"/>
    <w:rsid w:val="00CB376E"/>
    <w:rsid w:val="00CB3F27"/>
    <w:rsid w:val="00CB4090"/>
    <w:rsid w:val="00CB40D7"/>
    <w:rsid w:val="00CB4149"/>
    <w:rsid w:val="00CB41BB"/>
    <w:rsid w:val="00CB41C3"/>
    <w:rsid w:val="00CB4A3C"/>
    <w:rsid w:val="00CB4BFB"/>
    <w:rsid w:val="00CB4DD4"/>
    <w:rsid w:val="00CB4EB2"/>
    <w:rsid w:val="00CB564E"/>
    <w:rsid w:val="00CB5704"/>
    <w:rsid w:val="00CB5924"/>
    <w:rsid w:val="00CB59C6"/>
    <w:rsid w:val="00CB5BBE"/>
    <w:rsid w:val="00CB5DDA"/>
    <w:rsid w:val="00CB61C5"/>
    <w:rsid w:val="00CB6343"/>
    <w:rsid w:val="00CB6682"/>
    <w:rsid w:val="00CB68B6"/>
    <w:rsid w:val="00CB6C89"/>
    <w:rsid w:val="00CB6EED"/>
    <w:rsid w:val="00CB7196"/>
    <w:rsid w:val="00CB71B7"/>
    <w:rsid w:val="00CB7296"/>
    <w:rsid w:val="00CB748F"/>
    <w:rsid w:val="00CB79E8"/>
    <w:rsid w:val="00CB7B06"/>
    <w:rsid w:val="00CB7BE4"/>
    <w:rsid w:val="00CB7C90"/>
    <w:rsid w:val="00CC00AD"/>
    <w:rsid w:val="00CC02D5"/>
    <w:rsid w:val="00CC03E9"/>
    <w:rsid w:val="00CC05A1"/>
    <w:rsid w:val="00CC07CE"/>
    <w:rsid w:val="00CC0A50"/>
    <w:rsid w:val="00CC0ACC"/>
    <w:rsid w:val="00CC0ADD"/>
    <w:rsid w:val="00CC0AE3"/>
    <w:rsid w:val="00CC0B33"/>
    <w:rsid w:val="00CC0CC4"/>
    <w:rsid w:val="00CC0CFF"/>
    <w:rsid w:val="00CC0D25"/>
    <w:rsid w:val="00CC0F81"/>
    <w:rsid w:val="00CC124F"/>
    <w:rsid w:val="00CC1396"/>
    <w:rsid w:val="00CC16D2"/>
    <w:rsid w:val="00CC18F4"/>
    <w:rsid w:val="00CC1919"/>
    <w:rsid w:val="00CC1A0B"/>
    <w:rsid w:val="00CC1B60"/>
    <w:rsid w:val="00CC1E86"/>
    <w:rsid w:val="00CC1F94"/>
    <w:rsid w:val="00CC1FBB"/>
    <w:rsid w:val="00CC2217"/>
    <w:rsid w:val="00CC2551"/>
    <w:rsid w:val="00CC28FD"/>
    <w:rsid w:val="00CC2A5B"/>
    <w:rsid w:val="00CC3180"/>
    <w:rsid w:val="00CC31DE"/>
    <w:rsid w:val="00CC3228"/>
    <w:rsid w:val="00CC32AD"/>
    <w:rsid w:val="00CC33EA"/>
    <w:rsid w:val="00CC3426"/>
    <w:rsid w:val="00CC34FB"/>
    <w:rsid w:val="00CC3777"/>
    <w:rsid w:val="00CC3A11"/>
    <w:rsid w:val="00CC3F63"/>
    <w:rsid w:val="00CC4036"/>
    <w:rsid w:val="00CC40A9"/>
    <w:rsid w:val="00CC47A4"/>
    <w:rsid w:val="00CC4868"/>
    <w:rsid w:val="00CC4B3F"/>
    <w:rsid w:val="00CC4C7B"/>
    <w:rsid w:val="00CC50D5"/>
    <w:rsid w:val="00CC50DE"/>
    <w:rsid w:val="00CC577E"/>
    <w:rsid w:val="00CC5790"/>
    <w:rsid w:val="00CC587F"/>
    <w:rsid w:val="00CC58BC"/>
    <w:rsid w:val="00CC5950"/>
    <w:rsid w:val="00CC5973"/>
    <w:rsid w:val="00CC598F"/>
    <w:rsid w:val="00CC5C71"/>
    <w:rsid w:val="00CC5D9D"/>
    <w:rsid w:val="00CC5DF3"/>
    <w:rsid w:val="00CC62A0"/>
    <w:rsid w:val="00CC6489"/>
    <w:rsid w:val="00CC6509"/>
    <w:rsid w:val="00CC658E"/>
    <w:rsid w:val="00CC68B9"/>
    <w:rsid w:val="00CC6937"/>
    <w:rsid w:val="00CC6A30"/>
    <w:rsid w:val="00CC6B37"/>
    <w:rsid w:val="00CC6BCC"/>
    <w:rsid w:val="00CC6D02"/>
    <w:rsid w:val="00CC6FF9"/>
    <w:rsid w:val="00CC74FF"/>
    <w:rsid w:val="00CC751D"/>
    <w:rsid w:val="00CC7854"/>
    <w:rsid w:val="00CC7AF5"/>
    <w:rsid w:val="00CC7BCC"/>
    <w:rsid w:val="00CC7E1E"/>
    <w:rsid w:val="00CC7E22"/>
    <w:rsid w:val="00CC7EE1"/>
    <w:rsid w:val="00CC7F16"/>
    <w:rsid w:val="00CD0708"/>
    <w:rsid w:val="00CD0C64"/>
    <w:rsid w:val="00CD0DDD"/>
    <w:rsid w:val="00CD1143"/>
    <w:rsid w:val="00CD118D"/>
    <w:rsid w:val="00CD1212"/>
    <w:rsid w:val="00CD12B1"/>
    <w:rsid w:val="00CD12F2"/>
    <w:rsid w:val="00CD147B"/>
    <w:rsid w:val="00CD191C"/>
    <w:rsid w:val="00CD1ABF"/>
    <w:rsid w:val="00CD1B0A"/>
    <w:rsid w:val="00CD1B5B"/>
    <w:rsid w:val="00CD1CA9"/>
    <w:rsid w:val="00CD1E13"/>
    <w:rsid w:val="00CD1F32"/>
    <w:rsid w:val="00CD2468"/>
    <w:rsid w:val="00CD246B"/>
    <w:rsid w:val="00CD2796"/>
    <w:rsid w:val="00CD32A0"/>
    <w:rsid w:val="00CD334C"/>
    <w:rsid w:val="00CD34E5"/>
    <w:rsid w:val="00CD3682"/>
    <w:rsid w:val="00CD3BD4"/>
    <w:rsid w:val="00CD407B"/>
    <w:rsid w:val="00CD41C6"/>
    <w:rsid w:val="00CD4411"/>
    <w:rsid w:val="00CD44AE"/>
    <w:rsid w:val="00CD44C3"/>
    <w:rsid w:val="00CD45D0"/>
    <w:rsid w:val="00CD4689"/>
    <w:rsid w:val="00CD4AC1"/>
    <w:rsid w:val="00CD50AD"/>
    <w:rsid w:val="00CD50C3"/>
    <w:rsid w:val="00CD5276"/>
    <w:rsid w:val="00CD54C9"/>
    <w:rsid w:val="00CD5605"/>
    <w:rsid w:val="00CD561B"/>
    <w:rsid w:val="00CD57CC"/>
    <w:rsid w:val="00CD580E"/>
    <w:rsid w:val="00CD5C00"/>
    <w:rsid w:val="00CD5DF5"/>
    <w:rsid w:val="00CD5FF9"/>
    <w:rsid w:val="00CD6216"/>
    <w:rsid w:val="00CD642B"/>
    <w:rsid w:val="00CD65B1"/>
    <w:rsid w:val="00CD6FEB"/>
    <w:rsid w:val="00CD718E"/>
    <w:rsid w:val="00CD7CC4"/>
    <w:rsid w:val="00CD7CDB"/>
    <w:rsid w:val="00CE0466"/>
    <w:rsid w:val="00CE06FE"/>
    <w:rsid w:val="00CE081D"/>
    <w:rsid w:val="00CE0B08"/>
    <w:rsid w:val="00CE0BD2"/>
    <w:rsid w:val="00CE0E95"/>
    <w:rsid w:val="00CE0EA4"/>
    <w:rsid w:val="00CE0EB3"/>
    <w:rsid w:val="00CE0F15"/>
    <w:rsid w:val="00CE0F81"/>
    <w:rsid w:val="00CE1546"/>
    <w:rsid w:val="00CE1683"/>
    <w:rsid w:val="00CE1923"/>
    <w:rsid w:val="00CE1A24"/>
    <w:rsid w:val="00CE1BBB"/>
    <w:rsid w:val="00CE1DB9"/>
    <w:rsid w:val="00CE20B3"/>
    <w:rsid w:val="00CE219C"/>
    <w:rsid w:val="00CE224B"/>
    <w:rsid w:val="00CE255F"/>
    <w:rsid w:val="00CE270A"/>
    <w:rsid w:val="00CE2760"/>
    <w:rsid w:val="00CE293E"/>
    <w:rsid w:val="00CE2BE2"/>
    <w:rsid w:val="00CE32E4"/>
    <w:rsid w:val="00CE3567"/>
    <w:rsid w:val="00CE35BE"/>
    <w:rsid w:val="00CE38A4"/>
    <w:rsid w:val="00CE38BA"/>
    <w:rsid w:val="00CE3F1D"/>
    <w:rsid w:val="00CE410D"/>
    <w:rsid w:val="00CE4170"/>
    <w:rsid w:val="00CE42F1"/>
    <w:rsid w:val="00CE46FD"/>
    <w:rsid w:val="00CE4C35"/>
    <w:rsid w:val="00CE4F5F"/>
    <w:rsid w:val="00CE534C"/>
    <w:rsid w:val="00CE5452"/>
    <w:rsid w:val="00CE560D"/>
    <w:rsid w:val="00CE56C2"/>
    <w:rsid w:val="00CE585D"/>
    <w:rsid w:val="00CE5AB6"/>
    <w:rsid w:val="00CE5B10"/>
    <w:rsid w:val="00CE5B66"/>
    <w:rsid w:val="00CE5BA9"/>
    <w:rsid w:val="00CE5C7B"/>
    <w:rsid w:val="00CE5FD9"/>
    <w:rsid w:val="00CE601B"/>
    <w:rsid w:val="00CE65E4"/>
    <w:rsid w:val="00CE666B"/>
    <w:rsid w:val="00CE68EF"/>
    <w:rsid w:val="00CE69A9"/>
    <w:rsid w:val="00CE6CBE"/>
    <w:rsid w:val="00CE7182"/>
    <w:rsid w:val="00CE739C"/>
    <w:rsid w:val="00CE7544"/>
    <w:rsid w:val="00CE75F1"/>
    <w:rsid w:val="00CE7E5C"/>
    <w:rsid w:val="00CF016C"/>
    <w:rsid w:val="00CF0326"/>
    <w:rsid w:val="00CF0375"/>
    <w:rsid w:val="00CF03D5"/>
    <w:rsid w:val="00CF07FE"/>
    <w:rsid w:val="00CF0A74"/>
    <w:rsid w:val="00CF0BC8"/>
    <w:rsid w:val="00CF0E0D"/>
    <w:rsid w:val="00CF1633"/>
    <w:rsid w:val="00CF175F"/>
    <w:rsid w:val="00CF1797"/>
    <w:rsid w:val="00CF1832"/>
    <w:rsid w:val="00CF1D8A"/>
    <w:rsid w:val="00CF1F81"/>
    <w:rsid w:val="00CF207A"/>
    <w:rsid w:val="00CF21AA"/>
    <w:rsid w:val="00CF22BB"/>
    <w:rsid w:val="00CF2373"/>
    <w:rsid w:val="00CF269C"/>
    <w:rsid w:val="00CF2C71"/>
    <w:rsid w:val="00CF2CCD"/>
    <w:rsid w:val="00CF2F21"/>
    <w:rsid w:val="00CF3021"/>
    <w:rsid w:val="00CF30DB"/>
    <w:rsid w:val="00CF3615"/>
    <w:rsid w:val="00CF36F6"/>
    <w:rsid w:val="00CF373D"/>
    <w:rsid w:val="00CF37E9"/>
    <w:rsid w:val="00CF3BF5"/>
    <w:rsid w:val="00CF3CED"/>
    <w:rsid w:val="00CF3E8D"/>
    <w:rsid w:val="00CF4321"/>
    <w:rsid w:val="00CF4339"/>
    <w:rsid w:val="00CF4505"/>
    <w:rsid w:val="00CF4A22"/>
    <w:rsid w:val="00CF4F38"/>
    <w:rsid w:val="00CF4F6F"/>
    <w:rsid w:val="00CF519F"/>
    <w:rsid w:val="00CF5547"/>
    <w:rsid w:val="00CF5AC5"/>
    <w:rsid w:val="00CF5BF7"/>
    <w:rsid w:val="00CF5CE2"/>
    <w:rsid w:val="00CF5D39"/>
    <w:rsid w:val="00CF5EB1"/>
    <w:rsid w:val="00CF5FB6"/>
    <w:rsid w:val="00CF62BF"/>
    <w:rsid w:val="00CF633F"/>
    <w:rsid w:val="00CF6370"/>
    <w:rsid w:val="00CF658B"/>
    <w:rsid w:val="00CF65B6"/>
    <w:rsid w:val="00CF6746"/>
    <w:rsid w:val="00CF6E16"/>
    <w:rsid w:val="00CF72C3"/>
    <w:rsid w:val="00CF74D2"/>
    <w:rsid w:val="00CF7597"/>
    <w:rsid w:val="00D00168"/>
    <w:rsid w:val="00D007A4"/>
    <w:rsid w:val="00D007BA"/>
    <w:rsid w:val="00D008D6"/>
    <w:rsid w:val="00D0094C"/>
    <w:rsid w:val="00D00CAD"/>
    <w:rsid w:val="00D00FCA"/>
    <w:rsid w:val="00D01839"/>
    <w:rsid w:val="00D019FB"/>
    <w:rsid w:val="00D01B61"/>
    <w:rsid w:val="00D01B68"/>
    <w:rsid w:val="00D01CEC"/>
    <w:rsid w:val="00D01E3D"/>
    <w:rsid w:val="00D01F34"/>
    <w:rsid w:val="00D02064"/>
    <w:rsid w:val="00D02380"/>
    <w:rsid w:val="00D026E0"/>
    <w:rsid w:val="00D02F23"/>
    <w:rsid w:val="00D03171"/>
    <w:rsid w:val="00D03279"/>
    <w:rsid w:val="00D03353"/>
    <w:rsid w:val="00D033B6"/>
    <w:rsid w:val="00D033FF"/>
    <w:rsid w:val="00D03543"/>
    <w:rsid w:val="00D03902"/>
    <w:rsid w:val="00D03CE9"/>
    <w:rsid w:val="00D03E76"/>
    <w:rsid w:val="00D03EB4"/>
    <w:rsid w:val="00D040DB"/>
    <w:rsid w:val="00D043E9"/>
    <w:rsid w:val="00D046F8"/>
    <w:rsid w:val="00D04722"/>
    <w:rsid w:val="00D04846"/>
    <w:rsid w:val="00D0488B"/>
    <w:rsid w:val="00D04C3A"/>
    <w:rsid w:val="00D04FD1"/>
    <w:rsid w:val="00D0520C"/>
    <w:rsid w:val="00D05276"/>
    <w:rsid w:val="00D0542F"/>
    <w:rsid w:val="00D05583"/>
    <w:rsid w:val="00D059E3"/>
    <w:rsid w:val="00D05A75"/>
    <w:rsid w:val="00D05ADB"/>
    <w:rsid w:val="00D05E20"/>
    <w:rsid w:val="00D061A6"/>
    <w:rsid w:val="00D062E0"/>
    <w:rsid w:val="00D0691B"/>
    <w:rsid w:val="00D06943"/>
    <w:rsid w:val="00D06C5F"/>
    <w:rsid w:val="00D06D03"/>
    <w:rsid w:val="00D0709F"/>
    <w:rsid w:val="00D071FC"/>
    <w:rsid w:val="00D07471"/>
    <w:rsid w:val="00D07573"/>
    <w:rsid w:val="00D07F35"/>
    <w:rsid w:val="00D1004F"/>
    <w:rsid w:val="00D10123"/>
    <w:rsid w:val="00D10328"/>
    <w:rsid w:val="00D10341"/>
    <w:rsid w:val="00D1040E"/>
    <w:rsid w:val="00D1057B"/>
    <w:rsid w:val="00D10844"/>
    <w:rsid w:val="00D110E9"/>
    <w:rsid w:val="00D11125"/>
    <w:rsid w:val="00D11522"/>
    <w:rsid w:val="00D1161C"/>
    <w:rsid w:val="00D1168E"/>
    <w:rsid w:val="00D1170D"/>
    <w:rsid w:val="00D1172F"/>
    <w:rsid w:val="00D1184C"/>
    <w:rsid w:val="00D119ED"/>
    <w:rsid w:val="00D11B51"/>
    <w:rsid w:val="00D11C42"/>
    <w:rsid w:val="00D11E62"/>
    <w:rsid w:val="00D11E80"/>
    <w:rsid w:val="00D11EC0"/>
    <w:rsid w:val="00D122AD"/>
    <w:rsid w:val="00D122C9"/>
    <w:rsid w:val="00D123F9"/>
    <w:rsid w:val="00D1302A"/>
    <w:rsid w:val="00D1325B"/>
    <w:rsid w:val="00D132F4"/>
    <w:rsid w:val="00D1337E"/>
    <w:rsid w:val="00D13648"/>
    <w:rsid w:val="00D136A6"/>
    <w:rsid w:val="00D1383C"/>
    <w:rsid w:val="00D13946"/>
    <w:rsid w:val="00D139D2"/>
    <w:rsid w:val="00D13A5A"/>
    <w:rsid w:val="00D13B41"/>
    <w:rsid w:val="00D13B66"/>
    <w:rsid w:val="00D13BFE"/>
    <w:rsid w:val="00D13C3C"/>
    <w:rsid w:val="00D14081"/>
    <w:rsid w:val="00D1457B"/>
    <w:rsid w:val="00D148C2"/>
    <w:rsid w:val="00D14920"/>
    <w:rsid w:val="00D1497D"/>
    <w:rsid w:val="00D14A74"/>
    <w:rsid w:val="00D14DD9"/>
    <w:rsid w:val="00D14DEB"/>
    <w:rsid w:val="00D14FD4"/>
    <w:rsid w:val="00D14FFF"/>
    <w:rsid w:val="00D150D9"/>
    <w:rsid w:val="00D150DC"/>
    <w:rsid w:val="00D1510C"/>
    <w:rsid w:val="00D15176"/>
    <w:rsid w:val="00D151CF"/>
    <w:rsid w:val="00D15354"/>
    <w:rsid w:val="00D15714"/>
    <w:rsid w:val="00D15793"/>
    <w:rsid w:val="00D15A70"/>
    <w:rsid w:val="00D15AEF"/>
    <w:rsid w:val="00D15B92"/>
    <w:rsid w:val="00D15C02"/>
    <w:rsid w:val="00D15D9A"/>
    <w:rsid w:val="00D15F07"/>
    <w:rsid w:val="00D15F58"/>
    <w:rsid w:val="00D16077"/>
    <w:rsid w:val="00D161F0"/>
    <w:rsid w:val="00D168F6"/>
    <w:rsid w:val="00D169F5"/>
    <w:rsid w:val="00D16D72"/>
    <w:rsid w:val="00D16EAE"/>
    <w:rsid w:val="00D170EA"/>
    <w:rsid w:val="00D171AA"/>
    <w:rsid w:val="00D172A3"/>
    <w:rsid w:val="00D1767A"/>
    <w:rsid w:val="00D17B42"/>
    <w:rsid w:val="00D17B49"/>
    <w:rsid w:val="00D17D3B"/>
    <w:rsid w:val="00D2029C"/>
    <w:rsid w:val="00D203BC"/>
    <w:rsid w:val="00D203EC"/>
    <w:rsid w:val="00D2040C"/>
    <w:rsid w:val="00D20494"/>
    <w:rsid w:val="00D20593"/>
    <w:rsid w:val="00D20A1E"/>
    <w:rsid w:val="00D20B8A"/>
    <w:rsid w:val="00D20F05"/>
    <w:rsid w:val="00D20F16"/>
    <w:rsid w:val="00D2123D"/>
    <w:rsid w:val="00D21679"/>
    <w:rsid w:val="00D2171C"/>
    <w:rsid w:val="00D21974"/>
    <w:rsid w:val="00D2197F"/>
    <w:rsid w:val="00D21AAF"/>
    <w:rsid w:val="00D21F61"/>
    <w:rsid w:val="00D222DD"/>
    <w:rsid w:val="00D224F3"/>
    <w:rsid w:val="00D226C1"/>
    <w:rsid w:val="00D22922"/>
    <w:rsid w:val="00D22BB9"/>
    <w:rsid w:val="00D22D3F"/>
    <w:rsid w:val="00D22E36"/>
    <w:rsid w:val="00D22EF1"/>
    <w:rsid w:val="00D234BA"/>
    <w:rsid w:val="00D2362B"/>
    <w:rsid w:val="00D23839"/>
    <w:rsid w:val="00D23A48"/>
    <w:rsid w:val="00D23E11"/>
    <w:rsid w:val="00D2422F"/>
    <w:rsid w:val="00D2437E"/>
    <w:rsid w:val="00D2459C"/>
    <w:rsid w:val="00D247D1"/>
    <w:rsid w:val="00D24850"/>
    <w:rsid w:val="00D2495C"/>
    <w:rsid w:val="00D24BE0"/>
    <w:rsid w:val="00D24E11"/>
    <w:rsid w:val="00D24FAD"/>
    <w:rsid w:val="00D25236"/>
    <w:rsid w:val="00D25282"/>
    <w:rsid w:val="00D25720"/>
    <w:rsid w:val="00D25B28"/>
    <w:rsid w:val="00D25F9E"/>
    <w:rsid w:val="00D26142"/>
    <w:rsid w:val="00D2627C"/>
    <w:rsid w:val="00D26307"/>
    <w:rsid w:val="00D26351"/>
    <w:rsid w:val="00D264D1"/>
    <w:rsid w:val="00D26596"/>
    <w:rsid w:val="00D26783"/>
    <w:rsid w:val="00D26824"/>
    <w:rsid w:val="00D268B0"/>
    <w:rsid w:val="00D26C24"/>
    <w:rsid w:val="00D26DD1"/>
    <w:rsid w:val="00D26E13"/>
    <w:rsid w:val="00D27045"/>
    <w:rsid w:val="00D2760A"/>
    <w:rsid w:val="00D278D5"/>
    <w:rsid w:val="00D278DB"/>
    <w:rsid w:val="00D27995"/>
    <w:rsid w:val="00D27D1E"/>
    <w:rsid w:val="00D30163"/>
    <w:rsid w:val="00D30307"/>
    <w:rsid w:val="00D30347"/>
    <w:rsid w:val="00D305FE"/>
    <w:rsid w:val="00D30623"/>
    <w:rsid w:val="00D30892"/>
    <w:rsid w:val="00D309FE"/>
    <w:rsid w:val="00D30B23"/>
    <w:rsid w:val="00D30C66"/>
    <w:rsid w:val="00D30F76"/>
    <w:rsid w:val="00D3193B"/>
    <w:rsid w:val="00D31D55"/>
    <w:rsid w:val="00D31F40"/>
    <w:rsid w:val="00D32087"/>
    <w:rsid w:val="00D3242A"/>
    <w:rsid w:val="00D327B8"/>
    <w:rsid w:val="00D32AF9"/>
    <w:rsid w:val="00D32BE7"/>
    <w:rsid w:val="00D32F11"/>
    <w:rsid w:val="00D33049"/>
    <w:rsid w:val="00D330AB"/>
    <w:rsid w:val="00D332E4"/>
    <w:rsid w:val="00D33349"/>
    <w:rsid w:val="00D33502"/>
    <w:rsid w:val="00D33520"/>
    <w:rsid w:val="00D3359E"/>
    <w:rsid w:val="00D3373C"/>
    <w:rsid w:val="00D3386A"/>
    <w:rsid w:val="00D33D4D"/>
    <w:rsid w:val="00D33E77"/>
    <w:rsid w:val="00D34146"/>
    <w:rsid w:val="00D3431C"/>
    <w:rsid w:val="00D3449D"/>
    <w:rsid w:val="00D34561"/>
    <w:rsid w:val="00D34575"/>
    <w:rsid w:val="00D34615"/>
    <w:rsid w:val="00D34648"/>
    <w:rsid w:val="00D346CA"/>
    <w:rsid w:val="00D34794"/>
    <w:rsid w:val="00D348EF"/>
    <w:rsid w:val="00D3495E"/>
    <w:rsid w:val="00D34EB9"/>
    <w:rsid w:val="00D3532D"/>
    <w:rsid w:val="00D3541C"/>
    <w:rsid w:val="00D35548"/>
    <w:rsid w:val="00D35906"/>
    <w:rsid w:val="00D3596A"/>
    <w:rsid w:val="00D35B52"/>
    <w:rsid w:val="00D35DA4"/>
    <w:rsid w:val="00D3606D"/>
    <w:rsid w:val="00D36080"/>
    <w:rsid w:val="00D36165"/>
    <w:rsid w:val="00D362EF"/>
    <w:rsid w:val="00D36599"/>
    <w:rsid w:val="00D3680F"/>
    <w:rsid w:val="00D36B08"/>
    <w:rsid w:val="00D36BF8"/>
    <w:rsid w:val="00D36C14"/>
    <w:rsid w:val="00D36EC1"/>
    <w:rsid w:val="00D36FDB"/>
    <w:rsid w:val="00D3704A"/>
    <w:rsid w:val="00D37105"/>
    <w:rsid w:val="00D371DE"/>
    <w:rsid w:val="00D3728C"/>
    <w:rsid w:val="00D37425"/>
    <w:rsid w:val="00D37481"/>
    <w:rsid w:val="00D37A56"/>
    <w:rsid w:val="00D37C99"/>
    <w:rsid w:val="00D37CF2"/>
    <w:rsid w:val="00D37D3E"/>
    <w:rsid w:val="00D40034"/>
    <w:rsid w:val="00D401F2"/>
    <w:rsid w:val="00D40265"/>
    <w:rsid w:val="00D4047D"/>
    <w:rsid w:val="00D4060E"/>
    <w:rsid w:val="00D40677"/>
    <w:rsid w:val="00D40714"/>
    <w:rsid w:val="00D40770"/>
    <w:rsid w:val="00D40C2F"/>
    <w:rsid w:val="00D40CAB"/>
    <w:rsid w:val="00D40D68"/>
    <w:rsid w:val="00D40FA4"/>
    <w:rsid w:val="00D41009"/>
    <w:rsid w:val="00D41017"/>
    <w:rsid w:val="00D416C3"/>
    <w:rsid w:val="00D41732"/>
    <w:rsid w:val="00D417AF"/>
    <w:rsid w:val="00D419E7"/>
    <w:rsid w:val="00D41DA0"/>
    <w:rsid w:val="00D41E64"/>
    <w:rsid w:val="00D41F37"/>
    <w:rsid w:val="00D421EF"/>
    <w:rsid w:val="00D42313"/>
    <w:rsid w:val="00D4242E"/>
    <w:rsid w:val="00D42449"/>
    <w:rsid w:val="00D42532"/>
    <w:rsid w:val="00D42790"/>
    <w:rsid w:val="00D42EFF"/>
    <w:rsid w:val="00D433A0"/>
    <w:rsid w:val="00D43686"/>
    <w:rsid w:val="00D43A8C"/>
    <w:rsid w:val="00D44022"/>
    <w:rsid w:val="00D44044"/>
    <w:rsid w:val="00D440D6"/>
    <w:rsid w:val="00D44770"/>
    <w:rsid w:val="00D44D7C"/>
    <w:rsid w:val="00D451BA"/>
    <w:rsid w:val="00D45271"/>
    <w:rsid w:val="00D45287"/>
    <w:rsid w:val="00D4540C"/>
    <w:rsid w:val="00D456FA"/>
    <w:rsid w:val="00D45793"/>
    <w:rsid w:val="00D45A6D"/>
    <w:rsid w:val="00D45EF5"/>
    <w:rsid w:val="00D45FD6"/>
    <w:rsid w:val="00D460CD"/>
    <w:rsid w:val="00D4620C"/>
    <w:rsid w:val="00D46668"/>
    <w:rsid w:val="00D4680C"/>
    <w:rsid w:val="00D46982"/>
    <w:rsid w:val="00D469CC"/>
    <w:rsid w:val="00D46B43"/>
    <w:rsid w:val="00D47288"/>
    <w:rsid w:val="00D4744A"/>
    <w:rsid w:val="00D4778B"/>
    <w:rsid w:val="00D477AE"/>
    <w:rsid w:val="00D477F8"/>
    <w:rsid w:val="00D47A3B"/>
    <w:rsid w:val="00D47BF7"/>
    <w:rsid w:val="00D47BFA"/>
    <w:rsid w:val="00D47CA3"/>
    <w:rsid w:val="00D47CEB"/>
    <w:rsid w:val="00D4AC94"/>
    <w:rsid w:val="00D502B0"/>
    <w:rsid w:val="00D5064F"/>
    <w:rsid w:val="00D508B9"/>
    <w:rsid w:val="00D50A3E"/>
    <w:rsid w:val="00D50E57"/>
    <w:rsid w:val="00D510A4"/>
    <w:rsid w:val="00D510F5"/>
    <w:rsid w:val="00D5115A"/>
    <w:rsid w:val="00D51328"/>
    <w:rsid w:val="00D513EB"/>
    <w:rsid w:val="00D513F3"/>
    <w:rsid w:val="00D51439"/>
    <w:rsid w:val="00D51878"/>
    <w:rsid w:val="00D51B32"/>
    <w:rsid w:val="00D51CD4"/>
    <w:rsid w:val="00D51DE8"/>
    <w:rsid w:val="00D5204D"/>
    <w:rsid w:val="00D528FB"/>
    <w:rsid w:val="00D52BA0"/>
    <w:rsid w:val="00D52D9E"/>
    <w:rsid w:val="00D53140"/>
    <w:rsid w:val="00D533BE"/>
    <w:rsid w:val="00D5372A"/>
    <w:rsid w:val="00D53816"/>
    <w:rsid w:val="00D5382B"/>
    <w:rsid w:val="00D53906"/>
    <w:rsid w:val="00D539BA"/>
    <w:rsid w:val="00D53C3B"/>
    <w:rsid w:val="00D54038"/>
    <w:rsid w:val="00D540AB"/>
    <w:rsid w:val="00D54429"/>
    <w:rsid w:val="00D544C1"/>
    <w:rsid w:val="00D54773"/>
    <w:rsid w:val="00D54A39"/>
    <w:rsid w:val="00D54C2B"/>
    <w:rsid w:val="00D54CAF"/>
    <w:rsid w:val="00D54DFC"/>
    <w:rsid w:val="00D55065"/>
    <w:rsid w:val="00D55158"/>
    <w:rsid w:val="00D5521A"/>
    <w:rsid w:val="00D55334"/>
    <w:rsid w:val="00D55495"/>
    <w:rsid w:val="00D554CE"/>
    <w:rsid w:val="00D55541"/>
    <w:rsid w:val="00D5560E"/>
    <w:rsid w:val="00D5582C"/>
    <w:rsid w:val="00D5591F"/>
    <w:rsid w:val="00D55B40"/>
    <w:rsid w:val="00D55CC2"/>
    <w:rsid w:val="00D55F79"/>
    <w:rsid w:val="00D5606D"/>
    <w:rsid w:val="00D56298"/>
    <w:rsid w:val="00D565F3"/>
    <w:rsid w:val="00D5678B"/>
    <w:rsid w:val="00D56983"/>
    <w:rsid w:val="00D56DF7"/>
    <w:rsid w:val="00D56EB7"/>
    <w:rsid w:val="00D570CD"/>
    <w:rsid w:val="00D5716C"/>
    <w:rsid w:val="00D5749B"/>
    <w:rsid w:val="00D5751E"/>
    <w:rsid w:val="00D57975"/>
    <w:rsid w:val="00D57BA6"/>
    <w:rsid w:val="00D57C1B"/>
    <w:rsid w:val="00D57C24"/>
    <w:rsid w:val="00D57D82"/>
    <w:rsid w:val="00D604EF"/>
    <w:rsid w:val="00D605DA"/>
    <w:rsid w:val="00D60733"/>
    <w:rsid w:val="00D6091E"/>
    <w:rsid w:val="00D60F47"/>
    <w:rsid w:val="00D61068"/>
    <w:rsid w:val="00D6119A"/>
    <w:rsid w:val="00D611D0"/>
    <w:rsid w:val="00D6181E"/>
    <w:rsid w:val="00D61A9A"/>
    <w:rsid w:val="00D61BE4"/>
    <w:rsid w:val="00D61E72"/>
    <w:rsid w:val="00D6215A"/>
    <w:rsid w:val="00D62241"/>
    <w:rsid w:val="00D6258B"/>
    <w:rsid w:val="00D627DF"/>
    <w:rsid w:val="00D62BE5"/>
    <w:rsid w:val="00D63225"/>
    <w:rsid w:val="00D63306"/>
    <w:rsid w:val="00D63332"/>
    <w:rsid w:val="00D63348"/>
    <w:rsid w:val="00D63365"/>
    <w:rsid w:val="00D63377"/>
    <w:rsid w:val="00D635A8"/>
    <w:rsid w:val="00D63650"/>
    <w:rsid w:val="00D636AF"/>
    <w:rsid w:val="00D6382B"/>
    <w:rsid w:val="00D6389A"/>
    <w:rsid w:val="00D63EEB"/>
    <w:rsid w:val="00D64329"/>
    <w:rsid w:val="00D64376"/>
    <w:rsid w:val="00D643AC"/>
    <w:rsid w:val="00D64C30"/>
    <w:rsid w:val="00D64E46"/>
    <w:rsid w:val="00D64FA5"/>
    <w:rsid w:val="00D653EE"/>
    <w:rsid w:val="00D65B17"/>
    <w:rsid w:val="00D65B92"/>
    <w:rsid w:val="00D65CEE"/>
    <w:rsid w:val="00D65D93"/>
    <w:rsid w:val="00D65E94"/>
    <w:rsid w:val="00D666B1"/>
    <w:rsid w:val="00D6670A"/>
    <w:rsid w:val="00D6713C"/>
    <w:rsid w:val="00D67267"/>
    <w:rsid w:val="00D6788D"/>
    <w:rsid w:val="00D67A04"/>
    <w:rsid w:val="00D67CA5"/>
    <w:rsid w:val="00D70114"/>
    <w:rsid w:val="00D701F3"/>
    <w:rsid w:val="00D70239"/>
    <w:rsid w:val="00D702CE"/>
    <w:rsid w:val="00D709C7"/>
    <w:rsid w:val="00D70A64"/>
    <w:rsid w:val="00D70C0A"/>
    <w:rsid w:val="00D70CBF"/>
    <w:rsid w:val="00D7125C"/>
    <w:rsid w:val="00D713F7"/>
    <w:rsid w:val="00D714A7"/>
    <w:rsid w:val="00D7151A"/>
    <w:rsid w:val="00D71575"/>
    <w:rsid w:val="00D7172C"/>
    <w:rsid w:val="00D717DB"/>
    <w:rsid w:val="00D71A06"/>
    <w:rsid w:val="00D71BF9"/>
    <w:rsid w:val="00D71E7E"/>
    <w:rsid w:val="00D71F6D"/>
    <w:rsid w:val="00D71FFA"/>
    <w:rsid w:val="00D72225"/>
    <w:rsid w:val="00D7234A"/>
    <w:rsid w:val="00D72589"/>
    <w:rsid w:val="00D726A2"/>
    <w:rsid w:val="00D72925"/>
    <w:rsid w:val="00D72CA9"/>
    <w:rsid w:val="00D72D37"/>
    <w:rsid w:val="00D72D39"/>
    <w:rsid w:val="00D73A80"/>
    <w:rsid w:val="00D73C4A"/>
    <w:rsid w:val="00D73CF3"/>
    <w:rsid w:val="00D73E72"/>
    <w:rsid w:val="00D73EF9"/>
    <w:rsid w:val="00D73F2B"/>
    <w:rsid w:val="00D74383"/>
    <w:rsid w:val="00D74395"/>
    <w:rsid w:val="00D747A9"/>
    <w:rsid w:val="00D748AA"/>
    <w:rsid w:val="00D74A41"/>
    <w:rsid w:val="00D74A99"/>
    <w:rsid w:val="00D74BBF"/>
    <w:rsid w:val="00D74D21"/>
    <w:rsid w:val="00D75003"/>
    <w:rsid w:val="00D750CD"/>
    <w:rsid w:val="00D751B9"/>
    <w:rsid w:val="00D75283"/>
    <w:rsid w:val="00D75429"/>
    <w:rsid w:val="00D75528"/>
    <w:rsid w:val="00D75599"/>
    <w:rsid w:val="00D755BB"/>
    <w:rsid w:val="00D75644"/>
    <w:rsid w:val="00D756AD"/>
    <w:rsid w:val="00D756C5"/>
    <w:rsid w:val="00D75C22"/>
    <w:rsid w:val="00D75CB6"/>
    <w:rsid w:val="00D75DCC"/>
    <w:rsid w:val="00D75E87"/>
    <w:rsid w:val="00D75F08"/>
    <w:rsid w:val="00D7600C"/>
    <w:rsid w:val="00D7607E"/>
    <w:rsid w:val="00D76404"/>
    <w:rsid w:val="00D76823"/>
    <w:rsid w:val="00D76D76"/>
    <w:rsid w:val="00D76F58"/>
    <w:rsid w:val="00D772EC"/>
    <w:rsid w:val="00D77643"/>
    <w:rsid w:val="00D7783B"/>
    <w:rsid w:val="00D77BBE"/>
    <w:rsid w:val="00D77D28"/>
    <w:rsid w:val="00D77E42"/>
    <w:rsid w:val="00D77F1B"/>
    <w:rsid w:val="00D804C5"/>
    <w:rsid w:val="00D80786"/>
    <w:rsid w:val="00D80AE7"/>
    <w:rsid w:val="00D80B5D"/>
    <w:rsid w:val="00D80F38"/>
    <w:rsid w:val="00D80F73"/>
    <w:rsid w:val="00D818B0"/>
    <w:rsid w:val="00D81BF8"/>
    <w:rsid w:val="00D81C3A"/>
    <w:rsid w:val="00D81DAA"/>
    <w:rsid w:val="00D81FFC"/>
    <w:rsid w:val="00D8237E"/>
    <w:rsid w:val="00D8254B"/>
    <w:rsid w:val="00D826FE"/>
    <w:rsid w:val="00D82CCE"/>
    <w:rsid w:val="00D82E3C"/>
    <w:rsid w:val="00D83226"/>
    <w:rsid w:val="00D8334E"/>
    <w:rsid w:val="00D83537"/>
    <w:rsid w:val="00D83635"/>
    <w:rsid w:val="00D836BF"/>
    <w:rsid w:val="00D8373A"/>
    <w:rsid w:val="00D83B1D"/>
    <w:rsid w:val="00D83B56"/>
    <w:rsid w:val="00D83C0B"/>
    <w:rsid w:val="00D83CC7"/>
    <w:rsid w:val="00D8418B"/>
    <w:rsid w:val="00D841D5"/>
    <w:rsid w:val="00D844AB"/>
    <w:rsid w:val="00D844D3"/>
    <w:rsid w:val="00D84542"/>
    <w:rsid w:val="00D84AC4"/>
    <w:rsid w:val="00D85098"/>
    <w:rsid w:val="00D85505"/>
    <w:rsid w:val="00D85550"/>
    <w:rsid w:val="00D85791"/>
    <w:rsid w:val="00D8583F"/>
    <w:rsid w:val="00D85F06"/>
    <w:rsid w:val="00D86083"/>
    <w:rsid w:val="00D863A4"/>
    <w:rsid w:val="00D86496"/>
    <w:rsid w:val="00D86628"/>
    <w:rsid w:val="00D86808"/>
    <w:rsid w:val="00D8685A"/>
    <w:rsid w:val="00D86876"/>
    <w:rsid w:val="00D86C20"/>
    <w:rsid w:val="00D86C3D"/>
    <w:rsid w:val="00D8705B"/>
    <w:rsid w:val="00D8705D"/>
    <w:rsid w:val="00D87292"/>
    <w:rsid w:val="00D87B61"/>
    <w:rsid w:val="00D87BD2"/>
    <w:rsid w:val="00D87C87"/>
    <w:rsid w:val="00D87F38"/>
    <w:rsid w:val="00D87FBB"/>
    <w:rsid w:val="00D9001E"/>
    <w:rsid w:val="00D903A5"/>
    <w:rsid w:val="00D9071E"/>
    <w:rsid w:val="00D91084"/>
    <w:rsid w:val="00D9118D"/>
    <w:rsid w:val="00D91518"/>
    <w:rsid w:val="00D9156E"/>
    <w:rsid w:val="00D9170F"/>
    <w:rsid w:val="00D91727"/>
    <w:rsid w:val="00D91B25"/>
    <w:rsid w:val="00D91BF9"/>
    <w:rsid w:val="00D91D64"/>
    <w:rsid w:val="00D9207E"/>
    <w:rsid w:val="00D92339"/>
    <w:rsid w:val="00D923E2"/>
    <w:rsid w:val="00D92666"/>
    <w:rsid w:val="00D92857"/>
    <w:rsid w:val="00D928E3"/>
    <w:rsid w:val="00D92936"/>
    <w:rsid w:val="00D92AC2"/>
    <w:rsid w:val="00D92CAF"/>
    <w:rsid w:val="00D92E4F"/>
    <w:rsid w:val="00D92F2F"/>
    <w:rsid w:val="00D934E1"/>
    <w:rsid w:val="00D934E8"/>
    <w:rsid w:val="00D9365C"/>
    <w:rsid w:val="00D93666"/>
    <w:rsid w:val="00D93673"/>
    <w:rsid w:val="00D936DF"/>
    <w:rsid w:val="00D938FB"/>
    <w:rsid w:val="00D941ED"/>
    <w:rsid w:val="00D9423C"/>
    <w:rsid w:val="00D94378"/>
    <w:rsid w:val="00D94FF5"/>
    <w:rsid w:val="00D95042"/>
    <w:rsid w:val="00D95688"/>
    <w:rsid w:val="00D956D9"/>
    <w:rsid w:val="00D95746"/>
    <w:rsid w:val="00D959AF"/>
    <w:rsid w:val="00D95BB7"/>
    <w:rsid w:val="00D96161"/>
    <w:rsid w:val="00D961B3"/>
    <w:rsid w:val="00D962A5"/>
    <w:rsid w:val="00D964B1"/>
    <w:rsid w:val="00D96692"/>
    <w:rsid w:val="00D96694"/>
    <w:rsid w:val="00D966B7"/>
    <w:rsid w:val="00D96B16"/>
    <w:rsid w:val="00D96F35"/>
    <w:rsid w:val="00D97B83"/>
    <w:rsid w:val="00D97BFA"/>
    <w:rsid w:val="00D97CCC"/>
    <w:rsid w:val="00DA000C"/>
    <w:rsid w:val="00DA05AC"/>
    <w:rsid w:val="00DA06F7"/>
    <w:rsid w:val="00DA077B"/>
    <w:rsid w:val="00DA0BB7"/>
    <w:rsid w:val="00DA0E36"/>
    <w:rsid w:val="00DA1937"/>
    <w:rsid w:val="00DA1A7E"/>
    <w:rsid w:val="00DA1BBD"/>
    <w:rsid w:val="00DA1BC8"/>
    <w:rsid w:val="00DA1C8F"/>
    <w:rsid w:val="00DA1CE2"/>
    <w:rsid w:val="00DA1F4D"/>
    <w:rsid w:val="00DA2132"/>
    <w:rsid w:val="00DA2327"/>
    <w:rsid w:val="00DA24FB"/>
    <w:rsid w:val="00DA2678"/>
    <w:rsid w:val="00DA3682"/>
    <w:rsid w:val="00DA3725"/>
    <w:rsid w:val="00DA3A74"/>
    <w:rsid w:val="00DA3BD0"/>
    <w:rsid w:val="00DA3C6F"/>
    <w:rsid w:val="00DA3C7F"/>
    <w:rsid w:val="00DA405A"/>
    <w:rsid w:val="00DA426A"/>
    <w:rsid w:val="00DA447D"/>
    <w:rsid w:val="00DA455F"/>
    <w:rsid w:val="00DA482C"/>
    <w:rsid w:val="00DA48D5"/>
    <w:rsid w:val="00DA49E5"/>
    <w:rsid w:val="00DA49E6"/>
    <w:rsid w:val="00DA4C7F"/>
    <w:rsid w:val="00DA4D47"/>
    <w:rsid w:val="00DA4D48"/>
    <w:rsid w:val="00DA4F88"/>
    <w:rsid w:val="00DA5344"/>
    <w:rsid w:val="00DA55AF"/>
    <w:rsid w:val="00DA5BA2"/>
    <w:rsid w:val="00DA5DBE"/>
    <w:rsid w:val="00DA6248"/>
    <w:rsid w:val="00DA62B3"/>
    <w:rsid w:val="00DA6375"/>
    <w:rsid w:val="00DA63CA"/>
    <w:rsid w:val="00DA68CD"/>
    <w:rsid w:val="00DA6B93"/>
    <w:rsid w:val="00DA6DC9"/>
    <w:rsid w:val="00DA6E1F"/>
    <w:rsid w:val="00DA70AA"/>
    <w:rsid w:val="00DA70D4"/>
    <w:rsid w:val="00DA7136"/>
    <w:rsid w:val="00DA7386"/>
    <w:rsid w:val="00DA745E"/>
    <w:rsid w:val="00DA746F"/>
    <w:rsid w:val="00DA7692"/>
    <w:rsid w:val="00DA781D"/>
    <w:rsid w:val="00DA7A58"/>
    <w:rsid w:val="00DA7B41"/>
    <w:rsid w:val="00DA7DEC"/>
    <w:rsid w:val="00DB0050"/>
    <w:rsid w:val="00DB064C"/>
    <w:rsid w:val="00DB0962"/>
    <w:rsid w:val="00DB0991"/>
    <w:rsid w:val="00DB0A97"/>
    <w:rsid w:val="00DB0D5D"/>
    <w:rsid w:val="00DB0F3E"/>
    <w:rsid w:val="00DB11C9"/>
    <w:rsid w:val="00DB151A"/>
    <w:rsid w:val="00DB179B"/>
    <w:rsid w:val="00DB1932"/>
    <w:rsid w:val="00DB1C94"/>
    <w:rsid w:val="00DB1E16"/>
    <w:rsid w:val="00DB1E1C"/>
    <w:rsid w:val="00DB2555"/>
    <w:rsid w:val="00DB27A7"/>
    <w:rsid w:val="00DB2CD7"/>
    <w:rsid w:val="00DB2FA6"/>
    <w:rsid w:val="00DB46E2"/>
    <w:rsid w:val="00DB4766"/>
    <w:rsid w:val="00DB5270"/>
    <w:rsid w:val="00DB52C0"/>
    <w:rsid w:val="00DB5514"/>
    <w:rsid w:val="00DB56F7"/>
    <w:rsid w:val="00DB585F"/>
    <w:rsid w:val="00DB5C22"/>
    <w:rsid w:val="00DB5D55"/>
    <w:rsid w:val="00DB5F56"/>
    <w:rsid w:val="00DB5F79"/>
    <w:rsid w:val="00DB60E6"/>
    <w:rsid w:val="00DB628D"/>
    <w:rsid w:val="00DB63B6"/>
    <w:rsid w:val="00DB63B7"/>
    <w:rsid w:val="00DB63F6"/>
    <w:rsid w:val="00DB6513"/>
    <w:rsid w:val="00DB66EA"/>
    <w:rsid w:val="00DB6C78"/>
    <w:rsid w:val="00DB6E61"/>
    <w:rsid w:val="00DB70BC"/>
    <w:rsid w:val="00DB7722"/>
    <w:rsid w:val="00DB7A6D"/>
    <w:rsid w:val="00DC034D"/>
    <w:rsid w:val="00DC04AD"/>
    <w:rsid w:val="00DC06F9"/>
    <w:rsid w:val="00DC08B8"/>
    <w:rsid w:val="00DC0A19"/>
    <w:rsid w:val="00DC1227"/>
    <w:rsid w:val="00DC141F"/>
    <w:rsid w:val="00DC150D"/>
    <w:rsid w:val="00DC1970"/>
    <w:rsid w:val="00DC1DF2"/>
    <w:rsid w:val="00DC2443"/>
    <w:rsid w:val="00DC247E"/>
    <w:rsid w:val="00DC276E"/>
    <w:rsid w:val="00DC2A7C"/>
    <w:rsid w:val="00DC2AC5"/>
    <w:rsid w:val="00DC2B18"/>
    <w:rsid w:val="00DC2E67"/>
    <w:rsid w:val="00DC2E98"/>
    <w:rsid w:val="00DC2F37"/>
    <w:rsid w:val="00DC307E"/>
    <w:rsid w:val="00DC3099"/>
    <w:rsid w:val="00DC332D"/>
    <w:rsid w:val="00DC35D2"/>
    <w:rsid w:val="00DC37C9"/>
    <w:rsid w:val="00DC3910"/>
    <w:rsid w:val="00DC3CB0"/>
    <w:rsid w:val="00DC4561"/>
    <w:rsid w:val="00DC46E6"/>
    <w:rsid w:val="00DC4B71"/>
    <w:rsid w:val="00DC4B8B"/>
    <w:rsid w:val="00DC4C5F"/>
    <w:rsid w:val="00DC4F0F"/>
    <w:rsid w:val="00DC4F3C"/>
    <w:rsid w:val="00DC5010"/>
    <w:rsid w:val="00DC54DF"/>
    <w:rsid w:val="00DC5657"/>
    <w:rsid w:val="00DC56FD"/>
    <w:rsid w:val="00DC5773"/>
    <w:rsid w:val="00DC5B85"/>
    <w:rsid w:val="00DC5BE6"/>
    <w:rsid w:val="00DC5C34"/>
    <w:rsid w:val="00DC5C85"/>
    <w:rsid w:val="00DC5DE6"/>
    <w:rsid w:val="00DC5FB9"/>
    <w:rsid w:val="00DC6224"/>
    <w:rsid w:val="00DC65DD"/>
    <w:rsid w:val="00DC6F13"/>
    <w:rsid w:val="00DC7043"/>
    <w:rsid w:val="00DC718D"/>
    <w:rsid w:val="00DC7248"/>
    <w:rsid w:val="00DC738A"/>
    <w:rsid w:val="00DC7558"/>
    <w:rsid w:val="00DC757A"/>
    <w:rsid w:val="00DC7758"/>
    <w:rsid w:val="00DC7A85"/>
    <w:rsid w:val="00DC7EE1"/>
    <w:rsid w:val="00DC7F63"/>
    <w:rsid w:val="00DD0566"/>
    <w:rsid w:val="00DD0854"/>
    <w:rsid w:val="00DD0926"/>
    <w:rsid w:val="00DD0E73"/>
    <w:rsid w:val="00DD0F4F"/>
    <w:rsid w:val="00DD1149"/>
    <w:rsid w:val="00DD114C"/>
    <w:rsid w:val="00DD1160"/>
    <w:rsid w:val="00DD127B"/>
    <w:rsid w:val="00DD1528"/>
    <w:rsid w:val="00DD1939"/>
    <w:rsid w:val="00DD1EAA"/>
    <w:rsid w:val="00DD247A"/>
    <w:rsid w:val="00DD258A"/>
    <w:rsid w:val="00DD2596"/>
    <w:rsid w:val="00DD2A10"/>
    <w:rsid w:val="00DD2CBD"/>
    <w:rsid w:val="00DD2E4B"/>
    <w:rsid w:val="00DD3592"/>
    <w:rsid w:val="00DD363A"/>
    <w:rsid w:val="00DD3848"/>
    <w:rsid w:val="00DD39A5"/>
    <w:rsid w:val="00DD3A06"/>
    <w:rsid w:val="00DD3DB4"/>
    <w:rsid w:val="00DD3F1C"/>
    <w:rsid w:val="00DD42C0"/>
    <w:rsid w:val="00DD446C"/>
    <w:rsid w:val="00DD44AD"/>
    <w:rsid w:val="00DD459B"/>
    <w:rsid w:val="00DD477A"/>
    <w:rsid w:val="00DD48A6"/>
    <w:rsid w:val="00DD4982"/>
    <w:rsid w:val="00DD499B"/>
    <w:rsid w:val="00DD4A95"/>
    <w:rsid w:val="00DD4B6B"/>
    <w:rsid w:val="00DD4FD2"/>
    <w:rsid w:val="00DD520A"/>
    <w:rsid w:val="00DD5249"/>
    <w:rsid w:val="00DD53EB"/>
    <w:rsid w:val="00DD547C"/>
    <w:rsid w:val="00DD5496"/>
    <w:rsid w:val="00DD5510"/>
    <w:rsid w:val="00DD5A2F"/>
    <w:rsid w:val="00DD5CEA"/>
    <w:rsid w:val="00DD5D82"/>
    <w:rsid w:val="00DD5E53"/>
    <w:rsid w:val="00DD5E82"/>
    <w:rsid w:val="00DD6121"/>
    <w:rsid w:val="00DD6778"/>
    <w:rsid w:val="00DD6865"/>
    <w:rsid w:val="00DD6B8A"/>
    <w:rsid w:val="00DD7250"/>
    <w:rsid w:val="00DD72E8"/>
    <w:rsid w:val="00DD774C"/>
    <w:rsid w:val="00DD7CD2"/>
    <w:rsid w:val="00DD7CF9"/>
    <w:rsid w:val="00DE0080"/>
    <w:rsid w:val="00DE02D1"/>
    <w:rsid w:val="00DE07CD"/>
    <w:rsid w:val="00DE0D0D"/>
    <w:rsid w:val="00DE0E8B"/>
    <w:rsid w:val="00DE0EE3"/>
    <w:rsid w:val="00DE10AA"/>
    <w:rsid w:val="00DE10CC"/>
    <w:rsid w:val="00DE1169"/>
    <w:rsid w:val="00DE1231"/>
    <w:rsid w:val="00DE129A"/>
    <w:rsid w:val="00DE136F"/>
    <w:rsid w:val="00DE153A"/>
    <w:rsid w:val="00DE1747"/>
    <w:rsid w:val="00DE1E6D"/>
    <w:rsid w:val="00DE23BA"/>
    <w:rsid w:val="00DE32F6"/>
    <w:rsid w:val="00DE34D9"/>
    <w:rsid w:val="00DE34FF"/>
    <w:rsid w:val="00DE35EC"/>
    <w:rsid w:val="00DE37A9"/>
    <w:rsid w:val="00DE3C1D"/>
    <w:rsid w:val="00DE3CF2"/>
    <w:rsid w:val="00DE408F"/>
    <w:rsid w:val="00DE420D"/>
    <w:rsid w:val="00DE44E5"/>
    <w:rsid w:val="00DE477C"/>
    <w:rsid w:val="00DE49EF"/>
    <w:rsid w:val="00DE4A89"/>
    <w:rsid w:val="00DE4D15"/>
    <w:rsid w:val="00DE4DA2"/>
    <w:rsid w:val="00DE4E89"/>
    <w:rsid w:val="00DE4F38"/>
    <w:rsid w:val="00DE51E0"/>
    <w:rsid w:val="00DE5209"/>
    <w:rsid w:val="00DE5257"/>
    <w:rsid w:val="00DE5439"/>
    <w:rsid w:val="00DE554D"/>
    <w:rsid w:val="00DE5573"/>
    <w:rsid w:val="00DE5658"/>
    <w:rsid w:val="00DE5829"/>
    <w:rsid w:val="00DE5AB4"/>
    <w:rsid w:val="00DE5CD4"/>
    <w:rsid w:val="00DE6049"/>
    <w:rsid w:val="00DE6670"/>
    <w:rsid w:val="00DE675D"/>
    <w:rsid w:val="00DE6A94"/>
    <w:rsid w:val="00DE6CE3"/>
    <w:rsid w:val="00DE6E41"/>
    <w:rsid w:val="00DE6E4B"/>
    <w:rsid w:val="00DE711D"/>
    <w:rsid w:val="00DE7215"/>
    <w:rsid w:val="00DE7F36"/>
    <w:rsid w:val="00DF040D"/>
    <w:rsid w:val="00DF08F3"/>
    <w:rsid w:val="00DF0A50"/>
    <w:rsid w:val="00DF0B2E"/>
    <w:rsid w:val="00DF101E"/>
    <w:rsid w:val="00DF11EE"/>
    <w:rsid w:val="00DF1411"/>
    <w:rsid w:val="00DF15DB"/>
    <w:rsid w:val="00DF164A"/>
    <w:rsid w:val="00DF1805"/>
    <w:rsid w:val="00DF19F7"/>
    <w:rsid w:val="00DF1C86"/>
    <w:rsid w:val="00DF1CA5"/>
    <w:rsid w:val="00DF1EA6"/>
    <w:rsid w:val="00DF1EC4"/>
    <w:rsid w:val="00DF2CA6"/>
    <w:rsid w:val="00DF3124"/>
    <w:rsid w:val="00DF3313"/>
    <w:rsid w:val="00DF36DC"/>
    <w:rsid w:val="00DF394E"/>
    <w:rsid w:val="00DF398F"/>
    <w:rsid w:val="00DF3C27"/>
    <w:rsid w:val="00DF3C64"/>
    <w:rsid w:val="00DF3DD4"/>
    <w:rsid w:val="00DF3EDD"/>
    <w:rsid w:val="00DF421C"/>
    <w:rsid w:val="00DF4229"/>
    <w:rsid w:val="00DF43BD"/>
    <w:rsid w:val="00DF4471"/>
    <w:rsid w:val="00DF4695"/>
    <w:rsid w:val="00DF4713"/>
    <w:rsid w:val="00DF4929"/>
    <w:rsid w:val="00DF4C15"/>
    <w:rsid w:val="00DF4CAE"/>
    <w:rsid w:val="00DF50B1"/>
    <w:rsid w:val="00DF539C"/>
    <w:rsid w:val="00DF54A5"/>
    <w:rsid w:val="00DF5F9B"/>
    <w:rsid w:val="00DF60A4"/>
    <w:rsid w:val="00DF61D4"/>
    <w:rsid w:val="00DF6292"/>
    <w:rsid w:val="00DF64FD"/>
    <w:rsid w:val="00DF68C0"/>
    <w:rsid w:val="00DF6B5C"/>
    <w:rsid w:val="00DF6FE0"/>
    <w:rsid w:val="00DF715D"/>
    <w:rsid w:val="00DF74BD"/>
    <w:rsid w:val="00DF7550"/>
    <w:rsid w:val="00DF75E8"/>
    <w:rsid w:val="00DF773D"/>
    <w:rsid w:val="00DF7C25"/>
    <w:rsid w:val="00DF7E86"/>
    <w:rsid w:val="00DF7EA0"/>
    <w:rsid w:val="00DF7F21"/>
    <w:rsid w:val="00E00500"/>
    <w:rsid w:val="00E00740"/>
    <w:rsid w:val="00E0086D"/>
    <w:rsid w:val="00E0093D"/>
    <w:rsid w:val="00E00CA3"/>
    <w:rsid w:val="00E00E44"/>
    <w:rsid w:val="00E00EF3"/>
    <w:rsid w:val="00E00F4F"/>
    <w:rsid w:val="00E0101E"/>
    <w:rsid w:val="00E01118"/>
    <w:rsid w:val="00E01322"/>
    <w:rsid w:val="00E015B4"/>
    <w:rsid w:val="00E018B2"/>
    <w:rsid w:val="00E01908"/>
    <w:rsid w:val="00E01B26"/>
    <w:rsid w:val="00E01C8E"/>
    <w:rsid w:val="00E01D5C"/>
    <w:rsid w:val="00E01F20"/>
    <w:rsid w:val="00E01F7B"/>
    <w:rsid w:val="00E02602"/>
    <w:rsid w:val="00E02A6C"/>
    <w:rsid w:val="00E02B9A"/>
    <w:rsid w:val="00E02D19"/>
    <w:rsid w:val="00E02DD8"/>
    <w:rsid w:val="00E02E53"/>
    <w:rsid w:val="00E02ED9"/>
    <w:rsid w:val="00E02FE9"/>
    <w:rsid w:val="00E032B7"/>
    <w:rsid w:val="00E03695"/>
    <w:rsid w:val="00E036D3"/>
    <w:rsid w:val="00E03737"/>
    <w:rsid w:val="00E03CC1"/>
    <w:rsid w:val="00E03E0E"/>
    <w:rsid w:val="00E04017"/>
    <w:rsid w:val="00E0419A"/>
    <w:rsid w:val="00E04358"/>
    <w:rsid w:val="00E045CA"/>
    <w:rsid w:val="00E04767"/>
    <w:rsid w:val="00E0479E"/>
    <w:rsid w:val="00E0485E"/>
    <w:rsid w:val="00E04A91"/>
    <w:rsid w:val="00E04BB4"/>
    <w:rsid w:val="00E050F1"/>
    <w:rsid w:val="00E0539C"/>
    <w:rsid w:val="00E05408"/>
    <w:rsid w:val="00E054D6"/>
    <w:rsid w:val="00E055B0"/>
    <w:rsid w:val="00E055E3"/>
    <w:rsid w:val="00E0581C"/>
    <w:rsid w:val="00E05869"/>
    <w:rsid w:val="00E05C72"/>
    <w:rsid w:val="00E05CC1"/>
    <w:rsid w:val="00E05EF2"/>
    <w:rsid w:val="00E05FEE"/>
    <w:rsid w:val="00E0601C"/>
    <w:rsid w:val="00E0615F"/>
    <w:rsid w:val="00E062C9"/>
    <w:rsid w:val="00E064EB"/>
    <w:rsid w:val="00E06723"/>
    <w:rsid w:val="00E06A9B"/>
    <w:rsid w:val="00E06B35"/>
    <w:rsid w:val="00E06BC4"/>
    <w:rsid w:val="00E06C2F"/>
    <w:rsid w:val="00E07082"/>
    <w:rsid w:val="00E070F5"/>
    <w:rsid w:val="00E0776B"/>
    <w:rsid w:val="00E07A98"/>
    <w:rsid w:val="00E07EC7"/>
    <w:rsid w:val="00E0986D"/>
    <w:rsid w:val="00E104CE"/>
    <w:rsid w:val="00E108A3"/>
    <w:rsid w:val="00E10926"/>
    <w:rsid w:val="00E10939"/>
    <w:rsid w:val="00E10A9C"/>
    <w:rsid w:val="00E10E4F"/>
    <w:rsid w:val="00E10EA3"/>
    <w:rsid w:val="00E11092"/>
    <w:rsid w:val="00E11811"/>
    <w:rsid w:val="00E11C0C"/>
    <w:rsid w:val="00E11D17"/>
    <w:rsid w:val="00E11D63"/>
    <w:rsid w:val="00E11D87"/>
    <w:rsid w:val="00E11EFD"/>
    <w:rsid w:val="00E1202D"/>
    <w:rsid w:val="00E123F3"/>
    <w:rsid w:val="00E12516"/>
    <w:rsid w:val="00E12858"/>
    <w:rsid w:val="00E1299B"/>
    <w:rsid w:val="00E12BEF"/>
    <w:rsid w:val="00E12E93"/>
    <w:rsid w:val="00E13352"/>
    <w:rsid w:val="00E133AD"/>
    <w:rsid w:val="00E1398B"/>
    <w:rsid w:val="00E14636"/>
    <w:rsid w:val="00E1466A"/>
    <w:rsid w:val="00E1485B"/>
    <w:rsid w:val="00E14AFF"/>
    <w:rsid w:val="00E14DEC"/>
    <w:rsid w:val="00E1518C"/>
    <w:rsid w:val="00E151C4"/>
    <w:rsid w:val="00E151EA"/>
    <w:rsid w:val="00E153F3"/>
    <w:rsid w:val="00E1543F"/>
    <w:rsid w:val="00E156FA"/>
    <w:rsid w:val="00E15B87"/>
    <w:rsid w:val="00E15CA2"/>
    <w:rsid w:val="00E15DB3"/>
    <w:rsid w:val="00E15E23"/>
    <w:rsid w:val="00E15F24"/>
    <w:rsid w:val="00E165C2"/>
    <w:rsid w:val="00E169A5"/>
    <w:rsid w:val="00E169EA"/>
    <w:rsid w:val="00E16A30"/>
    <w:rsid w:val="00E16D64"/>
    <w:rsid w:val="00E16E9C"/>
    <w:rsid w:val="00E17185"/>
    <w:rsid w:val="00E177E6"/>
    <w:rsid w:val="00E177FC"/>
    <w:rsid w:val="00E179A1"/>
    <w:rsid w:val="00E17BA8"/>
    <w:rsid w:val="00E20274"/>
    <w:rsid w:val="00E202C9"/>
    <w:rsid w:val="00E2033E"/>
    <w:rsid w:val="00E2059A"/>
    <w:rsid w:val="00E205E5"/>
    <w:rsid w:val="00E20677"/>
    <w:rsid w:val="00E20883"/>
    <w:rsid w:val="00E20A87"/>
    <w:rsid w:val="00E20AAB"/>
    <w:rsid w:val="00E20CDB"/>
    <w:rsid w:val="00E214A3"/>
    <w:rsid w:val="00E21925"/>
    <w:rsid w:val="00E21C1E"/>
    <w:rsid w:val="00E21CD4"/>
    <w:rsid w:val="00E220DA"/>
    <w:rsid w:val="00E22671"/>
    <w:rsid w:val="00E227C4"/>
    <w:rsid w:val="00E22962"/>
    <w:rsid w:val="00E22A63"/>
    <w:rsid w:val="00E22C80"/>
    <w:rsid w:val="00E22CBE"/>
    <w:rsid w:val="00E22D16"/>
    <w:rsid w:val="00E22F76"/>
    <w:rsid w:val="00E2307B"/>
    <w:rsid w:val="00E23503"/>
    <w:rsid w:val="00E23709"/>
    <w:rsid w:val="00E23913"/>
    <w:rsid w:val="00E242DC"/>
    <w:rsid w:val="00E24306"/>
    <w:rsid w:val="00E24377"/>
    <w:rsid w:val="00E24441"/>
    <w:rsid w:val="00E24939"/>
    <w:rsid w:val="00E24A0C"/>
    <w:rsid w:val="00E24BC1"/>
    <w:rsid w:val="00E24D6B"/>
    <w:rsid w:val="00E24ECC"/>
    <w:rsid w:val="00E24EDC"/>
    <w:rsid w:val="00E24FFF"/>
    <w:rsid w:val="00E25070"/>
    <w:rsid w:val="00E2513F"/>
    <w:rsid w:val="00E2518E"/>
    <w:rsid w:val="00E2522B"/>
    <w:rsid w:val="00E25231"/>
    <w:rsid w:val="00E253FF"/>
    <w:rsid w:val="00E256F7"/>
    <w:rsid w:val="00E2584D"/>
    <w:rsid w:val="00E25A30"/>
    <w:rsid w:val="00E25A57"/>
    <w:rsid w:val="00E25D44"/>
    <w:rsid w:val="00E25DB9"/>
    <w:rsid w:val="00E25DE6"/>
    <w:rsid w:val="00E25E04"/>
    <w:rsid w:val="00E25E80"/>
    <w:rsid w:val="00E25F22"/>
    <w:rsid w:val="00E25FD5"/>
    <w:rsid w:val="00E2619E"/>
    <w:rsid w:val="00E263E3"/>
    <w:rsid w:val="00E26786"/>
    <w:rsid w:val="00E26A1E"/>
    <w:rsid w:val="00E26BE7"/>
    <w:rsid w:val="00E26E55"/>
    <w:rsid w:val="00E26F2D"/>
    <w:rsid w:val="00E26F54"/>
    <w:rsid w:val="00E27242"/>
    <w:rsid w:val="00E275B5"/>
    <w:rsid w:val="00E2773F"/>
    <w:rsid w:val="00E278D2"/>
    <w:rsid w:val="00E27BFB"/>
    <w:rsid w:val="00E27C9C"/>
    <w:rsid w:val="00E3037C"/>
    <w:rsid w:val="00E309AE"/>
    <w:rsid w:val="00E30A2F"/>
    <w:rsid w:val="00E30B8C"/>
    <w:rsid w:val="00E30EAE"/>
    <w:rsid w:val="00E30EF8"/>
    <w:rsid w:val="00E30FC7"/>
    <w:rsid w:val="00E310F7"/>
    <w:rsid w:val="00E3113E"/>
    <w:rsid w:val="00E3122F"/>
    <w:rsid w:val="00E3146A"/>
    <w:rsid w:val="00E317FD"/>
    <w:rsid w:val="00E31AF1"/>
    <w:rsid w:val="00E31BD7"/>
    <w:rsid w:val="00E31C94"/>
    <w:rsid w:val="00E31D84"/>
    <w:rsid w:val="00E31E87"/>
    <w:rsid w:val="00E31F61"/>
    <w:rsid w:val="00E320AA"/>
    <w:rsid w:val="00E3215B"/>
    <w:rsid w:val="00E32224"/>
    <w:rsid w:val="00E322A0"/>
    <w:rsid w:val="00E324DA"/>
    <w:rsid w:val="00E328E6"/>
    <w:rsid w:val="00E33078"/>
    <w:rsid w:val="00E332EA"/>
    <w:rsid w:val="00E333A8"/>
    <w:rsid w:val="00E334F6"/>
    <w:rsid w:val="00E33513"/>
    <w:rsid w:val="00E336A9"/>
    <w:rsid w:val="00E336E6"/>
    <w:rsid w:val="00E3372A"/>
    <w:rsid w:val="00E338AE"/>
    <w:rsid w:val="00E338CF"/>
    <w:rsid w:val="00E338E8"/>
    <w:rsid w:val="00E33A46"/>
    <w:rsid w:val="00E33AB3"/>
    <w:rsid w:val="00E33B75"/>
    <w:rsid w:val="00E33E26"/>
    <w:rsid w:val="00E34073"/>
    <w:rsid w:val="00E34274"/>
    <w:rsid w:val="00E34370"/>
    <w:rsid w:val="00E3445F"/>
    <w:rsid w:val="00E34A4F"/>
    <w:rsid w:val="00E34B2A"/>
    <w:rsid w:val="00E34D4E"/>
    <w:rsid w:val="00E35281"/>
    <w:rsid w:val="00E353AB"/>
    <w:rsid w:val="00E355AC"/>
    <w:rsid w:val="00E35709"/>
    <w:rsid w:val="00E35731"/>
    <w:rsid w:val="00E35E4C"/>
    <w:rsid w:val="00E363BC"/>
    <w:rsid w:val="00E36512"/>
    <w:rsid w:val="00E3652A"/>
    <w:rsid w:val="00E36777"/>
    <w:rsid w:val="00E36824"/>
    <w:rsid w:val="00E368E3"/>
    <w:rsid w:val="00E36C2A"/>
    <w:rsid w:val="00E36DC8"/>
    <w:rsid w:val="00E36ED7"/>
    <w:rsid w:val="00E36F1B"/>
    <w:rsid w:val="00E371AD"/>
    <w:rsid w:val="00E376E8"/>
    <w:rsid w:val="00E37782"/>
    <w:rsid w:val="00E377B0"/>
    <w:rsid w:val="00E378F5"/>
    <w:rsid w:val="00E37B10"/>
    <w:rsid w:val="00E37DDD"/>
    <w:rsid w:val="00E401F5"/>
    <w:rsid w:val="00E403F4"/>
    <w:rsid w:val="00E4079B"/>
    <w:rsid w:val="00E40A32"/>
    <w:rsid w:val="00E40BAC"/>
    <w:rsid w:val="00E40E6A"/>
    <w:rsid w:val="00E41359"/>
    <w:rsid w:val="00E41403"/>
    <w:rsid w:val="00E41707"/>
    <w:rsid w:val="00E419AD"/>
    <w:rsid w:val="00E41A9C"/>
    <w:rsid w:val="00E421C9"/>
    <w:rsid w:val="00E42377"/>
    <w:rsid w:val="00E4293D"/>
    <w:rsid w:val="00E42B2F"/>
    <w:rsid w:val="00E431DA"/>
    <w:rsid w:val="00E43293"/>
    <w:rsid w:val="00E43420"/>
    <w:rsid w:val="00E43445"/>
    <w:rsid w:val="00E43546"/>
    <w:rsid w:val="00E43778"/>
    <w:rsid w:val="00E4392C"/>
    <w:rsid w:val="00E43A24"/>
    <w:rsid w:val="00E43A5A"/>
    <w:rsid w:val="00E43A97"/>
    <w:rsid w:val="00E43D96"/>
    <w:rsid w:val="00E43F15"/>
    <w:rsid w:val="00E4408F"/>
    <w:rsid w:val="00E445C4"/>
    <w:rsid w:val="00E44637"/>
    <w:rsid w:val="00E44AE9"/>
    <w:rsid w:val="00E44D83"/>
    <w:rsid w:val="00E44DFF"/>
    <w:rsid w:val="00E44E50"/>
    <w:rsid w:val="00E44EA1"/>
    <w:rsid w:val="00E4505B"/>
    <w:rsid w:val="00E45210"/>
    <w:rsid w:val="00E453EF"/>
    <w:rsid w:val="00E4551B"/>
    <w:rsid w:val="00E45AD2"/>
    <w:rsid w:val="00E45CC6"/>
    <w:rsid w:val="00E46528"/>
    <w:rsid w:val="00E46946"/>
    <w:rsid w:val="00E46CD5"/>
    <w:rsid w:val="00E47211"/>
    <w:rsid w:val="00E477EB"/>
    <w:rsid w:val="00E479D1"/>
    <w:rsid w:val="00E47AFE"/>
    <w:rsid w:val="00E47DCD"/>
    <w:rsid w:val="00E50028"/>
    <w:rsid w:val="00E50138"/>
    <w:rsid w:val="00E506DB"/>
    <w:rsid w:val="00E50A08"/>
    <w:rsid w:val="00E50AE3"/>
    <w:rsid w:val="00E51011"/>
    <w:rsid w:val="00E517CD"/>
    <w:rsid w:val="00E51895"/>
    <w:rsid w:val="00E51DAC"/>
    <w:rsid w:val="00E51EA3"/>
    <w:rsid w:val="00E52106"/>
    <w:rsid w:val="00E52451"/>
    <w:rsid w:val="00E524F0"/>
    <w:rsid w:val="00E52619"/>
    <w:rsid w:val="00E528BC"/>
    <w:rsid w:val="00E529A8"/>
    <w:rsid w:val="00E529E7"/>
    <w:rsid w:val="00E52D1F"/>
    <w:rsid w:val="00E52D4A"/>
    <w:rsid w:val="00E52FF2"/>
    <w:rsid w:val="00E5352E"/>
    <w:rsid w:val="00E53A0C"/>
    <w:rsid w:val="00E53D4D"/>
    <w:rsid w:val="00E53DB9"/>
    <w:rsid w:val="00E53EF0"/>
    <w:rsid w:val="00E540C0"/>
    <w:rsid w:val="00E54145"/>
    <w:rsid w:val="00E543D5"/>
    <w:rsid w:val="00E54DEC"/>
    <w:rsid w:val="00E54E36"/>
    <w:rsid w:val="00E5509B"/>
    <w:rsid w:val="00E55171"/>
    <w:rsid w:val="00E556B1"/>
    <w:rsid w:val="00E556EC"/>
    <w:rsid w:val="00E5598D"/>
    <w:rsid w:val="00E55A66"/>
    <w:rsid w:val="00E55B05"/>
    <w:rsid w:val="00E5603F"/>
    <w:rsid w:val="00E560F9"/>
    <w:rsid w:val="00E5614C"/>
    <w:rsid w:val="00E5622F"/>
    <w:rsid w:val="00E56232"/>
    <w:rsid w:val="00E5644D"/>
    <w:rsid w:val="00E569D1"/>
    <w:rsid w:val="00E56ACD"/>
    <w:rsid w:val="00E56BEF"/>
    <w:rsid w:val="00E56CFB"/>
    <w:rsid w:val="00E56EAE"/>
    <w:rsid w:val="00E57A63"/>
    <w:rsid w:val="00E57BE7"/>
    <w:rsid w:val="00E57E1A"/>
    <w:rsid w:val="00E60283"/>
    <w:rsid w:val="00E605B2"/>
    <w:rsid w:val="00E6087F"/>
    <w:rsid w:val="00E60954"/>
    <w:rsid w:val="00E60A82"/>
    <w:rsid w:val="00E60B41"/>
    <w:rsid w:val="00E60D0D"/>
    <w:rsid w:val="00E60F7D"/>
    <w:rsid w:val="00E6102A"/>
    <w:rsid w:val="00E6141B"/>
    <w:rsid w:val="00E614BF"/>
    <w:rsid w:val="00E61636"/>
    <w:rsid w:val="00E6165C"/>
    <w:rsid w:val="00E6196F"/>
    <w:rsid w:val="00E619C1"/>
    <w:rsid w:val="00E619DD"/>
    <w:rsid w:val="00E61A8A"/>
    <w:rsid w:val="00E61C9E"/>
    <w:rsid w:val="00E620A9"/>
    <w:rsid w:val="00E620CC"/>
    <w:rsid w:val="00E62204"/>
    <w:rsid w:val="00E622CA"/>
    <w:rsid w:val="00E622DA"/>
    <w:rsid w:val="00E62526"/>
    <w:rsid w:val="00E6252D"/>
    <w:rsid w:val="00E625F8"/>
    <w:rsid w:val="00E62684"/>
    <w:rsid w:val="00E628C6"/>
    <w:rsid w:val="00E62928"/>
    <w:rsid w:val="00E62AD9"/>
    <w:rsid w:val="00E62B25"/>
    <w:rsid w:val="00E6311D"/>
    <w:rsid w:val="00E63332"/>
    <w:rsid w:val="00E63703"/>
    <w:rsid w:val="00E638C6"/>
    <w:rsid w:val="00E641EF"/>
    <w:rsid w:val="00E6425F"/>
    <w:rsid w:val="00E6429E"/>
    <w:rsid w:val="00E642C6"/>
    <w:rsid w:val="00E644B9"/>
    <w:rsid w:val="00E645EE"/>
    <w:rsid w:val="00E648E1"/>
    <w:rsid w:val="00E64953"/>
    <w:rsid w:val="00E64A59"/>
    <w:rsid w:val="00E64B9C"/>
    <w:rsid w:val="00E64F2E"/>
    <w:rsid w:val="00E64FF1"/>
    <w:rsid w:val="00E651DB"/>
    <w:rsid w:val="00E652FE"/>
    <w:rsid w:val="00E653A6"/>
    <w:rsid w:val="00E65439"/>
    <w:rsid w:val="00E6546D"/>
    <w:rsid w:val="00E65514"/>
    <w:rsid w:val="00E656C8"/>
    <w:rsid w:val="00E6579B"/>
    <w:rsid w:val="00E65832"/>
    <w:rsid w:val="00E65B47"/>
    <w:rsid w:val="00E65D97"/>
    <w:rsid w:val="00E65DCC"/>
    <w:rsid w:val="00E664A3"/>
    <w:rsid w:val="00E66946"/>
    <w:rsid w:val="00E66BE2"/>
    <w:rsid w:val="00E66C37"/>
    <w:rsid w:val="00E66DA0"/>
    <w:rsid w:val="00E673DF"/>
    <w:rsid w:val="00E67513"/>
    <w:rsid w:val="00E67809"/>
    <w:rsid w:val="00E679B5"/>
    <w:rsid w:val="00E67E48"/>
    <w:rsid w:val="00E67EE2"/>
    <w:rsid w:val="00E70271"/>
    <w:rsid w:val="00E703BF"/>
    <w:rsid w:val="00E70501"/>
    <w:rsid w:val="00E7057F"/>
    <w:rsid w:val="00E70C7B"/>
    <w:rsid w:val="00E71043"/>
    <w:rsid w:val="00E710FF"/>
    <w:rsid w:val="00E7142C"/>
    <w:rsid w:val="00E7147B"/>
    <w:rsid w:val="00E714A2"/>
    <w:rsid w:val="00E71752"/>
    <w:rsid w:val="00E7181B"/>
    <w:rsid w:val="00E71E50"/>
    <w:rsid w:val="00E71FDD"/>
    <w:rsid w:val="00E72395"/>
    <w:rsid w:val="00E7253C"/>
    <w:rsid w:val="00E727B9"/>
    <w:rsid w:val="00E729F2"/>
    <w:rsid w:val="00E72AA9"/>
    <w:rsid w:val="00E72DBB"/>
    <w:rsid w:val="00E73023"/>
    <w:rsid w:val="00E731B1"/>
    <w:rsid w:val="00E734AD"/>
    <w:rsid w:val="00E734EC"/>
    <w:rsid w:val="00E7359F"/>
    <w:rsid w:val="00E73AA2"/>
    <w:rsid w:val="00E74168"/>
    <w:rsid w:val="00E7423C"/>
    <w:rsid w:val="00E7467B"/>
    <w:rsid w:val="00E747C6"/>
    <w:rsid w:val="00E748CB"/>
    <w:rsid w:val="00E74A16"/>
    <w:rsid w:val="00E74A8B"/>
    <w:rsid w:val="00E74AE0"/>
    <w:rsid w:val="00E74BFF"/>
    <w:rsid w:val="00E74F43"/>
    <w:rsid w:val="00E74FBA"/>
    <w:rsid w:val="00E74FEA"/>
    <w:rsid w:val="00E75468"/>
    <w:rsid w:val="00E75614"/>
    <w:rsid w:val="00E757CA"/>
    <w:rsid w:val="00E75C06"/>
    <w:rsid w:val="00E75F6F"/>
    <w:rsid w:val="00E76314"/>
    <w:rsid w:val="00E7637B"/>
    <w:rsid w:val="00E76679"/>
    <w:rsid w:val="00E76780"/>
    <w:rsid w:val="00E7681B"/>
    <w:rsid w:val="00E76859"/>
    <w:rsid w:val="00E76B60"/>
    <w:rsid w:val="00E77359"/>
    <w:rsid w:val="00E7740F"/>
    <w:rsid w:val="00E774A3"/>
    <w:rsid w:val="00E77588"/>
    <w:rsid w:val="00E775FF"/>
    <w:rsid w:val="00E77921"/>
    <w:rsid w:val="00E77A50"/>
    <w:rsid w:val="00E77C64"/>
    <w:rsid w:val="00E77E4F"/>
    <w:rsid w:val="00E800A3"/>
    <w:rsid w:val="00E801A5"/>
    <w:rsid w:val="00E802C5"/>
    <w:rsid w:val="00E80384"/>
    <w:rsid w:val="00E80433"/>
    <w:rsid w:val="00E804DF"/>
    <w:rsid w:val="00E80546"/>
    <w:rsid w:val="00E808FC"/>
    <w:rsid w:val="00E809AB"/>
    <w:rsid w:val="00E80C6C"/>
    <w:rsid w:val="00E81103"/>
    <w:rsid w:val="00E8115C"/>
    <w:rsid w:val="00E812B2"/>
    <w:rsid w:val="00E8142A"/>
    <w:rsid w:val="00E81A0C"/>
    <w:rsid w:val="00E81DC4"/>
    <w:rsid w:val="00E81FAE"/>
    <w:rsid w:val="00E82197"/>
    <w:rsid w:val="00E82242"/>
    <w:rsid w:val="00E822E8"/>
    <w:rsid w:val="00E823C3"/>
    <w:rsid w:val="00E8242B"/>
    <w:rsid w:val="00E824FA"/>
    <w:rsid w:val="00E8250E"/>
    <w:rsid w:val="00E82682"/>
    <w:rsid w:val="00E826A4"/>
    <w:rsid w:val="00E826C4"/>
    <w:rsid w:val="00E8289F"/>
    <w:rsid w:val="00E829B6"/>
    <w:rsid w:val="00E82A95"/>
    <w:rsid w:val="00E82B04"/>
    <w:rsid w:val="00E82BCD"/>
    <w:rsid w:val="00E82C17"/>
    <w:rsid w:val="00E82ECE"/>
    <w:rsid w:val="00E82F63"/>
    <w:rsid w:val="00E82FD2"/>
    <w:rsid w:val="00E83191"/>
    <w:rsid w:val="00E8326D"/>
    <w:rsid w:val="00E83426"/>
    <w:rsid w:val="00E8345A"/>
    <w:rsid w:val="00E836A3"/>
    <w:rsid w:val="00E8372A"/>
    <w:rsid w:val="00E83A4A"/>
    <w:rsid w:val="00E83A62"/>
    <w:rsid w:val="00E83D6B"/>
    <w:rsid w:val="00E83E1F"/>
    <w:rsid w:val="00E84166"/>
    <w:rsid w:val="00E8418D"/>
    <w:rsid w:val="00E84814"/>
    <w:rsid w:val="00E84959"/>
    <w:rsid w:val="00E8503E"/>
    <w:rsid w:val="00E85159"/>
    <w:rsid w:val="00E856E5"/>
    <w:rsid w:val="00E857B5"/>
    <w:rsid w:val="00E85947"/>
    <w:rsid w:val="00E85DC0"/>
    <w:rsid w:val="00E85E60"/>
    <w:rsid w:val="00E8603E"/>
    <w:rsid w:val="00E8650A"/>
    <w:rsid w:val="00E865B1"/>
    <w:rsid w:val="00E86635"/>
    <w:rsid w:val="00E866AA"/>
    <w:rsid w:val="00E86BB6"/>
    <w:rsid w:val="00E86D68"/>
    <w:rsid w:val="00E87897"/>
    <w:rsid w:val="00E87B5B"/>
    <w:rsid w:val="00E90108"/>
    <w:rsid w:val="00E9018E"/>
    <w:rsid w:val="00E902B9"/>
    <w:rsid w:val="00E9045B"/>
    <w:rsid w:val="00E90706"/>
    <w:rsid w:val="00E907DC"/>
    <w:rsid w:val="00E90927"/>
    <w:rsid w:val="00E90A69"/>
    <w:rsid w:val="00E90F7B"/>
    <w:rsid w:val="00E911EC"/>
    <w:rsid w:val="00E915DE"/>
    <w:rsid w:val="00E9164F"/>
    <w:rsid w:val="00E9168A"/>
    <w:rsid w:val="00E917CB"/>
    <w:rsid w:val="00E919ED"/>
    <w:rsid w:val="00E91AF3"/>
    <w:rsid w:val="00E91B20"/>
    <w:rsid w:val="00E924B3"/>
    <w:rsid w:val="00E924F6"/>
    <w:rsid w:val="00E92A5F"/>
    <w:rsid w:val="00E92B93"/>
    <w:rsid w:val="00E92DE3"/>
    <w:rsid w:val="00E92EF0"/>
    <w:rsid w:val="00E92FDE"/>
    <w:rsid w:val="00E93006"/>
    <w:rsid w:val="00E93127"/>
    <w:rsid w:val="00E9319E"/>
    <w:rsid w:val="00E931F8"/>
    <w:rsid w:val="00E93421"/>
    <w:rsid w:val="00E9346C"/>
    <w:rsid w:val="00E9357D"/>
    <w:rsid w:val="00E93666"/>
    <w:rsid w:val="00E93938"/>
    <w:rsid w:val="00E93C49"/>
    <w:rsid w:val="00E93CA2"/>
    <w:rsid w:val="00E93D6C"/>
    <w:rsid w:val="00E93E27"/>
    <w:rsid w:val="00E93E4F"/>
    <w:rsid w:val="00E94042"/>
    <w:rsid w:val="00E94114"/>
    <w:rsid w:val="00E9446D"/>
    <w:rsid w:val="00E94574"/>
    <w:rsid w:val="00E94651"/>
    <w:rsid w:val="00E94974"/>
    <w:rsid w:val="00E94986"/>
    <w:rsid w:val="00E95242"/>
    <w:rsid w:val="00E95245"/>
    <w:rsid w:val="00E95266"/>
    <w:rsid w:val="00E956D9"/>
    <w:rsid w:val="00E958AA"/>
    <w:rsid w:val="00E95938"/>
    <w:rsid w:val="00E95A07"/>
    <w:rsid w:val="00E96258"/>
    <w:rsid w:val="00E96294"/>
    <w:rsid w:val="00E9642D"/>
    <w:rsid w:val="00E968A4"/>
    <w:rsid w:val="00E968A6"/>
    <w:rsid w:val="00E969F6"/>
    <w:rsid w:val="00E96B3A"/>
    <w:rsid w:val="00E96E12"/>
    <w:rsid w:val="00E96EEA"/>
    <w:rsid w:val="00E9729E"/>
    <w:rsid w:val="00E97354"/>
    <w:rsid w:val="00E97764"/>
    <w:rsid w:val="00E97816"/>
    <w:rsid w:val="00E9783F"/>
    <w:rsid w:val="00E978AB"/>
    <w:rsid w:val="00EA02BC"/>
    <w:rsid w:val="00EA078D"/>
    <w:rsid w:val="00EA0AE2"/>
    <w:rsid w:val="00EA0C5D"/>
    <w:rsid w:val="00EA0CD0"/>
    <w:rsid w:val="00EA0CD6"/>
    <w:rsid w:val="00EA0EB9"/>
    <w:rsid w:val="00EA12F0"/>
    <w:rsid w:val="00EA15A0"/>
    <w:rsid w:val="00EA1753"/>
    <w:rsid w:val="00EA17DA"/>
    <w:rsid w:val="00EA1ED7"/>
    <w:rsid w:val="00EA1F54"/>
    <w:rsid w:val="00EA2082"/>
    <w:rsid w:val="00EA221B"/>
    <w:rsid w:val="00EA22D0"/>
    <w:rsid w:val="00EA230E"/>
    <w:rsid w:val="00EA253B"/>
    <w:rsid w:val="00EA27C6"/>
    <w:rsid w:val="00EA299A"/>
    <w:rsid w:val="00EA2B25"/>
    <w:rsid w:val="00EA2DAC"/>
    <w:rsid w:val="00EA2DEE"/>
    <w:rsid w:val="00EA2DF6"/>
    <w:rsid w:val="00EA2F8B"/>
    <w:rsid w:val="00EA2FA8"/>
    <w:rsid w:val="00EA314E"/>
    <w:rsid w:val="00EA3498"/>
    <w:rsid w:val="00EA3544"/>
    <w:rsid w:val="00EA39CC"/>
    <w:rsid w:val="00EA3A94"/>
    <w:rsid w:val="00EA3C2C"/>
    <w:rsid w:val="00EA3D19"/>
    <w:rsid w:val="00EA3E83"/>
    <w:rsid w:val="00EA3F99"/>
    <w:rsid w:val="00EA4041"/>
    <w:rsid w:val="00EA428D"/>
    <w:rsid w:val="00EA4299"/>
    <w:rsid w:val="00EA430C"/>
    <w:rsid w:val="00EA436E"/>
    <w:rsid w:val="00EA43B6"/>
    <w:rsid w:val="00EA4574"/>
    <w:rsid w:val="00EA472F"/>
    <w:rsid w:val="00EA4BE6"/>
    <w:rsid w:val="00EA4E2B"/>
    <w:rsid w:val="00EA4FA6"/>
    <w:rsid w:val="00EA543E"/>
    <w:rsid w:val="00EA564E"/>
    <w:rsid w:val="00EA581E"/>
    <w:rsid w:val="00EA5857"/>
    <w:rsid w:val="00EA5864"/>
    <w:rsid w:val="00EA5A47"/>
    <w:rsid w:val="00EA5B54"/>
    <w:rsid w:val="00EA5EFE"/>
    <w:rsid w:val="00EA6063"/>
    <w:rsid w:val="00EA63B1"/>
    <w:rsid w:val="00EA68FA"/>
    <w:rsid w:val="00EA693A"/>
    <w:rsid w:val="00EA6AD8"/>
    <w:rsid w:val="00EA6B45"/>
    <w:rsid w:val="00EA6D97"/>
    <w:rsid w:val="00EA73EE"/>
    <w:rsid w:val="00EA760A"/>
    <w:rsid w:val="00EA7943"/>
    <w:rsid w:val="00EA7B13"/>
    <w:rsid w:val="00EA7C0B"/>
    <w:rsid w:val="00EA7D28"/>
    <w:rsid w:val="00EA7EA9"/>
    <w:rsid w:val="00EB0114"/>
    <w:rsid w:val="00EB02B5"/>
    <w:rsid w:val="00EB02C5"/>
    <w:rsid w:val="00EB03B5"/>
    <w:rsid w:val="00EB06B6"/>
    <w:rsid w:val="00EB0756"/>
    <w:rsid w:val="00EB09CC"/>
    <w:rsid w:val="00EB0C54"/>
    <w:rsid w:val="00EB0D4C"/>
    <w:rsid w:val="00EB0D95"/>
    <w:rsid w:val="00EB0DED"/>
    <w:rsid w:val="00EB1039"/>
    <w:rsid w:val="00EB1069"/>
    <w:rsid w:val="00EB10DF"/>
    <w:rsid w:val="00EB12F7"/>
    <w:rsid w:val="00EB14E2"/>
    <w:rsid w:val="00EB1533"/>
    <w:rsid w:val="00EB1ABE"/>
    <w:rsid w:val="00EB1E80"/>
    <w:rsid w:val="00EB2538"/>
    <w:rsid w:val="00EB2651"/>
    <w:rsid w:val="00EB2A6A"/>
    <w:rsid w:val="00EB2AA0"/>
    <w:rsid w:val="00EB2B97"/>
    <w:rsid w:val="00EB2BA8"/>
    <w:rsid w:val="00EB3560"/>
    <w:rsid w:val="00EB3924"/>
    <w:rsid w:val="00EB3A85"/>
    <w:rsid w:val="00EB3E5C"/>
    <w:rsid w:val="00EB436F"/>
    <w:rsid w:val="00EB499A"/>
    <w:rsid w:val="00EB4A3B"/>
    <w:rsid w:val="00EB4A9E"/>
    <w:rsid w:val="00EB4BAE"/>
    <w:rsid w:val="00EB5039"/>
    <w:rsid w:val="00EB5215"/>
    <w:rsid w:val="00EB52D2"/>
    <w:rsid w:val="00EB530A"/>
    <w:rsid w:val="00EB556E"/>
    <w:rsid w:val="00EB5B29"/>
    <w:rsid w:val="00EB5C61"/>
    <w:rsid w:val="00EB5CE6"/>
    <w:rsid w:val="00EB5D9B"/>
    <w:rsid w:val="00EB5DC4"/>
    <w:rsid w:val="00EB5F63"/>
    <w:rsid w:val="00EB603F"/>
    <w:rsid w:val="00EB606C"/>
    <w:rsid w:val="00EB62DF"/>
    <w:rsid w:val="00EB65AC"/>
    <w:rsid w:val="00EB66E4"/>
    <w:rsid w:val="00EB67BB"/>
    <w:rsid w:val="00EB6A57"/>
    <w:rsid w:val="00EB6BB2"/>
    <w:rsid w:val="00EB73F7"/>
    <w:rsid w:val="00EB76B8"/>
    <w:rsid w:val="00EB799B"/>
    <w:rsid w:val="00EB7F78"/>
    <w:rsid w:val="00EC039B"/>
    <w:rsid w:val="00EC03A1"/>
    <w:rsid w:val="00EC08AE"/>
    <w:rsid w:val="00EC09AB"/>
    <w:rsid w:val="00EC0C83"/>
    <w:rsid w:val="00EC0E02"/>
    <w:rsid w:val="00EC0F71"/>
    <w:rsid w:val="00EC1108"/>
    <w:rsid w:val="00EC11AC"/>
    <w:rsid w:val="00EC12A0"/>
    <w:rsid w:val="00EC1427"/>
    <w:rsid w:val="00EC1599"/>
    <w:rsid w:val="00EC1B38"/>
    <w:rsid w:val="00EC1D4C"/>
    <w:rsid w:val="00EC2119"/>
    <w:rsid w:val="00EC218A"/>
    <w:rsid w:val="00EC239D"/>
    <w:rsid w:val="00EC241B"/>
    <w:rsid w:val="00EC2871"/>
    <w:rsid w:val="00EC28AB"/>
    <w:rsid w:val="00EC2A5D"/>
    <w:rsid w:val="00EC2AB0"/>
    <w:rsid w:val="00EC2AB3"/>
    <w:rsid w:val="00EC2B10"/>
    <w:rsid w:val="00EC2E07"/>
    <w:rsid w:val="00EC2F5D"/>
    <w:rsid w:val="00EC3141"/>
    <w:rsid w:val="00EC3188"/>
    <w:rsid w:val="00EC32D7"/>
    <w:rsid w:val="00EC346A"/>
    <w:rsid w:val="00EC35D4"/>
    <w:rsid w:val="00EC37BF"/>
    <w:rsid w:val="00EC39DC"/>
    <w:rsid w:val="00EC3C44"/>
    <w:rsid w:val="00EC4067"/>
    <w:rsid w:val="00EC411A"/>
    <w:rsid w:val="00EC4148"/>
    <w:rsid w:val="00EC419E"/>
    <w:rsid w:val="00EC420E"/>
    <w:rsid w:val="00EC427F"/>
    <w:rsid w:val="00EC45F6"/>
    <w:rsid w:val="00EC4720"/>
    <w:rsid w:val="00EC4764"/>
    <w:rsid w:val="00EC4853"/>
    <w:rsid w:val="00EC4977"/>
    <w:rsid w:val="00EC4A5F"/>
    <w:rsid w:val="00EC4AB8"/>
    <w:rsid w:val="00EC4BFD"/>
    <w:rsid w:val="00EC5038"/>
    <w:rsid w:val="00EC52CC"/>
    <w:rsid w:val="00EC597A"/>
    <w:rsid w:val="00EC5A26"/>
    <w:rsid w:val="00EC5FAA"/>
    <w:rsid w:val="00EC647C"/>
    <w:rsid w:val="00EC652A"/>
    <w:rsid w:val="00EC68A4"/>
    <w:rsid w:val="00EC6B39"/>
    <w:rsid w:val="00EC6C3E"/>
    <w:rsid w:val="00EC6D8B"/>
    <w:rsid w:val="00EC6E3A"/>
    <w:rsid w:val="00EC7146"/>
    <w:rsid w:val="00EC72EC"/>
    <w:rsid w:val="00EC7618"/>
    <w:rsid w:val="00EC7ABF"/>
    <w:rsid w:val="00EC7BB8"/>
    <w:rsid w:val="00EC7CB1"/>
    <w:rsid w:val="00ED06C4"/>
    <w:rsid w:val="00ED0807"/>
    <w:rsid w:val="00ED0868"/>
    <w:rsid w:val="00ED08F1"/>
    <w:rsid w:val="00ED0965"/>
    <w:rsid w:val="00ED12E9"/>
    <w:rsid w:val="00ED15C8"/>
    <w:rsid w:val="00ED16B8"/>
    <w:rsid w:val="00ED1CD9"/>
    <w:rsid w:val="00ED1FFE"/>
    <w:rsid w:val="00ED23C8"/>
    <w:rsid w:val="00ED258E"/>
    <w:rsid w:val="00ED25B0"/>
    <w:rsid w:val="00ED2706"/>
    <w:rsid w:val="00ED27C6"/>
    <w:rsid w:val="00ED2B44"/>
    <w:rsid w:val="00ED2D35"/>
    <w:rsid w:val="00ED3269"/>
    <w:rsid w:val="00ED34E0"/>
    <w:rsid w:val="00ED3852"/>
    <w:rsid w:val="00ED3A0C"/>
    <w:rsid w:val="00ED3B21"/>
    <w:rsid w:val="00ED3CFE"/>
    <w:rsid w:val="00ED3DB7"/>
    <w:rsid w:val="00ED407B"/>
    <w:rsid w:val="00ED4095"/>
    <w:rsid w:val="00ED4184"/>
    <w:rsid w:val="00ED41D5"/>
    <w:rsid w:val="00ED440F"/>
    <w:rsid w:val="00ED46B0"/>
    <w:rsid w:val="00ED49BF"/>
    <w:rsid w:val="00ED49F3"/>
    <w:rsid w:val="00ED4A0E"/>
    <w:rsid w:val="00ED4B67"/>
    <w:rsid w:val="00ED4C28"/>
    <w:rsid w:val="00ED4D82"/>
    <w:rsid w:val="00ED4E4B"/>
    <w:rsid w:val="00ED529D"/>
    <w:rsid w:val="00ED5307"/>
    <w:rsid w:val="00ED5AFC"/>
    <w:rsid w:val="00ED5B32"/>
    <w:rsid w:val="00ED6241"/>
    <w:rsid w:val="00ED64B7"/>
    <w:rsid w:val="00ED6CAC"/>
    <w:rsid w:val="00ED6FC4"/>
    <w:rsid w:val="00ED716D"/>
    <w:rsid w:val="00ED731E"/>
    <w:rsid w:val="00ED7427"/>
    <w:rsid w:val="00ED78F3"/>
    <w:rsid w:val="00ED7E94"/>
    <w:rsid w:val="00EE0632"/>
    <w:rsid w:val="00EE0931"/>
    <w:rsid w:val="00EE0CAA"/>
    <w:rsid w:val="00EE1C91"/>
    <w:rsid w:val="00EE1E12"/>
    <w:rsid w:val="00EE20D8"/>
    <w:rsid w:val="00EE2656"/>
    <w:rsid w:val="00EE26BA"/>
    <w:rsid w:val="00EE27DB"/>
    <w:rsid w:val="00EE2830"/>
    <w:rsid w:val="00EE28CC"/>
    <w:rsid w:val="00EE2CB7"/>
    <w:rsid w:val="00EE2ED4"/>
    <w:rsid w:val="00EE30FE"/>
    <w:rsid w:val="00EE31CD"/>
    <w:rsid w:val="00EE3246"/>
    <w:rsid w:val="00EE3354"/>
    <w:rsid w:val="00EE33ED"/>
    <w:rsid w:val="00EE3417"/>
    <w:rsid w:val="00EE344F"/>
    <w:rsid w:val="00EE3680"/>
    <w:rsid w:val="00EE36D0"/>
    <w:rsid w:val="00EE382E"/>
    <w:rsid w:val="00EE38BA"/>
    <w:rsid w:val="00EE3A74"/>
    <w:rsid w:val="00EE3B70"/>
    <w:rsid w:val="00EE3E41"/>
    <w:rsid w:val="00EE3F26"/>
    <w:rsid w:val="00EE3F3E"/>
    <w:rsid w:val="00EE4323"/>
    <w:rsid w:val="00EE44C1"/>
    <w:rsid w:val="00EE48FB"/>
    <w:rsid w:val="00EE4A88"/>
    <w:rsid w:val="00EE4B17"/>
    <w:rsid w:val="00EE4B97"/>
    <w:rsid w:val="00EE51E5"/>
    <w:rsid w:val="00EE5418"/>
    <w:rsid w:val="00EE5537"/>
    <w:rsid w:val="00EE589A"/>
    <w:rsid w:val="00EE5C08"/>
    <w:rsid w:val="00EE5D46"/>
    <w:rsid w:val="00EE5DF6"/>
    <w:rsid w:val="00EE5E9E"/>
    <w:rsid w:val="00EE5FA6"/>
    <w:rsid w:val="00EE62B3"/>
    <w:rsid w:val="00EE6C42"/>
    <w:rsid w:val="00EE6D37"/>
    <w:rsid w:val="00EE7357"/>
    <w:rsid w:val="00EE7635"/>
    <w:rsid w:val="00EE77DC"/>
    <w:rsid w:val="00EE7AAF"/>
    <w:rsid w:val="00EE7EB5"/>
    <w:rsid w:val="00EF0699"/>
    <w:rsid w:val="00EF082E"/>
    <w:rsid w:val="00EF0931"/>
    <w:rsid w:val="00EF09D5"/>
    <w:rsid w:val="00EF0A58"/>
    <w:rsid w:val="00EF0BD8"/>
    <w:rsid w:val="00EF0C03"/>
    <w:rsid w:val="00EF0C2F"/>
    <w:rsid w:val="00EF0DE4"/>
    <w:rsid w:val="00EF138E"/>
    <w:rsid w:val="00EF1CEF"/>
    <w:rsid w:val="00EF216F"/>
    <w:rsid w:val="00EF21DE"/>
    <w:rsid w:val="00EF23C5"/>
    <w:rsid w:val="00EF2E4C"/>
    <w:rsid w:val="00EF300A"/>
    <w:rsid w:val="00EF357A"/>
    <w:rsid w:val="00EF36F5"/>
    <w:rsid w:val="00EF3F76"/>
    <w:rsid w:val="00EF3F95"/>
    <w:rsid w:val="00EF402E"/>
    <w:rsid w:val="00EF40A4"/>
    <w:rsid w:val="00EF4199"/>
    <w:rsid w:val="00EF42B0"/>
    <w:rsid w:val="00EF44FD"/>
    <w:rsid w:val="00EF4A85"/>
    <w:rsid w:val="00EF4B3D"/>
    <w:rsid w:val="00EF515B"/>
    <w:rsid w:val="00EF53E4"/>
    <w:rsid w:val="00EF546C"/>
    <w:rsid w:val="00EF55A5"/>
    <w:rsid w:val="00EF5BCF"/>
    <w:rsid w:val="00EF5C45"/>
    <w:rsid w:val="00EF5E2A"/>
    <w:rsid w:val="00EF5E9B"/>
    <w:rsid w:val="00EF61B5"/>
    <w:rsid w:val="00EF6360"/>
    <w:rsid w:val="00EF6538"/>
    <w:rsid w:val="00EF6629"/>
    <w:rsid w:val="00EF6731"/>
    <w:rsid w:val="00EF6957"/>
    <w:rsid w:val="00EF6A66"/>
    <w:rsid w:val="00EF6CC4"/>
    <w:rsid w:val="00EF6E3F"/>
    <w:rsid w:val="00EF6E5F"/>
    <w:rsid w:val="00EF6EFF"/>
    <w:rsid w:val="00EF70B2"/>
    <w:rsid w:val="00EF73DC"/>
    <w:rsid w:val="00EF75A6"/>
    <w:rsid w:val="00EF77AC"/>
    <w:rsid w:val="00EF79E9"/>
    <w:rsid w:val="00EF7A6C"/>
    <w:rsid w:val="00EF7D82"/>
    <w:rsid w:val="00EF7D9B"/>
    <w:rsid w:val="00EF7DC4"/>
    <w:rsid w:val="00EF7DFE"/>
    <w:rsid w:val="00EF7E1A"/>
    <w:rsid w:val="00F000B8"/>
    <w:rsid w:val="00F0013A"/>
    <w:rsid w:val="00F00324"/>
    <w:rsid w:val="00F00473"/>
    <w:rsid w:val="00F00522"/>
    <w:rsid w:val="00F005BB"/>
    <w:rsid w:val="00F0072A"/>
    <w:rsid w:val="00F008A6"/>
    <w:rsid w:val="00F0093A"/>
    <w:rsid w:val="00F0096E"/>
    <w:rsid w:val="00F00A31"/>
    <w:rsid w:val="00F00DA2"/>
    <w:rsid w:val="00F00E70"/>
    <w:rsid w:val="00F010EF"/>
    <w:rsid w:val="00F01168"/>
    <w:rsid w:val="00F0123E"/>
    <w:rsid w:val="00F01637"/>
    <w:rsid w:val="00F01AC2"/>
    <w:rsid w:val="00F0229D"/>
    <w:rsid w:val="00F02334"/>
    <w:rsid w:val="00F024F1"/>
    <w:rsid w:val="00F02637"/>
    <w:rsid w:val="00F0293F"/>
    <w:rsid w:val="00F02AC6"/>
    <w:rsid w:val="00F02AE9"/>
    <w:rsid w:val="00F02C4A"/>
    <w:rsid w:val="00F02D7E"/>
    <w:rsid w:val="00F02FE0"/>
    <w:rsid w:val="00F0334D"/>
    <w:rsid w:val="00F03376"/>
    <w:rsid w:val="00F033E7"/>
    <w:rsid w:val="00F03409"/>
    <w:rsid w:val="00F034BB"/>
    <w:rsid w:val="00F034F8"/>
    <w:rsid w:val="00F03622"/>
    <w:rsid w:val="00F03830"/>
    <w:rsid w:val="00F038EF"/>
    <w:rsid w:val="00F03D33"/>
    <w:rsid w:val="00F03D5E"/>
    <w:rsid w:val="00F0486F"/>
    <w:rsid w:val="00F048D5"/>
    <w:rsid w:val="00F04B36"/>
    <w:rsid w:val="00F04D38"/>
    <w:rsid w:val="00F04E18"/>
    <w:rsid w:val="00F04E27"/>
    <w:rsid w:val="00F04E9C"/>
    <w:rsid w:val="00F04F97"/>
    <w:rsid w:val="00F051A2"/>
    <w:rsid w:val="00F05235"/>
    <w:rsid w:val="00F05588"/>
    <w:rsid w:val="00F05689"/>
    <w:rsid w:val="00F05981"/>
    <w:rsid w:val="00F0598D"/>
    <w:rsid w:val="00F05C9E"/>
    <w:rsid w:val="00F0611B"/>
    <w:rsid w:val="00F06556"/>
    <w:rsid w:val="00F0667A"/>
    <w:rsid w:val="00F066F6"/>
    <w:rsid w:val="00F06868"/>
    <w:rsid w:val="00F06871"/>
    <w:rsid w:val="00F06A9E"/>
    <w:rsid w:val="00F06B8F"/>
    <w:rsid w:val="00F07104"/>
    <w:rsid w:val="00F071B2"/>
    <w:rsid w:val="00F073FE"/>
    <w:rsid w:val="00F074EE"/>
    <w:rsid w:val="00F07623"/>
    <w:rsid w:val="00F07C0B"/>
    <w:rsid w:val="00F07D9B"/>
    <w:rsid w:val="00F10520"/>
    <w:rsid w:val="00F106B0"/>
    <w:rsid w:val="00F10899"/>
    <w:rsid w:val="00F10905"/>
    <w:rsid w:val="00F10D25"/>
    <w:rsid w:val="00F10DF3"/>
    <w:rsid w:val="00F10E24"/>
    <w:rsid w:val="00F10E63"/>
    <w:rsid w:val="00F1101E"/>
    <w:rsid w:val="00F116C7"/>
    <w:rsid w:val="00F1186B"/>
    <w:rsid w:val="00F11A8B"/>
    <w:rsid w:val="00F11DCE"/>
    <w:rsid w:val="00F11E23"/>
    <w:rsid w:val="00F11E74"/>
    <w:rsid w:val="00F11FCF"/>
    <w:rsid w:val="00F125AB"/>
    <w:rsid w:val="00F126DB"/>
    <w:rsid w:val="00F127BB"/>
    <w:rsid w:val="00F1293F"/>
    <w:rsid w:val="00F12A05"/>
    <w:rsid w:val="00F12B00"/>
    <w:rsid w:val="00F12DD5"/>
    <w:rsid w:val="00F12E49"/>
    <w:rsid w:val="00F1302F"/>
    <w:rsid w:val="00F1318E"/>
    <w:rsid w:val="00F1330B"/>
    <w:rsid w:val="00F13323"/>
    <w:rsid w:val="00F13422"/>
    <w:rsid w:val="00F13463"/>
    <w:rsid w:val="00F137F0"/>
    <w:rsid w:val="00F13B2E"/>
    <w:rsid w:val="00F14089"/>
    <w:rsid w:val="00F14219"/>
    <w:rsid w:val="00F142C4"/>
    <w:rsid w:val="00F14337"/>
    <w:rsid w:val="00F14820"/>
    <w:rsid w:val="00F148E0"/>
    <w:rsid w:val="00F14918"/>
    <w:rsid w:val="00F14BB0"/>
    <w:rsid w:val="00F150B8"/>
    <w:rsid w:val="00F150BC"/>
    <w:rsid w:val="00F15778"/>
    <w:rsid w:val="00F1578B"/>
    <w:rsid w:val="00F15C36"/>
    <w:rsid w:val="00F15C57"/>
    <w:rsid w:val="00F15C72"/>
    <w:rsid w:val="00F15CB3"/>
    <w:rsid w:val="00F15E14"/>
    <w:rsid w:val="00F15F0A"/>
    <w:rsid w:val="00F1601C"/>
    <w:rsid w:val="00F1675A"/>
    <w:rsid w:val="00F16955"/>
    <w:rsid w:val="00F16A6C"/>
    <w:rsid w:val="00F16E23"/>
    <w:rsid w:val="00F16F95"/>
    <w:rsid w:val="00F1711E"/>
    <w:rsid w:val="00F171B5"/>
    <w:rsid w:val="00F171D5"/>
    <w:rsid w:val="00F173EE"/>
    <w:rsid w:val="00F17BED"/>
    <w:rsid w:val="00F17D7A"/>
    <w:rsid w:val="00F20090"/>
    <w:rsid w:val="00F20178"/>
    <w:rsid w:val="00F20642"/>
    <w:rsid w:val="00F20649"/>
    <w:rsid w:val="00F2097D"/>
    <w:rsid w:val="00F20A17"/>
    <w:rsid w:val="00F20E71"/>
    <w:rsid w:val="00F20EC9"/>
    <w:rsid w:val="00F21237"/>
    <w:rsid w:val="00F2131B"/>
    <w:rsid w:val="00F21372"/>
    <w:rsid w:val="00F216B8"/>
    <w:rsid w:val="00F2181C"/>
    <w:rsid w:val="00F2185C"/>
    <w:rsid w:val="00F218A4"/>
    <w:rsid w:val="00F21C92"/>
    <w:rsid w:val="00F21E46"/>
    <w:rsid w:val="00F222B1"/>
    <w:rsid w:val="00F2241C"/>
    <w:rsid w:val="00F22496"/>
    <w:rsid w:val="00F22565"/>
    <w:rsid w:val="00F2268C"/>
    <w:rsid w:val="00F22799"/>
    <w:rsid w:val="00F229BC"/>
    <w:rsid w:val="00F22EE7"/>
    <w:rsid w:val="00F23208"/>
    <w:rsid w:val="00F2341A"/>
    <w:rsid w:val="00F23748"/>
    <w:rsid w:val="00F239F2"/>
    <w:rsid w:val="00F23CA4"/>
    <w:rsid w:val="00F23FD8"/>
    <w:rsid w:val="00F24053"/>
    <w:rsid w:val="00F244CA"/>
    <w:rsid w:val="00F246A5"/>
    <w:rsid w:val="00F24BE5"/>
    <w:rsid w:val="00F24D0C"/>
    <w:rsid w:val="00F24D1D"/>
    <w:rsid w:val="00F24DD9"/>
    <w:rsid w:val="00F24DDD"/>
    <w:rsid w:val="00F24DF0"/>
    <w:rsid w:val="00F24E4A"/>
    <w:rsid w:val="00F24F25"/>
    <w:rsid w:val="00F24FCD"/>
    <w:rsid w:val="00F2501F"/>
    <w:rsid w:val="00F250A8"/>
    <w:rsid w:val="00F25476"/>
    <w:rsid w:val="00F25840"/>
    <w:rsid w:val="00F258F8"/>
    <w:rsid w:val="00F25B27"/>
    <w:rsid w:val="00F25DC2"/>
    <w:rsid w:val="00F25F24"/>
    <w:rsid w:val="00F262D0"/>
    <w:rsid w:val="00F264B1"/>
    <w:rsid w:val="00F2650A"/>
    <w:rsid w:val="00F26980"/>
    <w:rsid w:val="00F269B0"/>
    <w:rsid w:val="00F27471"/>
    <w:rsid w:val="00F275E8"/>
    <w:rsid w:val="00F27A57"/>
    <w:rsid w:val="00F27B41"/>
    <w:rsid w:val="00F27B4A"/>
    <w:rsid w:val="00F3015E"/>
    <w:rsid w:val="00F30229"/>
    <w:rsid w:val="00F303D0"/>
    <w:rsid w:val="00F30954"/>
    <w:rsid w:val="00F30B97"/>
    <w:rsid w:val="00F30CFB"/>
    <w:rsid w:val="00F30F17"/>
    <w:rsid w:val="00F30FAF"/>
    <w:rsid w:val="00F311C2"/>
    <w:rsid w:val="00F312D7"/>
    <w:rsid w:val="00F31574"/>
    <w:rsid w:val="00F317CD"/>
    <w:rsid w:val="00F31922"/>
    <w:rsid w:val="00F319B5"/>
    <w:rsid w:val="00F31E4F"/>
    <w:rsid w:val="00F320FE"/>
    <w:rsid w:val="00F322A1"/>
    <w:rsid w:val="00F32720"/>
    <w:rsid w:val="00F3287C"/>
    <w:rsid w:val="00F328B5"/>
    <w:rsid w:val="00F32C30"/>
    <w:rsid w:val="00F32D24"/>
    <w:rsid w:val="00F32ECF"/>
    <w:rsid w:val="00F332BA"/>
    <w:rsid w:val="00F334CC"/>
    <w:rsid w:val="00F33617"/>
    <w:rsid w:val="00F33718"/>
    <w:rsid w:val="00F33B9E"/>
    <w:rsid w:val="00F341CF"/>
    <w:rsid w:val="00F341D4"/>
    <w:rsid w:val="00F341ED"/>
    <w:rsid w:val="00F343C4"/>
    <w:rsid w:val="00F34871"/>
    <w:rsid w:val="00F34925"/>
    <w:rsid w:val="00F34FC5"/>
    <w:rsid w:val="00F35463"/>
    <w:rsid w:val="00F356A7"/>
    <w:rsid w:val="00F35750"/>
    <w:rsid w:val="00F35935"/>
    <w:rsid w:val="00F359C0"/>
    <w:rsid w:val="00F35BA7"/>
    <w:rsid w:val="00F35D44"/>
    <w:rsid w:val="00F35EDE"/>
    <w:rsid w:val="00F361CB"/>
    <w:rsid w:val="00F363FD"/>
    <w:rsid w:val="00F36E4D"/>
    <w:rsid w:val="00F37127"/>
    <w:rsid w:val="00F3719D"/>
    <w:rsid w:val="00F3741C"/>
    <w:rsid w:val="00F3765C"/>
    <w:rsid w:val="00F3793F"/>
    <w:rsid w:val="00F37A81"/>
    <w:rsid w:val="00F37CD8"/>
    <w:rsid w:val="00F37FB8"/>
    <w:rsid w:val="00F37FF7"/>
    <w:rsid w:val="00F40052"/>
    <w:rsid w:val="00F40255"/>
    <w:rsid w:val="00F4027C"/>
    <w:rsid w:val="00F402DF"/>
    <w:rsid w:val="00F402E4"/>
    <w:rsid w:val="00F40382"/>
    <w:rsid w:val="00F40570"/>
    <w:rsid w:val="00F4067C"/>
    <w:rsid w:val="00F407C4"/>
    <w:rsid w:val="00F40893"/>
    <w:rsid w:val="00F40969"/>
    <w:rsid w:val="00F40970"/>
    <w:rsid w:val="00F40AE2"/>
    <w:rsid w:val="00F40E2C"/>
    <w:rsid w:val="00F41184"/>
    <w:rsid w:val="00F411FA"/>
    <w:rsid w:val="00F41581"/>
    <w:rsid w:val="00F415FD"/>
    <w:rsid w:val="00F417C3"/>
    <w:rsid w:val="00F419A4"/>
    <w:rsid w:val="00F41A6D"/>
    <w:rsid w:val="00F41AF2"/>
    <w:rsid w:val="00F41B5D"/>
    <w:rsid w:val="00F4215B"/>
    <w:rsid w:val="00F4236D"/>
    <w:rsid w:val="00F4238F"/>
    <w:rsid w:val="00F42441"/>
    <w:rsid w:val="00F42472"/>
    <w:rsid w:val="00F425A8"/>
    <w:rsid w:val="00F42A32"/>
    <w:rsid w:val="00F42A43"/>
    <w:rsid w:val="00F42BCE"/>
    <w:rsid w:val="00F42C70"/>
    <w:rsid w:val="00F42DCB"/>
    <w:rsid w:val="00F432C1"/>
    <w:rsid w:val="00F4332E"/>
    <w:rsid w:val="00F43662"/>
    <w:rsid w:val="00F437C2"/>
    <w:rsid w:val="00F43C1B"/>
    <w:rsid w:val="00F43F57"/>
    <w:rsid w:val="00F444C9"/>
    <w:rsid w:val="00F44EB5"/>
    <w:rsid w:val="00F450AC"/>
    <w:rsid w:val="00F451B8"/>
    <w:rsid w:val="00F45274"/>
    <w:rsid w:val="00F452F5"/>
    <w:rsid w:val="00F45808"/>
    <w:rsid w:val="00F458D2"/>
    <w:rsid w:val="00F45EEE"/>
    <w:rsid w:val="00F45FD3"/>
    <w:rsid w:val="00F4604C"/>
    <w:rsid w:val="00F46196"/>
    <w:rsid w:val="00F465A8"/>
    <w:rsid w:val="00F468D5"/>
    <w:rsid w:val="00F46A6D"/>
    <w:rsid w:val="00F46FCA"/>
    <w:rsid w:val="00F46FF9"/>
    <w:rsid w:val="00F4711D"/>
    <w:rsid w:val="00F47166"/>
    <w:rsid w:val="00F47595"/>
    <w:rsid w:val="00F47759"/>
    <w:rsid w:val="00F47806"/>
    <w:rsid w:val="00F47824"/>
    <w:rsid w:val="00F479EA"/>
    <w:rsid w:val="00F5017B"/>
    <w:rsid w:val="00F501FB"/>
    <w:rsid w:val="00F502EB"/>
    <w:rsid w:val="00F503FE"/>
    <w:rsid w:val="00F50474"/>
    <w:rsid w:val="00F5064C"/>
    <w:rsid w:val="00F50684"/>
    <w:rsid w:val="00F50A43"/>
    <w:rsid w:val="00F50C9E"/>
    <w:rsid w:val="00F50FD3"/>
    <w:rsid w:val="00F510E3"/>
    <w:rsid w:val="00F512E3"/>
    <w:rsid w:val="00F516D2"/>
    <w:rsid w:val="00F51C0C"/>
    <w:rsid w:val="00F51DEF"/>
    <w:rsid w:val="00F5217A"/>
    <w:rsid w:val="00F5229E"/>
    <w:rsid w:val="00F522E2"/>
    <w:rsid w:val="00F5239D"/>
    <w:rsid w:val="00F5243A"/>
    <w:rsid w:val="00F525B5"/>
    <w:rsid w:val="00F5260C"/>
    <w:rsid w:val="00F52643"/>
    <w:rsid w:val="00F52644"/>
    <w:rsid w:val="00F526BB"/>
    <w:rsid w:val="00F5291C"/>
    <w:rsid w:val="00F52942"/>
    <w:rsid w:val="00F52997"/>
    <w:rsid w:val="00F52A2C"/>
    <w:rsid w:val="00F52BA1"/>
    <w:rsid w:val="00F52CA9"/>
    <w:rsid w:val="00F52CF6"/>
    <w:rsid w:val="00F53080"/>
    <w:rsid w:val="00F5328C"/>
    <w:rsid w:val="00F53422"/>
    <w:rsid w:val="00F53926"/>
    <w:rsid w:val="00F53AF8"/>
    <w:rsid w:val="00F53B75"/>
    <w:rsid w:val="00F53D77"/>
    <w:rsid w:val="00F54298"/>
    <w:rsid w:val="00F542AB"/>
    <w:rsid w:val="00F544BE"/>
    <w:rsid w:val="00F545CD"/>
    <w:rsid w:val="00F545EC"/>
    <w:rsid w:val="00F5482F"/>
    <w:rsid w:val="00F54852"/>
    <w:rsid w:val="00F548BB"/>
    <w:rsid w:val="00F54A80"/>
    <w:rsid w:val="00F54DD2"/>
    <w:rsid w:val="00F54E08"/>
    <w:rsid w:val="00F556BE"/>
    <w:rsid w:val="00F5587E"/>
    <w:rsid w:val="00F558EA"/>
    <w:rsid w:val="00F559C7"/>
    <w:rsid w:val="00F55F2A"/>
    <w:rsid w:val="00F560E9"/>
    <w:rsid w:val="00F561EF"/>
    <w:rsid w:val="00F562D7"/>
    <w:rsid w:val="00F56343"/>
    <w:rsid w:val="00F5668B"/>
    <w:rsid w:val="00F568E3"/>
    <w:rsid w:val="00F56B5B"/>
    <w:rsid w:val="00F56D17"/>
    <w:rsid w:val="00F57088"/>
    <w:rsid w:val="00F570B2"/>
    <w:rsid w:val="00F5711F"/>
    <w:rsid w:val="00F5730E"/>
    <w:rsid w:val="00F574B5"/>
    <w:rsid w:val="00F5752A"/>
    <w:rsid w:val="00F57790"/>
    <w:rsid w:val="00F57A84"/>
    <w:rsid w:val="00F57DD8"/>
    <w:rsid w:val="00F60157"/>
    <w:rsid w:val="00F60283"/>
    <w:rsid w:val="00F602A4"/>
    <w:rsid w:val="00F60413"/>
    <w:rsid w:val="00F6055A"/>
    <w:rsid w:val="00F6060B"/>
    <w:rsid w:val="00F61229"/>
    <w:rsid w:val="00F61BD9"/>
    <w:rsid w:val="00F61DFD"/>
    <w:rsid w:val="00F61F64"/>
    <w:rsid w:val="00F621AE"/>
    <w:rsid w:val="00F62238"/>
    <w:rsid w:val="00F622FF"/>
    <w:rsid w:val="00F6233A"/>
    <w:rsid w:val="00F62615"/>
    <w:rsid w:val="00F62733"/>
    <w:rsid w:val="00F62C18"/>
    <w:rsid w:val="00F62CC4"/>
    <w:rsid w:val="00F63471"/>
    <w:rsid w:val="00F635C0"/>
    <w:rsid w:val="00F6374A"/>
    <w:rsid w:val="00F63962"/>
    <w:rsid w:val="00F63C8D"/>
    <w:rsid w:val="00F63F08"/>
    <w:rsid w:val="00F63F33"/>
    <w:rsid w:val="00F6412D"/>
    <w:rsid w:val="00F64166"/>
    <w:rsid w:val="00F64208"/>
    <w:rsid w:val="00F64453"/>
    <w:rsid w:val="00F644C0"/>
    <w:rsid w:val="00F6456A"/>
    <w:rsid w:val="00F6479D"/>
    <w:rsid w:val="00F64A5E"/>
    <w:rsid w:val="00F64B21"/>
    <w:rsid w:val="00F64E00"/>
    <w:rsid w:val="00F64EFD"/>
    <w:rsid w:val="00F64F5A"/>
    <w:rsid w:val="00F64FCD"/>
    <w:rsid w:val="00F65045"/>
    <w:rsid w:val="00F65078"/>
    <w:rsid w:val="00F65333"/>
    <w:rsid w:val="00F65461"/>
    <w:rsid w:val="00F6549E"/>
    <w:rsid w:val="00F65B2A"/>
    <w:rsid w:val="00F65BC3"/>
    <w:rsid w:val="00F660CB"/>
    <w:rsid w:val="00F660F9"/>
    <w:rsid w:val="00F66480"/>
    <w:rsid w:val="00F66D4F"/>
    <w:rsid w:val="00F66D90"/>
    <w:rsid w:val="00F66EA9"/>
    <w:rsid w:val="00F670ED"/>
    <w:rsid w:val="00F6735C"/>
    <w:rsid w:val="00F675ED"/>
    <w:rsid w:val="00F6796E"/>
    <w:rsid w:val="00F67B01"/>
    <w:rsid w:val="00F67B4D"/>
    <w:rsid w:val="00F67E9A"/>
    <w:rsid w:val="00F7023B"/>
    <w:rsid w:val="00F70287"/>
    <w:rsid w:val="00F70545"/>
    <w:rsid w:val="00F70592"/>
    <w:rsid w:val="00F705D9"/>
    <w:rsid w:val="00F70DA5"/>
    <w:rsid w:val="00F70E8B"/>
    <w:rsid w:val="00F70E9D"/>
    <w:rsid w:val="00F7146B"/>
    <w:rsid w:val="00F714E3"/>
    <w:rsid w:val="00F7152E"/>
    <w:rsid w:val="00F7158E"/>
    <w:rsid w:val="00F719AA"/>
    <w:rsid w:val="00F71A4D"/>
    <w:rsid w:val="00F72048"/>
    <w:rsid w:val="00F722DF"/>
    <w:rsid w:val="00F72346"/>
    <w:rsid w:val="00F723E4"/>
    <w:rsid w:val="00F725D0"/>
    <w:rsid w:val="00F726EE"/>
    <w:rsid w:val="00F72A8D"/>
    <w:rsid w:val="00F72CA5"/>
    <w:rsid w:val="00F733BE"/>
    <w:rsid w:val="00F735F6"/>
    <w:rsid w:val="00F73633"/>
    <w:rsid w:val="00F7371B"/>
    <w:rsid w:val="00F73759"/>
    <w:rsid w:val="00F73B7E"/>
    <w:rsid w:val="00F73FC1"/>
    <w:rsid w:val="00F7492E"/>
    <w:rsid w:val="00F74B3A"/>
    <w:rsid w:val="00F74BC0"/>
    <w:rsid w:val="00F74BE1"/>
    <w:rsid w:val="00F7539C"/>
    <w:rsid w:val="00F75990"/>
    <w:rsid w:val="00F75D6F"/>
    <w:rsid w:val="00F7617C"/>
    <w:rsid w:val="00F761EC"/>
    <w:rsid w:val="00F7641E"/>
    <w:rsid w:val="00F76727"/>
    <w:rsid w:val="00F7686D"/>
    <w:rsid w:val="00F76C08"/>
    <w:rsid w:val="00F76C93"/>
    <w:rsid w:val="00F76CEB"/>
    <w:rsid w:val="00F76D5C"/>
    <w:rsid w:val="00F77062"/>
    <w:rsid w:val="00F77285"/>
    <w:rsid w:val="00F777A0"/>
    <w:rsid w:val="00F779C3"/>
    <w:rsid w:val="00F77B46"/>
    <w:rsid w:val="00F77BCB"/>
    <w:rsid w:val="00F77C9C"/>
    <w:rsid w:val="00F77EBD"/>
    <w:rsid w:val="00F8009C"/>
    <w:rsid w:val="00F800CC"/>
    <w:rsid w:val="00F801AA"/>
    <w:rsid w:val="00F80673"/>
    <w:rsid w:val="00F80689"/>
    <w:rsid w:val="00F80D29"/>
    <w:rsid w:val="00F80E1E"/>
    <w:rsid w:val="00F812CA"/>
    <w:rsid w:val="00F81572"/>
    <w:rsid w:val="00F81CA6"/>
    <w:rsid w:val="00F82242"/>
    <w:rsid w:val="00F822D6"/>
    <w:rsid w:val="00F8235F"/>
    <w:rsid w:val="00F82406"/>
    <w:rsid w:val="00F82515"/>
    <w:rsid w:val="00F82715"/>
    <w:rsid w:val="00F828B6"/>
    <w:rsid w:val="00F82993"/>
    <w:rsid w:val="00F82DD0"/>
    <w:rsid w:val="00F830D7"/>
    <w:rsid w:val="00F8311E"/>
    <w:rsid w:val="00F8311F"/>
    <w:rsid w:val="00F8322A"/>
    <w:rsid w:val="00F83259"/>
    <w:rsid w:val="00F832B0"/>
    <w:rsid w:val="00F83338"/>
    <w:rsid w:val="00F83768"/>
    <w:rsid w:val="00F8376D"/>
    <w:rsid w:val="00F8382C"/>
    <w:rsid w:val="00F838A5"/>
    <w:rsid w:val="00F83BA8"/>
    <w:rsid w:val="00F83D6A"/>
    <w:rsid w:val="00F83EDA"/>
    <w:rsid w:val="00F83F72"/>
    <w:rsid w:val="00F845DB"/>
    <w:rsid w:val="00F84804"/>
    <w:rsid w:val="00F848BD"/>
    <w:rsid w:val="00F84B17"/>
    <w:rsid w:val="00F84C63"/>
    <w:rsid w:val="00F85175"/>
    <w:rsid w:val="00F856D4"/>
    <w:rsid w:val="00F85874"/>
    <w:rsid w:val="00F85B0F"/>
    <w:rsid w:val="00F85C00"/>
    <w:rsid w:val="00F85F44"/>
    <w:rsid w:val="00F8648F"/>
    <w:rsid w:val="00F864C5"/>
    <w:rsid w:val="00F86508"/>
    <w:rsid w:val="00F865EB"/>
    <w:rsid w:val="00F866F7"/>
    <w:rsid w:val="00F86922"/>
    <w:rsid w:val="00F86950"/>
    <w:rsid w:val="00F86B6E"/>
    <w:rsid w:val="00F86C0B"/>
    <w:rsid w:val="00F86DAF"/>
    <w:rsid w:val="00F871DC"/>
    <w:rsid w:val="00F8767E"/>
    <w:rsid w:val="00F87721"/>
    <w:rsid w:val="00F87809"/>
    <w:rsid w:val="00F87841"/>
    <w:rsid w:val="00F87911"/>
    <w:rsid w:val="00F87924"/>
    <w:rsid w:val="00F87A06"/>
    <w:rsid w:val="00F87A8D"/>
    <w:rsid w:val="00F87E7E"/>
    <w:rsid w:val="00F900CD"/>
    <w:rsid w:val="00F90186"/>
    <w:rsid w:val="00F90626"/>
    <w:rsid w:val="00F90923"/>
    <w:rsid w:val="00F90A5A"/>
    <w:rsid w:val="00F90E81"/>
    <w:rsid w:val="00F90F4C"/>
    <w:rsid w:val="00F91288"/>
    <w:rsid w:val="00F91C60"/>
    <w:rsid w:val="00F91EFF"/>
    <w:rsid w:val="00F91F6E"/>
    <w:rsid w:val="00F9212A"/>
    <w:rsid w:val="00F9216E"/>
    <w:rsid w:val="00F9228E"/>
    <w:rsid w:val="00F922D4"/>
    <w:rsid w:val="00F9246E"/>
    <w:rsid w:val="00F929D9"/>
    <w:rsid w:val="00F92C21"/>
    <w:rsid w:val="00F92FD1"/>
    <w:rsid w:val="00F93414"/>
    <w:rsid w:val="00F93B5E"/>
    <w:rsid w:val="00F941D5"/>
    <w:rsid w:val="00F94206"/>
    <w:rsid w:val="00F94451"/>
    <w:rsid w:val="00F94792"/>
    <w:rsid w:val="00F94847"/>
    <w:rsid w:val="00F94854"/>
    <w:rsid w:val="00F94D95"/>
    <w:rsid w:val="00F94EDB"/>
    <w:rsid w:val="00F9500D"/>
    <w:rsid w:val="00F95027"/>
    <w:rsid w:val="00F95352"/>
    <w:rsid w:val="00F95761"/>
    <w:rsid w:val="00F958B3"/>
    <w:rsid w:val="00F95A0C"/>
    <w:rsid w:val="00F95A3C"/>
    <w:rsid w:val="00F95F12"/>
    <w:rsid w:val="00F96040"/>
    <w:rsid w:val="00F960F4"/>
    <w:rsid w:val="00F962FB"/>
    <w:rsid w:val="00F9636A"/>
    <w:rsid w:val="00F96469"/>
    <w:rsid w:val="00F9653B"/>
    <w:rsid w:val="00F96552"/>
    <w:rsid w:val="00F96555"/>
    <w:rsid w:val="00F9656D"/>
    <w:rsid w:val="00F96A40"/>
    <w:rsid w:val="00F971BD"/>
    <w:rsid w:val="00F97343"/>
    <w:rsid w:val="00F97394"/>
    <w:rsid w:val="00F97557"/>
    <w:rsid w:val="00F97865"/>
    <w:rsid w:val="00F97F64"/>
    <w:rsid w:val="00F97FEE"/>
    <w:rsid w:val="00FA0304"/>
    <w:rsid w:val="00FA0388"/>
    <w:rsid w:val="00FA06FB"/>
    <w:rsid w:val="00FA0793"/>
    <w:rsid w:val="00FA0856"/>
    <w:rsid w:val="00FA111F"/>
    <w:rsid w:val="00FA1156"/>
    <w:rsid w:val="00FA11F1"/>
    <w:rsid w:val="00FA14A9"/>
    <w:rsid w:val="00FA156A"/>
    <w:rsid w:val="00FA1788"/>
    <w:rsid w:val="00FA18C0"/>
    <w:rsid w:val="00FA1C8A"/>
    <w:rsid w:val="00FA1E55"/>
    <w:rsid w:val="00FA1F60"/>
    <w:rsid w:val="00FA207B"/>
    <w:rsid w:val="00FA223F"/>
    <w:rsid w:val="00FA23C4"/>
    <w:rsid w:val="00FA2537"/>
    <w:rsid w:val="00FA2683"/>
    <w:rsid w:val="00FA27BE"/>
    <w:rsid w:val="00FA2B07"/>
    <w:rsid w:val="00FA2BF9"/>
    <w:rsid w:val="00FA2E47"/>
    <w:rsid w:val="00FA35B2"/>
    <w:rsid w:val="00FA3692"/>
    <w:rsid w:val="00FA3A5A"/>
    <w:rsid w:val="00FA3DFB"/>
    <w:rsid w:val="00FA40D9"/>
    <w:rsid w:val="00FA4514"/>
    <w:rsid w:val="00FA4637"/>
    <w:rsid w:val="00FA4652"/>
    <w:rsid w:val="00FA46BA"/>
    <w:rsid w:val="00FA4A1D"/>
    <w:rsid w:val="00FA4BA3"/>
    <w:rsid w:val="00FA4E59"/>
    <w:rsid w:val="00FA4F37"/>
    <w:rsid w:val="00FA5865"/>
    <w:rsid w:val="00FA5A1A"/>
    <w:rsid w:val="00FA5A47"/>
    <w:rsid w:val="00FA6067"/>
    <w:rsid w:val="00FA60DE"/>
    <w:rsid w:val="00FA6345"/>
    <w:rsid w:val="00FA63D1"/>
    <w:rsid w:val="00FA642F"/>
    <w:rsid w:val="00FA6522"/>
    <w:rsid w:val="00FA65F6"/>
    <w:rsid w:val="00FA6614"/>
    <w:rsid w:val="00FA66A5"/>
    <w:rsid w:val="00FA6962"/>
    <w:rsid w:val="00FA6AD7"/>
    <w:rsid w:val="00FA6DD7"/>
    <w:rsid w:val="00FA6EDF"/>
    <w:rsid w:val="00FA6EED"/>
    <w:rsid w:val="00FA76EA"/>
    <w:rsid w:val="00FA7C7B"/>
    <w:rsid w:val="00FA7DB8"/>
    <w:rsid w:val="00FA7DC1"/>
    <w:rsid w:val="00FA7DCE"/>
    <w:rsid w:val="00FA7FBA"/>
    <w:rsid w:val="00FB04AA"/>
    <w:rsid w:val="00FB0667"/>
    <w:rsid w:val="00FB0834"/>
    <w:rsid w:val="00FB0953"/>
    <w:rsid w:val="00FB099B"/>
    <w:rsid w:val="00FB0AFD"/>
    <w:rsid w:val="00FB0DA2"/>
    <w:rsid w:val="00FB0E43"/>
    <w:rsid w:val="00FB0EBC"/>
    <w:rsid w:val="00FB1040"/>
    <w:rsid w:val="00FB107F"/>
    <w:rsid w:val="00FB11CB"/>
    <w:rsid w:val="00FB1310"/>
    <w:rsid w:val="00FB14F3"/>
    <w:rsid w:val="00FB1597"/>
    <w:rsid w:val="00FB16DF"/>
    <w:rsid w:val="00FB18E4"/>
    <w:rsid w:val="00FB1A0A"/>
    <w:rsid w:val="00FB1D0A"/>
    <w:rsid w:val="00FB1FFA"/>
    <w:rsid w:val="00FB21FA"/>
    <w:rsid w:val="00FB2536"/>
    <w:rsid w:val="00FB299F"/>
    <w:rsid w:val="00FB2E06"/>
    <w:rsid w:val="00FB3265"/>
    <w:rsid w:val="00FB329C"/>
    <w:rsid w:val="00FB33E0"/>
    <w:rsid w:val="00FB37FE"/>
    <w:rsid w:val="00FB3BDD"/>
    <w:rsid w:val="00FB3C49"/>
    <w:rsid w:val="00FB3C92"/>
    <w:rsid w:val="00FB3F03"/>
    <w:rsid w:val="00FB3FC2"/>
    <w:rsid w:val="00FB4267"/>
    <w:rsid w:val="00FB42D8"/>
    <w:rsid w:val="00FB435D"/>
    <w:rsid w:val="00FB44FE"/>
    <w:rsid w:val="00FB4789"/>
    <w:rsid w:val="00FB5029"/>
    <w:rsid w:val="00FB504D"/>
    <w:rsid w:val="00FB5065"/>
    <w:rsid w:val="00FB5117"/>
    <w:rsid w:val="00FB52DF"/>
    <w:rsid w:val="00FB52FB"/>
    <w:rsid w:val="00FB532C"/>
    <w:rsid w:val="00FB5347"/>
    <w:rsid w:val="00FB54C2"/>
    <w:rsid w:val="00FB572F"/>
    <w:rsid w:val="00FB5B92"/>
    <w:rsid w:val="00FB5C47"/>
    <w:rsid w:val="00FB6161"/>
    <w:rsid w:val="00FB618E"/>
    <w:rsid w:val="00FB61DF"/>
    <w:rsid w:val="00FB61FC"/>
    <w:rsid w:val="00FB6371"/>
    <w:rsid w:val="00FB655D"/>
    <w:rsid w:val="00FB6675"/>
    <w:rsid w:val="00FB6783"/>
    <w:rsid w:val="00FB696B"/>
    <w:rsid w:val="00FB6E17"/>
    <w:rsid w:val="00FB7070"/>
    <w:rsid w:val="00FB7195"/>
    <w:rsid w:val="00FB7729"/>
    <w:rsid w:val="00FB7831"/>
    <w:rsid w:val="00FB79C2"/>
    <w:rsid w:val="00FB7B6A"/>
    <w:rsid w:val="00FB7F62"/>
    <w:rsid w:val="00FB7FF8"/>
    <w:rsid w:val="00FC01DA"/>
    <w:rsid w:val="00FC050F"/>
    <w:rsid w:val="00FC0F98"/>
    <w:rsid w:val="00FC11DB"/>
    <w:rsid w:val="00FC1568"/>
    <w:rsid w:val="00FC183B"/>
    <w:rsid w:val="00FC195C"/>
    <w:rsid w:val="00FC198E"/>
    <w:rsid w:val="00FC1A26"/>
    <w:rsid w:val="00FC1CEA"/>
    <w:rsid w:val="00FC1DDF"/>
    <w:rsid w:val="00FC1EE9"/>
    <w:rsid w:val="00FC1F24"/>
    <w:rsid w:val="00FC227F"/>
    <w:rsid w:val="00FC245C"/>
    <w:rsid w:val="00FC25EB"/>
    <w:rsid w:val="00FC25FB"/>
    <w:rsid w:val="00FC28D4"/>
    <w:rsid w:val="00FC2E0A"/>
    <w:rsid w:val="00FC2E3E"/>
    <w:rsid w:val="00FC2F54"/>
    <w:rsid w:val="00FC30F9"/>
    <w:rsid w:val="00FC31E3"/>
    <w:rsid w:val="00FC32F8"/>
    <w:rsid w:val="00FC3336"/>
    <w:rsid w:val="00FC34B1"/>
    <w:rsid w:val="00FC3643"/>
    <w:rsid w:val="00FC38EC"/>
    <w:rsid w:val="00FC393E"/>
    <w:rsid w:val="00FC409A"/>
    <w:rsid w:val="00FC40A1"/>
    <w:rsid w:val="00FC4239"/>
    <w:rsid w:val="00FC4378"/>
    <w:rsid w:val="00FC46C0"/>
    <w:rsid w:val="00FC4939"/>
    <w:rsid w:val="00FC49F2"/>
    <w:rsid w:val="00FC4A0E"/>
    <w:rsid w:val="00FC50A9"/>
    <w:rsid w:val="00FC5123"/>
    <w:rsid w:val="00FC53D9"/>
    <w:rsid w:val="00FC5BAE"/>
    <w:rsid w:val="00FC5C5B"/>
    <w:rsid w:val="00FC5EE3"/>
    <w:rsid w:val="00FC6005"/>
    <w:rsid w:val="00FC601F"/>
    <w:rsid w:val="00FC6170"/>
    <w:rsid w:val="00FC648B"/>
    <w:rsid w:val="00FC64D4"/>
    <w:rsid w:val="00FC65ED"/>
    <w:rsid w:val="00FC66A5"/>
    <w:rsid w:val="00FC682E"/>
    <w:rsid w:val="00FC79E7"/>
    <w:rsid w:val="00FC7D01"/>
    <w:rsid w:val="00FD03B7"/>
    <w:rsid w:val="00FD0784"/>
    <w:rsid w:val="00FD0828"/>
    <w:rsid w:val="00FD0957"/>
    <w:rsid w:val="00FD0BE9"/>
    <w:rsid w:val="00FD11A1"/>
    <w:rsid w:val="00FD11E1"/>
    <w:rsid w:val="00FD1290"/>
    <w:rsid w:val="00FD187D"/>
    <w:rsid w:val="00FD19A1"/>
    <w:rsid w:val="00FD19D5"/>
    <w:rsid w:val="00FD1C22"/>
    <w:rsid w:val="00FD1F3B"/>
    <w:rsid w:val="00FD1FF4"/>
    <w:rsid w:val="00FD2050"/>
    <w:rsid w:val="00FD26D3"/>
    <w:rsid w:val="00FD29EE"/>
    <w:rsid w:val="00FD2A78"/>
    <w:rsid w:val="00FD2AD0"/>
    <w:rsid w:val="00FD2AD4"/>
    <w:rsid w:val="00FD2BBC"/>
    <w:rsid w:val="00FD2C8F"/>
    <w:rsid w:val="00FD2FC3"/>
    <w:rsid w:val="00FD3151"/>
    <w:rsid w:val="00FD33AF"/>
    <w:rsid w:val="00FD33FD"/>
    <w:rsid w:val="00FD344A"/>
    <w:rsid w:val="00FD3484"/>
    <w:rsid w:val="00FD364F"/>
    <w:rsid w:val="00FD36ED"/>
    <w:rsid w:val="00FD38B9"/>
    <w:rsid w:val="00FD3AF8"/>
    <w:rsid w:val="00FD3B6C"/>
    <w:rsid w:val="00FD3D39"/>
    <w:rsid w:val="00FD3D63"/>
    <w:rsid w:val="00FD3E96"/>
    <w:rsid w:val="00FD3F72"/>
    <w:rsid w:val="00FD4041"/>
    <w:rsid w:val="00FD4071"/>
    <w:rsid w:val="00FD46F7"/>
    <w:rsid w:val="00FD4761"/>
    <w:rsid w:val="00FD4820"/>
    <w:rsid w:val="00FD5636"/>
    <w:rsid w:val="00FD57B7"/>
    <w:rsid w:val="00FD5DFA"/>
    <w:rsid w:val="00FD5FD7"/>
    <w:rsid w:val="00FD5FE5"/>
    <w:rsid w:val="00FD6297"/>
    <w:rsid w:val="00FD6368"/>
    <w:rsid w:val="00FD63AB"/>
    <w:rsid w:val="00FD63D0"/>
    <w:rsid w:val="00FD6C0A"/>
    <w:rsid w:val="00FD6C0D"/>
    <w:rsid w:val="00FD6DE4"/>
    <w:rsid w:val="00FD6E8D"/>
    <w:rsid w:val="00FD6F2F"/>
    <w:rsid w:val="00FD6F30"/>
    <w:rsid w:val="00FD7151"/>
    <w:rsid w:val="00FD732F"/>
    <w:rsid w:val="00FD7409"/>
    <w:rsid w:val="00FD75F4"/>
    <w:rsid w:val="00FD77EE"/>
    <w:rsid w:val="00FD7EA4"/>
    <w:rsid w:val="00FE0128"/>
    <w:rsid w:val="00FE0463"/>
    <w:rsid w:val="00FE08CE"/>
    <w:rsid w:val="00FE09CA"/>
    <w:rsid w:val="00FE0C38"/>
    <w:rsid w:val="00FE0FB2"/>
    <w:rsid w:val="00FE16FE"/>
    <w:rsid w:val="00FE1845"/>
    <w:rsid w:val="00FE18D4"/>
    <w:rsid w:val="00FE2383"/>
    <w:rsid w:val="00FE2531"/>
    <w:rsid w:val="00FE254E"/>
    <w:rsid w:val="00FE2AC5"/>
    <w:rsid w:val="00FE2B36"/>
    <w:rsid w:val="00FE2C1C"/>
    <w:rsid w:val="00FE3109"/>
    <w:rsid w:val="00FE3123"/>
    <w:rsid w:val="00FE3200"/>
    <w:rsid w:val="00FE3287"/>
    <w:rsid w:val="00FE386E"/>
    <w:rsid w:val="00FE3B78"/>
    <w:rsid w:val="00FE3C5E"/>
    <w:rsid w:val="00FE45D1"/>
    <w:rsid w:val="00FE479C"/>
    <w:rsid w:val="00FE496E"/>
    <w:rsid w:val="00FE4A02"/>
    <w:rsid w:val="00FE4A80"/>
    <w:rsid w:val="00FE4EC6"/>
    <w:rsid w:val="00FE5182"/>
    <w:rsid w:val="00FE5229"/>
    <w:rsid w:val="00FE5398"/>
    <w:rsid w:val="00FE53D7"/>
    <w:rsid w:val="00FE5587"/>
    <w:rsid w:val="00FE55BF"/>
    <w:rsid w:val="00FE56AC"/>
    <w:rsid w:val="00FE56AF"/>
    <w:rsid w:val="00FE5ED3"/>
    <w:rsid w:val="00FE603E"/>
    <w:rsid w:val="00FE60BC"/>
    <w:rsid w:val="00FE6746"/>
    <w:rsid w:val="00FE685F"/>
    <w:rsid w:val="00FE697D"/>
    <w:rsid w:val="00FE6AF4"/>
    <w:rsid w:val="00FE6B6B"/>
    <w:rsid w:val="00FE6F1B"/>
    <w:rsid w:val="00FE705F"/>
    <w:rsid w:val="00FE70A4"/>
    <w:rsid w:val="00FE7470"/>
    <w:rsid w:val="00FE7561"/>
    <w:rsid w:val="00FE7709"/>
    <w:rsid w:val="00FE78CB"/>
    <w:rsid w:val="00FE7B65"/>
    <w:rsid w:val="00FE7D14"/>
    <w:rsid w:val="00FF03E2"/>
    <w:rsid w:val="00FF06DA"/>
    <w:rsid w:val="00FF0B83"/>
    <w:rsid w:val="00FF0D9E"/>
    <w:rsid w:val="00FF0DDC"/>
    <w:rsid w:val="00FF0F2D"/>
    <w:rsid w:val="00FF0FB4"/>
    <w:rsid w:val="00FF117B"/>
    <w:rsid w:val="00FF1447"/>
    <w:rsid w:val="00FF15BD"/>
    <w:rsid w:val="00FF1A21"/>
    <w:rsid w:val="00FF1CA6"/>
    <w:rsid w:val="00FF1F91"/>
    <w:rsid w:val="00FF20BD"/>
    <w:rsid w:val="00FF21DC"/>
    <w:rsid w:val="00FF27AC"/>
    <w:rsid w:val="00FF27E9"/>
    <w:rsid w:val="00FF2A2A"/>
    <w:rsid w:val="00FF2D5C"/>
    <w:rsid w:val="00FF2D63"/>
    <w:rsid w:val="00FF408A"/>
    <w:rsid w:val="00FF4128"/>
    <w:rsid w:val="00FF41D4"/>
    <w:rsid w:val="00FF4250"/>
    <w:rsid w:val="00FF440D"/>
    <w:rsid w:val="00FF4439"/>
    <w:rsid w:val="00FF476E"/>
    <w:rsid w:val="00FF491A"/>
    <w:rsid w:val="00FF4920"/>
    <w:rsid w:val="00FF4CA9"/>
    <w:rsid w:val="00FF4CDC"/>
    <w:rsid w:val="00FF4E96"/>
    <w:rsid w:val="00FF4FC1"/>
    <w:rsid w:val="00FF5141"/>
    <w:rsid w:val="00FF5382"/>
    <w:rsid w:val="00FF54CC"/>
    <w:rsid w:val="00FF565D"/>
    <w:rsid w:val="00FF56FC"/>
    <w:rsid w:val="00FF5A6A"/>
    <w:rsid w:val="00FF5B26"/>
    <w:rsid w:val="00FF5C68"/>
    <w:rsid w:val="00FF5D35"/>
    <w:rsid w:val="00FF5E8C"/>
    <w:rsid w:val="00FF6008"/>
    <w:rsid w:val="00FF6538"/>
    <w:rsid w:val="00FF6712"/>
    <w:rsid w:val="00FF6B8D"/>
    <w:rsid w:val="00FF6C72"/>
    <w:rsid w:val="00FF6C80"/>
    <w:rsid w:val="00FF6D2A"/>
    <w:rsid w:val="00FF6ECE"/>
    <w:rsid w:val="00FF704B"/>
    <w:rsid w:val="00FF70BC"/>
    <w:rsid w:val="00FF70F9"/>
    <w:rsid w:val="00FF77DA"/>
    <w:rsid w:val="00FF78EA"/>
    <w:rsid w:val="00FF7A47"/>
    <w:rsid w:val="01016E99"/>
    <w:rsid w:val="0102E81C"/>
    <w:rsid w:val="0106E6D6"/>
    <w:rsid w:val="01186E14"/>
    <w:rsid w:val="013C49CB"/>
    <w:rsid w:val="013E2029"/>
    <w:rsid w:val="0146434D"/>
    <w:rsid w:val="01496F2A"/>
    <w:rsid w:val="014C8A5D"/>
    <w:rsid w:val="014D0841"/>
    <w:rsid w:val="0154F653"/>
    <w:rsid w:val="0163C49E"/>
    <w:rsid w:val="018DB004"/>
    <w:rsid w:val="01952BCC"/>
    <w:rsid w:val="0198092E"/>
    <w:rsid w:val="019D8BB0"/>
    <w:rsid w:val="019F0B90"/>
    <w:rsid w:val="01B1EA26"/>
    <w:rsid w:val="01D89084"/>
    <w:rsid w:val="01E17BCC"/>
    <w:rsid w:val="01FC8599"/>
    <w:rsid w:val="0208ED35"/>
    <w:rsid w:val="020D657C"/>
    <w:rsid w:val="021FD8B3"/>
    <w:rsid w:val="022B96D4"/>
    <w:rsid w:val="022BDCD1"/>
    <w:rsid w:val="0257E074"/>
    <w:rsid w:val="0275B586"/>
    <w:rsid w:val="02889C00"/>
    <w:rsid w:val="02AA1152"/>
    <w:rsid w:val="02B15706"/>
    <w:rsid w:val="02B9971D"/>
    <w:rsid w:val="02D44E98"/>
    <w:rsid w:val="02D9D76B"/>
    <w:rsid w:val="02DF885D"/>
    <w:rsid w:val="02ECA80C"/>
    <w:rsid w:val="02ECB109"/>
    <w:rsid w:val="02F66CFE"/>
    <w:rsid w:val="0311883B"/>
    <w:rsid w:val="0318806B"/>
    <w:rsid w:val="032DCA65"/>
    <w:rsid w:val="032E1EA8"/>
    <w:rsid w:val="037C6A09"/>
    <w:rsid w:val="037D6D98"/>
    <w:rsid w:val="037DAA0A"/>
    <w:rsid w:val="03A5C447"/>
    <w:rsid w:val="03B5C1D9"/>
    <w:rsid w:val="040185BA"/>
    <w:rsid w:val="0444FF7A"/>
    <w:rsid w:val="0446B697"/>
    <w:rsid w:val="044AED19"/>
    <w:rsid w:val="044B893C"/>
    <w:rsid w:val="045291CF"/>
    <w:rsid w:val="045EF0EB"/>
    <w:rsid w:val="0467B9EC"/>
    <w:rsid w:val="049B7ECE"/>
    <w:rsid w:val="049EE651"/>
    <w:rsid w:val="04ABEC93"/>
    <w:rsid w:val="04B10C75"/>
    <w:rsid w:val="04B6DF17"/>
    <w:rsid w:val="04CF8730"/>
    <w:rsid w:val="04E3635F"/>
    <w:rsid w:val="0503BE26"/>
    <w:rsid w:val="05098823"/>
    <w:rsid w:val="05171697"/>
    <w:rsid w:val="0547ABE5"/>
    <w:rsid w:val="057DB4D7"/>
    <w:rsid w:val="059B3983"/>
    <w:rsid w:val="059F46CF"/>
    <w:rsid w:val="05CEFD31"/>
    <w:rsid w:val="05D584C9"/>
    <w:rsid w:val="05E301D9"/>
    <w:rsid w:val="05E6690D"/>
    <w:rsid w:val="05F28FD3"/>
    <w:rsid w:val="061F0433"/>
    <w:rsid w:val="06244E0B"/>
    <w:rsid w:val="0629760E"/>
    <w:rsid w:val="066C68BA"/>
    <w:rsid w:val="067A6015"/>
    <w:rsid w:val="06B017DC"/>
    <w:rsid w:val="06CB955C"/>
    <w:rsid w:val="06CC32A4"/>
    <w:rsid w:val="06F4B079"/>
    <w:rsid w:val="06FE975A"/>
    <w:rsid w:val="071616A8"/>
    <w:rsid w:val="07199393"/>
    <w:rsid w:val="074E777E"/>
    <w:rsid w:val="074EDCEB"/>
    <w:rsid w:val="075B1ED2"/>
    <w:rsid w:val="076FF136"/>
    <w:rsid w:val="0776507A"/>
    <w:rsid w:val="07899A71"/>
    <w:rsid w:val="07AC67A9"/>
    <w:rsid w:val="07B3F845"/>
    <w:rsid w:val="07B980E5"/>
    <w:rsid w:val="07BFBD4F"/>
    <w:rsid w:val="07F258A5"/>
    <w:rsid w:val="082A9BF4"/>
    <w:rsid w:val="086AE426"/>
    <w:rsid w:val="08828841"/>
    <w:rsid w:val="0883176A"/>
    <w:rsid w:val="088986A0"/>
    <w:rsid w:val="08914447"/>
    <w:rsid w:val="0891FA51"/>
    <w:rsid w:val="089C2E83"/>
    <w:rsid w:val="08ACFECA"/>
    <w:rsid w:val="08B1C37B"/>
    <w:rsid w:val="08CD4BAA"/>
    <w:rsid w:val="08CF0193"/>
    <w:rsid w:val="08D34784"/>
    <w:rsid w:val="08EA3865"/>
    <w:rsid w:val="08ED640A"/>
    <w:rsid w:val="091D7D79"/>
    <w:rsid w:val="0935B509"/>
    <w:rsid w:val="094D6355"/>
    <w:rsid w:val="098AB731"/>
    <w:rsid w:val="09934350"/>
    <w:rsid w:val="0998F22B"/>
    <w:rsid w:val="09ACAAD7"/>
    <w:rsid w:val="09CD358A"/>
    <w:rsid w:val="09DBDB64"/>
    <w:rsid w:val="09DF19D0"/>
    <w:rsid w:val="0A2BF61F"/>
    <w:rsid w:val="0A48CACA"/>
    <w:rsid w:val="0A617D0D"/>
    <w:rsid w:val="0A695D90"/>
    <w:rsid w:val="0A94D41C"/>
    <w:rsid w:val="0AC15026"/>
    <w:rsid w:val="0ACC6DA0"/>
    <w:rsid w:val="0AF38B91"/>
    <w:rsid w:val="0AF72FF2"/>
    <w:rsid w:val="0B0A4740"/>
    <w:rsid w:val="0B0D78FE"/>
    <w:rsid w:val="0B100319"/>
    <w:rsid w:val="0B1A9F56"/>
    <w:rsid w:val="0B1C2100"/>
    <w:rsid w:val="0B30A0AF"/>
    <w:rsid w:val="0B383937"/>
    <w:rsid w:val="0B4D8FBE"/>
    <w:rsid w:val="0B5821AF"/>
    <w:rsid w:val="0B5D4E23"/>
    <w:rsid w:val="0B5FEDA4"/>
    <w:rsid w:val="0B677D46"/>
    <w:rsid w:val="0BA44EBB"/>
    <w:rsid w:val="0BA6B4EE"/>
    <w:rsid w:val="0BAE271C"/>
    <w:rsid w:val="0BB1A7AB"/>
    <w:rsid w:val="0BCC3D53"/>
    <w:rsid w:val="0BE4FAF8"/>
    <w:rsid w:val="0C2551F2"/>
    <w:rsid w:val="0C2F4D09"/>
    <w:rsid w:val="0C3AD3C1"/>
    <w:rsid w:val="0C866176"/>
    <w:rsid w:val="0C9AC9C0"/>
    <w:rsid w:val="0CA9B010"/>
    <w:rsid w:val="0CB3194F"/>
    <w:rsid w:val="0CC97ABA"/>
    <w:rsid w:val="0CCA16F7"/>
    <w:rsid w:val="0CD93269"/>
    <w:rsid w:val="0CF19245"/>
    <w:rsid w:val="0CF8077A"/>
    <w:rsid w:val="0D3BDA0D"/>
    <w:rsid w:val="0D40FD0A"/>
    <w:rsid w:val="0D486161"/>
    <w:rsid w:val="0D592C0C"/>
    <w:rsid w:val="0D988FAE"/>
    <w:rsid w:val="0DA52539"/>
    <w:rsid w:val="0DF55EDA"/>
    <w:rsid w:val="0E1D7B90"/>
    <w:rsid w:val="0E3554DD"/>
    <w:rsid w:val="0E35E5D8"/>
    <w:rsid w:val="0E429784"/>
    <w:rsid w:val="0E4A5585"/>
    <w:rsid w:val="0E6E4A95"/>
    <w:rsid w:val="0EB3A52F"/>
    <w:rsid w:val="0EBCC1A9"/>
    <w:rsid w:val="0EC5A1C5"/>
    <w:rsid w:val="0ED674F9"/>
    <w:rsid w:val="0EEE64F7"/>
    <w:rsid w:val="0EEE8BD8"/>
    <w:rsid w:val="0EF47C4D"/>
    <w:rsid w:val="0EF7D11E"/>
    <w:rsid w:val="0EF9F26F"/>
    <w:rsid w:val="0EFA6FD9"/>
    <w:rsid w:val="0F191ECA"/>
    <w:rsid w:val="0F26BCC8"/>
    <w:rsid w:val="0F4B0819"/>
    <w:rsid w:val="0F4FFCDD"/>
    <w:rsid w:val="0F5C036C"/>
    <w:rsid w:val="0F7040FD"/>
    <w:rsid w:val="0F71B168"/>
    <w:rsid w:val="0F754C51"/>
    <w:rsid w:val="0F8533E4"/>
    <w:rsid w:val="0F8EB4A6"/>
    <w:rsid w:val="0F97BEE4"/>
    <w:rsid w:val="0F9CA0F6"/>
    <w:rsid w:val="0FA34D06"/>
    <w:rsid w:val="0FB51231"/>
    <w:rsid w:val="0FB54DAF"/>
    <w:rsid w:val="0FBA3DEF"/>
    <w:rsid w:val="0FDACA67"/>
    <w:rsid w:val="0FDB8F0A"/>
    <w:rsid w:val="0FDC525B"/>
    <w:rsid w:val="0FDF6E72"/>
    <w:rsid w:val="0FE16421"/>
    <w:rsid w:val="0FE364FD"/>
    <w:rsid w:val="1032B608"/>
    <w:rsid w:val="105F1E39"/>
    <w:rsid w:val="10645FDC"/>
    <w:rsid w:val="10749EAF"/>
    <w:rsid w:val="1095145E"/>
    <w:rsid w:val="10A200E6"/>
    <w:rsid w:val="10A56A1F"/>
    <w:rsid w:val="10A7F521"/>
    <w:rsid w:val="10ADEBE1"/>
    <w:rsid w:val="10B246A8"/>
    <w:rsid w:val="10D9EEE5"/>
    <w:rsid w:val="11000DB3"/>
    <w:rsid w:val="110AAA00"/>
    <w:rsid w:val="1112F3B0"/>
    <w:rsid w:val="11177F91"/>
    <w:rsid w:val="112194EB"/>
    <w:rsid w:val="113FC501"/>
    <w:rsid w:val="114684DD"/>
    <w:rsid w:val="11497943"/>
    <w:rsid w:val="114D107A"/>
    <w:rsid w:val="118D9FBE"/>
    <w:rsid w:val="11A37162"/>
    <w:rsid w:val="11CE1965"/>
    <w:rsid w:val="11EE2A45"/>
    <w:rsid w:val="11F7083A"/>
    <w:rsid w:val="11FA61B1"/>
    <w:rsid w:val="1201F839"/>
    <w:rsid w:val="1204E175"/>
    <w:rsid w:val="120A2355"/>
    <w:rsid w:val="1219CD75"/>
    <w:rsid w:val="122071CE"/>
    <w:rsid w:val="122E57CC"/>
    <w:rsid w:val="1249A7FE"/>
    <w:rsid w:val="126D972C"/>
    <w:rsid w:val="12825CE0"/>
    <w:rsid w:val="1292113D"/>
    <w:rsid w:val="12A97B3E"/>
    <w:rsid w:val="12A9ADF4"/>
    <w:rsid w:val="12B1752E"/>
    <w:rsid w:val="12C24BF1"/>
    <w:rsid w:val="12CFEF16"/>
    <w:rsid w:val="12DA74A6"/>
    <w:rsid w:val="12E19ED1"/>
    <w:rsid w:val="12E9C698"/>
    <w:rsid w:val="12EAE259"/>
    <w:rsid w:val="130F8E54"/>
    <w:rsid w:val="1332612B"/>
    <w:rsid w:val="133A4E21"/>
    <w:rsid w:val="13406FB1"/>
    <w:rsid w:val="1356E8B5"/>
    <w:rsid w:val="13BF68B8"/>
    <w:rsid w:val="13CF5ED8"/>
    <w:rsid w:val="13D4DE46"/>
    <w:rsid w:val="13D6CC4D"/>
    <w:rsid w:val="13E27AEE"/>
    <w:rsid w:val="140793B9"/>
    <w:rsid w:val="142F2443"/>
    <w:rsid w:val="142F7E26"/>
    <w:rsid w:val="144BA6CA"/>
    <w:rsid w:val="1452255D"/>
    <w:rsid w:val="146465CE"/>
    <w:rsid w:val="1470664A"/>
    <w:rsid w:val="14785D84"/>
    <w:rsid w:val="147A4FE7"/>
    <w:rsid w:val="148B72BD"/>
    <w:rsid w:val="1492B352"/>
    <w:rsid w:val="14AE135C"/>
    <w:rsid w:val="14DD3BA1"/>
    <w:rsid w:val="14DD411B"/>
    <w:rsid w:val="14E6A2E9"/>
    <w:rsid w:val="15000FBA"/>
    <w:rsid w:val="150DE688"/>
    <w:rsid w:val="151AA0AF"/>
    <w:rsid w:val="152BD17E"/>
    <w:rsid w:val="152D0640"/>
    <w:rsid w:val="1550534E"/>
    <w:rsid w:val="1554B75D"/>
    <w:rsid w:val="157A44F8"/>
    <w:rsid w:val="15880ED7"/>
    <w:rsid w:val="158F4029"/>
    <w:rsid w:val="159034ED"/>
    <w:rsid w:val="1596C8C3"/>
    <w:rsid w:val="15A209FE"/>
    <w:rsid w:val="15A409E4"/>
    <w:rsid w:val="15A65FE3"/>
    <w:rsid w:val="15B0449C"/>
    <w:rsid w:val="15C1446D"/>
    <w:rsid w:val="15C4BC6E"/>
    <w:rsid w:val="15CBECDE"/>
    <w:rsid w:val="15D8117A"/>
    <w:rsid w:val="15E680E6"/>
    <w:rsid w:val="15F0FC87"/>
    <w:rsid w:val="161802F1"/>
    <w:rsid w:val="16379834"/>
    <w:rsid w:val="164C984C"/>
    <w:rsid w:val="1664FF88"/>
    <w:rsid w:val="167A9320"/>
    <w:rsid w:val="1683EC0E"/>
    <w:rsid w:val="168E9FD8"/>
    <w:rsid w:val="16A35BA2"/>
    <w:rsid w:val="16A79884"/>
    <w:rsid w:val="16BEE3FF"/>
    <w:rsid w:val="16C4537A"/>
    <w:rsid w:val="16C8B3F1"/>
    <w:rsid w:val="16E261BB"/>
    <w:rsid w:val="16FD7264"/>
    <w:rsid w:val="17077B9C"/>
    <w:rsid w:val="170889A0"/>
    <w:rsid w:val="1733F83C"/>
    <w:rsid w:val="173AE417"/>
    <w:rsid w:val="1750636C"/>
    <w:rsid w:val="1761E5BB"/>
    <w:rsid w:val="176A600E"/>
    <w:rsid w:val="176EB753"/>
    <w:rsid w:val="1779D7FB"/>
    <w:rsid w:val="17818A2D"/>
    <w:rsid w:val="1796037C"/>
    <w:rsid w:val="179919F1"/>
    <w:rsid w:val="17B8F5BF"/>
    <w:rsid w:val="17BFA6D5"/>
    <w:rsid w:val="17FDA551"/>
    <w:rsid w:val="1808F100"/>
    <w:rsid w:val="180D34C7"/>
    <w:rsid w:val="185A8CE3"/>
    <w:rsid w:val="18C79F9B"/>
    <w:rsid w:val="18E19D2B"/>
    <w:rsid w:val="18F973FC"/>
    <w:rsid w:val="1907EC4A"/>
    <w:rsid w:val="19080DBD"/>
    <w:rsid w:val="19167F69"/>
    <w:rsid w:val="191F0AD4"/>
    <w:rsid w:val="19458DC6"/>
    <w:rsid w:val="1949C5BF"/>
    <w:rsid w:val="196818DB"/>
    <w:rsid w:val="198756C5"/>
    <w:rsid w:val="19B06CB3"/>
    <w:rsid w:val="19BA8AB9"/>
    <w:rsid w:val="19C0E559"/>
    <w:rsid w:val="19DC9B97"/>
    <w:rsid w:val="1A3B4E4E"/>
    <w:rsid w:val="1A442DD3"/>
    <w:rsid w:val="1A460D94"/>
    <w:rsid w:val="1A54D30B"/>
    <w:rsid w:val="1A5FF2B3"/>
    <w:rsid w:val="1A665CB2"/>
    <w:rsid w:val="1A79ACCD"/>
    <w:rsid w:val="1A898240"/>
    <w:rsid w:val="1A8B1411"/>
    <w:rsid w:val="1ABB1DE1"/>
    <w:rsid w:val="1AC1A059"/>
    <w:rsid w:val="1AD114D3"/>
    <w:rsid w:val="1AE193B1"/>
    <w:rsid w:val="1B06AE31"/>
    <w:rsid w:val="1B089FFF"/>
    <w:rsid w:val="1B235E73"/>
    <w:rsid w:val="1B2563FB"/>
    <w:rsid w:val="1B2A4E6A"/>
    <w:rsid w:val="1B650BB6"/>
    <w:rsid w:val="1B85211F"/>
    <w:rsid w:val="1B87FBEE"/>
    <w:rsid w:val="1B8D980A"/>
    <w:rsid w:val="1B8E33BB"/>
    <w:rsid w:val="1BA8DF62"/>
    <w:rsid w:val="1BBBF437"/>
    <w:rsid w:val="1BBFDBEA"/>
    <w:rsid w:val="1C16DEFB"/>
    <w:rsid w:val="1C21E946"/>
    <w:rsid w:val="1C57FB80"/>
    <w:rsid w:val="1C7C9035"/>
    <w:rsid w:val="1C96E52F"/>
    <w:rsid w:val="1CA0E3E0"/>
    <w:rsid w:val="1CA77C9F"/>
    <w:rsid w:val="1CBCC76B"/>
    <w:rsid w:val="1CBD0D76"/>
    <w:rsid w:val="1CCD0E30"/>
    <w:rsid w:val="1CECD05A"/>
    <w:rsid w:val="1CFFAA93"/>
    <w:rsid w:val="1D2FC25B"/>
    <w:rsid w:val="1D5B96C3"/>
    <w:rsid w:val="1D7358C3"/>
    <w:rsid w:val="1D753088"/>
    <w:rsid w:val="1D796969"/>
    <w:rsid w:val="1D7AA35C"/>
    <w:rsid w:val="1D997569"/>
    <w:rsid w:val="1D9D3DDB"/>
    <w:rsid w:val="1DAE4B56"/>
    <w:rsid w:val="1DB16A95"/>
    <w:rsid w:val="1DDCEA42"/>
    <w:rsid w:val="1DE85278"/>
    <w:rsid w:val="1DF566C0"/>
    <w:rsid w:val="1E09F8A6"/>
    <w:rsid w:val="1E4010C3"/>
    <w:rsid w:val="1E434D00"/>
    <w:rsid w:val="1E472119"/>
    <w:rsid w:val="1E4B6B47"/>
    <w:rsid w:val="1E70E7AD"/>
    <w:rsid w:val="1EA1A97C"/>
    <w:rsid w:val="1EC22C50"/>
    <w:rsid w:val="1ED1D622"/>
    <w:rsid w:val="1EFFACD7"/>
    <w:rsid w:val="1F11E9B9"/>
    <w:rsid w:val="1F27D3F2"/>
    <w:rsid w:val="1F354317"/>
    <w:rsid w:val="1F3AEBFB"/>
    <w:rsid w:val="1F470A88"/>
    <w:rsid w:val="1F4BCB72"/>
    <w:rsid w:val="1F4FEE30"/>
    <w:rsid w:val="1F922409"/>
    <w:rsid w:val="1F9786FB"/>
    <w:rsid w:val="1F9FCF51"/>
    <w:rsid w:val="1FA792DF"/>
    <w:rsid w:val="1FAD508B"/>
    <w:rsid w:val="1FB22237"/>
    <w:rsid w:val="1FB993D6"/>
    <w:rsid w:val="1FD0D475"/>
    <w:rsid w:val="200A0EF7"/>
    <w:rsid w:val="20234B88"/>
    <w:rsid w:val="20545F1B"/>
    <w:rsid w:val="20547454"/>
    <w:rsid w:val="2055C258"/>
    <w:rsid w:val="205C0B71"/>
    <w:rsid w:val="207405A1"/>
    <w:rsid w:val="207A0F80"/>
    <w:rsid w:val="20834AAA"/>
    <w:rsid w:val="209AE542"/>
    <w:rsid w:val="20A382E8"/>
    <w:rsid w:val="20A417B4"/>
    <w:rsid w:val="20A897CB"/>
    <w:rsid w:val="20AE175B"/>
    <w:rsid w:val="20CE69EF"/>
    <w:rsid w:val="20D82D6A"/>
    <w:rsid w:val="20F69010"/>
    <w:rsid w:val="210FF9D8"/>
    <w:rsid w:val="2125D444"/>
    <w:rsid w:val="2129237A"/>
    <w:rsid w:val="212A7EB0"/>
    <w:rsid w:val="2135D374"/>
    <w:rsid w:val="21435FC7"/>
    <w:rsid w:val="2158A629"/>
    <w:rsid w:val="21651D23"/>
    <w:rsid w:val="21735D94"/>
    <w:rsid w:val="21B80BFC"/>
    <w:rsid w:val="21DB5F8A"/>
    <w:rsid w:val="21F926CB"/>
    <w:rsid w:val="2201B8F4"/>
    <w:rsid w:val="2208A11D"/>
    <w:rsid w:val="2218E974"/>
    <w:rsid w:val="221AE4C6"/>
    <w:rsid w:val="2220B618"/>
    <w:rsid w:val="2224F31B"/>
    <w:rsid w:val="2239886A"/>
    <w:rsid w:val="224FB846"/>
    <w:rsid w:val="224FEC94"/>
    <w:rsid w:val="2257B34B"/>
    <w:rsid w:val="228992E4"/>
    <w:rsid w:val="22B6CADF"/>
    <w:rsid w:val="22CC3754"/>
    <w:rsid w:val="23131B15"/>
    <w:rsid w:val="231B0404"/>
    <w:rsid w:val="2322F520"/>
    <w:rsid w:val="233E5291"/>
    <w:rsid w:val="2350498C"/>
    <w:rsid w:val="235FD270"/>
    <w:rsid w:val="23825536"/>
    <w:rsid w:val="2386BBB8"/>
    <w:rsid w:val="238A08AB"/>
    <w:rsid w:val="238BB341"/>
    <w:rsid w:val="2391CC5C"/>
    <w:rsid w:val="23A660DC"/>
    <w:rsid w:val="23B7D037"/>
    <w:rsid w:val="23C4429A"/>
    <w:rsid w:val="23D2D917"/>
    <w:rsid w:val="2402B76D"/>
    <w:rsid w:val="240A5F82"/>
    <w:rsid w:val="24139A42"/>
    <w:rsid w:val="241BE2F8"/>
    <w:rsid w:val="242D0D8E"/>
    <w:rsid w:val="2430DE98"/>
    <w:rsid w:val="2444564C"/>
    <w:rsid w:val="244FBF6B"/>
    <w:rsid w:val="2450C057"/>
    <w:rsid w:val="2475E036"/>
    <w:rsid w:val="24761381"/>
    <w:rsid w:val="24AEEA29"/>
    <w:rsid w:val="24BFD461"/>
    <w:rsid w:val="24CBB006"/>
    <w:rsid w:val="24EC66EB"/>
    <w:rsid w:val="24EFE2C5"/>
    <w:rsid w:val="24F53659"/>
    <w:rsid w:val="25035E96"/>
    <w:rsid w:val="250B851B"/>
    <w:rsid w:val="251D0B22"/>
    <w:rsid w:val="252F1905"/>
    <w:rsid w:val="254A004B"/>
    <w:rsid w:val="259CBC8B"/>
    <w:rsid w:val="25C5A799"/>
    <w:rsid w:val="25EA5A58"/>
    <w:rsid w:val="25EC8F05"/>
    <w:rsid w:val="25FD0A58"/>
    <w:rsid w:val="25FD1BE9"/>
    <w:rsid w:val="2603AC00"/>
    <w:rsid w:val="2608F92D"/>
    <w:rsid w:val="26139D7F"/>
    <w:rsid w:val="262DE887"/>
    <w:rsid w:val="2643A7A6"/>
    <w:rsid w:val="2648D620"/>
    <w:rsid w:val="26522CCE"/>
    <w:rsid w:val="266C0C1E"/>
    <w:rsid w:val="26A9E895"/>
    <w:rsid w:val="26AE3703"/>
    <w:rsid w:val="26D82509"/>
    <w:rsid w:val="26FCCE29"/>
    <w:rsid w:val="271136AF"/>
    <w:rsid w:val="271F9B6F"/>
    <w:rsid w:val="27400940"/>
    <w:rsid w:val="2750615F"/>
    <w:rsid w:val="2766A274"/>
    <w:rsid w:val="279312AA"/>
    <w:rsid w:val="279DE7A1"/>
    <w:rsid w:val="27ABCBE9"/>
    <w:rsid w:val="27C3A99D"/>
    <w:rsid w:val="2812E3AC"/>
    <w:rsid w:val="281ABF74"/>
    <w:rsid w:val="282A4A08"/>
    <w:rsid w:val="282A5C98"/>
    <w:rsid w:val="2833645A"/>
    <w:rsid w:val="283830F3"/>
    <w:rsid w:val="283C5D9A"/>
    <w:rsid w:val="28440242"/>
    <w:rsid w:val="284A7271"/>
    <w:rsid w:val="284AF85C"/>
    <w:rsid w:val="28568028"/>
    <w:rsid w:val="285F43DD"/>
    <w:rsid w:val="286528C2"/>
    <w:rsid w:val="287E91FF"/>
    <w:rsid w:val="287F8745"/>
    <w:rsid w:val="2891A436"/>
    <w:rsid w:val="2892F9C4"/>
    <w:rsid w:val="28939500"/>
    <w:rsid w:val="289E25C2"/>
    <w:rsid w:val="28A34816"/>
    <w:rsid w:val="28A88080"/>
    <w:rsid w:val="28C6E879"/>
    <w:rsid w:val="28E88768"/>
    <w:rsid w:val="28E92172"/>
    <w:rsid w:val="28F52C57"/>
    <w:rsid w:val="28F5890F"/>
    <w:rsid w:val="28FE0A76"/>
    <w:rsid w:val="290BFA58"/>
    <w:rsid w:val="2914D75A"/>
    <w:rsid w:val="2917238F"/>
    <w:rsid w:val="29189F43"/>
    <w:rsid w:val="291A905D"/>
    <w:rsid w:val="29479C4A"/>
    <w:rsid w:val="2958BB62"/>
    <w:rsid w:val="2967A8D9"/>
    <w:rsid w:val="296C4D5D"/>
    <w:rsid w:val="297161FA"/>
    <w:rsid w:val="2988F73A"/>
    <w:rsid w:val="299530C1"/>
    <w:rsid w:val="29A8B701"/>
    <w:rsid w:val="29BA0670"/>
    <w:rsid w:val="29BD310F"/>
    <w:rsid w:val="29BF509C"/>
    <w:rsid w:val="29C94806"/>
    <w:rsid w:val="29D586DB"/>
    <w:rsid w:val="29DAB51C"/>
    <w:rsid w:val="29DD1199"/>
    <w:rsid w:val="29EE3D8F"/>
    <w:rsid w:val="2A02E926"/>
    <w:rsid w:val="2A2A562F"/>
    <w:rsid w:val="2A2FC0C5"/>
    <w:rsid w:val="2A409983"/>
    <w:rsid w:val="2A553944"/>
    <w:rsid w:val="2A5A4EF8"/>
    <w:rsid w:val="2A6EFF6A"/>
    <w:rsid w:val="2A8AFDFF"/>
    <w:rsid w:val="2AD0ADA5"/>
    <w:rsid w:val="2B0A6CBF"/>
    <w:rsid w:val="2B2F2B92"/>
    <w:rsid w:val="2B4569A6"/>
    <w:rsid w:val="2B48FE70"/>
    <w:rsid w:val="2B6F0C24"/>
    <w:rsid w:val="2B75D7B7"/>
    <w:rsid w:val="2B834416"/>
    <w:rsid w:val="2B93262C"/>
    <w:rsid w:val="2B9B0468"/>
    <w:rsid w:val="2B9B9BFD"/>
    <w:rsid w:val="2BD494C8"/>
    <w:rsid w:val="2BD57D7A"/>
    <w:rsid w:val="2BFA1CD6"/>
    <w:rsid w:val="2C16D97A"/>
    <w:rsid w:val="2C220487"/>
    <w:rsid w:val="2C24855A"/>
    <w:rsid w:val="2C38B3C0"/>
    <w:rsid w:val="2C442F65"/>
    <w:rsid w:val="2C491EFF"/>
    <w:rsid w:val="2C50C54F"/>
    <w:rsid w:val="2C51AE3B"/>
    <w:rsid w:val="2C5A2D20"/>
    <w:rsid w:val="2C6B85DE"/>
    <w:rsid w:val="2C7AAEAB"/>
    <w:rsid w:val="2C88559C"/>
    <w:rsid w:val="2C8FB018"/>
    <w:rsid w:val="2C9175E4"/>
    <w:rsid w:val="2CAFB210"/>
    <w:rsid w:val="2CBDCCAF"/>
    <w:rsid w:val="2CCA0118"/>
    <w:rsid w:val="2CD5867D"/>
    <w:rsid w:val="2D0E41FB"/>
    <w:rsid w:val="2D1688C5"/>
    <w:rsid w:val="2D3E7626"/>
    <w:rsid w:val="2D4553E4"/>
    <w:rsid w:val="2D486C3D"/>
    <w:rsid w:val="2D4AB74E"/>
    <w:rsid w:val="2D718A5D"/>
    <w:rsid w:val="2D72F0A5"/>
    <w:rsid w:val="2D799B04"/>
    <w:rsid w:val="2D7F3050"/>
    <w:rsid w:val="2D854160"/>
    <w:rsid w:val="2D8BC872"/>
    <w:rsid w:val="2D8BFA87"/>
    <w:rsid w:val="2D99E95C"/>
    <w:rsid w:val="2DAF02A0"/>
    <w:rsid w:val="2DC01EF4"/>
    <w:rsid w:val="2DC942C4"/>
    <w:rsid w:val="2DD86F1D"/>
    <w:rsid w:val="2DDE9E0B"/>
    <w:rsid w:val="2DE8E142"/>
    <w:rsid w:val="2E020549"/>
    <w:rsid w:val="2E0375F4"/>
    <w:rsid w:val="2E1E91D2"/>
    <w:rsid w:val="2E30769A"/>
    <w:rsid w:val="2E36CB9F"/>
    <w:rsid w:val="2E3B8E0C"/>
    <w:rsid w:val="2E50CE92"/>
    <w:rsid w:val="2E5D0F85"/>
    <w:rsid w:val="2E6D4615"/>
    <w:rsid w:val="2E7898A0"/>
    <w:rsid w:val="2E8AB1F2"/>
    <w:rsid w:val="2ED79856"/>
    <w:rsid w:val="2EDEF1E8"/>
    <w:rsid w:val="2F16E512"/>
    <w:rsid w:val="2F254F27"/>
    <w:rsid w:val="2F2D1CFD"/>
    <w:rsid w:val="2F4C928D"/>
    <w:rsid w:val="2F527246"/>
    <w:rsid w:val="2F571E49"/>
    <w:rsid w:val="2F5EE009"/>
    <w:rsid w:val="2F78E1A6"/>
    <w:rsid w:val="2F7C281E"/>
    <w:rsid w:val="2F86ED8E"/>
    <w:rsid w:val="2FABB127"/>
    <w:rsid w:val="2FB06B5C"/>
    <w:rsid w:val="2FBB6AC1"/>
    <w:rsid w:val="2FBDE0A1"/>
    <w:rsid w:val="2FC38DA3"/>
    <w:rsid w:val="2FCB0376"/>
    <w:rsid w:val="2FECC8AB"/>
    <w:rsid w:val="2FFC4E5B"/>
    <w:rsid w:val="3009B6E0"/>
    <w:rsid w:val="30245858"/>
    <w:rsid w:val="3030B41A"/>
    <w:rsid w:val="303A7639"/>
    <w:rsid w:val="30BF65C8"/>
    <w:rsid w:val="30C28D54"/>
    <w:rsid w:val="30CA2C8A"/>
    <w:rsid w:val="30DC66EE"/>
    <w:rsid w:val="30E3DC76"/>
    <w:rsid w:val="30E5A622"/>
    <w:rsid w:val="30EB03B0"/>
    <w:rsid w:val="3114D32E"/>
    <w:rsid w:val="31282F78"/>
    <w:rsid w:val="3166AD85"/>
    <w:rsid w:val="317705C1"/>
    <w:rsid w:val="31917A07"/>
    <w:rsid w:val="3198A7A4"/>
    <w:rsid w:val="31A1DFDC"/>
    <w:rsid w:val="31DD279B"/>
    <w:rsid w:val="31EE09D7"/>
    <w:rsid w:val="3207F178"/>
    <w:rsid w:val="32190D26"/>
    <w:rsid w:val="32624ABE"/>
    <w:rsid w:val="326C0D01"/>
    <w:rsid w:val="326EF1B2"/>
    <w:rsid w:val="3271AF01"/>
    <w:rsid w:val="327424EF"/>
    <w:rsid w:val="32977525"/>
    <w:rsid w:val="329BA72A"/>
    <w:rsid w:val="32AAED37"/>
    <w:rsid w:val="32ABA3E2"/>
    <w:rsid w:val="32C59712"/>
    <w:rsid w:val="32D6DD12"/>
    <w:rsid w:val="3300B45E"/>
    <w:rsid w:val="3300D4F0"/>
    <w:rsid w:val="331B1242"/>
    <w:rsid w:val="3325FA83"/>
    <w:rsid w:val="332BC077"/>
    <w:rsid w:val="33304073"/>
    <w:rsid w:val="33426819"/>
    <w:rsid w:val="3343B01F"/>
    <w:rsid w:val="33519559"/>
    <w:rsid w:val="336257AB"/>
    <w:rsid w:val="337E332B"/>
    <w:rsid w:val="338B1521"/>
    <w:rsid w:val="33909340"/>
    <w:rsid w:val="33A6EB7C"/>
    <w:rsid w:val="33B94D0E"/>
    <w:rsid w:val="33BE8719"/>
    <w:rsid w:val="33BF6EB1"/>
    <w:rsid w:val="33C1E707"/>
    <w:rsid w:val="33F492E3"/>
    <w:rsid w:val="33F6AFA1"/>
    <w:rsid w:val="33FBBDCD"/>
    <w:rsid w:val="340A4532"/>
    <w:rsid w:val="34294A1F"/>
    <w:rsid w:val="342C24A2"/>
    <w:rsid w:val="343EB9E3"/>
    <w:rsid w:val="3445A9CA"/>
    <w:rsid w:val="34481B4D"/>
    <w:rsid w:val="34565AE3"/>
    <w:rsid w:val="345E9453"/>
    <w:rsid w:val="3477D3E2"/>
    <w:rsid w:val="3478BB52"/>
    <w:rsid w:val="349C49E6"/>
    <w:rsid w:val="34A18EAD"/>
    <w:rsid w:val="34B13184"/>
    <w:rsid w:val="34CDD08E"/>
    <w:rsid w:val="34F6C5A1"/>
    <w:rsid w:val="3556C1B4"/>
    <w:rsid w:val="357420F5"/>
    <w:rsid w:val="35747753"/>
    <w:rsid w:val="35750A3A"/>
    <w:rsid w:val="35832F36"/>
    <w:rsid w:val="359477C3"/>
    <w:rsid w:val="35BCD37B"/>
    <w:rsid w:val="35D343DB"/>
    <w:rsid w:val="35D6BE11"/>
    <w:rsid w:val="35F9BA80"/>
    <w:rsid w:val="3603BC51"/>
    <w:rsid w:val="36114CFC"/>
    <w:rsid w:val="361D0355"/>
    <w:rsid w:val="3622102D"/>
    <w:rsid w:val="36306719"/>
    <w:rsid w:val="3647309A"/>
    <w:rsid w:val="36523B75"/>
    <w:rsid w:val="36549105"/>
    <w:rsid w:val="365D1253"/>
    <w:rsid w:val="3669F140"/>
    <w:rsid w:val="36704615"/>
    <w:rsid w:val="36843892"/>
    <w:rsid w:val="3696DD90"/>
    <w:rsid w:val="36AB275C"/>
    <w:rsid w:val="36AF14C4"/>
    <w:rsid w:val="36D87FAC"/>
    <w:rsid w:val="36D90526"/>
    <w:rsid w:val="36E57062"/>
    <w:rsid w:val="36EAB0FD"/>
    <w:rsid w:val="37373887"/>
    <w:rsid w:val="3737D8C7"/>
    <w:rsid w:val="37596A16"/>
    <w:rsid w:val="377156D7"/>
    <w:rsid w:val="3775DAC1"/>
    <w:rsid w:val="377807F1"/>
    <w:rsid w:val="37850FEE"/>
    <w:rsid w:val="3791F527"/>
    <w:rsid w:val="37B52707"/>
    <w:rsid w:val="37B6B6C9"/>
    <w:rsid w:val="37B7B7FC"/>
    <w:rsid w:val="37C36EF7"/>
    <w:rsid w:val="37C777D9"/>
    <w:rsid w:val="37CCD0A0"/>
    <w:rsid w:val="37DF801E"/>
    <w:rsid w:val="3815BB43"/>
    <w:rsid w:val="3816FD4F"/>
    <w:rsid w:val="381A4F96"/>
    <w:rsid w:val="3854D4A5"/>
    <w:rsid w:val="3855C4F2"/>
    <w:rsid w:val="3863FF94"/>
    <w:rsid w:val="387543E8"/>
    <w:rsid w:val="388887E4"/>
    <w:rsid w:val="388DF7C6"/>
    <w:rsid w:val="38A8B240"/>
    <w:rsid w:val="38B5EAFA"/>
    <w:rsid w:val="38BB957E"/>
    <w:rsid w:val="38C34CD0"/>
    <w:rsid w:val="38D34ABC"/>
    <w:rsid w:val="38D58421"/>
    <w:rsid w:val="38DA24DE"/>
    <w:rsid w:val="38DCFA7C"/>
    <w:rsid w:val="38FE47E9"/>
    <w:rsid w:val="39013BDD"/>
    <w:rsid w:val="3926B0AE"/>
    <w:rsid w:val="392D2683"/>
    <w:rsid w:val="39321A3F"/>
    <w:rsid w:val="393A7079"/>
    <w:rsid w:val="39498BD2"/>
    <w:rsid w:val="394B2B4B"/>
    <w:rsid w:val="3957D6DD"/>
    <w:rsid w:val="396A18B8"/>
    <w:rsid w:val="398303DC"/>
    <w:rsid w:val="3992E0B8"/>
    <w:rsid w:val="399EFAE8"/>
    <w:rsid w:val="39AB2A1D"/>
    <w:rsid w:val="39AF75D7"/>
    <w:rsid w:val="39B9F9CF"/>
    <w:rsid w:val="39D67B66"/>
    <w:rsid w:val="3A081D4A"/>
    <w:rsid w:val="3A0F3A45"/>
    <w:rsid w:val="3A17DA6B"/>
    <w:rsid w:val="3A1F95DD"/>
    <w:rsid w:val="3A215312"/>
    <w:rsid w:val="3A244497"/>
    <w:rsid w:val="3A4439B4"/>
    <w:rsid w:val="3A4C5231"/>
    <w:rsid w:val="3A4C8EAE"/>
    <w:rsid w:val="3A5A1BEF"/>
    <w:rsid w:val="3A8FC398"/>
    <w:rsid w:val="3A995881"/>
    <w:rsid w:val="3AA4BB2E"/>
    <w:rsid w:val="3AA5727F"/>
    <w:rsid w:val="3ACA3DF0"/>
    <w:rsid w:val="3AD7F378"/>
    <w:rsid w:val="3AE8338A"/>
    <w:rsid w:val="3AEB1CA2"/>
    <w:rsid w:val="3AF801CE"/>
    <w:rsid w:val="3B10B1F8"/>
    <w:rsid w:val="3B13DDC4"/>
    <w:rsid w:val="3B1B4AA8"/>
    <w:rsid w:val="3B1CDB88"/>
    <w:rsid w:val="3B253BAB"/>
    <w:rsid w:val="3B404D87"/>
    <w:rsid w:val="3B51F26A"/>
    <w:rsid w:val="3B54C22E"/>
    <w:rsid w:val="3B640063"/>
    <w:rsid w:val="3B8CDF4F"/>
    <w:rsid w:val="3B92360D"/>
    <w:rsid w:val="3B97D726"/>
    <w:rsid w:val="3B9BBD37"/>
    <w:rsid w:val="3B9D380D"/>
    <w:rsid w:val="3BAC0CF1"/>
    <w:rsid w:val="3BC62F00"/>
    <w:rsid w:val="3BC9C8F5"/>
    <w:rsid w:val="3BF326F9"/>
    <w:rsid w:val="3BF77643"/>
    <w:rsid w:val="3C2212D2"/>
    <w:rsid w:val="3C26A3DD"/>
    <w:rsid w:val="3C363EA0"/>
    <w:rsid w:val="3C4E0D6B"/>
    <w:rsid w:val="3C8207E6"/>
    <w:rsid w:val="3C991CF0"/>
    <w:rsid w:val="3CA80587"/>
    <w:rsid w:val="3CC01199"/>
    <w:rsid w:val="3CD989A8"/>
    <w:rsid w:val="3CDC5CD6"/>
    <w:rsid w:val="3D011391"/>
    <w:rsid w:val="3D1247FE"/>
    <w:rsid w:val="3D3E6C0F"/>
    <w:rsid w:val="3D5D16F9"/>
    <w:rsid w:val="3D6DE255"/>
    <w:rsid w:val="3D810C6E"/>
    <w:rsid w:val="3D8F4B45"/>
    <w:rsid w:val="3DA1E8A4"/>
    <w:rsid w:val="3DA5E116"/>
    <w:rsid w:val="3DAD0B3E"/>
    <w:rsid w:val="3DB1D047"/>
    <w:rsid w:val="3DB80F43"/>
    <w:rsid w:val="3DB8F4B0"/>
    <w:rsid w:val="3DC7791E"/>
    <w:rsid w:val="3E30576D"/>
    <w:rsid w:val="3E5A7A33"/>
    <w:rsid w:val="3EAD04F4"/>
    <w:rsid w:val="3EB1C461"/>
    <w:rsid w:val="3EC27DDA"/>
    <w:rsid w:val="3EE2B132"/>
    <w:rsid w:val="3EF0FD5A"/>
    <w:rsid w:val="3EF9B0E5"/>
    <w:rsid w:val="3F0167BD"/>
    <w:rsid w:val="3F0A89AD"/>
    <w:rsid w:val="3F1073FE"/>
    <w:rsid w:val="3F42DC4B"/>
    <w:rsid w:val="3F467D49"/>
    <w:rsid w:val="3F4B347E"/>
    <w:rsid w:val="3F4D6336"/>
    <w:rsid w:val="3F60F554"/>
    <w:rsid w:val="3F6ACD88"/>
    <w:rsid w:val="3F6CC9A4"/>
    <w:rsid w:val="3F7C8FAE"/>
    <w:rsid w:val="3F9738C2"/>
    <w:rsid w:val="3FA682A5"/>
    <w:rsid w:val="3FBC8A4F"/>
    <w:rsid w:val="3FC9F789"/>
    <w:rsid w:val="3FDA1FFC"/>
    <w:rsid w:val="3FF04D56"/>
    <w:rsid w:val="400694AA"/>
    <w:rsid w:val="40358051"/>
    <w:rsid w:val="404E88F9"/>
    <w:rsid w:val="404F28D7"/>
    <w:rsid w:val="40633C01"/>
    <w:rsid w:val="4072DDDB"/>
    <w:rsid w:val="40B0F07B"/>
    <w:rsid w:val="40C1E791"/>
    <w:rsid w:val="40C5D451"/>
    <w:rsid w:val="40D33B4C"/>
    <w:rsid w:val="40DCCCB1"/>
    <w:rsid w:val="40E98F9F"/>
    <w:rsid w:val="40F53DCC"/>
    <w:rsid w:val="41424698"/>
    <w:rsid w:val="414E33BF"/>
    <w:rsid w:val="4160F21A"/>
    <w:rsid w:val="417CCECF"/>
    <w:rsid w:val="41819806"/>
    <w:rsid w:val="41A6858B"/>
    <w:rsid w:val="41B0A273"/>
    <w:rsid w:val="41B8D258"/>
    <w:rsid w:val="41B9F801"/>
    <w:rsid w:val="41DEFF0D"/>
    <w:rsid w:val="41ECF813"/>
    <w:rsid w:val="41F34835"/>
    <w:rsid w:val="42446469"/>
    <w:rsid w:val="42688D71"/>
    <w:rsid w:val="427028DA"/>
    <w:rsid w:val="42849A6A"/>
    <w:rsid w:val="428E8A79"/>
    <w:rsid w:val="42A486FF"/>
    <w:rsid w:val="42A9F825"/>
    <w:rsid w:val="42AF4296"/>
    <w:rsid w:val="42D5E4FC"/>
    <w:rsid w:val="42EB7A41"/>
    <w:rsid w:val="42FE278C"/>
    <w:rsid w:val="431AC408"/>
    <w:rsid w:val="43360090"/>
    <w:rsid w:val="433644CF"/>
    <w:rsid w:val="433F08D4"/>
    <w:rsid w:val="4345CD33"/>
    <w:rsid w:val="436C6292"/>
    <w:rsid w:val="439C6391"/>
    <w:rsid w:val="439EE003"/>
    <w:rsid w:val="43D0C80F"/>
    <w:rsid w:val="43D961D1"/>
    <w:rsid w:val="43DA340F"/>
    <w:rsid w:val="43DE6768"/>
    <w:rsid w:val="43F953A7"/>
    <w:rsid w:val="4404600F"/>
    <w:rsid w:val="4427309E"/>
    <w:rsid w:val="4431234A"/>
    <w:rsid w:val="44366B42"/>
    <w:rsid w:val="444CC6C2"/>
    <w:rsid w:val="44525927"/>
    <w:rsid w:val="44576BDE"/>
    <w:rsid w:val="4458DECB"/>
    <w:rsid w:val="4476F335"/>
    <w:rsid w:val="44BBE279"/>
    <w:rsid w:val="44CE36A2"/>
    <w:rsid w:val="44D3FC2B"/>
    <w:rsid w:val="44E289C6"/>
    <w:rsid w:val="44FA420F"/>
    <w:rsid w:val="44FC96E0"/>
    <w:rsid w:val="45139752"/>
    <w:rsid w:val="452ED3A9"/>
    <w:rsid w:val="455A042A"/>
    <w:rsid w:val="456138D9"/>
    <w:rsid w:val="4563964E"/>
    <w:rsid w:val="4568CCFD"/>
    <w:rsid w:val="458A33BB"/>
    <w:rsid w:val="459874C0"/>
    <w:rsid w:val="45A3D1E7"/>
    <w:rsid w:val="45A47B90"/>
    <w:rsid w:val="45B88138"/>
    <w:rsid w:val="45D2703F"/>
    <w:rsid w:val="45D5301A"/>
    <w:rsid w:val="45E79382"/>
    <w:rsid w:val="45F5EF64"/>
    <w:rsid w:val="4606D7DA"/>
    <w:rsid w:val="46075185"/>
    <w:rsid w:val="461D34BD"/>
    <w:rsid w:val="462E52C3"/>
    <w:rsid w:val="463F1795"/>
    <w:rsid w:val="466213B3"/>
    <w:rsid w:val="46702C38"/>
    <w:rsid w:val="468687C9"/>
    <w:rsid w:val="4686C1C3"/>
    <w:rsid w:val="46954207"/>
    <w:rsid w:val="469D8E6B"/>
    <w:rsid w:val="46AD49DD"/>
    <w:rsid w:val="470B05C2"/>
    <w:rsid w:val="471EC49F"/>
    <w:rsid w:val="4735041B"/>
    <w:rsid w:val="4751C859"/>
    <w:rsid w:val="47529E0E"/>
    <w:rsid w:val="4763204B"/>
    <w:rsid w:val="4773DA63"/>
    <w:rsid w:val="47A02A93"/>
    <w:rsid w:val="47A11EA8"/>
    <w:rsid w:val="47AFFC47"/>
    <w:rsid w:val="47BAEAF6"/>
    <w:rsid w:val="47C7974B"/>
    <w:rsid w:val="47CC5F5E"/>
    <w:rsid w:val="47CD7D96"/>
    <w:rsid w:val="47CE62CB"/>
    <w:rsid w:val="47D4D631"/>
    <w:rsid w:val="47DC94F7"/>
    <w:rsid w:val="47F5A0F4"/>
    <w:rsid w:val="47FEAF7C"/>
    <w:rsid w:val="4819A162"/>
    <w:rsid w:val="4845CE96"/>
    <w:rsid w:val="484C1D63"/>
    <w:rsid w:val="486722F1"/>
    <w:rsid w:val="486B3DD8"/>
    <w:rsid w:val="48778FA5"/>
    <w:rsid w:val="48939699"/>
    <w:rsid w:val="48989133"/>
    <w:rsid w:val="48B71642"/>
    <w:rsid w:val="48E296F3"/>
    <w:rsid w:val="48EC4D6E"/>
    <w:rsid w:val="48F8FEF6"/>
    <w:rsid w:val="490C4B2B"/>
    <w:rsid w:val="490D43C4"/>
    <w:rsid w:val="493D277F"/>
    <w:rsid w:val="4965A310"/>
    <w:rsid w:val="496E8ADE"/>
    <w:rsid w:val="49771634"/>
    <w:rsid w:val="49825277"/>
    <w:rsid w:val="49847859"/>
    <w:rsid w:val="4988A397"/>
    <w:rsid w:val="499C909C"/>
    <w:rsid w:val="499FED87"/>
    <w:rsid w:val="49A4AB0E"/>
    <w:rsid w:val="49A9AD26"/>
    <w:rsid w:val="49B32696"/>
    <w:rsid w:val="49C3036F"/>
    <w:rsid w:val="49C8012C"/>
    <w:rsid w:val="49CF38BF"/>
    <w:rsid w:val="49EAD647"/>
    <w:rsid w:val="49F392B6"/>
    <w:rsid w:val="4A449695"/>
    <w:rsid w:val="4A4F335E"/>
    <w:rsid w:val="4A62AC88"/>
    <w:rsid w:val="4A7BDF9A"/>
    <w:rsid w:val="4A7E311F"/>
    <w:rsid w:val="4A945CFE"/>
    <w:rsid w:val="4A980596"/>
    <w:rsid w:val="4AB473C6"/>
    <w:rsid w:val="4ABD2430"/>
    <w:rsid w:val="4AC40861"/>
    <w:rsid w:val="4AD6E649"/>
    <w:rsid w:val="4AF1A5CA"/>
    <w:rsid w:val="4B251558"/>
    <w:rsid w:val="4B2B18B0"/>
    <w:rsid w:val="4B40866D"/>
    <w:rsid w:val="4B4113A6"/>
    <w:rsid w:val="4B430FAD"/>
    <w:rsid w:val="4B77E14E"/>
    <w:rsid w:val="4B87FABB"/>
    <w:rsid w:val="4B936508"/>
    <w:rsid w:val="4B944F85"/>
    <w:rsid w:val="4B9D5AAB"/>
    <w:rsid w:val="4B9D70FD"/>
    <w:rsid w:val="4BAE9A58"/>
    <w:rsid w:val="4BC51538"/>
    <w:rsid w:val="4BD2AA79"/>
    <w:rsid w:val="4BDF5E2D"/>
    <w:rsid w:val="4BFA8520"/>
    <w:rsid w:val="4BFCBF84"/>
    <w:rsid w:val="4C08E880"/>
    <w:rsid w:val="4C10F72B"/>
    <w:rsid w:val="4C1149B3"/>
    <w:rsid w:val="4C194A53"/>
    <w:rsid w:val="4C1AF395"/>
    <w:rsid w:val="4C364A60"/>
    <w:rsid w:val="4C376E15"/>
    <w:rsid w:val="4C465C65"/>
    <w:rsid w:val="4C4BF185"/>
    <w:rsid w:val="4C5668D4"/>
    <w:rsid w:val="4C5EEAC2"/>
    <w:rsid w:val="4C64F0FB"/>
    <w:rsid w:val="4C889338"/>
    <w:rsid w:val="4CA29F84"/>
    <w:rsid w:val="4CA4170F"/>
    <w:rsid w:val="4CB141CF"/>
    <w:rsid w:val="4CB80F31"/>
    <w:rsid w:val="4CCAB7CC"/>
    <w:rsid w:val="4CD72EC9"/>
    <w:rsid w:val="4CE50EFE"/>
    <w:rsid w:val="4CE784D4"/>
    <w:rsid w:val="4CF17961"/>
    <w:rsid w:val="4D06F932"/>
    <w:rsid w:val="4D1D0254"/>
    <w:rsid w:val="4D33F3E6"/>
    <w:rsid w:val="4D35545A"/>
    <w:rsid w:val="4D36F66B"/>
    <w:rsid w:val="4D3F272F"/>
    <w:rsid w:val="4D4093C6"/>
    <w:rsid w:val="4D4F44B5"/>
    <w:rsid w:val="4D6811A6"/>
    <w:rsid w:val="4D7797D7"/>
    <w:rsid w:val="4DDD7652"/>
    <w:rsid w:val="4E232420"/>
    <w:rsid w:val="4E38FB78"/>
    <w:rsid w:val="4E4C6B48"/>
    <w:rsid w:val="4E5912A1"/>
    <w:rsid w:val="4E620A45"/>
    <w:rsid w:val="4E7BB2F0"/>
    <w:rsid w:val="4E81EABA"/>
    <w:rsid w:val="4E945F21"/>
    <w:rsid w:val="4E97386B"/>
    <w:rsid w:val="4EA55F47"/>
    <w:rsid w:val="4EE56E71"/>
    <w:rsid w:val="4EF4BCFA"/>
    <w:rsid w:val="4F09A3EA"/>
    <w:rsid w:val="4F1252B7"/>
    <w:rsid w:val="4F1DD029"/>
    <w:rsid w:val="4F1E176A"/>
    <w:rsid w:val="4F287225"/>
    <w:rsid w:val="4F3564DA"/>
    <w:rsid w:val="4F42F324"/>
    <w:rsid w:val="4F51251A"/>
    <w:rsid w:val="4F51A2B7"/>
    <w:rsid w:val="4F7460A0"/>
    <w:rsid w:val="4F7E3818"/>
    <w:rsid w:val="4F848777"/>
    <w:rsid w:val="4F8E38FA"/>
    <w:rsid w:val="4F972EAB"/>
    <w:rsid w:val="4FAB0681"/>
    <w:rsid w:val="4FBB451D"/>
    <w:rsid w:val="4FC8D45D"/>
    <w:rsid w:val="4FE56E6B"/>
    <w:rsid w:val="5010C583"/>
    <w:rsid w:val="503C377B"/>
    <w:rsid w:val="506B3C00"/>
    <w:rsid w:val="507BA6A7"/>
    <w:rsid w:val="508E2FA7"/>
    <w:rsid w:val="5094A6C8"/>
    <w:rsid w:val="50B977E2"/>
    <w:rsid w:val="50BDB9AC"/>
    <w:rsid w:val="50C098EA"/>
    <w:rsid w:val="50EF07AE"/>
    <w:rsid w:val="50FB4DF7"/>
    <w:rsid w:val="5105166D"/>
    <w:rsid w:val="51219E74"/>
    <w:rsid w:val="5126AB55"/>
    <w:rsid w:val="513E8D02"/>
    <w:rsid w:val="51607DB3"/>
    <w:rsid w:val="516F4B7C"/>
    <w:rsid w:val="51847113"/>
    <w:rsid w:val="51A67A1B"/>
    <w:rsid w:val="51BB0A43"/>
    <w:rsid w:val="51BCCD3B"/>
    <w:rsid w:val="51FABDAA"/>
    <w:rsid w:val="520450C5"/>
    <w:rsid w:val="5211922C"/>
    <w:rsid w:val="521AED98"/>
    <w:rsid w:val="521C2C2A"/>
    <w:rsid w:val="522B6675"/>
    <w:rsid w:val="522F40DE"/>
    <w:rsid w:val="5261E782"/>
    <w:rsid w:val="5267C3BC"/>
    <w:rsid w:val="52681CB7"/>
    <w:rsid w:val="526D54EA"/>
    <w:rsid w:val="527A5771"/>
    <w:rsid w:val="5282973A"/>
    <w:rsid w:val="52A496D8"/>
    <w:rsid w:val="52B0D92D"/>
    <w:rsid w:val="52B432D0"/>
    <w:rsid w:val="52C1B6CF"/>
    <w:rsid w:val="52C23699"/>
    <w:rsid w:val="52C27BB6"/>
    <w:rsid w:val="52C40AD0"/>
    <w:rsid w:val="52D48CEE"/>
    <w:rsid w:val="5310D465"/>
    <w:rsid w:val="531E8872"/>
    <w:rsid w:val="5325BD71"/>
    <w:rsid w:val="5327DF21"/>
    <w:rsid w:val="533F06D1"/>
    <w:rsid w:val="534DCA85"/>
    <w:rsid w:val="53570AB7"/>
    <w:rsid w:val="536545FC"/>
    <w:rsid w:val="5366AA57"/>
    <w:rsid w:val="53671841"/>
    <w:rsid w:val="537072B0"/>
    <w:rsid w:val="538842B7"/>
    <w:rsid w:val="539D37A2"/>
    <w:rsid w:val="53A28CFD"/>
    <w:rsid w:val="53A3F8D9"/>
    <w:rsid w:val="53BB50D0"/>
    <w:rsid w:val="53CDAADC"/>
    <w:rsid w:val="53EE8331"/>
    <w:rsid w:val="53F6DAB4"/>
    <w:rsid w:val="53FA36B7"/>
    <w:rsid w:val="5412E43C"/>
    <w:rsid w:val="5451500E"/>
    <w:rsid w:val="54550D99"/>
    <w:rsid w:val="5459E433"/>
    <w:rsid w:val="54604271"/>
    <w:rsid w:val="5471CF4C"/>
    <w:rsid w:val="547D3FDA"/>
    <w:rsid w:val="548C9878"/>
    <w:rsid w:val="549D0445"/>
    <w:rsid w:val="54A5D095"/>
    <w:rsid w:val="54ACA433"/>
    <w:rsid w:val="54B8A0D7"/>
    <w:rsid w:val="54BDAA41"/>
    <w:rsid w:val="54C402C4"/>
    <w:rsid w:val="54E63016"/>
    <w:rsid w:val="54E92EB8"/>
    <w:rsid w:val="54F69AEF"/>
    <w:rsid w:val="54FF8814"/>
    <w:rsid w:val="550096DF"/>
    <w:rsid w:val="550CB008"/>
    <w:rsid w:val="5511C58B"/>
    <w:rsid w:val="5538AC68"/>
    <w:rsid w:val="55399AB8"/>
    <w:rsid w:val="55505334"/>
    <w:rsid w:val="55747371"/>
    <w:rsid w:val="558354BD"/>
    <w:rsid w:val="5593F0AF"/>
    <w:rsid w:val="55A18445"/>
    <w:rsid w:val="55B25045"/>
    <w:rsid w:val="55B2A26F"/>
    <w:rsid w:val="55C8660A"/>
    <w:rsid w:val="55CC1704"/>
    <w:rsid w:val="55D31F4C"/>
    <w:rsid w:val="55E65FB2"/>
    <w:rsid w:val="561590C6"/>
    <w:rsid w:val="56232B86"/>
    <w:rsid w:val="56304179"/>
    <w:rsid w:val="563C6D8B"/>
    <w:rsid w:val="563FB6AF"/>
    <w:rsid w:val="5640CC47"/>
    <w:rsid w:val="564959C3"/>
    <w:rsid w:val="564F4353"/>
    <w:rsid w:val="565DD2DC"/>
    <w:rsid w:val="569A4D01"/>
    <w:rsid w:val="569B3016"/>
    <w:rsid w:val="56B01B11"/>
    <w:rsid w:val="56D01D76"/>
    <w:rsid w:val="56D5C99A"/>
    <w:rsid w:val="56D5ECB0"/>
    <w:rsid w:val="56DBA3D9"/>
    <w:rsid w:val="56DE974D"/>
    <w:rsid w:val="56F7F161"/>
    <w:rsid w:val="574E28ED"/>
    <w:rsid w:val="57596309"/>
    <w:rsid w:val="575C29E5"/>
    <w:rsid w:val="57690DDA"/>
    <w:rsid w:val="576E0937"/>
    <w:rsid w:val="57796337"/>
    <w:rsid w:val="57840857"/>
    <w:rsid w:val="57894BFA"/>
    <w:rsid w:val="57AB98B4"/>
    <w:rsid w:val="57C302A0"/>
    <w:rsid w:val="57DAB54E"/>
    <w:rsid w:val="57E3029E"/>
    <w:rsid w:val="57FB6652"/>
    <w:rsid w:val="58021CB6"/>
    <w:rsid w:val="58083D76"/>
    <w:rsid w:val="580F5D60"/>
    <w:rsid w:val="582F5E80"/>
    <w:rsid w:val="58467536"/>
    <w:rsid w:val="58662B05"/>
    <w:rsid w:val="58783F71"/>
    <w:rsid w:val="5897C5B7"/>
    <w:rsid w:val="58BBF68C"/>
    <w:rsid w:val="58C4DCB5"/>
    <w:rsid w:val="58C5EE47"/>
    <w:rsid w:val="58CB17E5"/>
    <w:rsid w:val="58D3B2CA"/>
    <w:rsid w:val="58E1C415"/>
    <w:rsid w:val="58EADF85"/>
    <w:rsid w:val="58F648C7"/>
    <w:rsid w:val="59034897"/>
    <w:rsid w:val="590B2389"/>
    <w:rsid w:val="590D3D0E"/>
    <w:rsid w:val="591894DD"/>
    <w:rsid w:val="591B059B"/>
    <w:rsid w:val="59509A14"/>
    <w:rsid w:val="5977F307"/>
    <w:rsid w:val="598D3093"/>
    <w:rsid w:val="599DEE3B"/>
    <w:rsid w:val="59A16DFC"/>
    <w:rsid w:val="59C41CBA"/>
    <w:rsid w:val="59FE19BA"/>
    <w:rsid w:val="59FED68F"/>
    <w:rsid w:val="5A32AF78"/>
    <w:rsid w:val="5A37ADBF"/>
    <w:rsid w:val="5A45A8EE"/>
    <w:rsid w:val="5A4A5211"/>
    <w:rsid w:val="5A4F91A3"/>
    <w:rsid w:val="5A589726"/>
    <w:rsid w:val="5A71CD65"/>
    <w:rsid w:val="5A8CFF82"/>
    <w:rsid w:val="5A91DCEF"/>
    <w:rsid w:val="5A9AB715"/>
    <w:rsid w:val="5AAD426D"/>
    <w:rsid w:val="5AAF34E9"/>
    <w:rsid w:val="5AD26501"/>
    <w:rsid w:val="5AD30800"/>
    <w:rsid w:val="5AE8CD2D"/>
    <w:rsid w:val="5B16D991"/>
    <w:rsid w:val="5B2ABB7B"/>
    <w:rsid w:val="5B3D152F"/>
    <w:rsid w:val="5B507186"/>
    <w:rsid w:val="5B9BDA55"/>
    <w:rsid w:val="5BA41B0A"/>
    <w:rsid w:val="5BBFE3E2"/>
    <w:rsid w:val="5BC0596A"/>
    <w:rsid w:val="5BCBA889"/>
    <w:rsid w:val="5BCEE73D"/>
    <w:rsid w:val="5BCEFE95"/>
    <w:rsid w:val="5BD1A31D"/>
    <w:rsid w:val="5BD47A52"/>
    <w:rsid w:val="5BDA849E"/>
    <w:rsid w:val="5BDF157E"/>
    <w:rsid w:val="5BF0ECD7"/>
    <w:rsid w:val="5BF3DA67"/>
    <w:rsid w:val="5BFD6FF6"/>
    <w:rsid w:val="5C03C2C3"/>
    <w:rsid w:val="5C12CB81"/>
    <w:rsid w:val="5C20BB17"/>
    <w:rsid w:val="5C23E0E0"/>
    <w:rsid w:val="5C2D5A1A"/>
    <w:rsid w:val="5C4570F0"/>
    <w:rsid w:val="5C50785F"/>
    <w:rsid w:val="5C70524C"/>
    <w:rsid w:val="5C857F4A"/>
    <w:rsid w:val="5C97E37C"/>
    <w:rsid w:val="5C9BCCBF"/>
    <w:rsid w:val="5CC1EA28"/>
    <w:rsid w:val="5CCCC1CD"/>
    <w:rsid w:val="5CE548A1"/>
    <w:rsid w:val="5CE5A0C9"/>
    <w:rsid w:val="5CE61118"/>
    <w:rsid w:val="5D08B0D0"/>
    <w:rsid w:val="5D164186"/>
    <w:rsid w:val="5D5089BD"/>
    <w:rsid w:val="5D53D1E9"/>
    <w:rsid w:val="5D56CD9E"/>
    <w:rsid w:val="5D620C2E"/>
    <w:rsid w:val="5D62737A"/>
    <w:rsid w:val="5D70169C"/>
    <w:rsid w:val="5D7BCA2F"/>
    <w:rsid w:val="5D94E08E"/>
    <w:rsid w:val="5DBA2BF3"/>
    <w:rsid w:val="5DC0F971"/>
    <w:rsid w:val="5DCA5E04"/>
    <w:rsid w:val="5DD9463D"/>
    <w:rsid w:val="5E0FF707"/>
    <w:rsid w:val="5E39BAAD"/>
    <w:rsid w:val="5E478F11"/>
    <w:rsid w:val="5E4A06C0"/>
    <w:rsid w:val="5E58AD04"/>
    <w:rsid w:val="5E70F93A"/>
    <w:rsid w:val="5E80E619"/>
    <w:rsid w:val="5E8979F4"/>
    <w:rsid w:val="5E951725"/>
    <w:rsid w:val="5EC0F496"/>
    <w:rsid w:val="5ED9A1E4"/>
    <w:rsid w:val="5F0FD45E"/>
    <w:rsid w:val="5F13F7A2"/>
    <w:rsid w:val="5F61A7E0"/>
    <w:rsid w:val="5F65DBFE"/>
    <w:rsid w:val="5F75085C"/>
    <w:rsid w:val="5F7F27B3"/>
    <w:rsid w:val="5F82A948"/>
    <w:rsid w:val="5F841ACD"/>
    <w:rsid w:val="5F8B0341"/>
    <w:rsid w:val="5FB160C6"/>
    <w:rsid w:val="5FC10900"/>
    <w:rsid w:val="5FD0D272"/>
    <w:rsid w:val="5FF55B15"/>
    <w:rsid w:val="6001AC66"/>
    <w:rsid w:val="6029E3CE"/>
    <w:rsid w:val="60618910"/>
    <w:rsid w:val="60ABD9C6"/>
    <w:rsid w:val="610153A0"/>
    <w:rsid w:val="610C533C"/>
    <w:rsid w:val="6113D61F"/>
    <w:rsid w:val="611F37FF"/>
    <w:rsid w:val="6124E19C"/>
    <w:rsid w:val="612708BA"/>
    <w:rsid w:val="6133BD6C"/>
    <w:rsid w:val="61503F38"/>
    <w:rsid w:val="61643197"/>
    <w:rsid w:val="6167D761"/>
    <w:rsid w:val="616B1547"/>
    <w:rsid w:val="616E9B41"/>
    <w:rsid w:val="61B45BF1"/>
    <w:rsid w:val="61D6176B"/>
    <w:rsid w:val="61ECEA7D"/>
    <w:rsid w:val="61EF0BE3"/>
    <w:rsid w:val="61F17F45"/>
    <w:rsid w:val="61F2F612"/>
    <w:rsid w:val="61FB12B1"/>
    <w:rsid w:val="61FD2F52"/>
    <w:rsid w:val="61FD7FDE"/>
    <w:rsid w:val="6202F339"/>
    <w:rsid w:val="62482E75"/>
    <w:rsid w:val="62577317"/>
    <w:rsid w:val="625E0728"/>
    <w:rsid w:val="625F5581"/>
    <w:rsid w:val="626E38A3"/>
    <w:rsid w:val="6277B8E5"/>
    <w:rsid w:val="62EC2431"/>
    <w:rsid w:val="62FD9841"/>
    <w:rsid w:val="634AE85E"/>
    <w:rsid w:val="635D7FF2"/>
    <w:rsid w:val="636E925E"/>
    <w:rsid w:val="6383B914"/>
    <w:rsid w:val="6390688F"/>
    <w:rsid w:val="639F21B3"/>
    <w:rsid w:val="63A09573"/>
    <w:rsid w:val="63DE6BEC"/>
    <w:rsid w:val="6411744F"/>
    <w:rsid w:val="641A1E99"/>
    <w:rsid w:val="64207230"/>
    <w:rsid w:val="64267650"/>
    <w:rsid w:val="646574A3"/>
    <w:rsid w:val="646DDAD6"/>
    <w:rsid w:val="647E7365"/>
    <w:rsid w:val="6486D0B6"/>
    <w:rsid w:val="6499FD6F"/>
    <w:rsid w:val="64A101A5"/>
    <w:rsid w:val="64A4B0A6"/>
    <w:rsid w:val="64A9A38B"/>
    <w:rsid w:val="64AC46D9"/>
    <w:rsid w:val="64AFBCE6"/>
    <w:rsid w:val="64E2CD73"/>
    <w:rsid w:val="64ED9FC7"/>
    <w:rsid w:val="64EDB357"/>
    <w:rsid w:val="65013F1F"/>
    <w:rsid w:val="654EE3EB"/>
    <w:rsid w:val="654F0A77"/>
    <w:rsid w:val="65539426"/>
    <w:rsid w:val="656A36EA"/>
    <w:rsid w:val="65709886"/>
    <w:rsid w:val="65792A9A"/>
    <w:rsid w:val="657A2865"/>
    <w:rsid w:val="657CAF91"/>
    <w:rsid w:val="657EA6C0"/>
    <w:rsid w:val="657F02B8"/>
    <w:rsid w:val="6593C508"/>
    <w:rsid w:val="65AE6D04"/>
    <w:rsid w:val="65C59922"/>
    <w:rsid w:val="65D0ACE0"/>
    <w:rsid w:val="65FC01E4"/>
    <w:rsid w:val="6601E529"/>
    <w:rsid w:val="660B9116"/>
    <w:rsid w:val="66400A1B"/>
    <w:rsid w:val="66518878"/>
    <w:rsid w:val="6658DC1A"/>
    <w:rsid w:val="665A86E4"/>
    <w:rsid w:val="6660D801"/>
    <w:rsid w:val="6668F043"/>
    <w:rsid w:val="6682B8C4"/>
    <w:rsid w:val="66842ADB"/>
    <w:rsid w:val="66931368"/>
    <w:rsid w:val="66940FC6"/>
    <w:rsid w:val="66A66EC3"/>
    <w:rsid w:val="66B562A8"/>
    <w:rsid w:val="66B5D382"/>
    <w:rsid w:val="66C77146"/>
    <w:rsid w:val="66CE5935"/>
    <w:rsid w:val="66DEB1BC"/>
    <w:rsid w:val="66E3BED5"/>
    <w:rsid w:val="66F11266"/>
    <w:rsid w:val="67015445"/>
    <w:rsid w:val="67296DCE"/>
    <w:rsid w:val="6731D1D4"/>
    <w:rsid w:val="6736E7DC"/>
    <w:rsid w:val="673CE6B6"/>
    <w:rsid w:val="676412FF"/>
    <w:rsid w:val="677395F5"/>
    <w:rsid w:val="6780FEDE"/>
    <w:rsid w:val="67879893"/>
    <w:rsid w:val="679A69E4"/>
    <w:rsid w:val="67B0A680"/>
    <w:rsid w:val="67B6EF10"/>
    <w:rsid w:val="67C1CE35"/>
    <w:rsid w:val="67D30EEC"/>
    <w:rsid w:val="67D35986"/>
    <w:rsid w:val="67D783EB"/>
    <w:rsid w:val="67EF6CA8"/>
    <w:rsid w:val="67F6BA2A"/>
    <w:rsid w:val="67F75CDE"/>
    <w:rsid w:val="6811EE1E"/>
    <w:rsid w:val="682F53D0"/>
    <w:rsid w:val="68372B55"/>
    <w:rsid w:val="6844D4AA"/>
    <w:rsid w:val="6855309A"/>
    <w:rsid w:val="68587FF0"/>
    <w:rsid w:val="68715443"/>
    <w:rsid w:val="68A6079D"/>
    <w:rsid w:val="68A6490B"/>
    <w:rsid w:val="68AA123C"/>
    <w:rsid w:val="68B58065"/>
    <w:rsid w:val="68B5FEFD"/>
    <w:rsid w:val="68E60963"/>
    <w:rsid w:val="69004758"/>
    <w:rsid w:val="69039EE4"/>
    <w:rsid w:val="690F0AA1"/>
    <w:rsid w:val="69164A0B"/>
    <w:rsid w:val="692A0787"/>
    <w:rsid w:val="6935CF06"/>
    <w:rsid w:val="69491667"/>
    <w:rsid w:val="694D3E29"/>
    <w:rsid w:val="6952D795"/>
    <w:rsid w:val="695962ED"/>
    <w:rsid w:val="696D9A06"/>
    <w:rsid w:val="69AABB6D"/>
    <w:rsid w:val="69AE3331"/>
    <w:rsid w:val="69B0DFD5"/>
    <w:rsid w:val="69C70D11"/>
    <w:rsid w:val="69C861E1"/>
    <w:rsid w:val="69E534D3"/>
    <w:rsid w:val="69E89ECC"/>
    <w:rsid w:val="69F79B9E"/>
    <w:rsid w:val="6A0800F4"/>
    <w:rsid w:val="6A2465B5"/>
    <w:rsid w:val="6A2515A2"/>
    <w:rsid w:val="6A372E16"/>
    <w:rsid w:val="6A8F3B28"/>
    <w:rsid w:val="6ABE8FC0"/>
    <w:rsid w:val="6ABEF138"/>
    <w:rsid w:val="6AC778AD"/>
    <w:rsid w:val="6AC7FC37"/>
    <w:rsid w:val="6AD02B8B"/>
    <w:rsid w:val="6AD52C63"/>
    <w:rsid w:val="6ADFEB72"/>
    <w:rsid w:val="6AF7B8CB"/>
    <w:rsid w:val="6B1C0CDC"/>
    <w:rsid w:val="6B2B7514"/>
    <w:rsid w:val="6B2F5D2E"/>
    <w:rsid w:val="6B3EB18E"/>
    <w:rsid w:val="6B44BFEB"/>
    <w:rsid w:val="6B4CF0C1"/>
    <w:rsid w:val="6B76F516"/>
    <w:rsid w:val="6B7BD994"/>
    <w:rsid w:val="6B7C45F0"/>
    <w:rsid w:val="6B906A82"/>
    <w:rsid w:val="6B908DFA"/>
    <w:rsid w:val="6B953101"/>
    <w:rsid w:val="6BAB036A"/>
    <w:rsid w:val="6BAC62C8"/>
    <w:rsid w:val="6BB2EF5C"/>
    <w:rsid w:val="6BBE5BAA"/>
    <w:rsid w:val="6C028ABB"/>
    <w:rsid w:val="6C0CDBC5"/>
    <w:rsid w:val="6C150F33"/>
    <w:rsid w:val="6C2FC38F"/>
    <w:rsid w:val="6C5C90BD"/>
    <w:rsid w:val="6C803836"/>
    <w:rsid w:val="6CA10DA6"/>
    <w:rsid w:val="6CEE5B2B"/>
    <w:rsid w:val="6D098AF6"/>
    <w:rsid w:val="6D1A293E"/>
    <w:rsid w:val="6D489E8E"/>
    <w:rsid w:val="6D622705"/>
    <w:rsid w:val="6D67A28D"/>
    <w:rsid w:val="6D781BD0"/>
    <w:rsid w:val="6D869123"/>
    <w:rsid w:val="6D8B95FE"/>
    <w:rsid w:val="6D8EC5C0"/>
    <w:rsid w:val="6D925595"/>
    <w:rsid w:val="6DC23E59"/>
    <w:rsid w:val="6DEF878C"/>
    <w:rsid w:val="6DF59C74"/>
    <w:rsid w:val="6E091BEE"/>
    <w:rsid w:val="6E0B59A2"/>
    <w:rsid w:val="6E0B9440"/>
    <w:rsid w:val="6E570C67"/>
    <w:rsid w:val="6E6BE905"/>
    <w:rsid w:val="6E716D4B"/>
    <w:rsid w:val="6E97E24D"/>
    <w:rsid w:val="6E990F1A"/>
    <w:rsid w:val="6E9EA650"/>
    <w:rsid w:val="6ED11FC6"/>
    <w:rsid w:val="6ED897E0"/>
    <w:rsid w:val="6EF059DB"/>
    <w:rsid w:val="6EFFD1A1"/>
    <w:rsid w:val="6F1CFEBF"/>
    <w:rsid w:val="6F26DE3D"/>
    <w:rsid w:val="6F2E162C"/>
    <w:rsid w:val="6F308C5F"/>
    <w:rsid w:val="6F486AA0"/>
    <w:rsid w:val="6F79A3CB"/>
    <w:rsid w:val="6F87198F"/>
    <w:rsid w:val="6FD84BF0"/>
    <w:rsid w:val="6FDF2318"/>
    <w:rsid w:val="700D32C7"/>
    <w:rsid w:val="700DF4C9"/>
    <w:rsid w:val="70121239"/>
    <w:rsid w:val="70210FFB"/>
    <w:rsid w:val="7033B2AE"/>
    <w:rsid w:val="70413FC7"/>
    <w:rsid w:val="7042F9CD"/>
    <w:rsid w:val="7059AB91"/>
    <w:rsid w:val="7074968B"/>
    <w:rsid w:val="707C1532"/>
    <w:rsid w:val="70972F74"/>
    <w:rsid w:val="7098E3D6"/>
    <w:rsid w:val="70A1AF2C"/>
    <w:rsid w:val="70A745CF"/>
    <w:rsid w:val="70BFEF18"/>
    <w:rsid w:val="70C0D73D"/>
    <w:rsid w:val="70C2EDDA"/>
    <w:rsid w:val="70C991BE"/>
    <w:rsid w:val="70CEBF13"/>
    <w:rsid w:val="70E977B8"/>
    <w:rsid w:val="70F69FBA"/>
    <w:rsid w:val="71176978"/>
    <w:rsid w:val="7117C5F7"/>
    <w:rsid w:val="711B82D0"/>
    <w:rsid w:val="7123AF87"/>
    <w:rsid w:val="712B2F6B"/>
    <w:rsid w:val="71332AD0"/>
    <w:rsid w:val="71672DA8"/>
    <w:rsid w:val="71690FAA"/>
    <w:rsid w:val="7181C3D8"/>
    <w:rsid w:val="71B74D01"/>
    <w:rsid w:val="71D23EC7"/>
    <w:rsid w:val="71D2EA9C"/>
    <w:rsid w:val="71DDAE3D"/>
    <w:rsid w:val="71FC3291"/>
    <w:rsid w:val="720C3AA8"/>
    <w:rsid w:val="72370A59"/>
    <w:rsid w:val="724093CC"/>
    <w:rsid w:val="7242F3AC"/>
    <w:rsid w:val="726DE4B2"/>
    <w:rsid w:val="727D1BAD"/>
    <w:rsid w:val="727D98BE"/>
    <w:rsid w:val="72BE0221"/>
    <w:rsid w:val="72DB825C"/>
    <w:rsid w:val="72FD7E79"/>
    <w:rsid w:val="730637DB"/>
    <w:rsid w:val="730B179A"/>
    <w:rsid w:val="7317A2CD"/>
    <w:rsid w:val="731F9D5D"/>
    <w:rsid w:val="7331BC6F"/>
    <w:rsid w:val="7331FF91"/>
    <w:rsid w:val="733A5FA8"/>
    <w:rsid w:val="73421B39"/>
    <w:rsid w:val="735218DA"/>
    <w:rsid w:val="73542A69"/>
    <w:rsid w:val="7367BF36"/>
    <w:rsid w:val="739309AE"/>
    <w:rsid w:val="73947EE7"/>
    <w:rsid w:val="73AC1CFF"/>
    <w:rsid w:val="73B0FC92"/>
    <w:rsid w:val="73B7FCD2"/>
    <w:rsid w:val="73B9AD91"/>
    <w:rsid w:val="73BFFBD2"/>
    <w:rsid w:val="73EE2214"/>
    <w:rsid w:val="743856C1"/>
    <w:rsid w:val="7465B294"/>
    <w:rsid w:val="74671470"/>
    <w:rsid w:val="747639F1"/>
    <w:rsid w:val="74878C72"/>
    <w:rsid w:val="7496CF36"/>
    <w:rsid w:val="749B6A03"/>
    <w:rsid w:val="74A97359"/>
    <w:rsid w:val="74B7A7A4"/>
    <w:rsid w:val="74DA366D"/>
    <w:rsid w:val="74DD2874"/>
    <w:rsid w:val="74F143BB"/>
    <w:rsid w:val="74FA3D3A"/>
    <w:rsid w:val="750723D1"/>
    <w:rsid w:val="750B333D"/>
    <w:rsid w:val="751AC1EB"/>
    <w:rsid w:val="7520EF2E"/>
    <w:rsid w:val="753291BC"/>
    <w:rsid w:val="75383C36"/>
    <w:rsid w:val="753DF46A"/>
    <w:rsid w:val="7571F6B2"/>
    <w:rsid w:val="75886EDD"/>
    <w:rsid w:val="75B79CE4"/>
    <w:rsid w:val="75F8372E"/>
    <w:rsid w:val="75FEEB56"/>
    <w:rsid w:val="76176A35"/>
    <w:rsid w:val="762C1361"/>
    <w:rsid w:val="76682CCD"/>
    <w:rsid w:val="766834DF"/>
    <w:rsid w:val="7683AA68"/>
    <w:rsid w:val="76990DCC"/>
    <w:rsid w:val="769D7DDC"/>
    <w:rsid w:val="769E204F"/>
    <w:rsid w:val="76A2E038"/>
    <w:rsid w:val="76A5C772"/>
    <w:rsid w:val="76D28442"/>
    <w:rsid w:val="76ED9420"/>
    <w:rsid w:val="77242BEB"/>
    <w:rsid w:val="7736560F"/>
    <w:rsid w:val="7739CC2A"/>
    <w:rsid w:val="77A4B7E4"/>
    <w:rsid w:val="77A99D52"/>
    <w:rsid w:val="77B3D886"/>
    <w:rsid w:val="77B85446"/>
    <w:rsid w:val="77C38E9F"/>
    <w:rsid w:val="78036B78"/>
    <w:rsid w:val="780B7CEB"/>
    <w:rsid w:val="7817A667"/>
    <w:rsid w:val="7821A35A"/>
    <w:rsid w:val="78268C42"/>
    <w:rsid w:val="782DBE74"/>
    <w:rsid w:val="78583CFA"/>
    <w:rsid w:val="785B4D8E"/>
    <w:rsid w:val="7863BD64"/>
    <w:rsid w:val="787AE66B"/>
    <w:rsid w:val="7895FB5F"/>
    <w:rsid w:val="78B658F9"/>
    <w:rsid w:val="79075D3A"/>
    <w:rsid w:val="791C9786"/>
    <w:rsid w:val="791CB862"/>
    <w:rsid w:val="79218105"/>
    <w:rsid w:val="792BB598"/>
    <w:rsid w:val="792FA31A"/>
    <w:rsid w:val="79571E54"/>
    <w:rsid w:val="79660134"/>
    <w:rsid w:val="796A3AC3"/>
    <w:rsid w:val="797CC6A4"/>
    <w:rsid w:val="798204B4"/>
    <w:rsid w:val="7985580C"/>
    <w:rsid w:val="79A9BA34"/>
    <w:rsid w:val="79F857C9"/>
    <w:rsid w:val="79FB6C74"/>
    <w:rsid w:val="7A0CEB4F"/>
    <w:rsid w:val="7A1465BE"/>
    <w:rsid w:val="7A147194"/>
    <w:rsid w:val="7A166DB0"/>
    <w:rsid w:val="7A1B89F8"/>
    <w:rsid w:val="7A2CE60E"/>
    <w:rsid w:val="7A300375"/>
    <w:rsid w:val="7A3093E7"/>
    <w:rsid w:val="7A3BE574"/>
    <w:rsid w:val="7A3C097B"/>
    <w:rsid w:val="7A5E434A"/>
    <w:rsid w:val="7A658BC7"/>
    <w:rsid w:val="7A71678B"/>
    <w:rsid w:val="7A725595"/>
    <w:rsid w:val="7AA2881C"/>
    <w:rsid w:val="7AA7B0FA"/>
    <w:rsid w:val="7AC7E496"/>
    <w:rsid w:val="7AD97278"/>
    <w:rsid w:val="7ADCB93A"/>
    <w:rsid w:val="7AFD7A8A"/>
    <w:rsid w:val="7B133C10"/>
    <w:rsid w:val="7B2CA777"/>
    <w:rsid w:val="7B33709D"/>
    <w:rsid w:val="7B578E9A"/>
    <w:rsid w:val="7B62CEE5"/>
    <w:rsid w:val="7B65EEFF"/>
    <w:rsid w:val="7B79B7E6"/>
    <w:rsid w:val="7B7A9593"/>
    <w:rsid w:val="7B986332"/>
    <w:rsid w:val="7B9AAA94"/>
    <w:rsid w:val="7BA54E6C"/>
    <w:rsid w:val="7BBAE878"/>
    <w:rsid w:val="7C072CD1"/>
    <w:rsid w:val="7C0FAAF8"/>
    <w:rsid w:val="7C254245"/>
    <w:rsid w:val="7C279865"/>
    <w:rsid w:val="7C32370F"/>
    <w:rsid w:val="7C35EF19"/>
    <w:rsid w:val="7C4C7165"/>
    <w:rsid w:val="7C50F5D4"/>
    <w:rsid w:val="7C87AA36"/>
    <w:rsid w:val="7CB33C5A"/>
    <w:rsid w:val="7CCFED6D"/>
    <w:rsid w:val="7CF41FE3"/>
    <w:rsid w:val="7CF575E2"/>
    <w:rsid w:val="7CFDB565"/>
    <w:rsid w:val="7D01941B"/>
    <w:rsid w:val="7D02F84B"/>
    <w:rsid w:val="7D1EEF96"/>
    <w:rsid w:val="7D39331A"/>
    <w:rsid w:val="7D5B013B"/>
    <w:rsid w:val="7D7BA7B2"/>
    <w:rsid w:val="7D84B0CB"/>
    <w:rsid w:val="7DE536B2"/>
    <w:rsid w:val="7DE8333F"/>
    <w:rsid w:val="7DF3E5B7"/>
    <w:rsid w:val="7DFF76D8"/>
    <w:rsid w:val="7E08B5EF"/>
    <w:rsid w:val="7E38738F"/>
    <w:rsid w:val="7E39A1B4"/>
    <w:rsid w:val="7E64C169"/>
    <w:rsid w:val="7E88098F"/>
    <w:rsid w:val="7EA3B9B4"/>
    <w:rsid w:val="7EA4FDB1"/>
    <w:rsid w:val="7EAC2C99"/>
    <w:rsid w:val="7EC444CA"/>
    <w:rsid w:val="7EDE6FEA"/>
    <w:rsid w:val="7EE068D9"/>
    <w:rsid w:val="7F076CA6"/>
    <w:rsid w:val="7F082ABE"/>
    <w:rsid w:val="7F1333B7"/>
    <w:rsid w:val="7F14CC56"/>
    <w:rsid w:val="7F2D6A1D"/>
    <w:rsid w:val="7F318396"/>
    <w:rsid w:val="7F484635"/>
    <w:rsid w:val="7F4A0C91"/>
    <w:rsid w:val="7F50C9DF"/>
    <w:rsid w:val="7F58BA9C"/>
    <w:rsid w:val="7F65422D"/>
    <w:rsid w:val="7F66C9B9"/>
    <w:rsid w:val="7F6A1A5C"/>
    <w:rsid w:val="7F76CF9A"/>
    <w:rsid w:val="7FAFE932"/>
    <w:rsid w:val="7FB8D416"/>
    <w:rsid w:val="7FD73A7E"/>
    <w:rsid w:val="7FE56CF9"/>
    <w:rsid w:val="7FEA2B8E"/>
    <w:rsid w:val="7FF6EC53"/>
    <w:rsid w:val="7FF7EE41"/>
    <w:rsid w:val="7FFAA4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24ADA"/>
  <w15:chartTrackingRefBased/>
  <w15:docId w15:val="{4FE7C256-F9E9-4C3F-963E-9BF090B294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13"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2"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2" w:semiHidden="1" w:unhideWhenUsed="1"/>
    <w:lsdException w:name="List Number 3" w:uiPriority="2"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776D9C"/>
    <w:pPr>
      <w:spacing w:after="0" w:line="240" w:lineRule="auto"/>
    </w:pPr>
    <w:rPr>
      <w:rFonts w:ascii="Arial" w:hAnsi="Arial" w:eastAsia="Times New Roman" w:cs="Times New Roman"/>
      <w:sz w:val="24"/>
      <w:szCs w:val="24"/>
    </w:rPr>
  </w:style>
  <w:style w:type="paragraph" w:styleId="Heading1">
    <w:name w:val="heading 1"/>
    <w:basedOn w:val="Normal"/>
    <w:next w:val="Normal"/>
    <w:link w:val="Heading1Char"/>
    <w:uiPriority w:val="9"/>
    <w:qFormat/>
    <w:rsid w:val="008072EB"/>
    <w:pPr>
      <w:keepNext/>
      <w:keepLines/>
      <w:spacing w:before="360" w:after="80" w:line="259" w:lineRule="auto"/>
      <w:outlineLvl w:val="0"/>
    </w:pPr>
    <w:rPr>
      <w:rFonts w:asciiTheme="majorHAnsi" w:hAnsiTheme="majorHAnsi" w:eastAsiaTheme="majorEastAsia" w:cstheme="majorBidi"/>
      <w:color w:val="2F5496" w:themeColor="accent1" w:themeShade="BF"/>
      <w:kern w:val="2"/>
      <w:sz w:val="40"/>
      <w:szCs w:val="40"/>
      <w14:ligatures w14:val="standardContextual"/>
    </w:rPr>
  </w:style>
  <w:style w:type="paragraph" w:styleId="Heading2">
    <w:name w:val="heading 2"/>
    <w:basedOn w:val="Normal"/>
    <w:next w:val="Normal"/>
    <w:link w:val="Heading2Char"/>
    <w:qFormat/>
    <w:rsid w:val="006F3AE7"/>
    <w:pPr>
      <w:spacing w:before="240"/>
      <w:outlineLvl w:val="1"/>
    </w:pPr>
    <w:rPr>
      <w:b/>
      <w:i/>
      <w:kern w:val="28"/>
      <w:sz w:val="28"/>
      <w:szCs w:val="28"/>
    </w:rPr>
  </w:style>
  <w:style w:type="paragraph" w:styleId="Heading3">
    <w:name w:val="heading 3"/>
    <w:basedOn w:val="Normal"/>
    <w:next w:val="Normal"/>
    <w:link w:val="Heading3Char"/>
    <w:uiPriority w:val="9"/>
    <w:semiHidden/>
    <w:unhideWhenUsed/>
    <w:qFormat/>
    <w:rsid w:val="00612EDB"/>
    <w:pPr>
      <w:keepNext/>
      <w:keepLines/>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8072EB"/>
    <w:pPr>
      <w:keepNext/>
      <w:keepLines/>
      <w:spacing w:before="80" w:after="40" w:line="259" w:lineRule="auto"/>
      <w:outlineLvl w:val="3"/>
    </w:pPr>
    <w:rPr>
      <w:rFonts w:asciiTheme="minorHAnsi" w:hAnsiTheme="minorHAnsi"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072EB"/>
    <w:pPr>
      <w:keepNext/>
      <w:keepLines/>
      <w:spacing w:before="80" w:after="40" w:line="259" w:lineRule="auto"/>
      <w:outlineLvl w:val="4"/>
    </w:pPr>
    <w:rPr>
      <w:rFonts w:asciiTheme="minorHAnsi" w:hAnsiTheme="minorHAnsi"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072EB"/>
    <w:pPr>
      <w:keepNext/>
      <w:keepLines/>
      <w:spacing w:before="40" w:line="259" w:lineRule="auto"/>
      <w:outlineLvl w:val="5"/>
    </w:pPr>
    <w:rPr>
      <w:rFonts w:asciiTheme="minorHAnsi" w:hAnsiTheme="minorHAnsi"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072EB"/>
    <w:pPr>
      <w:keepNext/>
      <w:keepLines/>
      <w:spacing w:before="40" w:line="259" w:lineRule="auto"/>
      <w:outlineLvl w:val="6"/>
    </w:pPr>
    <w:rPr>
      <w:rFonts w:asciiTheme="minorHAnsi" w:hAnsiTheme="minorHAnsi"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072EB"/>
    <w:pPr>
      <w:keepNext/>
      <w:keepLines/>
      <w:spacing w:line="259" w:lineRule="auto"/>
      <w:outlineLvl w:val="7"/>
    </w:pPr>
    <w:rPr>
      <w:rFonts w:asciiTheme="minorHAnsi" w:hAnsiTheme="minorHAnsi"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072EB"/>
    <w:pPr>
      <w:keepNext/>
      <w:keepLines/>
      <w:spacing w:line="259" w:lineRule="auto"/>
      <w:outlineLvl w:val="8"/>
    </w:pPr>
    <w:rPr>
      <w:rFonts w:asciiTheme="minorHAnsi" w:hAnsiTheme="minorHAnsi" w:eastAsiaTheme="majorEastAsia" w:cstheme="majorBidi"/>
      <w:color w:val="272727" w:themeColor="text1" w:themeTint="D8"/>
      <w:kern w:val="2"/>
      <w:sz w:val="22"/>
      <w:szCs w:val="22"/>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0590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0590C"/>
    <w:rPr>
      <w:rFonts w:ascii="Segoe UI" w:hAnsi="Segoe UI" w:eastAsia="Times New Roman" w:cs="Segoe UI"/>
      <w:sz w:val="18"/>
      <w:szCs w:val="18"/>
    </w:rPr>
  </w:style>
  <w:style w:type="paragraph" w:styleId="ListParagraph">
    <w:name w:val="List Paragraph"/>
    <w:aliases w:val="Recommendatio,Párrafo de lista,Recommendation,OBC Bullet,Dot pt,F5 List Paragraph,List Paragraph1,No Spacing1,List Paragraph Char Char Char,Indicator Text,Colorful List - Accent 11,Numbered Para 1,Bullet 1,Bullet Points,List Paragraph2,L"/>
    <w:basedOn w:val="Normal"/>
    <w:link w:val="ListParagraphChar"/>
    <w:uiPriority w:val="34"/>
    <w:qFormat/>
    <w:rsid w:val="0010590C"/>
    <w:pPr>
      <w:spacing w:after="240"/>
      <w:ind w:left="720"/>
      <w:contextualSpacing/>
    </w:pPr>
    <w:rPr>
      <w:szCs w:val="20"/>
      <w:lang w:eastAsia="en-GB"/>
    </w:rPr>
  </w:style>
  <w:style w:type="character" w:styleId="ListParagraphChar" w:customStyle="1">
    <w:name w:val="List Paragraph Char"/>
    <w:aliases w:val="Recommendatio Char,Párrafo de lista Char,Recommendation Char,OBC Bullet Char,Dot pt Char,F5 List Paragraph Char,List Paragraph1 Char,No Spacing1 Char,List Paragraph Char Char Char Char,Indicator Text Char,Numbered Para 1 Char,L Char"/>
    <w:basedOn w:val="DefaultParagraphFont"/>
    <w:link w:val="ListParagraph"/>
    <w:uiPriority w:val="34"/>
    <w:qFormat/>
    <w:locked/>
    <w:rsid w:val="0010590C"/>
    <w:rPr>
      <w:rFonts w:ascii="Arial" w:hAnsi="Arial" w:eastAsia="Times New Roman" w:cs="Times New Roman"/>
      <w:sz w:val="24"/>
      <w:szCs w:val="20"/>
      <w:lang w:eastAsia="en-GB"/>
    </w:rPr>
  </w:style>
  <w:style w:type="character" w:styleId="Heading2Char" w:customStyle="1">
    <w:name w:val="Heading 2 Char"/>
    <w:basedOn w:val="DefaultParagraphFont"/>
    <w:link w:val="Heading2"/>
    <w:rsid w:val="006F3AE7"/>
    <w:rPr>
      <w:rFonts w:ascii="Arial" w:hAnsi="Arial" w:eastAsia="Times New Roman" w:cs="Times New Roman"/>
      <w:b/>
      <w:i/>
      <w:kern w:val="28"/>
      <w:sz w:val="28"/>
      <w:szCs w:val="28"/>
    </w:rPr>
  </w:style>
  <w:style w:type="table" w:styleId="TableGrid">
    <w:name w:val="Table Grid"/>
    <w:basedOn w:val="TableNormal"/>
    <w:rsid w:val="006F3AE7"/>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nhideWhenUsed/>
    <w:rsid w:val="006F3AE7"/>
    <w:rPr>
      <w:color w:val="0563C1" w:themeColor="hyperlink"/>
      <w:u w:val="single"/>
    </w:rPr>
  </w:style>
  <w:style w:type="paragraph" w:styleId="Header">
    <w:name w:val="header"/>
    <w:basedOn w:val="Normal"/>
    <w:link w:val="HeaderChar"/>
    <w:uiPriority w:val="99"/>
    <w:unhideWhenUsed/>
    <w:rsid w:val="006E5785"/>
    <w:pPr>
      <w:tabs>
        <w:tab w:val="center" w:pos="4513"/>
        <w:tab w:val="right" w:pos="9026"/>
      </w:tabs>
    </w:pPr>
  </w:style>
  <w:style w:type="character" w:styleId="HeaderChar" w:customStyle="1">
    <w:name w:val="Header Char"/>
    <w:basedOn w:val="DefaultParagraphFont"/>
    <w:link w:val="Header"/>
    <w:uiPriority w:val="99"/>
    <w:rsid w:val="006E5785"/>
    <w:rPr>
      <w:rFonts w:ascii="Arial" w:hAnsi="Arial" w:eastAsia="Times New Roman" w:cs="Times New Roman"/>
      <w:sz w:val="24"/>
      <w:szCs w:val="24"/>
    </w:rPr>
  </w:style>
  <w:style w:type="paragraph" w:styleId="Footer">
    <w:name w:val="footer"/>
    <w:basedOn w:val="Normal"/>
    <w:link w:val="FooterChar"/>
    <w:uiPriority w:val="99"/>
    <w:unhideWhenUsed/>
    <w:rsid w:val="006E5785"/>
    <w:pPr>
      <w:tabs>
        <w:tab w:val="center" w:pos="4513"/>
        <w:tab w:val="right" w:pos="9026"/>
      </w:tabs>
    </w:pPr>
  </w:style>
  <w:style w:type="character" w:styleId="FooterChar" w:customStyle="1">
    <w:name w:val="Footer Char"/>
    <w:basedOn w:val="DefaultParagraphFont"/>
    <w:link w:val="Footer"/>
    <w:uiPriority w:val="99"/>
    <w:rsid w:val="006E5785"/>
    <w:rPr>
      <w:rFonts w:ascii="Arial" w:hAnsi="Arial" w:eastAsia="Times New Roman" w:cs="Times New Roman"/>
      <w:sz w:val="24"/>
      <w:szCs w:val="24"/>
    </w:rPr>
  </w:style>
  <w:style w:type="character" w:styleId="UnresolvedMention">
    <w:name w:val="Unresolved Mention"/>
    <w:basedOn w:val="DefaultParagraphFont"/>
    <w:uiPriority w:val="99"/>
    <w:semiHidden/>
    <w:unhideWhenUsed/>
    <w:rsid w:val="00B308C2"/>
    <w:rPr>
      <w:color w:val="605E5C"/>
      <w:shd w:val="clear" w:color="auto" w:fill="E1DFDD"/>
    </w:rPr>
  </w:style>
  <w:style w:type="character" w:styleId="CommentReference">
    <w:name w:val="annotation reference"/>
    <w:basedOn w:val="DefaultParagraphFont"/>
    <w:uiPriority w:val="99"/>
    <w:unhideWhenUsed/>
    <w:rsid w:val="000F5ADB"/>
    <w:rPr>
      <w:sz w:val="16"/>
      <w:szCs w:val="16"/>
    </w:rPr>
  </w:style>
  <w:style w:type="paragraph" w:styleId="CommentText">
    <w:name w:val="annotation text"/>
    <w:basedOn w:val="Normal"/>
    <w:link w:val="CommentTextChar"/>
    <w:uiPriority w:val="99"/>
    <w:unhideWhenUsed/>
    <w:rsid w:val="000F5ADB"/>
    <w:rPr>
      <w:sz w:val="20"/>
      <w:szCs w:val="20"/>
    </w:rPr>
  </w:style>
  <w:style w:type="character" w:styleId="CommentTextChar" w:customStyle="1">
    <w:name w:val="Comment Text Char"/>
    <w:basedOn w:val="DefaultParagraphFont"/>
    <w:link w:val="CommentText"/>
    <w:uiPriority w:val="99"/>
    <w:rsid w:val="000F5ADB"/>
    <w:rPr>
      <w:rFonts w:ascii="Arial" w:hAnsi="Arial"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5ADB"/>
    <w:rPr>
      <w:b/>
      <w:bCs/>
    </w:rPr>
  </w:style>
  <w:style w:type="character" w:styleId="CommentSubjectChar" w:customStyle="1">
    <w:name w:val="Comment Subject Char"/>
    <w:basedOn w:val="CommentTextChar"/>
    <w:link w:val="CommentSubject"/>
    <w:uiPriority w:val="99"/>
    <w:semiHidden/>
    <w:rsid w:val="000F5ADB"/>
    <w:rPr>
      <w:rFonts w:ascii="Arial" w:hAnsi="Arial" w:eastAsia="Times New Roman" w:cs="Times New Roman"/>
      <w:b/>
      <w:bCs/>
      <w:sz w:val="20"/>
      <w:szCs w:val="20"/>
    </w:rPr>
  </w:style>
  <w:style w:type="character" w:styleId="FollowedHyperlink">
    <w:name w:val="FollowedHyperlink"/>
    <w:basedOn w:val="DefaultParagraphFont"/>
    <w:uiPriority w:val="99"/>
    <w:semiHidden/>
    <w:unhideWhenUsed/>
    <w:rsid w:val="00C1525D"/>
    <w:rPr>
      <w:color w:val="954F72" w:themeColor="followedHyperlink"/>
      <w:u w:val="single"/>
    </w:rPr>
  </w:style>
  <w:style w:type="paragraph" w:styleId="Revision">
    <w:name w:val="Revision"/>
    <w:hidden/>
    <w:uiPriority w:val="99"/>
    <w:semiHidden/>
    <w:rsid w:val="00832C23"/>
    <w:pPr>
      <w:spacing w:after="0" w:line="240" w:lineRule="auto"/>
    </w:pPr>
    <w:rPr>
      <w:rFonts w:ascii="Arial" w:hAnsi="Arial" w:eastAsia="Times New Roman" w:cs="Times New Roman"/>
      <w:sz w:val="24"/>
      <w:szCs w:val="24"/>
    </w:rPr>
  </w:style>
  <w:style w:type="character" w:styleId="Mention">
    <w:name w:val="Mention"/>
    <w:basedOn w:val="DefaultParagraphFont"/>
    <w:uiPriority w:val="99"/>
    <w:unhideWhenUsed/>
    <w:rsid w:val="00265C1A"/>
    <w:rPr>
      <w:color w:val="2B579A"/>
      <w:shd w:val="clear" w:color="auto" w:fill="E1DFDD"/>
    </w:rPr>
  </w:style>
  <w:style w:type="paragraph" w:styleId="ListNumber">
    <w:name w:val="List Number"/>
    <w:basedOn w:val="Normal"/>
    <w:uiPriority w:val="2"/>
    <w:qFormat/>
    <w:rsid w:val="0014722E"/>
    <w:pPr>
      <w:numPr>
        <w:numId w:val="10"/>
      </w:numPr>
      <w:spacing w:line="280" w:lineRule="atLeast"/>
      <w:contextualSpacing/>
    </w:pPr>
    <w:rPr>
      <w:rFonts w:ascii="Segoe UI" w:hAnsi="Segoe UI" w:eastAsiaTheme="minorHAnsi" w:cstheme="minorBidi"/>
      <w:sz w:val="20"/>
      <w:szCs w:val="20"/>
    </w:rPr>
  </w:style>
  <w:style w:type="paragraph" w:styleId="ListNumber2">
    <w:name w:val="List Number 2"/>
    <w:basedOn w:val="Normal"/>
    <w:uiPriority w:val="2"/>
    <w:semiHidden/>
    <w:rsid w:val="0014722E"/>
    <w:pPr>
      <w:numPr>
        <w:ilvl w:val="1"/>
        <w:numId w:val="10"/>
      </w:numPr>
      <w:spacing w:line="280" w:lineRule="atLeast"/>
      <w:contextualSpacing/>
    </w:pPr>
    <w:rPr>
      <w:rFonts w:ascii="Segoe UI" w:hAnsi="Segoe UI" w:eastAsiaTheme="minorHAnsi" w:cstheme="minorBidi"/>
      <w:sz w:val="20"/>
      <w:szCs w:val="20"/>
    </w:rPr>
  </w:style>
  <w:style w:type="paragraph" w:styleId="ListNumber3">
    <w:name w:val="List Number 3"/>
    <w:basedOn w:val="Normal"/>
    <w:uiPriority w:val="2"/>
    <w:semiHidden/>
    <w:rsid w:val="0014722E"/>
    <w:pPr>
      <w:numPr>
        <w:ilvl w:val="2"/>
        <w:numId w:val="10"/>
      </w:numPr>
      <w:spacing w:line="280" w:lineRule="atLeast"/>
      <w:contextualSpacing/>
    </w:pPr>
    <w:rPr>
      <w:rFonts w:ascii="Segoe UI" w:hAnsi="Segoe UI" w:eastAsiaTheme="minorHAnsi" w:cstheme="minorBidi"/>
      <w:sz w:val="20"/>
      <w:szCs w:val="20"/>
    </w:rPr>
  </w:style>
  <w:style w:type="numbering" w:styleId="ListStyle-ListNumber" w:customStyle="1">
    <w:name w:val="_List Style - List Number"/>
    <w:uiPriority w:val="99"/>
    <w:rsid w:val="0014722E"/>
    <w:pPr>
      <w:numPr>
        <w:numId w:val="42"/>
      </w:numPr>
    </w:pPr>
  </w:style>
  <w:style w:type="character" w:styleId="Heading3Char" w:customStyle="1">
    <w:name w:val="Heading 3 Char"/>
    <w:basedOn w:val="DefaultParagraphFont"/>
    <w:link w:val="Heading3"/>
    <w:uiPriority w:val="9"/>
    <w:semiHidden/>
    <w:rsid w:val="00612EDB"/>
    <w:rPr>
      <w:rFonts w:asciiTheme="majorHAnsi" w:hAnsiTheme="majorHAnsi" w:eastAsiaTheme="majorEastAsia" w:cstheme="majorBidi"/>
      <w:color w:val="1F3763" w:themeColor="accent1" w:themeShade="7F"/>
      <w:sz w:val="24"/>
      <w:szCs w:val="24"/>
    </w:rPr>
  </w:style>
  <w:style w:type="paragraph" w:styleId="FootnoteText">
    <w:name w:val="footnote text"/>
    <w:basedOn w:val="Normal"/>
    <w:link w:val="FootnoteTextChar"/>
    <w:uiPriority w:val="99"/>
    <w:semiHidden/>
    <w:unhideWhenUsed/>
    <w:rsid w:val="00BB4923"/>
    <w:rPr>
      <w:sz w:val="20"/>
      <w:szCs w:val="20"/>
    </w:rPr>
  </w:style>
  <w:style w:type="character" w:styleId="FootnoteTextChar" w:customStyle="1">
    <w:name w:val="Footnote Text Char"/>
    <w:basedOn w:val="DefaultParagraphFont"/>
    <w:link w:val="FootnoteText"/>
    <w:uiPriority w:val="99"/>
    <w:semiHidden/>
    <w:rsid w:val="00BB4923"/>
    <w:rPr>
      <w:rFonts w:ascii="Arial" w:hAnsi="Arial" w:eastAsia="Times New Roman" w:cs="Times New Roman"/>
      <w:sz w:val="20"/>
      <w:szCs w:val="20"/>
    </w:rPr>
  </w:style>
  <w:style w:type="character" w:styleId="Heading1Char" w:customStyle="1">
    <w:name w:val="Heading 1 Char"/>
    <w:basedOn w:val="DefaultParagraphFont"/>
    <w:link w:val="Heading1"/>
    <w:uiPriority w:val="9"/>
    <w:rsid w:val="008072EB"/>
    <w:rPr>
      <w:rFonts w:asciiTheme="majorHAnsi" w:hAnsiTheme="majorHAnsi" w:eastAsiaTheme="majorEastAsia" w:cstheme="majorBidi"/>
      <w:color w:val="2F5496" w:themeColor="accent1" w:themeShade="BF"/>
      <w:kern w:val="2"/>
      <w:sz w:val="40"/>
      <w:szCs w:val="40"/>
      <w14:ligatures w14:val="standardContextual"/>
    </w:rPr>
  </w:style>
  <w:style w:type="character" w:styleId="Heading4Char" w:customStyle="1">
    <w:name w:val="Heading 4 Char"/>
    <w:basedOn w:val="DefaultParagraphFont"/>
    <w:link w:val="Heading4"/>
    <w:uiPriority w:val="9"/>
    <w:semiHidden/>
    <w:rsid w:val="008072EB"/>
    <w:rPr>
      <w:rFonts w:eastAsiaTheme="majorEastAsia" w:cstheme="majorBidi"/>
      <w:i/>
      <w:iCs/>
      <w:color w:val="2F5496" w:themeColor="accent1" w:themeShade="BF"/>
      <w:kern w:val="2"/>
      <w14:ligatures w14:val="standardContextual"/>
    </w:rPr>
  </w:style>
  <w:style w:type="character" w:styleId="Heading5Char" w:customStyle="1">
    <w:name w:val="Heading 5 Char"/>
    <w:basedOn w:val="DefaultParagraphFont"/>
    <w:link w:val="Heading5"/>
    <w:uiPriority w:val="9"/>
    <w:semiHidden/>
    <w:rsid w:val="008072EB"/>
    <w:rPr>
      <w:rFonts w:eastAsiaTheme="majorEastAsia" w:cstheme="majorBidi"/>
      <w:color w:val="2F5496" w:themeColor="accent1" w:themeShade="BF"/>
      <w:kern w:val="2"/>
      <w14:ligatures w14:val="standardContextual"/>
    </w:rPr>
  </w:style>
  <w:style w:type="character" w:styleId="Heading6Char" w:customStyle="1">
    <w:name w:val="Heading 6 Char"/>
    <w:basedOn w:val="DefaultParagraphFont"/>
    <w:link w:val="Heading6"/>
    <w:uiPriority w:val="9"/>
    <w:semiHidden/>
    <w:rsid w:val="008072EB"/>
    <w:rPr>
      <w:rFonts w:eastAsiaTheme="majorEastAsia" w:cstheme="majorBidi"/>
      <w:i/>
      <w:iCs/>
      <w:color w:val="595959" w:themeColor="text1" w:themeTint="A6"/>
      <w:kern w:val="2"/>
      <w14:ligatures w14:val="standardContextual"/>
    </w:rPr>
  </w:style>
  <w:style w:type="character" w:styleId="Heading7Char" w:customStyle="1">
    <w:name w:val="Heading 7 Char"/>
    <w:basedOn w:val="DefaultParagraphFont"/>
    <w:link w:val="Heading7"/>
    <w:uiPriority w:val="9"/>
    <w:semiHidden/>
    <w:rsid w:val="008072EB"/>
    <w:rPr>
      <w:rFonts w:eastAsiaTheme="majorEastAsia" w:cstheme="majorBidi"/>
      <w:color w:val="595959" w:themeColor="text1" w:themeTint="A6"/>
      <w:kern w:val="2"/>
      <w14:ligatures w14:val="standardContextual"/>
    </w:rPr>
  </w:style>
  <w:style w:type="character" w:styleId="Heading8Char" w:customStyle="1">
    <w:name w:val="Heading 8 Char"/>
    <w:basedOn w:val="DefaultParagraphFont"/>
    <w:link w:val="Heading8"/>
    <w:uiPriority w:val="9"/>
    <w:semiHidden/>
    <w:rsid w:val="008072EB"/>
    <w:rPr>
      <w:rFonts w:eastAsiaTheme="majorEastAsia" w:cstheme="majorBidi"/>
      <w:i/>
      <w:iCs/>
      <w:color w:val="272727" w:themeColor="text1" w:themeTint="D8"/>
      <w:kern w:val="2"/>
      <w14:ligatures w14:val="standardContextual"/>
    </w:rPr>
  </w:style>
  <w:style w:type="character" w:styleId="Heading9Char" w:customStyle="1">
    <w:name w:val="Heading 9 Char"/>
    <w:basedOn w:val="DefaultParagraphFont"/>
    <w:link w:val="Heading9"/>
    <w:uiPriority w:val="9"/>
    <w:semiHidden/>
    <w:rsid w:val="008072EB"/>
    <w:rPr>
      <w:rFonts w:eastAsiaTheme="majorEastAsia" w:cstheme="majorBidi"/>
      <w:color w:val="272727" w:themeColor="text1" w:themeTint="D8"/>
      <w:kern w:val="2"/>
      <w14:ligatures w14:val="standardContextual"/>
    </w:rPr>
  </w:style>
  <w:style w:type="numbering" w:styleId="NoList1" w:customStyle="1">
    <w:name w:val="No List1"/>
    <w:next w:val="NoList"/>
    <w:uiPriority w:val="99"/>
    <w:semiHidden/>
    <w:unhideWhenUsed/>
    <w:rsid w:val="008072EB"/>
  </w:style>
  <w:style w:type="paragraph" w:styleId="Title">
    <w:name w:val="Title"/>
    <w:basedOn w:val="Normal"/>
    <w:next w:val="Normal"/>
    <w:link w:val="TitleChar"/>
    <w:uiPriority w:val="10"/>
    <w:qFormat/>
    <w:rsid w:val="008072EB"/>
    <w:pPr>
      <w:spacing w:after="80"/>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uiPriority w:val="10"/>
    <w:rsid w:val="008072EB"/>
    <w:rPr>
      <w:rFonts w:asciiTheme="majorHAnsi" w:hAnsiTheme="majorHAnsi" w:eastAsiaTheme="majorEastAsia"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8072EB"/>
    <w:pPr>
      <w:numPr>
        <w:ilvl w:val="1"/>
      </w:numPr>
      <w:spacing w:after="160" w:line="259" w:lineRule="auto"/>
    </w:pPr>
    <w:rPr>
      <w:rFonts w:asciiTheme="minorHAnsi" w:hAnsiTheme="minorHAnsi" w:eastAsiaTheme="majorEastAsia" w:cstheme="majorBidi"/>
      <w:color w:val="595959" w:themeColor="text1" w:themeTint="A6"/>
      <w:spacing w:val="15"/>
      <w:kern w:val="2"/>
      <w:sz w:val="28"/>
      <w:szCs w:val="28"/>
      <w14:ligatures w14:val="standardContextual"/>
    </w:rPr>
  </w:style>
  <w:style w:type="character" w:styleId="SubtitleChar" w:customStyle="1">
    <w:name w:val="Subtitle Char"/>
    <w:basedOn w:val="DefaultParagraphFont"/>
    <w:link w:val="Subtitle"/>
    <w:uiPriority w:val="11"/>
    <w:rsid w:val="008072EB"/>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8072EB"/>
    <w:pPr>
      <w:spacing w:before="160" w:after="160" w:line="259" w:lineRule="auto"/>
      <w:jc w:val="center"/>
    </w:pPr>
    <w:rPr>
      <w:rFonts w:asciiTheme="minorHAnsi" w:hAnsiTheme="minorHAnsi" w:eastAsiaTheme="minorHAnsi" w:cstheme="minorBidi"/>
      <w:i/>
      <w:iCs/>
      <w:color w:val="404040" w:themeColor="text1" w:themeTint="BF"/>
      <w:kern w:val="2"/>
      <w:sz w:val="22"/>
      <w:szCs w:val="22"/>
      <w14:ligatures w14:val="standardContextual"/>
    </w:rPr>
  </w:style>
  <w:style w:type="character" w:styleId="QuoteChar" w:customStyle="1">
    <w:name w:val="Quote Char"/>
    <w:basedOn w:val="DefaultParagraphFont"/>
    <w:link w:val="Quote"/>
    <w:uiPriority w:val="29"/>
    <w:rsid w:val="008072EB"/>
    <w:rPr>
      <w:i/>
      <w:iCs/>
      <w:color w:val="404040" w:themeColor="text1" w:themeTint="BF"/>
      <w:kern w:val="2"/>
      <w14:ligatures w14:val="standardContextual"/>
    </w:rPr>
  </w:style>
  <w:style w:type="character" w:styleId="IntenseEmphasis">
    <w:name w:val="Intense Emphasis"/>
    <w:basedOn w:val="DefaultParagraphFont"/>
    <w:uiPriority w:val="21"/>
    <w:qFormat/>
    <w:rsid w:val="008072EB"/>
    <w:rPr>
      <w:i/>
      <w:iCs/>
      <w:color w:val="2F5496" w:themeColor="accent1" w:themeShade="BF"/>
    </w:rPr>
  </w:style>
  <w:style w:type="paragraph" w:styleId="IntenseQuote">
    <w:name w:val="Intense Quote"/>
    <w:basedOn w:val="Normal"/>
    <w:next w:val="Normal"/>
    <w:link w:val="IntenseQuoteChar"/>
    <w:uiPriority w:val="30"/>
    <w:qFormat/>
    <w:rsid w:val="008072EB"/>
    <w:pPr>
      <w:pBdr>
        <w:top w:val="single" w:color="2F5496" w:themeColor="accent1" w:themeShade="BF" w:sz="4" w:space="10"/>
        <w:bottom w:val="single" w:color="2F5496" w:themeColor="accent1" w:themeShade="BF" w:sz="4" w:space="10"/>
      </w:pBdr>
      <w:spacing w:before="360" w:after="360" w:line="259" w:lineRule="auto"/>
      <w:ind w:left="864" w:right="864"/>
      <w:jc w:val="center"/>
    </w:pPr>
    <w:rPr>
      <w:rFonts w:asciiTheme="minorHAnsi" w:hAnsiTheme="minorHAnsi" w:eastAsiaTheme="minorHAnsi" w:cstheme="minorBidi"/>
      <w:i/>
      <w:iCs/>
      <w:color w:val="2F5496" w:themeColor="accent1" w:themeShade="BF"/>
      <w:kern w:val="2"/>
      <w:sz w:val="22"/>
      <w:szCs w:val="22"/>
      <w14:ligatures w14:val="standardContextual"/>
    </w:rPr>
  </w:style>
  <w:style w:type="character" w:styleId="IntenseQuoteChar" w:customStyle="1">
    <w:name w:val="Intense Quote Char"/>
    <w:basedOn w:val="DefaultParagraphFont"/>
    <w:link w:val="IntenseQuote"/>
    <w:uiPriority w:val="30"/>
    <w:rsid w:val="008072EB"/>
    <w:rPr>
      <w:i/>
      <w:iCs/>
      <w:color w:val="2F5496" w:themeColor="accent1" w:themeShade="BF"/>
      <w:kern w:val="2"/>
      <w14:ligatures w14:val="standardContextual"/>
    </w:rPr>
  </w:style>
  <w:style w:type="character" w:styleId="IntenseReference">
    <w:name w:val="Intense Reference"/>
    <w:basedOn w:val="DefaultParagraphFont"/>
    <w:uiPriority w:val="32"/>
    <w:qFormat/>
    <w:rsid w:val="008072EB"/>
    <w:rPr>
      <w:b/>
      <w:bCs/>
      <w:smallCaps/>
      <w:color w:val="2F5496" w:themeColor="accent1" w:themeShade="BF"/>
      <w:spacing w:val="5"/>
    </w:rPr>
  </w:style>
  <w:style w:type="numbering" w:styleId="NoList11" w:customStyle="1">
    <w:name w:val="No List11"/>
    <w:next w:val="NoList"/>
    <w:uiPriority w:val="99"/>
    <w:semiHidden/>
    <w:unhideWhenUsed/>
    <w:rsid w:val="008072EB"/>
  </w:style>
  <w:style w:type="numbering" w:styleId="ListStyle-ListNumber1" w:customStyle="1">
    <w:name w:val="_List Style - List Number1"/>
    <w:uiPriority w:val="99"/>
    <w:rsid w:val="008072EB"/>
  </w:style>
  <w:style w:type="paragraph" w:styleId="pf0" w:customStyle="1">
    <w:name w:val="pf0"/>
    <w:basedOn w:val="Normal"/>
    <w:rsid w:val="003846D9"/>
    <w:pPr>
      <w:spacing w:before="100" w:beforeAutospacing="1" w:after="100" w:afterAutospacing="1"/>
    </w:pPr>
    <w:rPr>
      <w:rFonts w:ascii="Times New Roman" w:hAnsi="Times New Roman"/>
      <w:lang w:eastAsia="en-GB"/>
    </w:rPr>
  </w:style>
  <w:style w:type="character" w:styleId="cf01" w:customStyle="1">
    <w:name w:val="cf01"/>
    <w:basedOn w:val="DefaultParagraphFont"/>
    <w:rsid w:val="003846D9"/>
    <w:rPr>
      <w:rFonts w:hint="default" w:ascii="Segoe UI" w:hAnsi="Segoe UI" w:cs="Segoe UI"/>
      <w:sz w:val="18"/>
      <w:szCs w:val="18"/>
    </w:rPr>
  </w:style>
  <w:style w:type="numbering" w:styleId="111111">
    <w:name w:val="Outline List 2"/>
    <w:basedOn w:val="NoList"/>
    <w:uiPriority w:val="99"/>
    <w:semiHidden/>
    <w:rsid w:val="00571299"/>
    <w:pPr>
      <w:numPr>
        <w:numId w:val="33"/>
      </w:numPr>
    </w:pPr>
  </w:style>
  <w:style w:type="table" w:styleId="TableGrid1" w:customStyle="1">
    <w:name w:val="Table Grid1"/>
    <w:basedOn w:val="TableNormal"/>
    <w:next w:val="TableGrid"/>
    <w:uiPriority w:val="99"/>
    <w:rsid w:val="00CB3379"/>
    <w:pPr>
      <w:spacing w:after="0" w:line="240" w:lineRule="auto"/>
    </w:pPr>
    <w:rPr>
      <w:rFonts w:ascii="Segoe UI" w:hAnsi="Segoe UI"/>
      <w:sz w:val="20"/>
      <w:szCs w:val="20"/>
      <w:lang w:val="da-D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Blank" w:customStyle="1">
    <w:name w:val="Blank"/>
    <w:basedOn w:val="TableNormal"/>
    <w:uiPriority w:val="99"/>
    <w:rsid w:val="00CB3379"/>
    <w:pPr>
      <w:spacing w:after="0" w:line="280" w:lineRule="atLeast"/>
    </w:pPr>
    <w:rPr>
      <w:rFonts w:ascii="Segoe UI" w:hAnsi="Segoe UI" w:cs="Segoe UI Light"/>
      <w:sz w:val="20"/>
      <w:szCs w:val="20"/>
      <w:lang w:val="da-DK"/>
    </w:rPr>
    <w:tblPr>
      <w:tblCellMar>
        <w:left w:w="0" w:type="dxa"/>
        <w:right w:w="0" w:type="dxa"/>
      </w:tblCellMar>
    </w:tblPr>
  </w:style>
  <w:style w:type="paragraph" w:styleId="paragraph" w:customStyle="1">
    <w:name w:val="paragraph"/>
    <w:basedOn w:val="Normal"/>
    <w:rsid w:val="009C7E70"/>
    <w:pPr>
      <w:spacing w:before="100" w:beforeAutospacing="1" w:after="100" w:afterAutospacing="1"/>
    </w:pPr>
    <w:rPr>
      <w:rFonts w:ascii="Times New Roman" w:hAnsi="Times New Roman"/>
      <w:lang w:eastAsia="en-GB"/>
    </w:rPr>
  </w:style>
  <w:style w:type="character" w:styleId="normaltextrun" w:customStyle="1">
    <w:name w:val="normaltextrun"/>
    <w:basedOn w:val="DefaultParagraphFont"/>
    <w:rsid w:val="009C7E70"/>
  </w:style>
  <w:style w:type="character" w:styleId="eop" w:customStyle="1">
    <w:name w:val="eop"/>
    <w:basedOn w:val="DefaultParagraphFont"/>
    <w:rsid w:val="009C7E70"/>
  </w:style>
  <w:style w:type="character" w:styleId="FootnoteReference">
    <w:name w:val="footnote reference"/>
    <w:basedOn w:val="DefaultParagraphFont"/>
    <w:uiPriority w:val="13"/>
    <w:semiHidden/>
    <w:rsid w:val="001D265D"/>
    <w:rPr>
      <w:vertAlign w:val="superscript"/>
      <w:lang w:val="en-GB"/>
    </w:rPr>
  </w:style>
  <w:style w:type="paragraph" w:styleId="ListBullet">
    <w:name w:val="List Bullet"/>
    <w:basedOn w:val="Normal"/>
    <w:uiPriority w:val="99"/>
    <w:unhideWhenUsed/>
    <w:rsid w:val="00620E68"/>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439">
      <w:bodyDiv w:val="1"/>
      <w:marLeft w:val="0"/>
      <w:marRight w:val="0"/>
      <w:marTop w:val="0"/>
      <w:marBottom w:val="0"/>
      <w:divBdr>
        <w:top w:val="none" w:sz="0" w:space="0" w:color="auto"/>
        <w:left w:val="none" w:sz="0" w:space="0" w:color="auto"/>
        <w:bottom w:val="none" w:sz="0" w:space="0" w:color="auto"/>
        <w:right w:val="none" w:sz="0" w:space="0" w:color="auto"/>
      </w:divBdr>
    </w:div>
    <w:div w:id="2167554">
      <w:bodyDiv w:val="1"/>
      <w:marLeft w:val="0"/>
      <w:marRight w:val="0"/>
      <w:marTop w:val="0"/>
      <w:marBottom w:val="0"/>
      <w:divBdr>
        <w:top w:val="none" w:sz="0" w:space="0" w:color="auto"/>
        <w:left w:val="none" w:sz="0" w:space="0" w:color="auto"/>
        <w:bottom w:val="none" w:sz="0" w:space="0" w:color="auto"/>
        <w:right w:val="none" w:sz="0" w:space="0" w:color="auto"/>
      </w:divBdr>
      <w:divsChild>
        <w:div w:id="6252716">
          <w:marLeft w:val="0"/>
          <w:marRight w:val="0"/>
          <w:marTop w:val="0"/>
          <w:marBottom w:val="0"/>
          <w:divBdr>
            <w:top w:val="none" w:sz="0" w:space="0" w:color="auto"/>
            <w:left w:val="none" w:sz="0" w:space="0" w:color="auto"/>
            <w:bottom w:val="none" w:sz="0" w:space="0" w:color="auto"/>
            <w:right w:val="none" w:sz="0" w:space="0" w:color="auto"/>
          </w:divBdr>
        </w:div>
        <w:div w:id="41444105">
          <w:marLeft w:val="0"/>
          <w:marRight w:val="0"/>
          <w:marTop w:val="0"/>
          <w:marBottom w:val="0"/>
          <w:divBdr>
            <w:top w:val="none" w:sz="0" w:space="0" w:color="auto"/>
            <w:left w:val="none" w:sz="0" w:space="0" w:color="auto"/>
            <w:bottom w:val="none" w:sz="0" w:space="0" w:color="auto"/>
            <w:right w:val="none" w:sz="0" w:space="0" w:color="auto"/>
          </w:divBdr>
        </w:div>
        <w:div w:id="360933399">
          <w:marLeft w:val="0"/>
          <w:marRight w:val="0"/>
          <w:marTop w:val="0"/>
          <w:marBottom w:val="0"/>
          <w:divBdr>
            <w:top w:val="none" w:sz="0" w:space="0" w:color="auto"/>
            <w:left w:val="none" w:sz="0" w:space="0" w:color="auto"/>
            <w:bottom w:val="none" w:sz="0" w:space="0" w:color="auto"/>
            <w:right w:val="none" w:sz="0" w:space="0" w:color="auto"/>
          </w:divBdr>
        </w:div>
        <w:div w:id="413748425">
          <w:marLeft w:val="0"/>
          <w:marRight w:val="0"/>
          <w:marTop w:val="0"/>
          <w:marBottom w:val="0"/>
          <w:divBdr>
            <w:top w:val="none" w:sz="0" w:space="0" w:color="auto"/>
            <w:left w:val="none" w:sz="0" w:space="0" w:color="auto"/>
            <w:bottom w:val="none" w:sz="0" w:space="0" w:color="auto"/>
            <w:right w:val="none" w:sz="0" w:space="0" w:color="auto"/>
          </w:divBdr>
        </w:div>
        <w:div w:id="777799944">
          <w:marLeft w:val="0"/>
          <w:marRight w:val="0"/>
          <w:marTop w:val="0"/>
          <w:marBottom w:val="0"/>
          <w:divBdr>
            <w:top w:val="none" w:sz="0" w:space="0" w:color="auto"/>
            <w:left w:val="none" w:sz="0" w:space="0" w:color="auto"/>
            <w:bottom w:val="none" w:sz="0" w:space="0" w:color="auto"/>
            <w:right w:val="none" w:sz="0" w:space="0" w:color="auto"/>
          </w:divBdr>
        </w:div>
        <w:div w:id="780803413">
          <w:marLeft w:val="0"/>
          <w:marRight w:val="0"/>
          <w:marTop w:val="0"/>
          <w:marBottom w:val="0"/>
          <w:divBdr>
            <w:top w:val="none" w:sz="0" w:space="0" w:color="auto"/>
            <w:left w:val="none" w:sz="0" w:space="0" w:color="auto"/>
            <w:bottom w:val="none" w:sz="0" w:space="0" w:color="auto"/>
            <w:right w:val="none" w:sz="0" w:space="0" w:color="auto"/>
          </w:divBdr>
        </w:div>
        <w:div w:id="1881283175">
          <w:marLeft w:val="0"/>
          <w:marRight w:val="0"/>
          <w:marTop w:val="0"/>
          <w:marBottom w:val="0"/>
          <w:divBdr>
            <w:top w:val="none" w:sz="0" w:space="0" w:color="auto"/>
            <w:left w:val="none" w:sz="0" w:space="0" w:color="auto"/>
            <w:bottom w:val="none" w:sz="0" w:space="0" w:color="auto"/>
            <w:right w:val="none" w:sz="0" w:space="0" w:color="auto"/>
          </w:divBdr>
        </w:div>
      </w:divsChild>
    </w:div>
    <w:div w:id="4867447">
      <w:bodyDiv w:val="1"/>
      <w:marLeft w:val="0"/>
      <w:marRight w:val="0"/>
      <w:marTop w:val="0"/>
      <w:marBottom w:val="0"/>
      <w:divBdr>
        <w:top w:val="none" w:sz="0" w:space="0" w:color="auto"/>
        <w:left w:val="none" w:sz="0" w:space="0" w:color="auto"/>
        <w:bottom w:val="none" w:sz="0" w:space="0" w:color="auto"/>
        <w:right w:val="none" w:sz="0" w:space="0" w:color="auto"/>
      </w:divBdr>
      <w:divsChild>
        <w:div w:id="902256189">
          <w:marLeft w:val="0"/>
          <w:marRight w:val="0"/>
          <w:marTop w:val="0"/>
          <w:marBottom w:val="0"/>
          <w:divBdr>
            <w:top w:val="none" w:sz="0" w:space="0" w:color="auto"/>
            <w:left w:val="none" w:sz="0" w:space="0" w:color="auto"/>
            <w:bottom w:val="none" w:sz="0" w:space="0" w:color="auto"/>
            <w:right w:val="none" w:sz="0" w:space="0" w:color="auto"/>
          </w:divBdr>
        </w:div>
        <w:div w:id="1353458315">
          <w:marLeft w:val="0"/>
          <w:marRight w:val="0"/>
          <w:marTop w:val="0"/>
          <w:marBottom w:val="0"/>
          <w:divBdr>
            <w:top w:val="none" w:sz="0" w:space="0" w:color="auto"/>
            <w:left w:val="none" w:sz="0" w:space="0" w:color="auto"/>
            <w:bottom w:val="none" w:sz="0" w:space="0" w:color="auto"/>
            <w:right w:val="none" w:sz="0" w:space="0" w:color="auto"/>
          </w:divBdr>
        </w:div>
      </w:divsChild>
    </w:div>
    <w:div w:id="68501186">
      <w:bodyDiv w:val="1"/>
      <w:marLeft w:val="0"/>
      <w:marRight w:val="0"/>
      <w:marTop w:val="0"/>
      <w:marBottom w:val="0"/>
      <w:divBdr>
        <w:top w:val="none" w:sz="0" w:space="0" w:color="auto"/>
        <w:left w:val="none" w:sz="0" w:space="0" w:color="auto"/>
        <w:bottom w:val="none" w:sz="0" w:space="0" w:color="auto"/>
        <w:right w:val="none" w:sz="0" w:space="0" w:color="auto"/>
      </w:divBdr>
      <w:divsChild>
        <w:div w:id="1656371955">
          <w:marLeft w:val="0"/>
          <w:marRight w:val="0"/>
          <w:marTop w:val="0"/>
          <w:marBottom w:val="0"/>
          <w:divBdr>
            <w:top w:val="none" w:sz="0" w:space="0" w:color="auto"/>
            <w:left w:val="none" w:sz="0" w:space="0" w:color="auto"/>
            <w:bottom w:val="none" w:sz="0" w:space="0" w:color="auto"/>
            <w:right w:val="none" w:sz="0" w:space="0" w:color="auto"/>
          </w:divBdr>
          <w:divsChild>
            <w:div w:id="4673422">
              <w:marLeft w:val="0"/>
              <w:marRight w:val="0"/>
              <w:marTop w:val="0"/>
              <w:marBottom w:val="0"/>
              <w:divBdr>
                <w:top w:val="none" w:sz="0" w:space="0" w:color="auto"/>
                <w:left w:val="none" w:sz="0" w:space="0" w:color="auto"/>
                <w:bottom w:val="none" w:sz="0" w:space="0" w:color="auto"/>
                <w:right w:val="none" w:sz="0" w:space="0" w:color="auto"/>
              </w:divBdr>
              <w:divsChild>
                <w:div w:id="1503467675">
                  <w:marLeft w:val="0"/>
                  <w:marRight w:val="0"/>
                  <w:marTop w:val="0"/>
                  <w:marBottom w:val="0"/>
                  <w:divBdr>
                    <w:top w:val="none" w:sz="0" w:space="0" w:color="auto"/>
                    <w:left w:val="none" w:sz="0" w:space="0" w:color="auto"/>
                    <w:bottom w:val="none" w:sz="0" w:space="0" w:color="auto"/>
                    <w:right w:val="none" w:sz="0" w:space="0" w:color="auto"/>
                  </w:divBdr>
                </w:div>
              </w:divsChild>
            </w:div>
            <w:div w:id="158011092">
              <w:marLeft w:val="0"/>
              <w:marRight w:val="0"/>
              <w:marTop w:val="0"/>
              <w:marBottom w:val="0"/>
              <w:divBdr>
                <w:top w:val="none" w:sz="0" w:space="0" w:color="auto"/>
                <w:left w:val="none" w:sz="0" w:space="0" w:color="auto"/>
                <w:bottom w:val="none" w:sz="0" w:space="0" w:color="auto"/>
                <w:right w:val="none" w:sz="0" w:space="0" w:color="auto"/>
              </w:divBdr>
              <w:divsChild>
                <w:div w:id="1131361848">
                  <w:marLeft w:val="0"/>
                  <w:marRight w:val="0"/>
                  <w:marTop w:val="0"/>
                  <w:marBottom w:val="0"/>
                  <w:divBdr>
                    <w:top w:val="none" w:sz="0" w:space="0" w:color="auto"/>
                    <w:left w:val="none" w:sz="0" w:space="0" w:color="auto"/>
                    <w:bottom w:val="none" w:sz="0" w:space="0" w:color="auto"/>
                    <w:right w:val="none" w:sz="0" w:space="0" w:color="auto"/>
                  </w:divBdr>
                </w:div>
              </w:divsChild>
            </w:div>
            <w:div w:id="214975264">
              <w:marLeft w:val="0"/>
              <w:marRight w:val="0"/>
              <w:marTop w:val="0"/>
              <w:marBottom w:val="0"/>
              <w:divBdr>
                <w:top w:val="none" w:sz="0" w:space="0" w:color="auto"/>
                <w:left w:val="none" w:sz="0" w:space="0" w:color="auto"/>
                <w:bottom w:val="none" w:sz="0" w:space="0" w:color="auto"/>
                <w:right w:val="none" w:sz="0" w:space="0" w:color="auto"/>
              </w:divBdr>
              <w:divsChild>
                <w:div w:id="447429042">
                  <w:marLeft w:val="0"/>
                  <w:marRight w:val="0"/>
                  <w:marTop w:val="0"/>
                  <w:marBottom w:val="0"/>
                  <w:divBdr>
                    <w:top w:val="none" w:sz="0" w:space="0" w:color="auto"/>
                    <w:left w:val="none" w:sz="0" w:space="0" w:color="auto"/>
                    <w:bottom w:val="none" w:sz="0" w:space="0" w:color="auto"/>
                    <w:right w:val="none" w:sz="0" w:space="0" w:color="auto"/>
                  </w:divBdr>
                </w:div>
              </w:divsChild>
            </w:div>
            <w:div w:id="306017135">
              <w:marLeft w:val="0"/>
              <w:marRight w:val="0"/>
              <w:marTop w:val="0"/>
              <w:marBottom w:val="0"/>
              <w:divBdr>
                <w:top w:val="none" w:sz="0" w:space="0" w:color="auto"/>
                <w:left w:val="none" w:sz="0" w:space="0" w:color="auto"/>
                <w:bottom w:val="none" w:sz="0" w:space="0" w:color="auto"/>
                <w:right w:val="none" w:sz="0" w:space="0" w:color="auto"/>
              </w:divBdr>
              <w:divsChild>
                <w:div w:id="1770420686">
                  <w:marLeft w:val="0"/>
                  <w:marRight w:val="0"/>
                  <w:marTop w:val="0"/>
                  <w:marBottom w:val="0"/>
                  <w:divBdr>
                    <w:top w:val="none" w:sz="0" w:space="0" w:color="auto"/>
                    <w:left w:val="none" w:sz="0" w:space="0" w:color="auto"/>
                    <w:bottom w:val="none" w:sz="0" w:space="0" w:color="auto"/>
                    <w:right w:val="none" w:sz="0" w:space="0" w:color="auto"/>
                  </w:divBdr>
                </w:div>
              </w:divsChild>
            </w:div>
            <w:div w:id="318270764">
              <w:marLeft w:val="0"/>
              <w:marRight w:val="0"/>
              <w:marTop w:val="0"/>
              <w:marBottom w:val="0"/>
              <w:divBdr>
                <w:top w:val="none" w:sz="0" w:space="0" w:color="auto"/>
                <w:left w:val="none" w:sz="0" w:space="0" w:color="auto"/>
                <w:bottom w:val="none" w:sz="0" w:space="0" w:color="auto"/>
                <w:right w:val="none" w:sz="0" w:space="0" w:color="auto"/>
              </w:divBdr>
              <w:divsChild>
                <w:div w:id="849181525">
                  <w:marLeft w:val="0"/>
                  <w:marRight w:val="0"/>
                  <w:marTop w:val="0"/>
                  <w:marBottom w:val="0"/>
                  <w:divBdr>
                    <w:top w:val="none" w:sz="0" w:space="0" w:color="auto"/>
                    <w:left w:val="none" w:sz="0" w:space="0" w:color="auto"/>
                    <w:bottom w:val="none" w:sz="0" w:space="0" w:color="auto"/>
                    <w:right w:val="none" w:sz="0" w:space="0" w:color="auto"/>
                  </w:divBdr>
                </w:div>
              </w:divsChild>
            </w:div>
            <w:div w:id="417407678">
              <w:marLeft w:val="0"/>
              <w:marRight w:val="0"/>
              <w:marTop w:val="0"/>
              <w:marBottom w:val="0"/>
              <w:divBdr>
                <w:top w:val="none" w:sz="0" w:space="0" w:color="auto"/>
                <w:left w:val="none" w:sz="0" w:space="0" w:color="auto"/>
                <w:bottom w:val="none" w:sz="0" w:space="0" w:color="auto"/>
                <w:right w:val="none" w:sz="0" w:space="0" w:color="auto"/>
              </w:divBdr>
              <w:divsChild>
                <w:div w:id="447629721">
                  <w:marLeft w:val="0"/>
                  <w:marRight w:val="0"/>
                  <w:marTop w:val="0"/>
                  <w:marBottom w:val="0"/>
                  <w:divBdr>
                    <w:top w:val="none" w:sz="0" w:space="0" w:color="auto"/>
                    <w:left w:val="none" w:sz="0" w:space="0" w:color="auto"/>
                    <w:bottom w:val="none" w:sz="0" w:space="0" w:color="auto"/>
                    <w:right w:val="none" w:sz="0" w:space="0" w:color="auto"/>
                  </w:divBdr>
                </w:div>
              </w:divsChild>
            </w:div>
            <w:div w:id="599142707">
              <w:marLeft w:val="0"/>
              <w:marRight w:val="0"/>
              <w:marTop w:val="0"/>
              <w:marBottom w:val="0"/>
              <w:divBdr>
                <w:top w:val="none" w:sz="0" w:space="0" w:color="auto"/>
                <w:left w:val="none" w:sz="0" w:space="0" w:color="auto"/>
                <w:bottom w:val="none" w:sz="0" w:space="0" w:color="auto"/>
                <w:right w:val="none" w:sz="0" w:space="0" w:color="auto"/>
              </w:divBdr>
              <w:divsChild>
                <w:div w:id="481391735">
                  <w:marLeft w:val="0"/>
                  <w:marRight w:val="0"/>
                  <w:marTop w:val="0"/>
                  <w:marBottom w:val="0"/>
                  <w:divBdr>
                    <w:top w:val="none" w:sz="0" w:space="0" w:color="auto"/>
                    <w:left w:val="none" w:sz="0" w:space="0" w:color="auto"/>
                    <w:bottom w:val="none" w:sz="0" w:space="0" w:color="auto"/>
                    <w:right w:val="none" w:sz="0" w:space="0" w:color="auto"/>
                  </w:divBdr>
                </w:div>
              </w:divsChild>
            </w:div>
            <w:div w:id="684329061">
              <w:marLeft w:val="0"/>
              <w:marRight w:val="0"/>
              <w:marTop w:val="0"/>
              <w:marBottom w:val="0"/>
              <w:divBdr>
                <w:top w:val="none" w:sz="0" w:space="0" w:color="auto"/>
                <w:left w:val="none" w:sz="0" w:space="0" w:color="auto"/>
                <w:bottom w:val="none" w:sz="0" w:space="0" w:color="auto"/>
                <w:right w:val="none" w:sz="0" w:space="0" w:color="auto"/>
              </w:divBdr>
              <w:divsChild>
                <w:div w:id="262809447">
                  <w:marLeft w:val="0"/>
                  <w:marRight w:val="0"/>
                  <w:marTop w:val="0"/>
                  <w:marBottom w:val="0"/>
                  <w:divBdr>
                    <w:top w:val="none" w:sz="0" w:space="0" w:color="auto"/>
                    <w:left w:val="none" w:sz="0" w:space="0" w:color="auto"/>
                    <w:bottom w:val="none" w:sz="0" w:space="0" w:color="auto"/>
                    <w:right w:val="none" w:sz="0" w:space="0" w:color="auto"/>
                  </w:divBdr>
                </w:div>
              </w:divsChild>
            </w:div>
            <w:div w:id="797796738">
              <w:marLeft w:val="0"/>
              <w:marRight w:val="0"/>
              <w:marTop w:val="0"/>
              <w:marBottom w:val="0"/>
              <w:divBdr>
                <w:top w:val="none" w:sz="0" w:space="0" w:color="auto"/>
                <w:left w:val="none" w:sz="0" w:space="0" w:color="auto"/>
                <w:bottom w:val="none" w:sz="0" w:space="0" w:color="auto"/>
                <w:right w:val="none" w:sz="0" w:space="0" w:color="auto"/>
              </w:divBdr>
              <w:divsChild>
                <w:div w:id="826214075">
                  <w:marLeft w:val="0"/>
                  <w:marRight w:val="0"/>
                  <w:marTop w:val="0"/>
                  <w:marBottom w:val="0"/>
                  <w:divBdr>
                    <w:top w:val="none" w:sz="0" w:space="0" w:color="auto"/>
                    <w:left w:val="none" w:sz="0" w:space="0" w:color="auto"/>
                    <w:bottom w:val="none" w:sz="0" w:space="0" w:color="auto"/>
                    <w:right w:val="none" w:sz="0" w:space="0" w:color="auto"/>
                  </w:divBdr>
                </w:div>
              </w:divsChild>
            </w:div>
            <w:div w:id="807818005">
              <w:marLeft w:val="0"/>
              <w:marRight w:val="0"/>
              <w:marTop w:val="0"/>
              <w:marBottom w:val="0"/>
              <w:divBdr>
                <w:top w:val="none" w:sz="0" w:space="0" w:color="auto"/>
                <w:left w:val="none" w:sz="0" w:space="0" w:color="auto"/>
                <w:bottom w:val="none" w:sz="0" w:space="0" w:color="auto"/>
                <w:right w:val="none" w:sz="0" w:space="0" w:color="auto"/>
              </w:divBdr>
              <w:divsChild>
                <w:div w:id="246699065">
                  <w:marLeft w:val="0"/>
                  <w:marRight w:val="0"/>
                  <w:marTop w:val="0"/>
                  <w:marBottom w:val="0"/>
                  <w:divBdr>
                    <w:top w:val="none" w:sz="0" w:space="0" w:color="auto"/>
                    <w:left w:val="none" w:sz="0" w:space="0" w:color="auto"/>
                    <w:bottom w:val="none" w:sz="0" w:space="0" w:color="auto"/>
                    <w:right w:val="none" w:sz="0" w:space="0" w:color="auto"/>
                  </w:divBdr>
                </w:div>
              </w:divsChild>
            </w:div>
            <w:div w:id="959846656">
              <w:marLeft w:val="0"/>
              <w:marRight w:val="0"/>
              <w:marTop w:val="0"/>
              <w:marBottom w:val="0"/>
              <w:divBdr>
                <w:top w:val="none" w:sz="0" w:space="0" w:color="auto"/>
                <w:left w:val="none" w:sz="0" w:space="0" w:color="auto"/>
                <w:bottom w:val="none" w:sz="0" w:space="0" w:color="auto"/>
                <w:right w:val="none" w:sz="0" w:space="0" w:color="auto"/>
              </w:divBdr>
              <w:divsChild>
                <w:div w:id="626424585">
                  <w:marLeft w:val="0"/>
                  <w:marRight w:val="0"/>
                  <w:marTop w:val="0"/>
                  <w:marBottom w:val="0"/>
                  <w:divBdr>
                    <w:top w:val="none" w:sz="0" w:space="0" w:color="auto"/>
                    <w:left w:val="none" w:sz="0" w:space="0" w:color="auto"/>
                    <w:bottom w:val="none" w:sz="0" w:space="0" w:color="auto"/>
                    <w:right w:val="none" w:sz="0" w:space="0" w:color="auto"/>
                  </w:divBdr>
                </w:div>
              </w:divsChild>
            </w:div>
            <w:div w:id="1069496486">
              <w:marLeft w:val="0"/>
              <w:marRight w:val="0"/>
              <w:marTop w:val="0"/>
              <w:marBottom w:val="0"/>
              <w:divBdr>
                <w:top w:val="none" w:sz="0" w:space="0" w:color="auto"/>
                <w:left w:val="none" w:sz="0" w:space="0" w:color="auto"/>
                <w:bottom w:val="none" w:sz="0" w:space="0" w:color="auto"/>
                <w:right w:val="none" w:sz="0" w:space="0" w:color="auto"/>
              </w:divBdr>
              <w:divsChild>
                <w:div w:id="510947090">
                  <w:marLeft w:val="0"/>
                  <w:marRight w:val="0"/>
                  <w:marTop w:val="0"/>
                  <w:marBottom w:val="0"/>
                  <w:divBdr>
                    <w:top w:val="none" w:sz="0" w:space="0" w:color="auto"/>
                    <w:left w:val="none" w:sz="0" w:space="0" w:color="auto"/>
                    <w:bottom w:val="none" w:sz="0" w:space="0" w:color="auto"/>
                    <w:right w:val="none" w:sz="0" w:space="0" w:color="auto"/>
                  </w:divBdr>
                </w:div>
              </w:divsChild>
            </w:div>
            <w:div w:id="1149060108">
              <w:marLeft w:val="0"/>
              <w:marRight w:val="0"/>
              <w:marTop w:val="0"/>
              <w:marBottom w:val="0"/>
              <w:divBdr>
                <w:top w:val="none" w:sz="0" w:space="0" w:color="auto"/>
                <w:left w:val="none" w:sz="0" w:space="0" w:color="auto"/>
                <w:bottom w:val="none" w:sz="0" w:space="0" w:color="auto"/>
                <w:right w:val="none" w:sz="0" w:space="0" w:color="auto"/>
              </w:divBdr>
              <w:divsChild>
                <w:div w:id="1834370358">
                  <w:marLeft w:val="0"/>
                  <w:marRight w:val="0"/>
                  <w:marTop w:val="0"/>
                  <w:marBottom w:val="0"/>
                  <w:divBdr>
                    <w:top w:val="none" w:sz="0" w:space="0" w:color="auto"/>
                    <w:left w:val="none" w:sz="0" w:space="0" w:color="auto"/>
                    <w:bottom w:val="none" w:sz="0" w:space="0" w:color="auto"/>
                    <w:right w:val="none" w:sz="0" w:space="0" w:color="auto"/>
                  </w:divBdr>
                </w:div>
              </w:divsChild>
            </w:div>
            <w:div w:id="1312830576">
              <w:marLeft w:val="0"/>
              <w:marRight w:val="0"/>
              <w:marTop w:val="0"/>
              <w:marBottom w:val="0"/>
              <w:divBdr>
                <w:top w:val="none" w:sz="0" w:space="0" w:color="auto"/>
                <w:left w:val="none" w:sz="0" w:space="0" w:color="auto"/>
                <w:bottom w:val="none" w:sz="0" w:space="0" w:color="auto"/>
                <w:right w:val="none" w:sz="0" w:space="0" w:color="auto"/>
              </w:divBdr>
              <w:divsChild>
                <w:div w:id="1323309720">
                  <w:marLeft w:val="0"/>
                  <w:marRight w:val="0"/>
                  <w:marTop w:val="0"/>
                  <w:marBottom w:val="0"/>
                  <w:divBdr>
                    <w:top w:val="none" w:sz="0" w:space="0" w:color="auto"/>
                    <w:left w:val="none" w:sz="0" w:space="0" w:color="auto"/>
                    <w:bottom w:val="none" w:sz="0" w:space="0" w:color="auto"/>
                    <w:right w:val="none" w:sz="0" w:space="0" w:color="auto"/>
                  </w:divBdr>
                </w:div>
              </w:divsChild>
            </w:div>
            <w:div w:id="1339308372">
              <w:marLeft w:val="0"/>
              <w:marRight w:val="0"/>
              <w:marTop w:val="0"/>
              <w:marBottom w:val="0"/>
              <w:divBdr>
                <w:top w:val="none" w:sz="0" w:space="0" w:color="auto"/>
                <w:left w:val="none" w:sz="0" w:space="0" w:color="auto"/>
                <w:bottom w:val="none" w:sz="0" w:space="0" w:color="auto"/>
                <w:right w:val="none" w:sz="0" w:space="0" w:color="auto"/>
              </w:divBdr>
              <w:divsChild>
                <w:div w:id="1531338470">
                  <w:marLeft w:val="0"/>
                  <w:marRight w:val="0"/>
                  <w:marTop w:val="0"/>
                  <w:marBottom w:val="0"/>
                  <w:divBdr>
                    <w:top w:val="none" w:sz="0" w:space="0" w:color="auto"/>
                    <w:left w:val="none" w:sz="0" w:space="0" w:color="auto"/>
                    <w:bottom w:val="none" w:sz="0" w:space="0" w:color="auto"/>
                    <w:right w:val="none" w:sz="0" w:space="0" w:color="auto"/>
                  </w:divBdr>
                </w:div>
              </w:divsChild>
            </w:div>
            <w:div w:id="1339503376">
              <w:marLeft w:val="0"/>
              <w:marRight w:val="0"/>
              <w:marTop w:val="0"/>
              <w:marBottom w:val="0"/>
              <w:divBdr>
                <w:top w:val="none" w:sz="0" w:space="0" w:color="auto"/>
                <w:left w:val="none" w:sz="0" w:space="0" w:color="auto"/>
                <w:bottom w:val="none" w:sz="0" w:space="0" w:color="auto"/>
                <w:right w:val="none" w:sz="0" w:space="0" w:color="auto"/>
              </w:divBdr>
              <w:divsChild>
                <w:div w:id="1593931172">
                  <w:marLeft w:val="0"/>
                  <w:marRight w:val="0"/>
                  <w:marTop w:val="0"/>
                  <w:marBottom w:val="0"/>
                  <w:divBdr>
                    <w:top w:val="none" w:sz="0" w:space="0" w:color="auto"/>
                    <w:left w:val="none" w:sz="0" w:space="0" w:color="auto"/>
                    <w:bottom w:val="none" w:sz="0" w:space="0" w:color="auto"/>
                    <w:right w:val="none" w:sz="0" w:space="0" w:color="auto"/>
                  </w:divBdr>
                </w:div>
              </w:divsChild>
            </w:div>
            <w:div w:id="1364206730">
              <w:marLeft w:val="0"/>
              <w:marRight w:val="0"/>
              <w:marTop w:val="0"/>
              <w:marBottom w:val="0"/>
              <w:divBdr>
                <w:top w:val="none" w:sz="0" w:space="0" w:color="auto"/>
                <w:left w:val="none" w:sz="0" w:space="0" w:color="auto"/>
                <w:bottom w:val="none" w:sz="0" w:space="0" w:color="auto"/>
                <w:right w:val="none" w:sz="0" w:space="0" w:color="auto"/>
              </w:divBdr>
              <w:divsChild>
                <w:div w:id="192884034">
                  <w:marLeft w:val="0"/>
                  <w:marRight w:val="0"/>
                  <w:marTop w:val="0"/>
                  <w:marBottom w:val="0"/>
                  <w:divBdr>
                    <w:top w:val="none" w:sz="0" w:space="0" w:color="auto"/>
                    <w:left w:val="none" w:sz="0" w:space="0" w:color="auto"/>
                    <w:bottom w:val="none" w:sz="0" w:space="0" w:color="auto"/>
                    <w:right w:val="none" w:sz="0" w:space="0" w:color="auto"/>
                  </w:divBdr>
                </w:div>
              </w:divsChild>
            </w:div>
            <w:div w:id="1375813988">
              <w:marLeft w:val="0"/>
              <w:marRight w:val="0"/>
              <w:marTop w:val="0"/>
              <w:marBottom w:val="0"/>
              <w:divBdr>
                <w:top w:val="none" w:sz="0" w:space="0" w:color="auto"/>
                <w:left w:val="none" w:sz="0" w:space="0" w:color="auto"/>
                <w:bottom w:val="none" w:sz="0" w:space="0" w:color="auto"/>
                <w:right w:val="none" w:sz="0" w:space="0" w:color="auto"/>
              </w:divBdr>
              <w:divsChild>
                <w:div w:id="1407531131">
                  <w:marLeft w:val="0"/>
                  <w:marRight w:val="0"/>
                  <w:marTop w:val="0"/>
                  <w:marBottom w:val="0"/>
                  <w:divBdr>
                    <w:top w:val="none" w:sz="0" w:space="0" w:color="auto"/>
                    <w:left w:val="none" w:sz="0" w:space="0" w:color="auto"/>
                    <w:bottom w:val="none" w:sz="0" w:space="0" w:color="auto"/>
                    <w:right w:val="none" w:sz="0" w:space="0" w:color="auto"/>
                  </w:divBdr>
                </w:div>
              </w:divsChild>
            </w:div>
            <w:div w:id="1524594907">
              <w:marLeft w:val="0"/>
              <w:marRight w:val="0"/>
              <w:marTop w:val="0"/>
              <w:marBottom w:val="0"/>
              <w:divBdr>
                <w:top w:val="none" w:sz="0" w:space="0" w:color="auto"/>
                <w:left w:val="none" w:sz="0" w:space="0" w:color="auto"/>
                <w:bottom w:val="none" w:sz="0" w:space="0" w:color="auto"/>
                <w:right w:val="none" w:sz="0" w:space="0" w:color="auto"/>
              </w:divBdr>
              <w:divsChild>
                <w:div w:id="1210535417">
                  <w:marLeft w:val="0"/>
                  <w:marRight w:val="0"/>
                  <w:marTop w:val="0"/>
                  <w:marBottom w:val="0"/>
                  <w:divBdr>
                    <w:top w:val="none" w:sz="0" w:space="0" w:color="auto"/>
                    <w:left w:val="none" w:sz="0" w:space="0" w:color="auto"/>
                    <w:bottom w:val="none" w:sz="0" w:space="0" w:color="auto"/>
                    <w:right w:val="none" w:sz="0" w:space="0" w:color="auto"/>
                  </w:divBdr>
                </w:div>
              </w:divsChild>
            </w:div>
            <w:div w:id="1538661275">
              <w:marLeft w:val="0"/>
              <w:marRight w:val="0"/>
              <w:marTop w:val="0"/>
              <w:marBottom w:val="0"/>
              <w:divBdr>
                <w:top w:val="none" w:sz="0" w:space="0" w:color="auto"/>
                <w:left w:val="none" w:sz="0" w:space="0" w:color="auto"/>
                <w:bottom w:val="none" w:sz="0" w:space="0" w:color="auto"/>
                <w:right w:val="none" w:sz="0" w:space="0" w:color="auto"/>
              </w:divBdr>
              <w:divsChild>
                <w:div w:id="500394317">
                  <w:marLeft w:val="0"/>
                  <w:marRight w:val="0"/>
                  <w:marTop w:val="0"/>
                  <w:marBottom w:val="0"/>
                  <w:divBdr>
                    <w:top w:val="none" w:sz="0" w:space="0" w:color="auto"/>
                    <w:left w:val="none" w:sz="0" w:space="0" w:color="auto"/>
                    <w:bottom w:val="none" w:sz="0" w:space="0" w:color="auto"/>
                    <w:right w:val="none" w:sz="0" w:space="0" w:color="auto"/>
                  </w:divBdr>
                </w:div>
              </w:divsChild>
            </w:div>
            <w:div w:id="1559592740">
              <w:marLeft w:val="0"/>
              <w:marRight w:val="0"/>
              <w:marTop w:val="0"/>
              <w:marBottom w:val="0"/>
              <w:divBdr>
                <w:top w:val="none" w:sz="0" w:space="0" w:color="auto"/>
                <w:left w:val="none" w:sz="0" w:space="0" w:color="auto"/>
                <w:bottom w:val="none" w:sz="0" w:space="0" w:color="auto"/>
                <w:right w:val="none" w:sz="0" w:space="0" w:color="auto"/>
              </w:divBdr>
              <w:divsChild>
                <w:div w:id="1745562840">
                  <w:marLeft w:val="0"/>
                  <w:marRight w:val="0"/>
                  <w:marTop w:val="0"/>
                  <w:marBottom w:val="0"/>
                  <w:divBdr>
                    <w:top w:val="none" w:sz="0" w:space="0" w:color="auto"/>
                    <w:left w:val="none" w:sz="0" w:space="0" w:color="auto"/>
                    <w:bottom w:val="none" w:sz="0" w:space="0" w:color="auto"/>
                    <w:right w:val="none" w:sz="0" w:space="0" w:color="auto"/>
                  </w:divBdr>
                </w:div>
              </w:divsChild>
            </w:div>
            <w:div w:id="1659724129">
              <w:marLeft w:val="0"/>
              <w:marRight w:val="0"/>
              <w:marTop w:val="0"/>
              <w:marBottom w:val="0"/>
              <w:divBdr>
                <w:top w:val="none" w:sz="0" w:space="0" w:color="auto"/>
                <w:left w:val="none" w:sz="0" w:space="0" w:color="auto"/>
                <w:bottom w:val="none" w:sz="0" w:space="0" w:color="auto"/>
                <w:right w:val="none" w:sz="0" w:space="0" w:color="auto"/>
              </w:divBdr>
              <w:divsChild>
                <w:div w:id="556402871">
                  <w:marLeft w:val="0"/>
                  <w:marRight w:val="0"/>
                  <w:marTop w:val="0"/>
                  <w:marBottom w:val="0"/>
                  <w:divBdr>
                    <w:top w:val="none" w:sz="0" w:space="0" w:color="auto"/>
                    <w:left w:val="none" w:sz="0" w:space="0" w:color="auto"/>
                    <w:bottom w:val="none" w:sz="0" w:space="0" w:color="auto"/>
                    <w:right w:val="none" w:sz="0" w:space="0" w:color="auto"/>
                  </w:divBdr>
                </w:div>
              </w:divsChild>
            </w:div>
            <w:div w:id="1729526661">
              <w:marLeft w:val="0"/>
              <w:marRight w:val="0"/>
              <w:marTop w:val="0"/>
              <w:marBottom w:val="0"/>
              <w:divBdr>
                <w:top w:val="none" w:sz="0" w:space="0" w:color="auto"/>
                <w:left w:val="none" w:sz="0" w:space="0" w:color="auto"/>
                <w:bottom w:val="none" w:sz="0" w:space="0" w:color="auto"/>
                <w:right w:val="none" w:sz="0" w:space="0" w:color="auto"/>
              </w:divBdr>
              <w:divsChild>
                <w:div w:id="1784612687">
                  <w:marLeft w:val="0"/>
                  <w:marRight w:val="0"/>
                  <w:marTop w:val="0"/>
                  <w:marBottom w:val="0"/>
                  <w:divBdr>
                    <w:top w:val="none" w:sz="0" w:space="0" w:color="auto"/>
                    <w:left w:val="none" w:sz="0" w:space="0" w:color="auto"/>
                    <w:bottom w:val="none" w:sz="0" w:space="0" w:color="auto"/>
                    <w:right w:val="none" w:sz="0" w:space="0" w:color="auto"/>
                  </w:divBdr>
                </w:div>
              </w:divsChild>
            </w:div>
            <w:div w:id="1930773659">
              <w:marLeft w:val="0"/>
              <w:marRight w:val="0"/>
              <w:marTop w:val="0"/>
              <w:marBottom w:val="0"/>
              <w:divBdr>
                <w:top w:val="none" w:sz="0" w:space="0" w:color="auto"/>
                <w:left w:val="none" w:sz="0" w:space="0" w:color="auto"/>
                <w:bottom w:val="none" w:sz="0" w:space="0" w:color="auto"/>
                <w:right w:val="none" w:sz="0" w:space="0" w:color="auto"/>
              </w:divBdr>
              <w:divsChild>
                <w:div w:id="1859349051">
                  <w:marLeft w:val="0"/>
                  <w:marRight w:val="0"/>
                  <w:marTop w:val="0"/>
                  <w:marBottom w:val="0"/>
                  <w:divBdr>
                    <w:top w:val="none" w:sz="0" w:space="0" w:color="auto"/>
                    <w:left w:val="none" w:sz="0" w:space="0" w:color="auto"/>
                    <w:bottom w:val="none" w:sz="0" w:space="0" w:color="auto"/>
                    <w:right w:val="none" w:sz="0" w:space="0" w:color="auto"/>
                  </w:divBdr>
                </w:div>
              </w:divsChild>
            </w:div>
            <w:div w:id="2040085157">
              <w:marLeft w:val="0"/>
              <w:marRight w:val="0"/>
              <w:marTop w:val="0"/>
              <w:marBottom w:val="0"/>
              <w:divBdr>
                <w:top w:val="none" w:sz="0" w:space="0" w:color="auto"/>
                <w:left w:val="none" w:sz="0" w:space="0" w:color="auto"/>
                <w:bottom w:val="none" w:sz="0" w:space="0" w:color="auto"/>
                <w:right w:val="none" w:sz="0" w:space="0" w:color="auto"/>
              </w:divBdr>
              <w:divsChild>
                <w:div w:id="1360617482">
                  <w:marLeft w:val="0"/>
                  <w:marRight w:val="0"/>
                  <w:marTop w:val="0"/>
                  <w:marBottom w:val="0"/>
                  <w:divBdr>
                    <w:top w:val="none" w:sz="0" w:space="0" w:color="auto"/>
                    <w:left w:val="none" w:sz="0" w:space="0" w:color="auto"/>
                    <w:bottom w:val="none" w:sz="0" w:space="0" w:color="auto"/>
                    <w:right w:val="none" w:sz="0" w:space="0" w:color="auto"/>
                  </w:divBdr>
                </w:div>
              </w:divsChild>
            </w:div>
            <w:div w:id="2118405787">
              <w:marLeft w:val="0"/>
              <w:marRight w:val="0"/>
              <w:marTop w:val="0"/>
              <w:marBottom w:val="0"/>
              <w:divBdr>
                <w:top w:val="none" w:sz="0" w:space="0" w:color="auto"/>
                <w:left w:val="none" w:sz="0" w:space="0" w:color="auto"/>
                <w:bottom w:val="none" w:sz="0" w:space="0" w:color="auto"/>
                <w:right w:val="none" w:sz="0" w:space="0" w:color="auto"/>
              </w:divBdr>
              <w:divsChild>
                <w:div w:id="122147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3350">
      <w:bodyDiv w:val="1"/>
      <w:marLeft w:val="0"/>
      <w:marRight w:val="0"/>
      <w:marTop w:val="0"/>
      <w:marBottom w:val="0"/>
      <w:divBdr>
        <w:top w:val="none" w:sz="0" w:space="0" w:color="auto"/>
        <w:left w:val="none" w:sz="0" w:space="0" w:color="auto"/>
        <w:bottom w:val="none" w:sz="0" w:space="0" w:color="auto"/>
        <w:right w:val="none" w:sz="0" w:space="0" w:color="auto"/>
      </w:divBdr>
      <w:divsChild>
        <w:div w:id="693262234">
          <w:marLeft w:val="0"/>
          <w:marRight w:val="0"/>
          <w:marTop w:val="0"/>
          <w:marBottom w:val="0"/>
          <w:divBdr>
            <w:top w:val="none" w:sz="0" w:space="0" w:color="auto"/>
            <w:left w:val="none" w:sz="0" w:space="0" w:color="auto"/>
            <w:bottom w:val="none" w:sz="0" w:space="0" w:color="auto"/>
            <w:right w:val="none" w:sz="0" w:space="0" w:color="auto"/>
          </w:divBdr>
        </w:div>
        <w:div w:id="1590851552">
          <w:marLeft w:val="0"/>
          <w:marRight w:val="0"/>
          <w:marTop w:val="0"/>
          <w:marBottom w:val="0"/>
          <w:divBdr>
            <w:top w:val="none" w:sz="0" w:space="0" w:color="auto"/>
            <w:left w:val="none" w:sz="0" w:space="0" w:color="auto"/>
            <w:bottom w:val="none" w:sz="0" w:space="0" w:color="auto"/>
            <w:right w:val="none" w:sz="0" w:space="0" w:color="auto"/>
          </w:divBdr>
        </w:div>
        <w:div w:id="1637295069">
          <w:marLeft w:val="0"/>
          <w:marRight w:val="0"/>
          <w:marTop w:val="0"/>
          <w:marBottom w:val="0"/>
          <w:divBdr>
            <w:top w:val="none" w:sz="0" w:space="0" w:color="auto"/>
            <w:left w:val="none" w:sz="0" w:space="0" w:color="auto"/>
            <w:bottom w:val="none" w:sz="0" w:space="0" w:color="auto"/>
            <w:right w:val="none" w:sz="0" w:space="0" w:color="auto"/>
          </w:divBdr>
        </w:div>
      </w:divsChild>
    </w:div>
    <w:div w:id="156581788">
      <w:bodyDiv w:val="1"/>
      <w:marLeft w:val="0"/>
      <w:marRight w:val="0"/>
      <w:marTop w:val="0"/>
      <w:marBottom w:val="0"/>
      <w:divBdr>
        <w:top w:val="none" w:sz="0" w:space="0" w:color="auto"/>
        <w:left w:val="none" w:sz="0" w:space="0" w:color="auto"/>
        <w:bottom w:val="none" w:sz="0" w:space="0" w:color="auto"/>
        <w:right w:val="none" w:sz="0" w:space="0" w:color="auto"/>
      </w:divBdr>
    </w:div>
    <w:div w:id="198009367">
      <w:bodyDiv w:val="1"/>
      <w:marLeft w:val="0"/>
      <w:marRight w:val="0"/>
      <w:marTop w:val="0"/>
      <w:marBottom w:val="0"/>
      <w:divBdr>
        <w:top w:val="none" w:sz="0" w:space="0" w:color="auto"/>
        <w:left w:val="none" w:sz="0" w:space="0" w:color="auto"/>
        <w:bottom w:val="none" w:sz="0" w:space="0" w:color="auto"/>
        <w:right w:val="none" w:sz="0" w:space="0" w:color="auto"/>
      </w:divBdr>
    </w:div>
    <w:div w:id="255600381">
      <w:bodyDiv w:val="1"/>
      <w:marLeft w:val="0"/>
      <w:marRight w:val="0"/>
      <w:marTop w:val="0"/>
      <w:marBottom w:val="0"/>
      <w:divBdr>
        <w:top w:val="none" w:sz="0" w:space="0" w:color="auto"/>
        <w:left w:val="none" w:sz="0" w:space="0" w:color="auto"/>
        <w:bottom w:val="none" w:sz="0" w:space="0" w:color="auto"/>
        <w:right w:val="none" w:sz="0" w:space="0" w:color="auto"/>
      </w:divBdr>
    </w:div>
    <w:div w:id="272985320">
      <w:bodyDiv w:val="1"/>
      <w:marLeft w:val="0"/>
      <w:marRight w:val="0"/>
      <w:marTop w:val="0"/>
      <w:marBottom w:val="0"/>
      <w:divBdr>
        <w:top w:val="none" w:sz="0" w:space="0" w:color="auto"/>
        <w:left w:val="none" w:sz="0" w:space="0" w:color="auto"/>
        <w:bottom w:val="none" w:sz="0" w:space="0" w:color="auto"/>
        <w:right w:val="none" w:sz="0" w:space="0" w:color="auto"/>
      </w:divBdr>
    </w:div>
    <w:div w:id="279189796">
      <w:bodyDiv w:val="1"/>
      <w:marLeft w:val="0"/>
      <w:marRight w:val="0"/>
      <w:marTop w:val="0"/>
      <w:marBottom w:val="0"/>
      <w:divBdr>
        <w:top w:val="none" w:sz="0" w:space="0" w:color="auto"/>
        <w:left w:val="none" w:sz="0" w:space="0" w:color="auto"/>
        <w:bottom w:val="none" w:sz="0" w:space="0" w:color="auto"/>
        <w:right w:val="none" w:sz="0" w:space="0" w:color="auto"/>
      </w:divBdr>
    </w:div>
    <w:div w:id="279997856">
      <w:bodyDiv w:val="1"/>
      <w:marLeft w:val="0"/>
      <w:marRight w:val="0"/>
      <w:marTop w:val="0"/>
      <w:marBottom w:val="0"/>
      <w:divBdr>
        <w:top w:val="none" w:sz="0" w:space="0" w:color="auto"/>
        <w:left w:val="none" w:sz="0" w:space="0" w:color="auto"/>
        <w:bottom w:val="none" w:sz="0" w:space="0" w:color="auto"/>
        <w:right w:val="none" w:sz="0" w:space="0" w:color="auto"/>
      </w:divBdr>
    </w:div>
    <w:div w:id="291249188">
      <w:bodyDiv w:val="1"/>
      <w:marLeft w:val="0"/>
      <w:marRight w:val="0"/>
      <w:marTop w:val="0"/>
      <w:marBottom w:val="0"/>
      <w:divBdr>
        <w:top w:val="none" w:sz="0" w:space="0" w:color="auto"/>
        <w:left w:val="none" w:sz="0" w:space="0" w:color="auto"/>
        <w:bottom w:val="none" w:sz="0" w:space="0" w:color="auto"/>
        <w:right w:val="none" w:sz="0" w:space="0" w:color="auto"/>
      </w:divBdr>
    </w:div>
    <w:div w:id="327221562">
      <w:bodyDiv w:val="1"/>
      <w:marLeft w:val="0"/>
      <w:marRight w:val="0"/>
      <w:marTop w:val="0"/>
      <w:marBottom w:val="0"/>
      <w:divBdr>
        <w:top w:val="none" w:sz="0" w:space="0" w:color="auto"/>
        <w:left w:val="none" w:sz="0" w:space="0" w:color="auto"/>
        <w:bottom w:val="none" w:sz="0" w:space="0" w:color="auto"/>
        <w:right w:val="none" w:sz="0" w:space="0" w:color="auto"/>
      </w:divBdr>
    </w:div>
    <w:div w:id="331878620">
      <w:bodyDiv w:val="1"/>
      <w:marLeft w:val="0"/>
      <w:marRight w:val="0"/>
      <w:marTop w:val="0"/>
      <w:marBottom w:val="0"/>
      <w:divBdr>
        <w:top w:val="none" w:sz="0" w:space="0" w:color="auto"/>
        <w:left w:val="none" w:sz="0" w:space="0" w:color="auto"/>
        <w:bottom w:val="none" w:sz="0" w:space="0" w:color="auto"/>
        <w:right w:val="none" w:sz="0" w:space="0" w:color="auto"/>
      </w:divBdr>
      <w:divsChild>
        <w:div w:id="708064547">
          <w:marLeft w:val="0"/>
          <w:marRight w:val="0"/>
          <w:marTop w:val="0"/>
          <w:marBottom w:val="0"/>
          <w:divBdr>
            <w:top w:val="none" w:sz="0" w:space="0" w:color="auto"/>
            <w:left w:val="none" w:sz="0" w:space="0" w:color="auto"/>
            <w:bottom w:val="none" w:sz="0" w:space="0" w:color="auto"/>
            <w:right w:val="none" w:sz="0" w:space="0" w:color="auto"/>
          </w:divBdr>
          <w:divsChild>
            <w:div w:id="144784958">
              <w:marLeft w:val="0"/>
              <w:marRight w:val="0"/>
              <w:marTop w:val="0"/>
              <w:marBottom w:val="0"/>
              <w:divBdr>
                <w:top w:val="none" w:sz="0" w:space="0" w:color="auto"/>
                <w:left w:val="none" w:sz="0" w:space="0" w:color="auto"/>
                <w:bottom w:val="none" w:sz="0" w:space="0" w:color="auto"/>
                <w:right w:val="none" w:sz="0" w:space="0" w:color="auto"/>
              </w:divBdr>
              <w:divsChild>
                <w:div w:id="236211152">
                  <w:marLeft w:val="0"/>
                  <w:marRight w:val="0"/>
                  <w:marTop w:val="0"/>
                  <w:marBottom w:val="0"/>
                  <w:divBdr>
                    <w:top w:val="none" w:sz="0" w:space="0" w:color="auto"/>
                    <w:left w:val="none" w:sz="0" w:space="0" w:color="auto"/>
                    <w:bottom w:val="none" w:sz="0" w:space="0" w:color="auto"/>
                    <w:right w:val="none" w:sz="0" w:space="0" w:color="auto"/>
                  </w:divBdr>
                </w:div>
              </w:divsChild>
            </w:div>
            <w:div w:id="254244016">
              <w:marLeft w:val="0"/>
              <w:marRight w:val="0"/>
              <w:marTop w:val="0"/>
              <w:marBottom w:val="0"/>
              <w:divBdr>
                <w:top w:val="none" w:sz="0" w:space="0" w:color="auto"/>
                <w:left w:val="none" w:sz="0" w:space="0" w:color="auto"/>
                <w:bottom w:val="none" w:sz="0" w:space="0" w:color="auto"/>
                <w:right w:val="none" w:sz="0" w:space="0" w:color="auto"/>
              </w:divBdr>
              <w:divsChild>
                <w:div w:id="831603931">
                  <w:marLeft w:val="0"/>
                  <w:marRight w:val="0"/>
                  <w:marTop w:val="0"/>
                  <w:marBottom w:val="0"/>
                  <w:divBdr>
                    <w:top w:val="none" w:sz="0" w:space="0" w:color="auto"/>
                    <w:left w:val="none" w:sz="0" w:space="0" w:color="auto"/>
                    <w:bottom w:val="none" w:sz="0" w:space="0" w:color="auto"/>
                    <w:right w:val="none" w:sz="0" w:space="0" w:color="auto"/>
                  </w:divBdr>
                </w:div>
              </w:divsChild>
            </w:div>
            <w:div w:id="415905114">
              <w:marLeft w:val="0"/>
              <w:marRight w:val="0"/>
              <w:marTop w:val="0"/>
              <w:marBottom w:val="0"/>
              <w:divBdr>
                <w:top w:val="none" w:sz="0" w:space="0" w:color="auto"/>
                <w:left w:val="none" w:sz="0" w:space="0" w:color="auto"/>
                <w:bottom w:val="none" w:sz="0" w:space="0" w:color="auto"/>
                <w:right w:val="none" w:sz="0" w:space="0" w:color="auto"/>
              </w:divBdr>
              <w:divsChild>
                <w:div w:id="1983849298">
                  <w:marLeft w:val="0"/>
                  <w:marRight w:val="0"/>
                  <w:marTop w:val="0"/>
                  <w:marBottom w:val="0"/>
                  <w:divBdr>
                    <w:top w:val="none" w:sz="0" w:space="0" w:color="auto"/>
                    <w:left w:val="none" w:sz="0" w:space="0" w:color="auto"/>
                    <w:bottom w:val="none" w:sz="0" w:space="0" w:color="auto"/>
                    <w:right w:val="none" w:sz="0" w:space="0" w:color="auto"/>
                  </w:divBdr>
                </w:div>
              </w:divsChild>
            </w:div>
            <w:div w:id="454178928">
              <w:marLeft w:val="0"/>
              <w:marRight w:val="0"/>
              <w:marTop w:val="0"/>
              <w:marBottom w:val="0"/>
              <w:divBdr>
                <w:top w:val="none" w:sz="0" w:space="0" w:color="auto"/>
                <w:left w:val="none" w:sz="0" w:space="0" w:color="auto"/>
                <w:bottom w:val="none" w:sz="0" w:space="0" w:color="auto"/>
                <w:right w:val="none" w:sz="0" w:space="0" w:color="auto"/>
              </w:divBdr>
              <w:divsChild>
                <w:div w:id="56558483">
                  <w:marLeft w:val="0"/>
                  <w:marRight w:val="0"/>
                  <w:marTop w:val="0"/>
                  <w:marBottom w:val="0"/>
                  <w:divBdr>
                    <w:top w:val="none" w:sz="0" w:space="0" w:color="auto"/>
                    <w:left w:val="none" w:sz="0" w:space="0" w:color="auto"/>
                    <w:bottom w:val="none" w:sz="0" w:space="0" w:color="auto"/>
                    <w:right w:val="none" w:sz="0" w:space="0" w:color="auto"/>
                  </w:divBdr>
                </w:div>
              </w:divsChild>
            </w:div>
            <w:div w:id="472017518">
              <w:marLeft w:val="0"/>
              <w:marRight w:val="0"/>
              <w:marTop w:val="0"/>
              <w:marBottom w:val="0"/>
              <w:divBdr>
                <w:top w:val="none" w:sz="0" w:space="0" w:color="auto"/>
                <w:left w:val="none" w:sz="0" w:space="0" w:color="auto"/>
                <w:bottom w:val="none" w:sz="0" w:space="0" w:color="auto"/>
                <w:right w:val="none" w:sz="0" w:space="0" w:color="auto"/>
              </w:divBdr>
              <w:divsChild>
                <w:div w:id="1433672923">
                  <w:marLeft w:val="0"/>
                  <w:marRight w:val="0"/>
                  <w:marTop w:val="0"/>
                  <w:marBottom w:val="0"/>
                  <w:divBdr>
                    <w:top w:val="none" w:sz="0" w:space="0" w:color="auto"/>
                    <w:left w:val="none" w:sz="0" w:space="0" w:color="auto"/>
                    <w:bottom w:val="none" w:sz="0" w:space="0" w:color="auto"/>
                    <w:right w:val="none" w:sz="0" w:space="0" w:color="auto"/>
                  </w:divBdr>
                </w:div>
              </w:divsChild>
            </w:div>
            <w:div w:id="606237550">
              <w:marLeft w:val="0"/>
              <w:marRight w:val="0"/>
              <w:marTop w:val="0"/>
              <w:marBottom w:val="0"/>
              <w:divBdr>
                <w:top w:val="none" w:sz="0" w:space="0" w:color="auto"/>
                <w:left w:val="none" w:sz="0" w:space="0" w:color="auto"/>
                <w:bottom w:val="none" w:sz="0" w:space="0" w:color="auto"/>
                <w:right w:val="none" w:sz="0" w:space="0" w:color="auto"/>
              </w:divBdr>
              <w:divsChild>
                <w:div w:id="1966812227">
                  <w:marLeft w:val="0"/>
                  <w:marRight w:val="0"/>
                  <w:marTop w:val="0"/>
                  <w:marBottom w:val="0"/>
                  <w:divBdr>
                    <w:top w:val="none" w:sz="0" w:space="0" w:color="auto"/>
                    <w:left w:val="none" w:sz="0" w:space="0" w:color="auto"/>
                    <w:bottom w:val="none" w:sz="0" w:space="0" w:color="auto"/>
                    <w:right w:val="none" w:sz="0" w:space="0" w:color="auto"/>
                  </w:divBdr>
                </w:div>
              </w:divsChild>
            </w:div>
            <w:div w:id="778180923">
              <w:marLeft w:val="0"/>
              <w:marRight w:val="0"/>
              <w:marTop w:val="0"/>
              <w:marBottom w:val="0"/>
              <w:divBdr>
                <w:top w:val="none" w:sz="0" w:space="0" w:color="auto"/>
                <w:left w:val="none" w:sz="0" w:space="0" w:color="auto"/>
                <w:bottom w:val="none" w:sz="0" w:space="0" w:color="auto"/>
                <w:right w:val="none" w:sz="0" w:space="0" w:color="auto"/>
              </w:divBdr>
              <w:divsChild>
                <w:div w:id="1417283078">
                  <w:marLeft w:val="0"/>
                  <w:marRight w:val="0"/>
                  <w:marTop w:val="0"/>
                  <w:marBottom w:val="0"/>
                  <w:divBdr>
                    <w:top w:val="none" w:sz="0" w:space="0" w:color="auto"/>
                    <w:left w:val="none" w:sz="0" w:space="0" w:color="auto"/>
                    <w:bottom w:val="none" w:sz="0" w:space="0" w:color="auto"/>
                    <w:right w:val="none" w:sz="0" w:space="0" w:color="auto"/>
                  </w:divBdr>
                </w:div>
              </w:divsChild>
            </w:div>
            <w:div w:id="954678379">
              <w:marLeft w:val="0"/>
              <w:marRight w:val="0"/>
              <w:marTop w:val="0"/>
              <w:marBottom w:val="0"/>
              <w:divBdr>
                <w:top w:val="none" w:sz="0" w:space="0" w:color="auto"/>
                <w:left w:val="none" w:sz="0" w:space="0" w:color="auto"/>
                <w:bottom w:val="none" w:sz="0" w:space="0" w:color="auto"/>
                <w:right w:val="none" w:sz="0" w:space="0" w:color="auto"/>
              </w:divBdr>
              <w:divsChild>
                <w:div w:id="1888253018">
                  <w:marLeft w:val="0"/>
                  <w:marRight w:val="0"/>
                  <w:marTop w:val="0"/>
                  <w:marBottom w:val="0"/>
                  <w:divBdr>
                    <w:top w:val="none" w:sz="0" w:space="0" w:color="auto"/>
                    <w:left w:val="none" w:sz="0" w:space="0" w:color="auto"/>
                    <w:bottom w:val="none" w:sz="0" w:space="0" w:color="auto"/>
                    <w:right w:val="none" w:sz="0" w:space="0" w:color="auto"/>
                  </w:divBdr>
                </w:div>
              </w:divsChild>
            </w:div>
            <w:div w:id="961039549">
              <w:marLeft w:val="0"/>
              <w:marRight w:val="0"/>
              <w:marTop w:val="0"/>
              <w:marBottom w:val="0"/>
              <w:divBdr>
                <w:top w:val="none" w:sz="0" w:space="0" w:color="auto"/>
                <w:left w:val="none" w:sz="0" w:space="0" w:color="auto"/>
                <w:bottom w:val="none" w:sz="0" w:space="0" w:color="auto"/>
                <w:right w:val="none" w:sz="0" w:space="0" w:color="auto"/>
              </w:divBdr>
              <w:divsChild>
                <w:div w:id="1484662087">
                  <w:marLeft w:val="0"/>
                  <w:marRight w:val="0"/>
                  <w:marTop w:val="0"/>
                  <w:marBottom w:val="0"/>
                  <w:divBdr>
                    <w:top w:val="none" w:sz="0" w:space="0" w:color="auto"/>
                    <w:left w:val="none" w:sz="0" w:space="0" w:color="auto"/>
                    <w:bottom w:val="none" w:sz="0" w:space="0" w:color="auto"/>
                    <w:right w:val="none" w:sz="0" w:space="0" w:color="auto"/>
                  </w:divBdr>
                </w:div>
              </w:divsChild>
            </w:div>
            <w:div w:id="1052076312">
              <w:marLeft w:val="0"/>
              <w:marRight w:val="0"/>
              <w:marTop w:val="0"/>
              <w:marBottom w:val="0"/>
              <w:divBdr>
                <w:top w:val="none" w:sz="0" w:space="0" w:color="auto"/>
                <w:left w:val="none" w:sz="0" w:space="0" w:color="auto"/>
                <w:bottom w:val="none" w:sz="0" w:space="0" w:color="auto"/>
                <w:right w:val="none" w:sz="0" w:space="0" w:color="auto"/>
              </w:divBdr>
              <w:divsChild>
                <w:div w:id="8873032">
                  <w:marLeft w:val="0"/>
                  <w:marRight w:val="0"/>
                  <w:marTop w:val="0"/>
                  <w:marBottom w:val="0"/>
                  <w:divBdr>
                    <w:top w:val="none" w:sz="0" w:space="0" w:color="auto"/>
                    <w:left w:val="none" w:sz="0" w:space="0" w:color="auto"/>
                    <w:bottom w:val="none" w:sz="0" w:space="0" w:color="auto"/>
                    <w:right w:val="none" w:sz="0" w:space="0" w:color="auto"/>
                  </w:divBdr>
                </w:div>
              </w:divsChild>
            </w:div>
            <w:div w:id="1073358573">
              <w:marLeft w:val="0"/>
              <w:marRight w:val="0"/>
              <w:marTop w:val="0"/>
              <w:marBottom w:val="0"/>
              <w:divBdr>
                <w:top w:val="none" w:sz="0" w:space="0" w:color="auto"/>
                <w:left w:val="none" w:sz="0" w:space="0" w:color="auto"/>
                <w:bottom w:val="none" w:sz="0" w:space="0" w:color="auto"/>
                <w:right w:val="none" w:sz="0" w:space="0" w:color="auto"/>
              </w:divBdr>
              <w:divsChild>
                <w:div w:id="487131448">
                  <w:marLeft w:val="0"/>
                  <w:marRight w:val="0"/>
                  <w:marTop w:val="0"/>
                  <w:marBottom w:val="0"/>
                  <w:divBdr>
                    <w:top w:val="none" w:sz="0" w:space="0" w:color="auto"/>
                    <w:left w:val="none" w:sz="0" w:space="0" w:color="auto"/>
                    <w:bottom w:val="none" w:sz="0" w:space="0" w:color="auto"/>
                    <w:right w:val="none" w:sz="0" w:space="0" w:color="auto"/>
                  </w:divBdr>
                </w:div>
              </w:divsChild>
            </w:div>
            <w:div w:id="1078556175">
              <w:marLeft w:val="0"/>
              <w:marRight w:val="0"/>
              <w:marTop w:val="0"/>
              <w:marBottom w:val="0"/>
              <w:divBdr>
                <w:top w:val="none" w:sz="0" w:space="0" w:color="auto"/>
                <w:left w:val="none" w:sz="0" w:space="0" w:color="auto"/>
                <w:bottom w:val="none" w:sz="0" w:space="0" w:color="auto"/>
                <w:right w:val="none" w:sz="0" w:space="0" w:color="auto"/>
              </w:divBdr>
              <w:divsChild>
                <w:div w:id="1067990899">
                  <w:marLeft w:val="0"/>
                  <w:marRight w:val="0"/>
                  <w:marTop w:val="0"/>
                  <w:marBottom w:val="0"/>
                  <w:divBdr>
                    <w:top w:val="none" w:sz="0" w:space="0" w:color="auto"/>
                    <w:left w:val="none" w:sz="0" w:space="0" w:color="auto"/>
                    <w:bottom w:val="none" w:sz="0" w:space="0" w:color="auto"/>
                    <w:right w:val="none" w:sz="0" w:space="0" w:color="auto"/>
                  </w:divBdr>
                </w:div>
              </w:divsChild>
            </w:div>
            <w:div w:id="1292050837">
              <w:marLeft w:val="0"/>
              <w:marRight w:val="0"/>
              <w:marTop w:val="0"/>
              <w:marBottom w:val="0"/>
              <w:divBdr>
                <w:top w:val="none" w:sz="0" w:space="0" w:color="auto"/>
                <w:left w:val="none" w:sz="0" w:space="0" w:color="auto"/>
                <w:bottom w:val="none" w:sz="0" w:space="0" w:color="auto"/>
                <w:right w:val="none" w:sz="0" w:space="0" w:color="auto"/>
              </w:divBdr>
              <w:divsChild>
                <w:div w:id="558445967">
                  <w:marLeft w:val="0"/>
                  <w:marRight w:val="0"/>
                  <w:marTop w:val="0"/>
                  <w:marBottom w:val="0"/>
                  <w:divBdr>
                    <w:top w:val="none" w:sz="0" w:space="0" w:color="auto"/>
                    <w:left w:val="none" w:sz="0" w:space="0" w:color="auto"/>
                    <w:bottom w:val="none" w:sz="0" w:space="0" w:color="auto"/>
                    <w:right w:val="none" w:sz="0" w:space="0" w:color="auto"/>
                  </w:divBdr>
                </w:div>
              </w:divsChild>
            </w:div>
            <w:div w:id="1306079347">
              <w:marLeft w:val="0"/>
              <w:marRight w:val="0"/>
              <w:marTop w:val="0"/>
              <w:marBottom w:val="0"/>
              <w:divBdr>
                <w:top w:val="none" w:sz="0" w:space="0" w:color="auto"/>
                <w:left w:val="none" w:sz="0" w:space="0" w:color="auto"/>
                <w:bottom w:val="none" w:sz="0" w:space="0" w:color="auto"/>
                <w:right w:val="none" w:sz="0" w:space="0" w:color="auto"/>
              </w:divBdr>
              <w:divsChild>
                <w:div w:id="1514804848">
                  <w:marLeft w:val="0"/>
                  <w:marRight w:val="0"/>
                  <w:marTop w:val="0"/>
                  <w:marBottom w:val="0"/>
                  <w:divBdr>
                    <w:top w:val="none" w:sz="0" w:space="0" w:color="auto"/>
                    <w:left w:val="none" w:sz="0" w:space="0" w:color="auto"/>
                    <w:bottom w:val="none" w:sz="0" w:space="0" w:color="auto"/>
                    <w:right w:val="none" w:sz="0" w:space="0" w:color="auto"/>
                  </w:divBdr>
                </w:div>
              </w:divsChild>
            </w:div>
            <w:div w:id="1346130905">
              <w:marLeft w:val="0"/>
              <w:marRight w:val="0"/>
              <w:marTop w:val="0"/>
              <w:marBottom w:val="0"/>
              <w:divBdr>
                <w:top w:val="none" w:sz="0" w:space="0" w:color="auto"/>
                <w:left w:val="none" w:sz="0" w:space="0" w:color="auto"/>
                <w:bottom w:val="none" w:sz="0" w:space="0" w:color="auto"/>
                <w:right w:val="none" w:sz="0" w:space="0" w:color="auto"/>
              </w:divBdr>
              <w:divsChild>
                <w:div w:id="1880430592">
                  <w:marLeft w:val="0"/>
                  <w:marRight w:val="0"/>
                  <w:marTop w:val="0"/>
                  <w:marBottom w:val="0"/>
                  <w:divBdr>
                    <w:top w:val="none" w:sz="0" w:space="0" w:color="auto"/>
                    <w:left w:val="none" w:sz="0" w:space="0" w:color="auto"/>
                    <w:bottom w:val="none" w:sz="0" w:space="0" w:color="auto"/>
                    <w:right w:val="none" w:sz="0" w:space="0" w:color="auto"/>
                  </w:divBdr>
                </w:div>
              </w:divsChild>
            </w:div>
            <w:div w:id="1368482939">
              <w:marLeft w:val="0"/>
              <w:marRight w:val="0"/>
              <w:marTop w:val="0"/>
              <w:marBottom w:val="0"/>
              <w:divBdr>
                <w:top w:val="none" w:sz="0" w:space="0" w:color="auto"/>
                <w:left w:val="none" w:sz="0" w:space="0" w:color="auto"/>
                <w:bottom w:val="none" w:sz="0" w:space="0" w:color="auto"/>
                <w:right w:val="none" w:sz="0" w:space="0" w:color="auto"/>
              </w:divBdr>
              <w:divsChild>
                <w:div w:id="850029781">
                  <w:marLeft w:val="0"/>
                  <w:marRight w:val="0"/>
                  <w:marTop w:val="0"/>
                  <w:marBottom w:val="0"/>
                  <w:divBdr>
                    <w:top w:val="none" w:sz="0" w:space="0" w:color="auto"/>
                    <w:left w:val="none" w:sz="0" w:space="0" w:color="auto"/>
                    <w:bottom w:val="none" w:sz="0" w:space="0" w:color="auto"/>
                    <w:right w:val="none" w:sz="0" w:space="0" w:color="auto"/>
                  </w:divBdr>
                </w:div>
              </w:divsChild>
            </w:div>
            <w:div w:id="1426923302">
              <w:marLeft w:val="0"/>
              <w:marRight w:val="0"/>
              <w:marTop w:val="0"/>
              <w:marBottom w:val="0"/>
              <w:divBdr>
                <w:top w:val="none" w:sz="0" w:space="0" w:color="auto"/>
                <w:left w:val="none" w:sz="0" w:space="0" w:color="auto"/>
                <w:bottom w:val="none" w:sz="0" w:space="0" w:color="auto"/>
                <w:right w:val="none" w:sz="0" w:space="0" w:color="auto"/>
              </w:divBdr>
              <w:divsChild>
                <w:div w:id="1106080751">
                  <w:marLeft w:val="0"/>
                  <w:marRight w:val="0"/>
                  <w:marTop w:val="0"/>
                  <w:marBottom w:val="0"/>
                  <w:divBdr>
                    <w:top w:val="none" w:sz="0" w:space="0" w:color="auto"/>
                    <w:left w:val="none" w:sz="0" w:space="0" w:color="auto"/>
                    <w:bottom w:val="none" w:sz="0" w:space="0" w:color="auto"/>
                    <w:right w:val="none" w:sz="0" w:space="0" w:color="auto"/>
                  </w:divBdr>
                </w:div>
              </w:divsChild>
            </w:div>
            <w:div w:id="1431508335">
              <w:marLeft w:val="0"/>
              <w:marRight w:val="0"/>
              <w:marTop w:val="0"/>
              <w:marBottom w:val="0"/>
              <w:divBdr>
                <w:top w:val="none" w:sz="0" w:space="0" w:color="auto"/>
                <w:left w:val="none" w:sz="0" w:space="0" w:color="auto"/>
                <w:bottom w:val="none" w:sz="0" w:space="0" w:color="auto"/>
                <w:right w:val="none" w:sz="0" w:space="0" w:color="auto"/>
              </w:divBdr>
              <w:divsChild>
                <w:div w:id="1018199598">
                  <w:marLeft w:val="0"/>
                  <w:marRight w:val="0"/>
                  <w:marTop w:val="0"/>
                  <w:marBottom w:val="0"/>
                  <w:divBdr>
                    <w:top w:val="none" w:sz="0" w:space="0" w:color="auto"/>
                    <w:left w:val="none" w:sz="0" w:space="0" w:color="auto"/>
                    <w:bottom w:val="none" w:sz="0" w:space="0" w:color="auto"/>
                    <w:right w:val="none" w:sz="0" w:space="0" w:color="auto"/>
                  </w:divBdr>
                </w:div>
              </w:divsChild>
            </w:div>
            <w:div w:id="1437015268">
              <w:marLeft w:val="0"/>
              <w:marRight w:val="0"/>
              <w:marTop w:val="0"/>
              <w:marBottom w:val="0"/>
              <w:divBdr>
                <w:top w:val="none" w:sz="0" w:space="0" w:color="auto"/>
                <w:left w:val="none" w:sz="0" w:space="0" w:color="auto"/>
                <w:bottom w:val="none" w:sz="0" w:space="0" w:color="auto"/>
                <w:right w:val="none" w:sz="0" w:space="0" w:color="auto"/>
              </w:divBdr>
              <w:divsChild>
                <w:div w:id="512230452">
                  <w:marLeft w:val="0"/>
                  <w:marRight w:val="0"/>
                  <w:marTop w:val="0"/>
                  <w:marBottom w:val="0"/>
                  <w:divBdr>
                    <w:top w:val="none" w:sz="0" w:space="0" w:color="auto"/>
                    <w:left w:val="none" w:sz="0" w:space="0" w:color="auto"/>
                    <w:bottom w:val="none" w:sz="0" w:space="0" w:color="auto"/>
                    <w:right w:val="none" w:sz="0" w:space="0" w:color="auto"/>
                  </w:divBdr>
                </w:div>
              </w:divsChild>
            </w:div>
            <w:div w:id="1439714413">
              <w:marLeft w:val="0"/>
              <w:marRight w:val="0"/>
              <w:marTop w:val="0"/>
              <w:marBottom w:val="0"/>
              <w:divBdr>
                <w:top w:val="none" w:sz="0" w:space="0" w:color="auto"/>
                <w:left w:val="none" w:sz="0" w:space="0" w:color="auto"/>
                <w:bottom w:val="none" w:sz="0" w:space="0" w:color="auto"/>
                <w:right w:val="none" w:sz="0" w:space="0" w:color="auto"/>
              </w:divBdr>
              <w:divsChild>
                <w:div w:id="156532210">
                  <w:marLeft w:val="0"/>
                  <w:marRight w:val="0"/>
                  <w:marTop w:val="0"/>
                  <w:marBottom w:val="0"/>
                  <w:divBdr>
                    <w:top w:val="none" w:sz="0" w:space="0" w:color="auto"/>
                    <w:left w:val="none" w:sz="0" w:space="0" w:color="auto"/>
                    <w:bottom w:val="none" w:sz="0" w:space="0" w:color="auto"/>
                    <w:right w:val="none" w:sz="0" w:space="0" w:color="auto"/>
                  </w:divBdr>
                </w:div>
              </w:divsChild>
            </w:div>
            <w:div w:id="1496191443">
              <w:marLeft w:val="0"/>
              <w:marRight w:val="0"/>
              <w:marTop w:val="0"/>
              <w:marBottom w:val="0"/>
              <w:divBdr>
                <w:top w:val="none" w:sz="0" w:space="0" w:color="auto"/>
                <w:left w:val="none" w:sz="0" w:space="0" w:color="auto"/>
                <w:bottom w:val="none" w:sz="0" w:space="0" w:color="auto"/>
                <w:right w:val="none" w:sz="0" w:space="0" w:color="auto"/>
              </w:divBdr>
              <w:divsChild>
                <w:div w:id="1848523879">
                  <w:marLeft w:val="0"/>
                  <w:marRight w:val="0"/>
                  <w:marTop w:val="0"/>
                  <w:marBottom w:val="0"/>
                  <w:divBdr>
                    <w:top w:val="none" w:sz="0" w:space="0" w:color="auto"/>
                    <w:left w:val="none" w:sz="0" w:space="0" w:color="auto"/>
                    <w:bottom w:val="none" w:sz="0" w:space="0" w:color="auto"/>
                    <w:right w:val="none" w:sz="0" w:space="0" w:color="auto"/>
                  </w:divBdr>
                </w:div>
              </w:divsChild>
            </w:div>
            <w:div w:id="1542206940">
              <w:marLeft w:val="0"/>
              <w:marRight w:val="0"/>
              <w:marTop w:val="0"/>
              <w:marBottom w:val="0"/>
              <w:divBdr>
                <w:top w:val="none" w:sz="0" w:space="0" w:color="auto"/>
                <w:left w:val="none" w:sz="0" w:space="0" w:color="auto"/>
                <w:bottom w:val="none" w:sz="0" w:space="0" w:color="auto"/>
                <w:right w:val="none" w:sz="0" w:space="0" w:color="auto"/>
              </w:divBdr>
              <w:divsChild>
                <w:div w:id="1691027202">
                  <w:marLeft w:val="0"/>
                  <w:marRight w:val="0"/>
                  <w:marTop w:val="0"/>
                  <w:marBottom w:val="0"/>
                  <w:divBdr>
                    <w:top w:val="none" w:sz="0" w:space="0" w:color="auto"/>
                    <w:left w:val="none" w:sz="0" w:space="0" w:color="auto"/>
                    <w:bottom w:val="none" w:sz="0" w:space="0" w:color="auto"/>
                    <w:right w:val="none" w:sz="0" w:space="0" w:color="auto"/>
                  </w:divBdr>
                </w:div>
              </w:divsChild>
            </w:div>
            <w:div w:id="1880242255">
              <w:marLeft w:val="0"/>
              <w:marRight w:val="0"/>
              <w:marTop w:val="0"/>
              <w:marBottom w:val="0"/>
              <w:divBdr>
                <w:top w:val="none" w:sz="0" w:space="0" w:color="auto"/>
                <w:left w:val="none" w:sz="0" w:space="0" w:color="auto"/>
                <w:bottom w:val="none" w:sz="0" w:space="0" w:color="auto"/>
                <w:right w:val="none" w:sz="0" w:space="0" w:color="auto"/>
              </w:divBdr>
              <w:divsChild>
                <w:div w:id="1304889584">
                  <w:marLeft w:val="0"/>
                  <w:marRight w:val="0"/>
                  <w:marTop w:val="0"/>
                  <w:marBottom w:val="0"/>
                  <w:divBdr>
                    <w:top w:val="none" w:sz="0" w:space="0" w:color="auto"/>
                    <w:left w:val="none" w:sz="0" w:space="0" w:color="auto"/>
                    <w:bottom w:val="none" w:sz="0" w:space="0" w:color="auto"/>
                    <w:right w:val="none" w:sz="0" w:space="0" w:color="auto"/>
                  </w:divBdr>
                </w:div>
              </w:divsChild>
            </w:div>
            <w:div w:id="1907570516">
              <w:marLeft w:val="0"/>
              <w:marRight w:val="0"/>
              <w:marTop w:val="0"/>
              <w:marBottom w:val="0"/>
              <w:divBdr>
                <w:top w:val="none" w:sz="0" w:space="0" w:color="auto"/>
                <w:left w:val="none" w:sz="0" w:space="0" w:color="auto"/>
                <w:bottom w:val="none" w:sz="0" w:space="0" w:color="auto"/>
                <w:right w:val="none" w:sz="0" w:space="0" w:color="auto"/>
              </w:divBdr>
              <w:divsChild>
                <w:div w:id="1689983201">
                  <w:marLeft w:val="0"/>
                  <w:marRight w:val="0"/>
                  <w:marTop w:val="0"/>
                  <w:marBottom w:val="0"/>
                  <w:divBdr>
                    <w:top w:val="none" w:sz="0" w:space="0" w:color="auto"/>
                    <w:left w:val="none" w:sz="0" w:space="0" w:color="auto"/>
                    <w:bottom w:val="none" w:sz="0" w:space="0" w:color="auto"/>
                    <w:right w:val="none" w:sz="0" w:space="0" w:color="auto"/>
                  </w:divBdr>
                </w:div>
              </w:divsChild>
            </w:div>
            <w:div w:id="1918782529">
              <w:marLeft w:val="0"/>
              <w:marRight w:val="0"/>
              <w:marTop w:val="0"/>
              <w:marBottom w:val="0"/>
              <w:divBdr>
                <w:top w:val="none" w:sz="0" w:space="0" w:color="auto"/>
                <w:left w:val="none" w:sz="0" w:space="0" w:color="auto"/>
                <w:bottom w:val="none" w:sz="0" w:space="0" w:color="auto"/>
                <w:right w:val="none" w:sz="0" w:space="0" w:color="auto"/>
              </w:divBdr>
              <w:divsChild>
                <w:div w:id="1099720427">
                  <w:marLeft w:val="0"/>
                  <w:marRight w:val="0"/>
                  <w:marTop w:val="0"/>
                  <w:marBottom w:val="0"/>
                  <w:divBdr>
                    <w:top w:val="none" w:sz="0" w:space="0" w:color="auto"/>
                    <w:left w:val="none" w:sz="0" w:space="0" w:color="auto"/>
                    <w:bottom w:val="none" w:sz="0" w:space="0" w:color="auto"/>
                    <w:right w:val="none" w:sz="0" w:space="0" w:color="auto"/>
                  </w:divBdr>
                </w:div>
              </w:divsChild>
            </w:div>
            <w:div w:id="1944919894">
              <w:marLeft w:val="0"/>
              <w:marRight w:val="0"/>
              <w:marTop w:val="0"/>
              <w:marBottom w:val="0"/>
              <w:divBdr>
                <w:top w:val="none" w:sz="0" w:space="0" w:color="auto"/>
                <w:left w:val="none" w:sz="0" w:space="0" w:color="auto"/>
                <w:bottom w:val="none" w:sz="0" w:space="0" w:color="auto"/>
                <w:right w:val="none" w:sz="0" w:space="0" w:color="auto"/>
              </w:divBdr>
              <w:divsChild>
                <w:div w:id="8580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98663">
      <w:bodyDiv w:val="1"/>
      <w:marLeft w:val="0"/>
      <w:marRight w:val="0"/>
      <w:marTop w:val="0"/>
      <w:marBottom w:val="0"/>
      <w:divBdr>
        <w:top w:val="none" w:sz="0" w:space="0" w:color="auto"/>
        <w:left w:val="none" w:sz="0" w:space="0" w:color="auto"/>
        <w:bottom w:val="none" w:sz="0" w:space="0" w:color="auto"/>
        <w:right w:val="none" w:sz="0" w:space="0" w:color="auto"/>
      </w:divBdr>
    </w:div>
    <w:div w:id="354961977">
      <w:bodyDiv w:val="1"/>
      <w:marLeft w:val="0"/>
      <w:marRight w:val="0"/>
      <w:marTop w:val="0"/>
      <w:marBottom w:val="0"/>
      <w:divBdr>
        <w:top w:val="none" w:sz="0" w:space="0" w:color="auto"/>
        <w:left w:val="none" w:sz="0" w:space="0" w:color="auto"/>
        <w:bottom w:val="none" w:sz="0" w:space="0" w:color="auto"/>
        <w:right w:val="none" w:sz="0" w:space="0" w:color="auto"/>
      </w:divBdr>
      <w:divsChild>
        <w:div w:id="595527177">
          <w:marLeft w:val="0"/>
          <w:marRight w:val="0"/>
          <w:marTop w:val="0"/>
          <w:marBottom w:val="0"/>
          <w:divBdr>
            <w:top w:val="none" w:sz="0" w:space="0" w:color="auto"/>
            <w:left w:val="none" w:sz="0" w:space="0" w:color="auto"/>
            <w:bottom w:val="none" w:sz="0" w:space="0" w:color="auto"/>
            <w:right w:val="none" w:sz="0" w:space="0" w:color="auto"/>
          </w:divBdr>
          <w:divsChild>
            <w:div w:id="67194803">
              <w:marLeft w:val="0"/>
              <w:marRight w:val="0"/>
              <w:marTop w:val="0"/>
              <w:marBottom w:val="0"/>
              <w:divBdr>
                <w:top w:val="none" w:sz="0" w:space="0" w:color="auto"/>
                <w:left w:val="none" w:sz="0" w:space="0" w:color="auto"/>
                <w:bottom w:val="none" w:sz="0" w:space="0" w:color="auto"/>
                <w:right w:val="none" w:sz="0" w:space="0" w:color="auto"/>
              </w:divBdr>
              <w:divsChild>
                <w:div w:id="1435588447">
                  <w:marLeft w:val="0"/>
                  <w:marRight w:val="0"/>
                  <w:marTop w:val="0"/>
                  <w:marBottom w:val="0"/>
                  <w:divBdr>
                    <w:top w:val="none" w:sz="0" w:space="0" w:color="auto"/>
                    <w:left w:val="none" w:sz="0" w:space="0" w:color="auto"/>
                    <w:bottom w:val="none" w:sz="0" w:space="0" w:color="auto"/>
                    <w:right w:val="none" w:sz="0" w:space="0" w:color="auto"/>
                  </w:divBdr>
                </w:div>
              </w:divsChild>
            </w:div>
            <w:div w:id="80228220">
              <w:marLeft w:val="0"/>
              <w:marRight w:val="0"/>
              <w:marTop w:val="0"/>
              <w:marBottom w:val="0"/>
              <w:divBdr>
                <w:top w:val="none" w:sz="0" w:space="0" w:color="auto"/>
                <w:left w:val="none" w:sz="0" w:space="0" w:color="auto"/>
                <w:bottom w:val="none" w:sz="0" w:space="0" w:color="auto"/>
                <w:right w:val="none" w:sz="0" w:space="0" w:color="auto"/>
              </w:divBdr>
              <w:divsChild>
                <w:div w:id="1428236758">
                  <w:marLeft w:val="0"/>
                  <w:marRight w:val="0"/>
                  <w:marTop w:val="0"/>
                  <w:marBottom w:val="0"/>
                  <w:divBdr>
                    <w:top w:val="none" w:sz="0" w:space="0" w:color="auto"/>
                    <w:left w:val="none" w:sz="0" w:space="0" w:color="auto"/>
                    <w:bottom w:val="none" w:sz="0" w:space="0" w:color="auto"/>
                    <w:right w:val="none" w:sz="0" w:space="0" w:color="auto"/>
                  </w:divBdr>
                </w:div>
              </w:divsChild>
            </w:div>
            <w:div w:id="170683974">
              <w:marLeft w:val="0"/>
              <w:marRight w:val="0"/>
              <w:marTop w:val="0"/>
              <w:marBottom w:val="0"/>
              <w:divBdr>
                <w:top w:val="none" w:sz="0" w:space="0" w:color="auto"/>
                <w:left w:val="none" w:sz="0" w:space="0" w:color="auto"/>
                <w:bottom w:val="none" w:sz="0" w:space="0" w:color="auto"/>
                <w:right w:val="none" w:sz="0" w:space="0" w:color="auto"/>
              </w:divBdr>
              <w:divsChild>
                <w:div w:id="673262595">
                  <w:marLeft w:val="0"/>
                  <w:marRight w:val="0"/>
                  <w:marTop w:val="0"/>
                  <w:marBottom w:val="0"/>
                  <w:divBdr>
                    <w:top w:val="none" w:sz="0" w:space="0" w:color="auto"/>
                    <w:left w:val="none" w:sz="0" w:space="0" w:color="auto"/>
                    <w:bottom w:val="none" w:sz="0" w:space="0" w:color="auto"/>
                    <w:right w:val="none" w:sz="0" w:space="0" w:color="auto"/>
                  </w:divBdr>
                </w:div>
              </w:divsChild>
            </w:div>
            <w:div w:id="315306882">
              <w:marLeft w:val="0"/>
              <w:marRight w:val="0"/>
              <w:marTop w:val="0"/>
              <w:marBottom w:val="0"/>
              <w:divBdr>
                <w:top w:val="none" w:sz="0" w:space="0" w:color="auto"/>
                <w:left w:val="none" w:sz="0" w:space="0" w:color="auto"/>
                <w:bottom w:val="none" w:sz="0" w:space="0" w:color="auto"/>
                <w:right w:val="none" w:sz="0" w:space="0" w:color="auto"/>
              </w:divBdr>
              <w:divsChild>
                <w:div w:id="556821685">
                  <w:marLeft w:val="0"/>
                  <w:marRight w:val="0"/>
                  <w:marTop w:val="0"/>
                  <w:marBottom w:val="0"/>
                  <w:divBdr>
                    <w:top w:val="none" w:sz="0" w:space="0" w:color="auto"/>
                    <w:left w:val="none" w:sz="0" w:space="0" w:color="auto"/>
                    <w:bottom w:val="none" w:sz="0" w:space="0" w:color="auto"/>
                    <w:right w:val="none" w:sz="0" w:space="0" w:color="auto"/>
                  </w:divBdr>
                </w:div>
              </w:divsChild>
            </w:div>
            <w:div w:id="334847437">
              <w:marLeft w:val="0"/>
              <w:marRight w:val="0"/>
              <w:marTop w:val="0"/>
              <w:marBottom w:val="0"/>
              <w:divBdr>
                <w:top w:val="none" w:sz="0" w:space="0" w:color="auto"/>
                <w:left w:val="none" w:sz="0" w:space="0" w:color="auto"/>
                <w:bottom w:val="none" w:sz="0" w:space="0" w:color="auto"/>
                <w:right w:val="none" w:sz="0" w:space="0" w:color="auto"/>
              </w:divBdr>
              <w:divsChild>
                <w:div w:id="568224085">
                  <w:marLeft w:val="0"/>
                  <w:marRight w:val="0"/>
                  <w:marTop w:val="0"/>
                  <w:marBottom w:val="0"/>
                  <w:divBdr>
                    <w:top w:val="none" w:sz="0" w:space="0" w:color="auto"/>
                    <w:left w:val="none" w:sz="0" w:space="0" w:color="auto"/>
                    <w:bottom w:val="none" w:sz="0" w:space="0" w:color="auto"/>
                    <w:right w:val="none" w:sz="0" w:space="0" w:color="auto"/>
                  </w:divBdr>
                </w:div>
              </w:divsChild>
            </w:div>
            <w:div w:id="484857325">
              <w:marLeft w:val="0"/>
              <w:marRight w:val="0"/>
              <w:marTop w:val="0"/>
              <w:marBottom w:val="0"/>
              <w:divBdr>
                <w:top w:val="none" w:sz="0" w:space="0" w:color="auto"/>
                <w:left w:val="none" w:sz="0" w:space="0" w:color="auto"/>
                <w:bottom w:val="none" w:sz="0" w:space="0" w:color="auto"/>
                <w:right w:val="none" w:sz="0" w:space="0" w:color="auto"/>
              </w:divBdr>
              <w:divsChild>
                <w:div w:id="1128012129">
                  <w:marLeft w:val="0"/>
                  <w:marRight w:val="0"/>
                  <w:marTop w:val="0"/>
                  <w:marBottom w:val="0"/>
                  <w:divBdr>
                    <w:top w:val="none" w:sz="0" w:space="0" w:color="auto"/>
                    <w:left w:val="none" w:sz="0" w:space="0" w:color="auto"/>
                    <w:bottom w:val="none" w:sz="0" w:space="0" w:color="auto"/>
                    <w:right w:val="none" w:sz="0" w:space="0" w:color="auto"/>
                  </w:divBdr>
                </w:div>
              </w:divsChild>
            </w:div>
            <w:div w:id="486745025">
              <w:marLeft w:val="0"/>
              <w:marRight w:val="0"/>
              <w:marTop w:val="0"/>
              <w:marBottom w:val="0"/>
              <w:divBdr>
                <w:top w:val="none" w:sz="0" w:space="0" w:color="auto"/>
                <w:left w:val="none" w:sz="0" w:space="0" w:color="auto"/>
                <w:bottom w:val="none" w:sz="0" w:space="0" w:color="auto"/>
                <w:right w:val="none" w:sz="0" w:space="0" w:color="auto"/>
              </w:divBdr>
              <w:divsChild>
                <w:div w:id="1456212146">
                  <w:marLeft w:val="0"/>
                  <w:marRight w:val="0"/>
                  <w:marTop w:val="0"/>
                  <w:marBottom w:val="0"/>
                  <w:divBdr>
                    <w:top w:val="none" w:sz="0" w:space="0" w:color="auto"/>
                    <w:left w:val="none" w:sz="0" w:space="0" w:color="auto"/>
                    <w:bottom w:val="none" w:sz="0" w:space="0" w:color="auto"/>
                    <w:right w:val="none" w:sz="0" w:space="0" w:color="auto"/>
                  </w:divBdr>
                </w:div>
              </w:divsChild>
            </w:div>
            <w:div w:id="500436208">
              <w:marLeft w:val="0"/>
              <w:marRight w:val="0"/>
              <w:marTop w:val="0"/>
              <w:marBottom w:val="0"/>
              <w:divBdr>
                <w:top w:val="none" w:sz="0" w:space="0" w:color="auto"/>
                <w:left w:val="none" w:sz="0" w:space="0" w:color="auto"/>
                <w:bottom w:val="none" w:sz="0" w:space="0" w:color="auto"/>
                <w:right w:val="none" w:sz="0" w:space="0" w:color="auto"/>
              </w:divBdr>
              <w:divsChild>
                <w:div w:id="1218010076">
                  <w:marLeft w:val="0"/>
                  <w:marRight w:val="0"/>
                  <w:marTop w:val="0"/>
                  <w:marBottom w:val="0"/>
                  <w:divBdr>
                    <w:top w:val="none" w:sz="0" w:space="0" w:color="auto"/>
                    <w:left w:val="none" w:sz="0" w:space="0" w:color="auto"/>
                    <w:bottom w:val="none" w:sz="0" w:space="0" w:color="auto"/>
                    <w:right w:val="none" w:sz="0" w:space="0" w:color="auto"/>
                  </w:divBdr>
                </w:div>
              </w:divsChild>
            </w:div>
            <w:div w:id="515311854">
              <w:marLeft w:val="0"/>
              <w:marRight w:val="0"/>
              <w:marTop w:val="0"/>
              <w:marBottom w:val="0"/>
              <w:divBdr>
                <w:top w:val="none" w:sz="0" w:space="0" w:color="auto"/>
                <w:left w:val="none" w:sz="0" w:space="0" w:color="auto"/>
                <w:bottom w:val="none" w:sz="0" w:space="0" w:color="auto"/>
                <w:right w:val="none" w:sz="0" w:space="0" w:color="auto"/>
              </w:divBdr>
              <w:divsChild>
                <w:div w:id="2093745366">
                  <w:marLeft w:val="0"/>
                  <w:marRight w:val="0"/>
                  <w:marTop w:val="0"/>
                  <w:marBottom w:val="0"/>
                  <w:divBdr>
                    <w:top w:val="none" w:sz="0" w:space="0" w:color="auto"/>
                    <w:left w:val="none" w:sz="0" w:space="0" w:color="auto"/>
                    <w:bottom w:val="none" w:sz="0" w:space="0" w:color="auto"/>
                    <w:right w:val="none" w:sz="0" w:space="0" w:color="auto"/>
                  </w:divBdr>
                </w:div>
              </w:divsChild>
            </w:div>
            <w:div w:id="557596837">
              <w:marLeft w:val="0"/>
              <w:marRight w:val="0"/>
              <w:marTop w:val="0"/>
              <w:marBottom w:val="0"/>
              <w:divBdr>
                <w:top w:val="none" w:sz="0" w:space="0" w:color="auto"/>
                <w:left w:val="none" w:sz="0" w:space="0" w:color="auto"/>
                <w:bottom w:val="none" w:sz="0" w:space="0" w:color="auto"/>
                <w:right w:val="none" w:sz="0" w:space="0" w:color="auto"/>
              </w:divBdr>
              <w:divsChild>
                <w:div w:id="523906072">
                  <w:marLeft w:val="0"/>
                  <w:marRight w:val="0"/>
                  <w:marTop w:val="0"/>
                  <w:marBottom w:val="0"/>
                  <w:divBdr>
                    <w:top w:val="none" w:sz="0" w:space="0" w:color="auto"/>
                    <w:left w:val="none" w:sz="0" w:space="0" w:color="auto"/>
                    <w:bottom w:val="none" w:sz="0" w:space="0" w:color="auto"/>
                    <w:right w:val="none" w:sz="0" w:space="0" w:color="auto"/>
                  </w:divBdr>
                </w:div>
              </w:divsChild>
            </w:div>
            <w:div w:id="696123433">
              <w:marLeft w:val="0"/>
              <w:marRight w:val="0"/>
              <w:marTop w:val="0"/>
              <w:marBottom w:val="0"/>
              <w:divBdr>
                <w:top w:val="none" w:sz="0" w:space="0" w:color="auto"/>
                <w:left w:val="none" w:sz="0" w:space="0" w:color="auto"/>
                <w:bottom w:val="none" w:sz="0" w:space="0" w:color="auto"/>
                <w:right w:val="none" w:sz="0" w:space="0" w:color="auto"/>
              </w:divBdr>
              <w:divsChild>
                <w:div w:id="479738071">
                  <w:marLeft w:val="0"/>
                  <w:marRight w:val="0"/>
                  <w:marTop w:val="0"/>
                  <w:marBottom w:val="0"/>
                  <w:divBdr>
                    <w:top w:val="none" w:sz="0" w:space="0" w:color="auto"/>
                    <w:left w:val="none" w:sz="0" w:space="0" w:color="auto"/>
                    <w:bottom w:val="none" w:sz="0" w:space="0" w:color="auto"/>
                    <w:right w:val="none" w:sz="0" w:space="0" w:color="auto"/>
                  </w:divBdr>
                </w:div>
              </w:divsChild>
            </w:div>
            <w:div w:id="849562489">
              <w:marLeft w:val="0"/>
              <w:marRight w:val="0"/>
              <w:marTop w:val="0"/>
              <w:marBottom w:val="0"/>
              <w:divBdr>
                <w:top w:val="none" w:sz="0" w:space="0" w:color="auto"/>
                <w:left w:val="none" w:sz="0" w:space="0" w:color="auto"/>
                <w:bottom w:val="none" w:sz="0" w:space="0" w:color="auto"/>
                <w:right w:val="none" w:sz="0" w:space="0" w:color="auto"/>
              </w:divBdr>
              <w:divsChild>
                <w:div w:id="592593078">
                  <w:marLeft w:val="0"/>
                  <w:marRight w:val="0"/>
                  <w:marTop w:val="0"/>
                  <w:marBottom w:val="0"/>
                  <w:divBdr>
                    <w:top w:val="none" w:sz="0" w:space="0" w:color="auto"/>
                    <w:left w:val="none" w:sz="0" w:space="0" w:color="auto"/>
                    <w:bottom w:val="none" w:sz="0" w:space="0" w:color="auto"/>
                    <w:right w:val="none" w:sz="0" w:space="0" w:color="auto"/>
                  </w:divBdr>
                </w:div>
              </w:divsChild>
            </w:div>
            <w:div w:id="935554467">
              <w:marLeft w:val="0"/>
              <w:marRight w:val="0"/>
              <w:marTop w:val="0"/>
              <w:marBottom w:val="0"/>
              <w:divBdr>
                <w:top w:val="none" w:sz="0" w:space="0" w:color="auto"/>
                <w:left w:val="none" w:sz="0" w:space="0" w:color="auto"/>
                <w:bottom w:val="none" w:sz="0" w:space="0" w:color="auto"/>
                <w:right w:val="none" w:sz="0" w:space="0" w:color="auto"/>
              </w:divBdr>
              <w:divsChild>
                <w:div w:id="512840464">
                  <w:marLeft w:val="0"/>
                  <w:marRight w:val="0"/>
                  <w:marTop w:val="0"/>
                  <w:marBottom w:val="0"/>
                  <w:divBdr>
                    <w:top w:val="none" w:sz="0" w:space="0" w:color="auto"/>
                    <w:left w:val="none" w:sz="0" w:space="0" w:color="auto"/>
                    <w:bottom w:val="none" w:sz="0" w:space="0" w:color="auto"/>
                    <w:right w:val="none" w:sz="0" w:space="0" w:color="auto"/>
                  </w:divBdr>
                </w:div>
              </w:divsChild>
            </w:div>
            <w:div w:id="1200433611">
              <w:marLeft w:val="0"/>
              <w:marRight w:val="0"/>
              <w:marTop w:val="0"/>
              <w:marBottom w:val="0"/>
              <w:divBdr>
                <w:top w:val="none" w:sz="0" w:space="0" w:color="auto"/>
                <w:left w:val="none" w:sz="0" w:space="0" w:color="auto"/>
                <w:bottom w:val="none" w:sz="0" w:space="0" w:color="auto"/>
                <w:right w:val="none" w:sz="0" w:space="0" w:color="auto"/>
              </w:divBdr>
              <w:divsChild>
                <w:div w:id="803893531">
                  <w:marLeft w:val="0"/>
                  <w:marRight w:val="0"/>
                  <w:marTop w:val="0"/>
                  <w:marBottom w:val="0"/>
                  <w:divBdr>
                    <w:top w:val="none" w:sz="0" w:space="0" w:color="auto"/>
                    <w:left w:val="none" w:sz="0" w:space="0" w:color="auto"/>
                    <w:bottom w:val="none" w:sz="0" w:space="0" w:color="auto"/>
                    <w:right w:val="none" w:sz="0" w:space="0" w:color="auto"/>
                  </w:divBdr>
                </w:div>
              </w:divsChild>
            </w:div>
            <w:div w:id="1237937538">
              <w:marLeft w:val="0"/>
              <w:marRight w:val="0"/>
              <w:marTop w:val="0"/>
              <w:marBottom w:val="0"/>
              <w:divBdr>
                <w:top w:val="none" w:sz="0" w:space="0" w:color="auto"/>
                <w:left w:val="none" w:sz="0" w:space="0" w:color="auto"/>
                <w:bottom w:val="none" w:sz="0" w:space="0" w:color="auto"/>
                <w:right w:val="none" w:sz="0" w:space="0" w:color="auto"/>
              </w:divBdr>
              <w:divsChild>
                <w:div w:id="1788313491">
                  <w:marLeft w:val="0"/>
                  <w:marRight w:val="0"/>
                  <w:marTop w:val="0"/>
                  <w:marBottom w:val="0"/>
                  <w:divBdr>
                    <w:top w:val="none" w:sz="0" w:space="0" w:color="auto"/>
                    <w:left w:val="none" w:sz="0" w:space="0" w:color="auto"/>
                    <w:bottom w:val="none" w:sz="0" w:space="0" w:color="auto"/>
                    <w:right w:val="none" w:sz="0" w:space="0" w:color="auto"/>
                  </w:divBdr>
                </w:div>
              </w:divsChild>
            </w:div>
            <w:div w:id="1316641919">
              <w:marLeft w:val="0"/>
              <w:marRight w:val="0"/>
              <w:marTop w:val="0"/>
              <w:marBottom w:val="0"/>
              <w:divBdr>
                <w:top w:val="none" w:sz="0" w:space="0" w:color="auto"/>
                <w:left w:val="none" w:sz="0" w:space="0" w:color="auto"/>
                <w:bottom w:val="none" w:sz="0" w:space="0" w:color="auto"/>
                <w:right w:val="none" w:sz="0" w:space="0" w:color="auto"/>
              </w:divBdr>
              <w:divsChild>
                <w:div w:id="867765551">
                  <w:marLeft w:val="0"/>
                  <w:marRight w:val="0"/>
                  <w:marTop w:val="0"/>
                  <w:marBottom w:val="0"/>
                  <w:divBdr>
                    <w:top w:val="none" w:sz="0" w:space="0" w:color="auto"/>
                    <w:left w:val="none" w:sz="0" w:space="0" w:color="auto"/>
                    <w:bottom w:val="none" w:sz="0" w:space="0" w:color="auto"/>
                    <w:right w:val="none" w:sz="0" w:space="0" w:color="auto"/>
                  </w:divBdr>
                </w:div>
              </w:divsChild>
            </w:div>
            <w:div w:id="1455976025">
              <w:marLeft w:val="0"/>
              <w:marRight w:val="0"/>
              <w:marTop w:val="0"/>
              <w:marBottom w:val="0"/>
              <w:divBdr>
                <w:top w:val="none" w:sz="0" w:space="0" w:color="auto"/>
                <w:left w:val="none" w:sz="0" w:space="0" w:color="auto"/>
                <w:bottom w:val="none" w:sz="0" w:space="0" w:color="auto"/>
                <w:right w:val="none" w:sz="0" w:space="0" w:color="auto"/>
              </w:divBdr>
              <w:divsChild>
                <w:div w:id="1782456601">
                  <w:marLeft w:val="0"/>
                  <w:marRight w:val="0"/>
                  <w:marTop w:val="0"/>
                  <w:marBottom w:val="0"/>
                  <w:divBdr>
                    <w:top w:val="none" w:sz="0" w:space="0" w:color="auto"/>
                    <w:left w:val="none" w:sz="0" w:space="0" w:color="auto"/>
                    <w:bottom w:val="none" w:sz="0" w:space="0" w:color="auto"/>
                    <w:right w:val="none" w:sz="0" w:space="0" w:color="auto"/>
                  </w:divBdr>
                </w:div>
              </w:divsChild>
            </w:div>
            <w:div w:id="1476141174">
              <w:marLeft w:val="0"/>
              <w:marRight w:val="0"/>
              <w:marTop w:val="0"/>
              <w:marBottom w:val="0"/>
              <w:divBdr>
                <w:top w:val="none" w:sz="0" w:space="0" w:color="auto"/>
                <w:left w:val="none" w:sz="0" w:space="0" w:color="auto"/>
                <w:bottom w:val="none" w:sz="0" w:space="0" w:color="auto"/>
                <w:right w:val="none" w:sz="0" w:space="0" w:color="auto"/>
              </w:divBdr>
              <w:divsChild>
                <w:div w:id="198401353">
                  <w:marLeft w:val="0"/>
                  <w:marRight w:val="0"/>
                  <w:marTop w:val="0"/>
                  <w:marBottom w:val="0"/>
                  <w:divBdr>
                    <w:top w:val="none" w:sz="0" w:space="0" w:color="auto"/>
                    <w:left w:val="none" w:sz="0" w:space="0" w:color="auto"/>
                    <w:bottom w:val="none" w:sz="0" w:space="0" w:color="auto"/>
                    <w:right w:val="none" w:sz="0" w:space="0" w:color="auto"/>
                  </w:divBdr>
                </w:div>
              </w:divsChild>
            </w:div>
            <w:div w:id="1548443740">
              <w:marLeft w:val="0"/>
              <w:marRight w:val="0"/>
              <w:marTop w:val="0"/>
              <w:marBottom w:val="0"/>
              <w:divBdr>
                <w:top w:val="none" w:sz="0" w:space="0" w:color="auto"/>
                <w:left w:val="none" w:sz="0" w:space="0" w:color="auto"/>
                <w:bottom w:val="none" w:sz="0" w:space="0" w:color="auto"/>
                <w:right w:val="none" w:sz="0" w:space="0" w:color="auto"/>
              </w:divBdr>
              <w:divsChild>
                <w:div w:id="1678968531">
                  <w:marLeft w:val="0"/>
                  <w:marRight w:val="0"/>
                  <w:marTop w:val="0"/>
                  <w:marBottom w:val="0"/>
                  <w:divBdr>
                    <w:top w:val="none" w:sz="0" w:space="0" w:color="auto"/>
                    <w:left w:val="none" w:sz="0" w:space="0" w:color="auto"/>
                    <w:bottom w:val="none" w:sz="0" w:space="0" w:color="auto"/>
                    <w:right w:val="none" w:sz="0" w:space="0" w:color="auto"/>
                  </w:divBdr>
                </w:div>
              </w:divsChild>
            </w:div>
            <w:div w:id="1610698932">
              <w:marLeft w:val="0"/>
              <w:marRight w:val="0"/>
              <w:marTop w:val="0"/>
              <w:marBottom w:val="0"/>
              <w:divBdr>
                <w:top w:val="none" w:sz="0" w:space="0" w:color="auto"/>
                <w:left w:val="none" w:sz="0" w:space="0" w:color="auto"/>
                <w:bottom w:val="none" w:sz="0" w:space="0" w:color="auto"/>
                <w:right w:val="none" w:sz="0" w:space="0" w:color="auto"/>
              </w:divBdr>
              <w:divsChild>
                <w:div w:id="2130735912">
                  <w:marLeft w:val="0"/>
                  <w:marRight w:val="0"/>
                  <w:marTop w:val="0"/>
                  <w:marBottom w:val="0"/>
                  <w:divBdr>
                    <w:top w:val="none" w:sz="0" w:space="0" w:color="auto"/>
                    <w:left w:val="none" w:sz="0" w:space="0" w:color="auto"/>
                    <w:bottom w:val="none" w:sz="0" w:space="0" w:color="auto"/>
                    <w:right w:val="none" w:sz="0" w:space="0" w:color="auto"/>
                  </w:divBdr>
                </w:div>
              </w:divsChild>
            </w:div>
            <w:div w:id="1622758676">
              <w:marLeft w:val="0"/>
              <w:marRight w:val="0"/>
              <w:marTop w:val="0"/>
              <w:marBottom w:val="0"/>
              <w:divBdr>
                <w:top w:val="none" w:sz="0" w:space="0" w:color="auto"/>
                <w:left w:val="none" w:sz="0" w:space="0" w:color="auto"/>
                <w:bottom w:val="none" w:sz="0" w:space="0" w:color="auto"/>
                <w:right w:val="none" w:sz="0" w:space="0" w:color="auto"/>
              </w:divBdr>
              <w:divsChild>
                <w:div w:id="507252689">
                  <w:marLeft w:val="0"/>
                  <w:marRight w:val="0"/>
                  <w:marTop w:val="0"/>
                  <w:marBottom w:val="0"/>
                  <w:divBdr>
                    <w:top w:val="none" w:sz="0" w:space="0" w:color="auto"/>
                    <w:left w:val="none" w:sz="0" w:space="0" w:color="auto"/>
                    <w:bottom w:val="none" w:sz="0" w:space="0" w:color="auto"/>
                    <w:right w:val="none" w:sz="0" w:space="0" w:color="auto"/>
                  </w:divBdr>
                </w:div>
              </w:divsChild>
            </w:div>
            <w:div w:id="1790009227">
              <w:marLeft w:val="0"/>
              <w:marRight w:val="0"/>
              <w:marTop w:val="0"/>
              <w:marBottom w:val="0"/>
              <w:divBdr>
                <w:top w:val="none" w:sz="0" w:space="0" w:color="auto"/>
                <w:left w:val="none" w:sz="0" w:space="0" w:color="auto"/>
                <w:bottom w:val="none" w:sz="0" w:space="0" w:color="auto"/>
                <w:right w:val="none" w:sz="0" w:space="0" w:color="auto"/>
              </w:divBdr>
              <w:divsChild>
                <w:div w:id="631709751">
                  <w:marLeft w:val="0"/>
                  <w:marRight w:val="0"/>
                  <w:marTop w:val="0"/>
                  <w:marBottom w:val="0"/>
                  <w:divBdr>
                    <w:top w:val="none" w:sz="0" w:space="0" w:color="auto"/>
                    <w:left w:val="none" w:sz="0" w:space="0" w:color="auto"/>
                    <w:bottom w:val="none" w:sz="0" w:space="0" w:color="auto"/>
                    <w:right w:val="none" w:sz="0" w:space="0" w:color="auto"/>
                  </w:divBdr>
                </w:div>
              </w:divsChild>
            </w:div>
            <w:div w:id="1840997664">
              <w:marLeft w:val="0"/>
              <w:marRight w:val="0"/>
              <w:marTop w:val="0"/>
              <w:marBottom w:val="0"/>
              <w:divBdr>
                <w:top w:val="none" w:sz="0" w:space="0" w:color="auto"/>
                <w:left w:val="none" w:sz="0" w:space="0" w:color="auto"/>
                <w:bottom w:val="none" w:sz="0" w:space="0" w:color="auto"/>
                <w:right w:val="none" w:sz="0" w:space="0" w:color="auto"/>
              </w:divBdr>
              <w:divsChild>
                <w:div w:id="877083044">
                  <w:marLeft w:val="0"/>
                  <w:marRight w:val="0"/>
                  <w:marTop w:val="0"/>
                  <w:marBottom w:val="0"/>
                  <w:divBdr>
                    <w:top w:val="none" w:sz="0" w:space="0" w:color="auto"/>
                    <w:left w:val="none" w:sz="0" w:space="0" w:color="auto"/>
                    <w:bottom w:val="none" w:sz="0" w:space="0" w:color="auto"/>
                    <w:right w:val="none" w:sz="0" w:space="0" w:color="auto"/>
                  </w:divBdr>
                </w:div>
              </w:divsChild>
            </w:div>
            <w:div w:id="1976328474">
              <w:marLeft w:val="0"/>
              <w:marRight w:val="0"/>
              <w:marTop w:val="0"/>
              <w:marBottom w:val="0"/>
              <w:divBdr>
                <w:top w:val="none" w:sz="0" w:space="0" w:color="auto"/>
                <w:left w:val="none" w:sz="0" w:space="0" w:color="auto"/>
                <w:bottom w:val="none" w:sz="0" w:space="0" w:color="auto"/>
                <w:right w:val="none" w:sz="0" w:space="0" w:color="auto"/>
              </w:divBdr>
              <w:divsChild>
                <w:div w:id="2050060012">
                  <w:marLeft w:val="0"/>
                  <w:marRight w:val="0"/>
                  <w:marTop w:val="0"/>
                  <w:marBottom w:val="0"/>
                  <w:divBdr>
                    <w:top w:val="none" w:sz="0" w:space="0" w:color="auto"/>
                    <w:left w:val="none" w:sz="0" w:space="0" w:color="auto"/>
                    <w:bottom w:val="none" w:sz="0" w:space="0" w:color="auto"/>
                    <w:right w:val="none" w:sz="0" w:space="0" w:color="auto"/>
                  </w:divBdr>
                </w:div>
              </w:divsChild>
            </w:div>
            <w:div w:id="1985498902">
              <w:marLeft w:val="0"/>
              <w:marRight w:val="0"/>
              <w:marTop w:val="0"/>
              <w:marBottom w:val="0"/>
              <w:divBdr>
                <w:top w:val="none" w:sz="0" w:space="0" w:color="auto"/>
                <w:left w:val="none" w:sz="0" w:space="0" w:color="auto"/>
                <w:bottom w:val="none" w:sz="0" w:space="0" w:color="auto"/>
                <w:right w:val="none" w:sz="0" w:space="0" w:color="auto"/>
              </w:divBdr>
              <w:divsChild>
                <w:div w:id="145780220">
                  <w:marLeft w:val="0"/>
                  <w:marRight w:val="0"/>
                  <w:marTop w:val="0"/>
                  <w:marBottom w:val="0"/>
                  <w:divBdr>
                    <w:top w:val="none" w:sz="0" w:space="0" w:color="auto"/>
                    <w:left w:val="none" w:sz="0" w:space="0" w:color="auto"/>
                    <w:bottom w:val="none" w:sz="0" w:space="0" w:color="auto"/>
                    <w:right w:val="none" w:sz="0" w:space="0" w:color="auto"/>
                  </w:divBdr>
                </w:div>
              </w:divsChild>
            </w:div>
            <w:div w:id="2128741109">
              <w:marLeft w:val="0"/>
              <w:marRight w:val="0"/>
              <w:marTop w:val="0"/>
              <w:marBottom w:val="0"/>
              <w:divBdr>
                <w:top w:val="none" w:sz="0" w:space="0" w:color="auto"/>
                <w:left w:val="none" w:sz="0" w:space="0" w:color="auto"/>
                <w:bottom w:val="none" w:sz="0" w:space="0" w:color="auto"/>
                <w:right w:val="none" w:sz="0" w:space="0" w:color="auto"/>
              </w:divBdr>
              <w:divsChild>
                <w:div w:id="5378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7607">
      <w:bodyDiv w:val="1"/>
      <w:marLeft w:val="0"/>
      <w:marRight w:val="0"/>
      <w:marTop w:val="0"/>
      <w:marBottom w:val="0"/>
      <w:divBdr>
        <w:top w:val="none" w:sz="0" w:space="0" w:color="auto"/>
        <w:left w:val="none" w:sz="0" w:space="0" w:color="auto"/>
        <w:bottom w:val="none" w:sz="0" w:space="0" w:color="auto"/>
        <w:right w:val="none" w:sz="0" w:space="0" w:color="auto"/>
      </w:divBdr>
    </w:div>
    <w:div w:id="370763155">
      <w:bodyDiv w:val="1"/>
      <w:marLeft w:val="0"/>
      <w:marRight w:val="0"/>
      <w:marTop w:val="0"/>
      <w:marBottom w:val="0"/>
      <w:divBdr>
        <w:top w:val="none" w:sz="0" w:space="0" w:color="auto"/>
        <w:left w:val="none" w:sz="0" w:space="0" w:color="auto"/>
        <w:bottom w:val="none" w:sz="0" w:space="0" w:color="auto"/>
        <w:right w:val="none" w:sz="0" w:space="0" w:color="auto"/>
      </w:divBdr>
      <w:divsChild>
        <w:div w:id="18358798">
          <w:marLeft w:val="0"/>
          <w:marRight w:val="0"/>
          <w:marTop w:val="0"/>
          <w:marBottom w:val="0"/>
          <w:divBdr>
            <w:top w:val="none" w:sz="0" w:space="0" w:color="auto"/>
            <w:left w:val="none" w:sz="0" w:space="0" w:color="auto"/>
            <w:bottom w:val="none" w:sz="0" w:space="0" w:color="auto"/>
            <w:right w:val="none" w:sz="0" w:space="0" w:color="auto"/>
          </w:divBdr>
          <w:divsChild>
            <w:div w:id="69742113">
              <w:marLeft w:val="0"/>
              <w:marRight w:val="0"/>
              <w:marTop w:val="0"/>
              <w:marBottom w:val="0"/>
              <w:divBdr>
                <w:top w:val="none" w:sz="0" w:space="0" w:color="auto"/>
                <w:left w:val="none" w:sz="0" w:space="0" w:color="auto"/>
                <w:bottom w:val="none" w:sz="0" w:space="0" w:color="auto"/>
                <w:right w:val="none" w:sz="0" w:space="0" w:color="auto"/>
              </w:divBdr>
              <w:divsChild>
                <w:div w:id="16321904">
                  <w:marLeft w:val="0"/>
                  <w:marRight w:val="0"/>
                  <w:marTop w:val="0"/>
                  <w:marBottom w:val="0"/>
                  <w:divBdr>
                    <w:top w:val="none" w:sz="0" w:space="0" w:color="auto"/>
                    <w:left w:val="none" w:sz="0" w:space="0" w:color="auto"/>
                    <w:bottom w:val="none" w:sz="0" w:space="0" w:color="auto"/>
                    <w:right w:val="none" w:sz="0" w:space="0" w:color="auto"/>
                  </w:divBdr>
                </w:div>
              </w:divsChild>
            </w:div>
            <w:div w:id="165706042">
              <w:marLeft w:val="0"/>
              <w:marRight w:val="0"/>
              <w:marTop w:val="0"/>
              <w:marBottom w:val="0"/>
              <w:divBdr>
                <w:top w:val="none" w:sz="0" w:space="0" w:color="auto"/>
                <w:left w:val="none" w:sz="0" w:space="0" w:color="auto"/>
                <w:bottom w:val="none" w:sz="0" w:space="0" w:color="auto"/>
                <w:right w:val="none" w:sz="0" w:space="0" w:color="auto"/>
              </w:divBdr>
              <w:divsChild>
                <w:div w:id="1675838285">
                  <w:marLeft w:val="0"/>
                  <w:marRight w:val="0"/>
                  <w:marTop w:val="0"/>
                  <w:marBottom w:val="0"/>
                  <w:divBdr>
                    <w:top w:val="none" w:sz="0" w:space="0" w:color="auto"/>
                    <w:left w:val="none" w:sz="0" w:space="0" w:color="auto"/>
                    <w:bottom w:val="none" w:sz="0" w:space="0" w:color="auto"/>
                    <w:right w:val="none" w:sz="0" w:space="0" w:color="auto"/>
                  </w:divBdr>
                </w:div>
              </w:divsChild>
            </w:div>
            <w:div w:id="188956644">
              <w:marLeft w:val="0"/>
              <w:marRight w:val="0"/>
              <w:marTop w:val="0"/>
              <w:marBottom w:val="0"/>
              <w:divBdr>
                <w:top w:val="none" w:sz="0" w:space="0" w:color="auto"/>
                <w:left w:val="none" w:sz="0" w:space="0" w:color="auto"/>
                <w:bottom w:val="none" w:sz="0" w:space="0" w:color="auto"/>
                <w:right w:val="none" w:sz="0" w:space="0" w:color="auto"/>
              </w:divBdr>
              <w:divsChild>
                <w:div w:id="1258247301">
                  <w:marLeft w:val="0"/>
                  <w:marRight w:val="0"/>
                  <w:marTop w:val="0"/>
                  <w:marBottom w:val="0"/>
                  <w:divBdr>
                    <w:top w:val="none" w:sz="0" w:space="0" w:color="auto"/>
                    <w:left w:val="none" w:sz="0" w:space="0" w:color="auto"/>
                    <w:bottom w:val="none" w:sz="0" w:space="0" w:color="auto"/>
                    <w:right w:val="none" w:sz="0" w:space="0" w:color="auto"/>
                  </w:divBdr>
                </w:div>
              </w:divsChild>
            </w:div>
            <w:div w:id="277182543">
              <w:marLeft w:val="0"/>
              <w:marRight w:val="0"/>
              <w:marTop w:val="0"/>
              <w:marBottom w:val="0"/>
              <w:divBdr>
                <w:top w:val="none" w:sz="0" w:space="0" w:color="auto"/>
                <w:left w:val="none" w:sz="0" w:space="0" w:color="auto"/>
                <w:bottom w:val="none" w:sz="0" w:space="0" w:color="auto"/>
                <w:right w:val="none" w:sz="0" w:space="0" w:color="auto"/>
              </w:divBdr>
              <w:divsChild>
                <w:div w:id="953559227">
                  <w:marLeft w:val="0"/>
                  <w:marRight w:val="0"/>
                  <w:marTop w:val="0"/>
                  <w:marBottom w:val="0"/>
                  <w:divBdr>
                    <w:top w:val="none" w:sz="0" w:space="0" w:color="auto"/>
                    <w:left w:val="none" w:sz="0" w:space="0" w:color="auto"/>
                    <w:bottom w:val="none" w:sz="0" w:space="0" w:color="auto"/>
                    <w:right w:val="none" w:sz="0" w:space="0" w:color="auto"/>
                  </w:divBdr>
                </w:div>
              </w:divsChild>
            </w:div>
            <w:div w:id="297029208">
              <w:marLeft w:val="0"/>
              <w:marRight w:val="0"/>
              <w:marTop w:val="0"/>
              <w:marBottom w:val="0"/>
              <w:divBdr>
                <w:top w:val="none" w:sz="0" w:space="0" w:color="auto"/>
                <w:left w:val="none" w:sz="0" w:space="0" w:color="auto"/>
                <w:bottom w:val="none" w:sz="0" w:space="0" w:color="auto"/>
                <w:right w:val="none" w:sz="0" w:space="0" w:color="auto"/>
              </w:divBdr>
              <w:divsChild>
                <w:div w:id="1047219529">
                  <w:marLeft w:val="0"/>
                  <w:marRight w:val="0"/>
                  <w:marTop w:val="0"/>
                  <w:marBottom w:val="0"/>
                  <w:divBdr>
                    <w:top w:val="none" w:sz="0" w:space="0" w:color="auto"/>
                    <w:left w:val="none" w:sz="0" w:space="0" w:color="auto"/>
                    <w:bottom w:val="none" w:sz="0" w:space="0" w:color="auto"/>
                    <w:right w:val="none" w:sz="0" w:space="0" w:color="auto"/>
                  </w:divBdr>
                </w:div>
              </w:divsChild>
            </w:div>
            <w:div w:id="475876588">
              <w:marLeft w:val="0"/>
              <w:marRight w:val="0"/>
              <w:marTop w:val="0"/>
              <w:marBottom w:val="0"/>
              <w:divBdr>
                <w:top w:val="none" w:sz="0" w:space="0" w:color="auto"/>
                <w:left w:val="none" w:sz="0" w:space="0" w:color="auto"/>
                <w:bottom w:val="none" w:sz="0" w:space="0" w:color="auto"/>
                <w:right w:val="none" w:sz="0" w:space="0" w:color="auto"/>
              </w:divBdr>
              <w:divsChild>
                <w:div w:id="1062488950">
                  <w:marLeft w:val="0"/>
                  <w:marRight w:val="0"/>
                  <w:marTop w:val="0"/>
                  <w:marBottom w:val="0"/>
                  <w:divBdr>
                    <w:top w:val="none" w:sz="0" w:space="0" w:color="auto"/>
                    <w:left w:val="none" w:sz="0" w:space="0" w:color="auto"/>
                    <w:bottom w:val="none" w:sz="0" w:space="0" w:color="auto"/>
                    <w:right w:val="none" w:sz="0" w:space="0" w:color="auto"/>
                  </w:divBdr>
                </w:div>
              </w:divsChild>
            </w:div>
            <w:div w:id="515734582">
              <w:marLeft w:val="0"/>
              <w:marRight w:val="0"/>
              <w:marTop w:val="0"/>
              <w:marBottom w:val="0"/>
              <w:divBdr>
                <w:top w:val="none" w:sz="0" w:space="0" w:color="auto"/>
                <w:left w:val="none" w:sz="0" w:space="0" w:color="auto"/>
                <w:bottom w:val="none" w:sz="0" w:space="0" w:color="auto"/>
                <w:right w:val="none" w:sz="0" w:space="0" w:color="auto"/>
              </w:divBdr>
              <w:divsChild>
                <w:div w:id="1209679547">
                  <w:marLeft w:val="0"/>
                  <w:marRight w:val="0"/>
                  <w:marTop w:val="0"/>
                  <w:marBottom w:val="0"/>
                  <w:divBdr>
                    <w:top w:val="none" w:sz="0" w:space="0" w:color="auto"/>
                    <w:left w:val="none" w:sz="0" w:space="0" w:color="auto"/>
                    <w:bottom w:val="none" w:sz="0" w:space="0" w:color="auto"/>
                    <w:right w:val="none" w:sz="0" w:space="0" w:color="auto"/>
                  </w:divBdr>
                </w:div>
              </w:divsChild>
            </w:div>
            <w:div w:id="672801070">
              <w:marLeft w:val="0"/>
              <w:marRight w:val="0"/>
              <w:marTop w:val="0"/>
              <w:marBottom w:val="0"/>
              <w:divBdr>
                <w:top w:val="none" w:sz="0" w:space="0" w:color="auto"/>
                <w:left w:val="none" w:sz="0" w:space="0" w:color="auto"/>
                <w:bottom w:val="none" w:sz="0" w:space="0" w:color="auto"/>
                <w:right w:val="none" w:sz="0" w:space="0" w:color="auto"/>
              </w:divBdr>
              <w:divsChild>
                <w:div w:id="947201431">
                  <w:marLeft w:val="0"/>
                  <w:marRight w:val="0"/>
                  <w:marTop w:val="0"/>
                  <w:marBottom w:val="0"/>
                  <w:divBdr>
                    <w:top w:val="none" w:sz="0" w:space="0" w:color="auto"/>
                    <w:left w:val="none" w:sz="0" w:space="0" w:color="auto"/>
                    <w:bottom w:val="none" w:sz="0" w:space="0" w:color="auto"/>
                    <w:right w:val="none" w:sz="0" w:space="0" w:color="auto"/>
                  </w:divBdr>
                </w:div>
              </w:divsChild>
            </w:div>
            <w:div w:id="680279627">
              <w:marLeft w:val="0"/>
              <w:marRight w:val="0"/>
              <w:marTop w:val="0"/>
              <w:marBottom w:val="0"/>
              <w:divBdr>
                <w:top w:val="none" w:sz="0" w:space="0" w:color="auto"/>
                <w:left w:val="none" w:sz="0" w:space="0" w:color="auto"/>
                <w:bottom w:val="none" w:sz="0" w:space="0" w:color="auto"/>
                <w:right w:val="none" w:sz="0" w:space="0" w:color="auto"/>
              </w:divBdr>
              <w:divsChild>
                <w:div w:id="1127239553">
                  <w:marLeft w:val="0"/>
                  <w:marRight w:val="0"/>
                  <w:marTop w:val="0"/>
                  <w:marBottom w:val="0"/>
                  <w:divBdr>
                    <w:top w:val="none" w:sz="0" w:space="0" w:color="auto"/>
                    <w:left w:val="none" w:sz="0" w:space="0" w:color="auto"/>
                    <w:bottom w:val="none" w:sz="0" w:space="0" w:color="auto"/>
                    <w:right w:val="none" w:sz="0" w:space="0" w:color="auto"/>
                  </w:divBdr>
                </w:div>
              </w:divsChild>
            </w:div>
            <w:div w:id="777410241">
              <w:marLeft w:val="0"/>
              <w:marRight w:val="0"/>
              <w:marTop w:val="0"/>
              <w:marBottom w:val="0"/>
              <w:divBdr>
                <w:top w:val="none" w:sz="0" w:space="0" w:color="auto"/>
                <w:left w:val="none" w:sz="0" w:space="0" w:color="auto"/>
                <w:bottom w:val="none" w:sz="0" w:space="0" w:color="auto"/>
                <w:right w:val="none" w:sz="0" w:space="0" w:color="auto"/>
              </w:divBdr>
              <w:divsChild>
                <w:div w:id="451636133">
                  <w:marLeft w:val="0"/>
                  <w:marRight w:val="0"/>
                  <w:marTop w:val="0"/>
                  <w:marBottom w:val="0"/>
                  <w:divBdr>
                    <w:top w:val="none" w:sz="0" w:space="0" w:color="auto"/>
                    <w:left w:val="none" w:sz="0" w:space="0" w:color="auto"/>
                    <w:bottom w:val="none" w:sz="0" w:space="0" w:color="auto"/>
                    <w:right w:val="none" w:sz="0" w:space="0" w:color="auto"/>
                  </w:divBdr>
                </w:div>
              </w:divsChild>
            </w:div>
            <w:div w:id="892615202">
              <w:marLeft w:val="0"/>
              <w:marRight w:val="0"/>
              <w:marTop w:val="0"/>
              <w:marBottom w:val="0"/>
              <w:divBdr>
                <w:top w:val="none" w:sz="0" w:space="0" w:color="auto"/>
                <w:left w:val="none" w:sz="0" w:space="0" w:color="auto"/>
                <w:bottom w:val="none" w:sz="0" w:space="0" w:color="auto"/>
                <w:right w:val="none" w:sz="0" w:space="0" w:color="auto"/>
              </w:divBdr>
              <w:divsChild>
                <w:div w:id="1629437147">
                  <w:marLeft w:val="0"/>
                  <w:marRight w:val="0"/>
                  <w:marTop w:val="0"/>
                  <w:marBottom w:val="0"/>
                  <w:divBdr>
                    <w:top w:val="none" w:sz="0" w:space="0" w:color="auto"/>
                    <w:left w:val="none" w:sz="0" w:space="0" w:color="auto"/>
                    <w:bottom w:val="none" w:sz="0" w:space="0" w:color="auto"/>
                    <w:right w:val="none" w:sz="0" w:space="0" w:color="auto"/>
                  </w:divBdr>
                </w:div>
              </w:divsChild>
            </w:div>
            <w:div w:id="904024386">
              <w:marLeft w:val="0"/>
              <w:marRight w:val="0"/>
              <w:marTop w:val="0"/>
              <w:marBottom w:val="0"/>
              <w:divBdr>
                <w:top w:val="none" w:sz="0" w:space="0" w:color="auto"/>
                <w:left w:val="none" w:sz="0" w:space="0" w:color="auto"/>
                <w:bottom w:val="none" w:sz="0" w:space="0" w:color="auto"/>
                <w:right w:val="none" w:sz="0" w:space="0" w:color="auto"/>
              </w:divBdr>
              <w:divsChild>
                <w:div w:id="1514877506">
                  <w:marLeft w:val="0"/>
                  <w:marRight w:val="0"/>
                  <w:marTop w:val="0"/>
                  <w:marBottom w:val="0"/>
                  <w:divBdr>
                    <w:top w:val="none" w:sz="0" w:space="0" w:color="auto"/>
                    <w:left w:val="none" w:sz="0" w:space="0" w:color="auto"/>
                    <w:bottom w:val="none" w:sz="0" w:space="0" w:color="auto"/>
                    <w:right w:val="none" w:sz="0" w:space="0" w:color="auto"/>
                  </w:divBdr>
                </w:div>
              </w:divsChild>
            </w:div>
            <w:div w:id="905913491">
              <w:marLeft w:val="0"/>
              <w:marRight w:val="0"/>
              <w:marTop w:val="0"/>
              <w:marBottom w:val="0"/>
              <w:divBdr>
                <w:top w:val="none" w:sz="0" w:space="0" w:color="auto"/>
                <w:left w:val="none" w:sz="0" w:space="0" w:color="auto"/>
                <w:bottom w:val="none" w:sz="0" w:space="0" w:color="auto"/>
                <w:right w:val="none" w:sz="0" w:space="0" w:color="auto"/>
              </w:divBdr>
              <w:divsChild>
                <w:div w:id="1745254606">
                  <w:marLeft w:val="0"/>
                  <w:marRight w:val="0"/>
                  <w:marTop w:val="0"/>
                  <w:marBottom w:val="0"/>
                  <w:divBdr>
                    <w:top w:val="none" w:sz="0" w:space="0" w:color="auto"/>
                    <w:left w:val="none" w:sz="0" w:space="0" w:color="auto"/>
                    <w:bottom w:val="none" w:sz="0" w:space="0" w:color="auto"/>
                    <w:right w:val="none" w:sz="0" w:space="0" w:color="auto"/>
                  </w:divBdr>
                </w:div>
              </w:divsChild>
            </w:div>
            <w:div w:id="911353691">
              <w:marLeft w:val="0"/>
              <w:marRight w:val="0"/>
              <w:marTop w:val="0"/>
              <w:marBottom w:val="0"/>
              <w:divBdr>
                <w:top w:val="none" w:sz="0" w:space="0" w:color="auto"/>
                <w:left w:val="none" w:sz="0" w:space="0" w:color="auto"/>
                <w:bottom w:val="none" w:sz="0" w:space="0" w:color="auto"/>
                <w:right w:val="none" w:sz="0" w:space="0" w:color="auto"/>
              </w:divBdr>
              <w:divsChild>
                <w:div w:id="286938813">
                  <w:marLeft w:val="0"/>
                  <w:marRight w:val="0"/>
                  <w:marTop w:val="0"/>
                  <w:marBottom w:val="0"/>
                  <w:divBdr>
                    <w:top w:val="none" w:sz="0" w:space="0" w:color="auto"/>
                    <w:left w:val="none" w:sz="0" w:space="0" w:color="auto"/>
                    <w:bottom w:val="none" w:sz="0" w:space="0" w:color="auto"/>
                    <w:right w:val="none" w:sz="0" w:space="0" w:color="auto"/>
                  </w:divBdr>
                </w:div>
              </w:divsChild>
            </w:div>
            <w:div w:id="1017971812">
              <w:marLeft w:val="0"/>
              <w:marRight w:val="0"/>
              <w:marTop w:val="0"/>
              <w:marBottom w:val="0"/>
              <w:divBdr>
                <w:top w:val="none" w:sz="0" w:space="0" w:color="auto"/>
                <w:left w:val="none" w:sz="0" w:space="0" w:color="auto"/>
                <w:bottom w:val="none" w:sz="0" w:space="0" w:color="auto"/>
                <w:right w:val="none" w:sz="0" w:space="0" w:color="auto"/>
              </w:divBdr>
              <w:divsChild>
                <w:div w:id="2100447319">
                  <w:marLeft w:val="0"/>
                  <w:marRight w:val="0"/>
                  <w:marTop w:val="0"/>
                  <w:marBottom w:val="0"/>
                  <w:divBdr>
                    <w:top w:val="none" w:sz="0" w:space="0" w:color="auto"/>
                    <w:left w:val="none" w:sz="0" w:space="0" w:color="auto"/>
                    <w:bottom w:val="none" w:sz="0" w:space="0" w:color="auto"/>
                    <w:right w:val="none" w:sz="0" w:space="0" w:color="auto"/>
                  </w:divBdr>
                </w:div>
              </w:divsChild>
            </w:div>
            <w:div w:id="1108506449">
              <w:marLeft w:val="0"/>
              <w:marRight w:val="0"/>
              <w:marTop w:val="0"/>
              <w:marBottom w:val="0"/>
              <w:divBdr>
                <w:top w:val="none" w:sz="0" w:space="0" w:color="auto"/>
                <w:left w:val="none" w:sz="0" w:space="0" w:color="auto"/>
                <w:bottom w:val="none" w:sz="0" w:space="0" w:color="auto"/>
                <w:right w:val="none" w:sz="0" w:space="0" w:color="auto"/>
              </w:divBdr>
              <w:divsChild>
                <w:div w:id="1870680111">
                  <w:marLeft w:val="0"/>
                  <w:marRight w:val="0"/>
                  <w:marTop w:val="0"/>
                  <w:marBottom w:val="0"/>
                  <w:divBdr>
                    <w:top w:val="none" w:sz="0" w:space="0" w:color="auto"/>
                    <w:left w:val="none" w:sz="0" w:space="0" w:color="auto"/>
                    <w:bottom w:val="none" w:sz="0" w:space="0" w:color="auto"/>
                    <w:right w:val="none" w:sz="0" w:space="0" w:color="auto"/>
                  </w:divBdr>
                </w:div>
              </w:divsChild>
            </w:div>
            <w:div w:id="1421754499">
              <w:marLeft w:val="0"/>
              <w:marRight w:val="0"/>
              <w:marTop w:val="0"/>
              <w:marBottom w:val="0"/>
              <w:divBdr>
                <w:top w:val="none" w:sz="0" w:space="0" w:color="auto"/>
                <w:left w:val="none" w:sz="0" w:space="0" w:color="auto"/>
                <w:bottom w:val="none" w:sz="0" w:space="0" w:color="auto"/>
                <w:right w:val="none" w:sz="0" w:space="0" w:color="auto"/>
              </w:divBdr>
              <w:divsChild>
                <w:div w:id="886645564">
                  <w:marLeft w:val="0"/>
                  <w:marRight w:val="0"/>
                  <w:marTop w:val="0"/>
                  <w:marBottom w:val="0"/>
                  <w:divBdr>
                    <w:top w:val="none" w:sz="0" w:space="0" w:color="auto"/>
                    <w:left w:val="none" w:sz="0" w:space="0" w:color="auto"/>
                    <w:bottom w:val="none" w:sz="0" w:space="0" w:color="auto"/>
                    <w:right w:val="none" w:sz="0" w:space="0" w:color="auto"/>
                  </w:divBdr>
                </w:div>
              </w:divsChild>
            </w:div>
            <w:div w:id="1546675838">
              <w:marLeft w:val="0"/>
              <w:marRight w:val="0"/>
              <w:marTop w:val="0"/>
              <w:marBottom w:val="0"/>
              <w:divBdr>
                <w:top w:val="none" w:sz="0" w:space="0" w:color="auto"/>
                <w:left w:val="none" w:sz="0" w:space="0" w:color="auto"/>
                <w:bottom w:val="none" w:sz="0" w:space="0" w:color="auto"/>
                <w:right w:val="none" w:sz="0" w:space="0" w:color="auto"/>
              </w:divBdr>
              <w:divsChild>
                <w:div w:id="663706112">
                  <w:marLeft w:val="0"/>
                  <w:marRight w:val="0"/>
                  <w:marTop w:val="0"/>
                  <w:marBottom w:val="0"/>
                  <w:divBdr>
                    <w:top w:val="none" w:sz="0" w:space="0" w:color="auto"/>
                    <w:left w:val="none" w:sz="0" w:space="0" w:color="auto"/>
                    <w:bottom w:val="none" w:sz="0" w:space="0" w:color="auto"/>
                    <w:right w:val="none" w:sz="0" w:space="0" w:color="auto"/>
                  </w:divBdr>
                </w:div>
              </w:divsChild>
            </w:div>
            <w:div w:id="1556812764">
              <w:marLeft w:val="0"/>
              <w:marRight w:val="0"/>
              <w:marTop w:val="0"/>
              <w:marBottom w:val="0"/>
              <w:divBdr>
                <w:top w:val="none" w:sz="0" w:space="0" w:color="auto"/>
                <w:left w:val="none" w:sz="0" w:space="0" w:color="auto"/>
                <w:bottom w:val="none" w:sz="0" w:space="0" w:color="auto"/>
                <w:right w:val="none" w:sz="0" w:space="0" w:color="auto"/>
              </w:divBdr>
              <w:divsChild>
                <w:div w:id="102195005">
                  <w:marLeft w:val="0"/>
                  <w:marRight w:val="0"/>
                  <w:marTop w:val="0"/>
                  <w:marBottom w:val="0"/>
                  <w:divBdr>
                    <w:top w:val="none" w:sz="0" w:space="0" w:color="auto"/>
                    <w:left w:val="none" w:sz="0" w:space="0" w:color="auto"/>
                    <w:bottom w:val="none" w:sz="0" w:space="0" w:color="auto"/>
                    <w:right w:val="none" w:sz="0" w:space="0" w:color="auto"/>
                  </w:divBdr>
                </w:div>
              </w:divsChild>
            </w:div>
            <w:div w:id="1646471509">
              <w:marLeft w:val="0"/>
              <w:marRight w:val="0"/>
              <w:marTop w:val="0"/>
              <w:marBottom w:val="0"/>
              <w:divBdr>
                <w:top w:val="none" w:sz="0" w:space="0" w:color="auto"/>
                <w:left w:val="none" w:sz="0" w:space="0" w:color="auto"/>
                <w:bottom w:val="none" w:sz="0" w:space="0" w:color="auto"/>
                <w:right w:val="none" w:sz="0" w:space="0" w:color="auto"/>
              </w:divBdr>
              <w:divsChild>
                <w:div w:id="569078848">
                  <w:marLeft w:val="0"/>
                  <w:marRight w:val="0"/>
                  <w:marTop w:val="0"/>
                  <w:marBottom w:val="0"/>
                  <w:divBdr>
                    <w:top w:val="none" w:sz="0" w:space="0" w:color="auto"/>
                    <w:left w:val="none" w:sz="0" w:space="0" w:color="auto"/>
                    <w:bottom w:val="none" w:sz="0" w:space="0" w:color="auto"/>
                    <w:right w:val="none" w:sz="0" w:space="0" w:color="auto"/>
                  </w:divBdr>
                </w:div>
              </w:divsChild>
            </w:div>
            <w:div w:id="1663895608">
              <w:marLeft w:val="0"/>
              <w:marRight w:val="0"/>
              <w:marTop w:val="0"/>
              <w:marBottom w:val="0"/>
              <w:divBdr>
                <w:top w:val="none" w:sz="0" w:space="0" w:color="auto"/>
                <w:left w:val="none" w:sz="0" w:space="0" w:color="auto"/>
                <w:bottom w:val="none" w:sz="0" w:space="0" w:color="auto"/>
                <w:right w:val="none" w:sz="0" w:space="0" w:color="auto"/>
              </w:divBdr>
              <w:divsChild>
                <w:div w:id="166411684">
                  <w:marLeft w:val="0"/>
                  <w:marRight w:val="0"/>
                  <w:marTop w:val="0"/>
                  <w:marBottom w:val="0"/>
                  <w:divBdr>
                    <w:top w:val="none" w:sz="0" w:space="0" w:color="auto"/>
                    <w:left w:val="none" w:sz="0" w:space="0" w:color="auto"/>
                    <w:bottom w:val="none" w:sz="0" w:space="0" w:color="auto"/>
                    <w:right w:val="none" w:sz="0" w:space="0" w:color="auto"/>
                  </w:divBdr>
                </w:div>
              </w:divsChild>
            </w:div>
            <w:div w:id="1880699220">
              <w:marLeft w:val="0"/>
              <w:marRight w:val="0"/>
              <w:marTop w:val="0"/>
              <w:marBottom w:val="0"/>
              <w:divBdr>
                <w:top w:val="none" w:sz="0" w:space="0" w:color="auto"/>
                <w:left w:val="none" w:sz="0" w:space="0" w:color="auto"/>
                <w:bottom w:val="none" w:sz="0" w:space="0" w:color="auto"/>
                <w:right w:val="none" w:sz="0" w:space="0" w:color="auto"/>
              </w:divBdr>
              <w:divsChild>
                <w:div w:id="1206988002">
                  <w:marLeft w:val="0"/>
                  <w:marRight w:val="0"/>
                  <w:marTop w:val="0"/>
                  <w:marBottom w:val="0"/>
                  <w:divBdr>
                    <w:top w:val="none" w:sz="0" w:space="0" w:color="auto"/>
                    <w:left w:val="none" w:sz="0" w:space="0" w:color="auto"/>
                    <w:bottom w:val="none" w:sz="0" w:space="0" w:color="auto"/>
                    <w:right w:val="none" w:sz="0" w:space="0" w:color="auto"/>
                  </w:divBdr>
                </w:div>
              </w:divsChild>
            </w:div>
            <w:div w:id="1992362181">
              <w:marLeft w:val="0"/>
              <w:marRight w:val="0"/>
              <w:marTop w:val="0"/>
              <w:marBottom w:val="0"/>
              <w:divBdr>
                <w:top w:val="none" w:sz="0" w:space="0" w:color="auto"/>
                <w:left w:val="none" w:sz="0" w:space="0" w:color="auto"/>
                <w:bottom w:val="none" w:sz="0" w:space="0" w:color="auto"/>
                <w:right w:val="none" w:sz="0" w:space="0" w:color="auto"/>
              </w:divBdr>
              <w:divsChild>
                <w:div w:id="515194697">
                  <w:marLeft w:val="0"/>
                  <w:marRight w:val="0"/>
                  <w:marTop w:val="0"/>
                  <w:marBottom w:val="0"/>
                  <w:divBdr>
                    <w:top w:val="none" w:sz="0" w:space="0" w:color="auto"/>
                    <w:left w:val="none" w:sz="0" w:space="0" w:color="auto"/>
                    <w:bottom w:val="none" w:sz="0" w:space="0" w:color="auto"/>
                    <w:right w:val="none" w:sz="0" w:space="0" w:color="auto"/>
                  </w:divBdr>
                </w:div>
              </w:divsChild>
            </w:div>
            <w:div w:id="2091079693">
              <w:marLeft w:val="0"/>
              <w:marRight w:val="0"/>
              <w:marTop w:val="0"/>
              <w:marBottom w:val="0"/>
              <w:divBdr>
                <w:top w:val="none" w:sz="0" w:space="0" w:color="auto"/>
                <w:left w:val="none" w:sz="0" w:space="0" w:color="auto"/>
                <w:bottom w:val="none" w:sz="0" w:space="0" w:color="auto"/>
                <w:right w:val="none" w:sz="0" w:space="0" w:color="auto"/>
              </w:divBdr>
              <w:divsChild>
                <w:div w:id="1209757043">
                  <w:marLeft w:val="0"/>
                  <w:marRight w:val="0"/>
                  <w:marTop w:val="0"/>
                  <w:marBottom w:val="0"/>
                  <w:divBdr>
                    <w:top w:val="none" w:sz="0" w:space="0" w:color="auto"/>
                    <w:left w:val="none" w:sz="0" w:space="0" w:color="auto"/>
                    <w:bottom w:val="none" w:sz="0" w:space="0" w:color="auto"/>
                    <w:right w:val="none" w:sz="0" w:space="0" w:color="auto"/>
                  </w:divBdr>
                </w:div>
              </w:divsChild>
            </w:div>
            <w:div w:id="2094352850">
              <w:marLeft w:val="0"/>
              <w:marRight w:val="0"/>
              <w:marTop w:val="0"/>
              <w:marBottom w:val="0"/>
              <w:divBdr>
                <w:top w:val="none" w:sz="0" w:space="0" w:color="auto"/>
                <w:left w:val="none" w:sz="0" w:space="0" w:color="auto"/>
                <w:bottom w:val="none" w:sz="0" w:space="0" w:color="auto"/>
                <w:right w:val="none" w:sz="0" w:space="0" w:color="auto"/>
              </w:divBdr>
              <w:divsChild>
                <w:div w:id="85660109">
                  <w:marLeft w:val="0"/>
                  <w:marRight w:val="0"/>
                  <w:marTop w:val="0"/>
                  <w:marBottom w:val="0"/>
                  <w:divBdr>
                    <w:top w:val="none" w:sz="0" w:space="0" w:color="auto"/>
                    <w:left w:val="none" w:sz="0" w:space="0" w:color="auto"/>
                    <w:bottom w:val="none" w:sz="0" w:space="0" w:color="auto"/>
                    <w:right w:val="none" w:sz="0" w:space="0" w:color="auto"/>
                  </w:divBdr>
                </w:div>
                <w:div w:id="6231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600422">
      <w:bodyDiv w:val="1"/>
      <w:marLeft w:val="0"/>
      <w:marRight w:val="0"/>
      <w:marTop w:val="0"/>
      <w:marBottom w:val="0"/>
      <w:divBdr>
        <w:top w:val="none" w:sz="0" w:space="0" w:color="auto"/>
        <w:left w:val="none" w:sz="0" w:space="0" w:color="auto"/>
        <w:bottom w:val="none" w:sz="0" w:space="0" w:color="auto"/>
        <w:right w:val="none" w:sz="0" w:space="0" w:color="auto"/>
      </w:divBdr>
    </w:div>
    <w:div w:id="441923328">
      <w:bodyDiv w:val="1"/>
      <w:marLeft w:val="0"/>
      <w:marRight w:val="0"/>
      <w:marTop w:val="0"/>
      <w:marBottom w:val="0"/>
      <w:divBdr>
        <w:top w:val="none" w:sz="0" w:space="0" w:color="auto"/>
        <w:left w:val="none" w:sz="0" w:space="0" w:color="auto"/>
        <w:bottom w:val="none" w:sz="0" w:space="0" w:color="auto"/>
        <w:right w:val="none" w:sz="0" w:space="0" w:color="auto"/>
      </w:divBdr>
    </w:div>
    <w:div w:id="535389878">
      <w:bodyDiv w:val="1"/>
      <w:marLeft w:val="0"/>
      <w:marRight w:val="0"/>
      <w:marTop w:val="0"/>
      <w:marBottom w:val="0"/>
      <w:divBdr>
        <w:top w:val="none" w:sz="0" w:space="0" w:color="auto"/>
        <w:left w:val="none" w:sz="0" w:space="0" w:color="auto"/>
        <w:bottom w:val="none" w:sz="0" w:space="0" w:color="auto"/>
        <w:right w:val="none" w:sz="0" w:space="0" w:color="auto"/>
      </w:divBdr>
    </w:div>
    <w:div w:id="549459278">
      <w:bodyDiv w:val="1"/>
      <w:marLeft w:val="0"/>
      <w:marRight w:val="0"/>
      <w:marTop w:val="0"/>
      <w:marBottom w:val="0"/>
      <w:divBdr>
        <w:top w:val="none" w:sz="0" w:space="0" w:color="auto"/>
        <w:left w:val="none" w:sz="0" w:space="0" w:color="auto"/>
        <w:bottom w:val="none" w:sz="0" w:space="0" w:color="auto"/>
        <w:right w:val="none" w:sz="0" w:space="0" w:color="auto"/>
      </w:divBdr>
      <w:divsChild>
        <w:div w:id="1406486537">
          <w:marLeft w:val="0"/>
          <w:marRight w:val="0"/>
          <w:marTop w:val="0"/>
          <w:marBottom w:val="0"/>
          <w:divBdr>
            <w:top w:val="none" w:sz="0" w:space="0" w:color="auto"/>
            <w:left w:val="none" w:sz="0" w:space="0" w:color="auto"/>
            <w:bottom w:val="none" w:sz="0" w:space="0" w:color="auto"/>
            <w:right w:val="none" w:sz="0" w:space="0" w:color="auto"/>
          </w:divBdr>
          <w:divsChild>
            <w:div w:id="189683862">
              <w:marLeft w:val="0"/>
              <w:marRight w:val="0"/>
              <w:marTop w:val="0"/>
              <w:marBottom w:val="0"/>
              <w:divBdr>
                <w:top w:val="none" w:sz="0" w:space="0" w:color="auto"/>
                <w:left w:val="none" w:sz="0" w:space="0" w:color="auto"/>
                <w:bottom w:val="none" w:sz="0" w:space="0" w:color="auto"/>
                <w:right w:val="none" w:sz="0" w:space="0" w:color="auto"/>
              </w:divBdr>
              <w:divsChild>
                <w:div w:id="679694799">
                  <w:marLeft w:val="0"/>
                  <w:marRight w:val="0"/>
                  <w:marTop w:val="0"/>
                  <w:marBottom w:val="0"/>
                  <w:divBdr>
                    <w:top w:val="none" w:sz="0" w:space="0" w:color="auto"/>
                    <w:left w:val="none" w:sz="0" w:space="0" w:color="auto"/>
                    <w:bottom w:val="none" w:sz="0" w:space="0" w:color="auto"/>
                    <w:right w:val="none" w:sz="0" w:space="0" w:color="auto"/>
                  </w:divBdr>
                </w:div>
              </w:divsChild>
            </w:div>
            <w:div w:id="220412883">
              <w:marLeft w:val="0"/>
              <w:marRight w:val="0"/>
              <w:marTop w:val="0"/>
              <w:marBottom w:val="0"/>
              <w:divBdr>
                <w:top w:val="none" w:sz="0" w:space="0" w:color="auto"/>
                <w:left w:val="none" w:sz="0" w:space="0" w:color="auto"/>
                <w:bottom w:val="none" w:sz="0" w:space="0" w:color="auto"/>
                <w:right w:val="none" w:sz="0" w:space="0" w:color="auto"/>
              </w:divBdr>
              <w:divsChild>
                <w:div w:id="377634524">
                  <w:marLeft w:val="0"/>
                  <w:marRight w:val="0"/>
                  <w:marTop w:val="0"/>
                  <w:marBottom w:val="0"/>
                  <w:divBdr>
                    <w:top w:val="none" w:sz="0" w:space="0" w:color="auto"/>
                    <w:left w:val="none" w:sz="0" w:space="0" w:color="auto"/>
                    <w:bottom w:val="none" w:sz="0" w:space="0" w:color="auto"/>
                    <w:right w:val="none" w:sz="0" w:space="0" w:color="auto"/>
                  </w:divBdr>
                </w:div>
              </w:divsChild>
            </w:div>
            <w:div w:id="421606692">
              <w:marLeft w:val="0"/>
              <w:marRight w:val="0"/>
              <w:marTop w:val="0"/>
              <w:marBottom w:val="0"/>
              <w:divBdr>
                <w:top w:val="none" w:sz="0" w:space="0" w:color="auto"/>
                <w:left w:val="none" w:sz="0" w:space="0" w:color="auto"/>
                <w:bottom w:val="none" w:sz="0" w:space="0" w:color="auto"/>
                <w:right w:val="none" w:sz="0" w:space="0" w:color="auto"/>
              </w:divBdr>
              <w:divsChild>
                <w:div w:id="1824813375">
                  <w:marLeft w:val="0"/>
                  <w:marRight w:val="0"/>
                  <w:marTop w:val="0"/>
                  <w:marBottom w:val="0"/>
                  <w:divBdr>
                    <w:top w:val="none" w:sz="0" w:space="0" w:color="auto"/>
                    <w:left w:val="none" w:sz="0" w:space="0" w:color="auto"/>
                    <w:bottom w:val="none" w:sz="0" w:space="0" w:color="auto"/>
                    <w:right w:val="none" w:sz="0" w:space="0" w:color="auto"/>
                  </w:divBdr>
                </w:div>
              </w:divsChild>
            </w:div>
            <w:div w:id="525099730">
              <w:marLeft w:val="0"/>
              <w:marRight w:val="0"/>
              <w:marTop w:val="0"/>
              <w:marBottom w:val="0"/>
              <w:divBdr>
                <w:top w:val="none" w:sz="0" w:space="0" w:color="auto"/>
                <w:left w:val="none" w:sz="0" w:space="0" w:color="auto"/>
                <w:bottom w:val="none" w:sz="0" w:space="0" w:color="auto"/>
                <w:right w:val="none" w:sz="0" w:space="0" w:color="auto"/>
              </w:divBdr>
              <w:divsChild>
                <w:div w:id="1626426904">
                  <w:marLeft w:val="0"/>
                  <w:marRight w:val="0"/>
                  <w:marTop w:val="0"/>
                  <w:marBottom w:val="0"/>
                  <w:divBdr>
                    <w:top w:val="none" w:sz="0" w:space="0" w:color="auto"/>
                    <w:left w:val="none" w:sz="0" w:space="0" w:color="auto"/>
                    <w:bottom w:val="none" w:sz="0" w:space="0" w:color="auto"/>
                    <w:right w:val="none" w:sz="0" w:space="0" w:color="auto"/>
                  </w:divBdr>
                </w:div>
              </w:divsChild>
            </w:div>
            <w:div w:id="695889799">
              <w:marLeft w:val="0"/>
              <w:marRight w:val="0"/>
              <w:marTop w:val="0"/>
              <w:marBottom w:val="0"/>
              <w:divBdr>
                <w:top w:val="none" w:sz="0" w:space="0" w:color="auto"/>
                <w:left w:val="none" w:sz="0" w:space="0" w:color="auto"/>
                <w:bottom w:val="none" w:sz="0" w:space="0" w:color="auto"/>
                <w:right w:val="none" w:sz="0" w:space="0" w:color="auto"/>
              </w:divBdr>
              <w:divsChild>
                <w:div w:id="1411610430">
                  <w:marLeft w:val="0"/>
                  <w:marRight w:val="0"/>
                  <w:marTop w:val="0"/>
                  <w:marBottom w:val="0"/>
                  <w:divBdr>
                    <w:top w:val="none" w:sz="0" w:space="0" w:color="auto"/>
                    <w:left w:val="none" w:sz="0" w:space="0" w:color="auto"/>
                    <w:bottom w:val="none" w:sz="0" w:space="0" w:color="auto"/>
                    <w:right w:val="none" w:sz="0" w:space="0" w:color="auto"/>
                  </w:divBdr>
                </w:div>
              </w:divsChild>
            </w:div>
            <w:div w:id="719598305">
              <w:marLeft w:val="0"/>
              <w:marRight w:val="0"/>
              <w:marTop w:val="0"/>
              <w:marBottom w:val="0"/>
              <w:divBdr>
                <w:top w:val="none" w:sz="0" w:space="0" w:color="auto"/>
                <w:left w:val="none" w:sz="0" w:space="0" w:color="auto"/>
                <w:bottom w:val="none" w:sz="0" w:space="0" w:color="auto"/>
                <w:right w:val="none" w:sz="0" w:space="0" w:color="auto"/>
              </w:divBdr>
              <w:divsChild>
                <w:div w:id="1208487998">
                  <w:marLeft w:val="0"/>
                  <w:marRight w:val="0"/>
                  <w:marTop w:val="0"/>
                  <w:marBottom w:val="0"/>
                  <w:divBdr>
                    <w:top w:val="none" w:sz="0" w:space="0" w:color="auto"/>
                    <w:left w:val="none" w:sz="0" w:space="0" w:color="auto"/>
                    <w:bottom w:val="none" w:sz="0" w:space="0" w:color="auto"/>
                    <w:right w:val="none" w:sz="0" w:space="0" w:color="auto"/>
                  </w:divBdr>
                </w:div>
              </w:divsChild>
            </w:div>
            <w:div w:id="913976584">
              <w:marLeft w:val="0"/>
              <w:marRight w:val="0"/>
              <w:marTop w:val="0"/>
              <w:marBottom w:val="0"/>
              <w:divBdr>
                <w:top w:val="none" w:sz="0" w:space="0" w:color="auto"/>
                <w:left w:val="none" w:sz="0" w:space="0" w:color="auto"/>
                <w:bottom w:val="none" w:sz="0" w:space="0" w:color="auto"/>
                <w:right w:val="none" w:sz="0" w:space="0" w:color="auto"/>
              </w:divBdr>
              <w:divsChild>
                <w:div w:id="600456992">
                  <w:marLeft w:val="0"/>
                  <w:marRight w:val="0"/>
                  <w:marTop w:val="0"/>
                  <w:marBottom w:val="0"/>
                  <w:divBdr>
                    <w:top w:val="none" w:sz="0" w:space="0" w:color="auto"/>
                    <w:left w:val="none" w:sz="0" w:space="0" w:color="auto"/>
                    <w:bottom w:val="none" w:sz="0" w:space="0" w:color="auto"/>
                    <w:right w:val="none" w:sz="0" w:space="0" w:color="auto"/>
                  </w:divBdr>
                </w:div>
              </w:divsChild>
            </w:div>
            <w:div w:id="973484464">
              <w:marLeft w:val="0"/>
              <w:marRight w:val="0"/>
              <w:marTop w:val="0"/>
              <w:marBottom w:val="0"/>
              <w:divBdr>
                <w:top w:val="none" w:sz="0" w:space="0" w:color="auto"/>
                <w:left w:val="none" w:sz="0" w:space="0" w:color="auto"/>
                <w:bottom w:val="none" w:sz="0" w:space="0" w:color="auto"/>
                <w:right w:val="none" w:sz="0" w:space="0" w:color="auto"/>
              </w:divBdr>
              <w:divsChild>
                <w:div w:id="720590005">
                  <w:marLeft w:val="0"/>
                  <w:marRight w:val="0"/>
                  <w:marTop w:val="0"/>
                  <w:marBottom w:val="0"/>
                  <w:divBdr>
                    <w:top w:val="none" w:sz="0" w:space="0" w:color="auto"/>
                    <w:left w:val="none" w:sz="0" w:space="0" w:color="auto"/>
                    <w:bottom w:val="none" w:sz="0" w:space="0" w:color="auto"/>
                    <w:right w:val="none" w:sz="0" w:space="0" w:color="auto"/>
                  </w:divBdr>
                </w:div>
              </w:divsChild>
            </w:div>
            <w:div w:id="992102317">
              <w:marLeft w:val="0"/>
              <w:marRight w:val="0"/>
              <w:marTop w:val="0"/>
              <w:marBottom w:val="0"/>
              <w:divBdr>
                <w:top w:val="none" w:sz="0" w:space="0" w:color="auto"/>
                <w:left w:val="none" w:sz="0" w:space="0" w:color="auto"/>
                <w:bottom w:val="none" w:sz="0" w:space="0" w:color="auto"/>
                <w:right w:val="none" w:sz="0" w:space="0" w:color="auto"/>
              </w:divBdr>
              <w:divsChild>
                <w:div w:id="1277325094">
                  <w:marLeft w:val="0"/>
                  <w:marRight w:val="0"/>
                  <w:marTop w:val="0"/>
                  <w:marBottom w:val="0"/>
                  <w:divBdr>
                    <w:top w:val="none" w:sz="0" w:space="0" w:color="auto"/>
                    <w:left w:val="none" w:sz="0" w:space="0" w:color="auto"/>
                    <w:bottom w:val="none" w:sz="0" w:space="0" w:color="auto"/>
                    <w:right w:val="none" w:sz="0" w:space="0" w:color="auto"/>
                  </w:divBdr>
                </w:div>
              </w:divsChild>
            </w:div>
            <w:div w:id="1026059307">
              <w:marLeft w:val="0"/>
              <w:marRight w:val="0"/>
              <w:marTop w:val="0"/>
              <w:marBottom w:val="0"/>
              <w:divBdr>
                <w:top w:val="none" w:sz="0" w:space="0" w:color="auto"/>
                <w:left w:val="none" w:sz="0" w:space="0" w:color="auto"/>
                <w:bottom w:val="none" w:sz="0" w:space="0" w:color="auto"/>
                <w:right w:val="none" w:sz="0" w:space="0" w:color="auto"/>
              </w:divBdr>
              <w:divsChild>
                <w:div w:id="616987958">
                  <w:marLeft w:val="0"/>
                  <w:marRight w:val="0"/>
                  <w:marTop w:val="0"/>
                  <w:marBottom w:val="0"/>
                  <w:divBdr>
                    <w:top w:val="none" w:sz="0" w:space="0" w:color="auto"/>
                    <w:left w:val="none" w:sz="0" w:space="0" w:color="auto"/>
                    <w:bottom w:val="none" w:sz="0" w:space="0" w:color="auto"/>
                    <w:right w:val="none" w:sz="0" w:space="0" w:color="auto"/>
                  </w:divBdr>
                </w:div>
              </w:divsChild>
            </w:div>
            <w:div w:id="1033923093">
              <w:marLeft w:val="0"/>
              <w:marRight w:val="0"/>
              <w:marTop w:val="0"/>
              <w:marBottom w:val="0"/>
              <w:divBdr>
                <w:top w:val="none" w:sz="0" w:space="0" w:color="auto"/>
                <w:left w:val="none" w:sz="0" w:space="0" w:color="auto"/>
                <w:bottom w:val="none" w:sz="0" w:space="0" w:color="auto"/>
                <w:right w:val="none" w:sz="0" w:space="0" w:color="auto"/>
              </w:divBdr>
              <w:divsChild>
                <w:div w:id="783503470">
                  <w:marLeft w:val="0"/>
                  <w:marRight w:val="0"/>
                  <w:marTop w:val="0"/>
                  <w:marBottom w:val="0"/>
                  <w:divBdr>
                    <w:top w:val="none" w:sz="0" w:space="0" w:color="auto"/>
                    <w:left w:val="none" w:sz="0" w:space="0" w:color="auto"/>
                    <w:bottom w:val="none" w:sz="0" w:space="0" w:color="auto"/>
                    <w:right w:val="none" w:sz="0" w:space="0" w:color="auto"/>
                  </w:divBdr>
                </w:div>
              </w:divsChild>
            </w:div>
            <w:div w:id="1038362290">
              <w:marLeft w:val="0"/>
              <w:marRight w:val="0"/>
              <w:marTop w:val="0"/>
              <w:marBottom w:val="0"/>
              <w:divBdr>
                <w:top w:val="none" w:sz="0" w:space="0" w:color="auto"/>
                <w:left w:val="none" w:sz="0" w:space="0" w:color="auto"/>
                <w:bottom w:val="none" w:sz="0" w:space="0" w:color="auto"/>
                <w:right w:val="none" w:sz="0" w:space="0" w:color="auto"/>
              </w:divBdr>
              <w:divsChild>
                <w:div w:id="42949093">
                  <w:marLeft w:val="0"/>
                  <w:marRight w:val="0"/>
                  <w:marTop w:val="0"/>
                  <w:marBottom w:val="0"/>
                  <w:divBdr>
                    <w:top w:val="none" w:sz="0" w:space="0" w:color="auto"/>
                    <w:left w:val="none" w:sz="0" w:space="0" w:color="auto"/>
                    <w:bottom w:val="none" w:sz="0" w:space="0" w:color="auto"/>
                    <w:right w:val="none" w:sz="0" w:space="0" w:color="auto"/>
                  </w:divBdr>
                </w:div>
              </w:divsChild>
            </w:div>
            <w:div w:id="1090195733">
              <w:marLeft w:val="0"/>
              <w:marRight w:val="0"/>
              <w:marTop w:val="0"/>
              <w:marBottom w:val="0"/>
              <w:divBdr>
                <w:top w:val="none" w:sz="0" w:space="0" w:color="auto"/>
                <w:left w:val="none" w:sz="0" w:space="0" w:color="auto"/>
                <w:bottom w:val="none" w:sz="0" w:space="0" w:color="auto"/>
                <w:right w:val="none" w:sz="0" w:space="0" w:color="auto"/>
              </w:divBdr>
              <w:divsChild>
                <w:div w:id="23530028">
                  <w:marLeft w:val="0"/>
                  <w:marRight w:val="0"/>
                  <w:marTop w:val="0"/>
                  <w:marBottom w:val="0"/>
                  <w:divBdr>
                    <w:top w:val="none" w:sz="0" w:space="0" w:color="auto"/>
                    <w:left w:val="none" w:sz="0" w:space="0" w:color="auto"/>
                    <w:bottom w:val="none" w:sz="0" w:space="0" w:color="auto"/>
                    <w:right w:val="none" w:sz="0" w:space="0" w:color="auto"/>
                  </w:divBdr>
                </w:div>
              </w:divsChild>
            </w:div>
            <w:div w:id="1198812512">
              <w:marLeft w:val="0"/>
              <w:marRight w:val="0"/>
              <w:marTop w:val="0"/>
              <w:marBottom w:val="0"/>
              <w:divBdr>
                <w:top w:val="none" w:sz="0" w:space="0" w:color="auto"/>
                <w:left w:val="none" w:sz="0" w:space="0" w:color="auto"/>
                <w:bottom w:val="none" w:sz="0" w:space="0" w:color="auto"/>
                <w:right w:val="none" w:sz="0" w:space="0" w:color="auto"/>
              </w:divBdr>
              <w:divsChild>
                <w:div w:id="1198589707">
                  <w:marLeft w:val="0"/>
                  <w:marRight w:val="0"/>
                  <w:marTop w:val="0"/>
                  <w:marBottom w:val="0"/>
                  <w:divBdr>
                    <w:top w:val="none" w:sz="0" w:space="0" w:color="auto"/>
                    <w:left w:val="none" w:sz="0" w:space="0" w:color="auto"/>
                    <w:bottom w:val="none" w:sz="0" w:space="0" w:color="auto"/>
                    <w:right w:val="none" w:sz="0" w:space="0" w:color="auto"/>
                  </w:divBdr>
                </w:div>
              </w:divsChild>
            </w:div>
            <w:div w:id="1257979662">
              <w:marLeft w:val="0"/>
              <w:marRight w:val="0"/>
              <w:marTop w:val="0"/>
              <w:marBottom w:val="0"/>
              <w:divBdr>
                <w:top w:val="none" w:sz="0" w:space="0" w:color="auto"/>
                <w:left w:val="none" w:sz="0" w:space="0" w:color="auto"/>
                <w:bottom w:val="none" w:sz="0" w:space="0" w:color="auto"/>
                <w:right w:val="none" w:sz="0" w:space="0" w:color="auto"/>
              </w:divBdr>
              <w:divsChild>
                <w:div w:id="1302922169">
                  <w:marLeft w:val="0"/>
                  <w:marRight w:val="0"/>
                  <w:marTop w:val="0"/>
                  <w:marBottom w:val="0"/>
                  <w:divBdr>
                    <w:top w:val="none" w:sz="0" w:space="0" w:color="auto"/>
                    <w:left w:val="none" w:sz="0" w:space="0" w:color="auto"/>
                    <w:bottom w:val="none" w:sz="0" w:space="0" w:color="auto"/>
                    <w:right w:val="none" w:sz="0" w:space="0" w:color="auto"/>
                  </w:divBdr>
                </w:div>
              </w:divsChild>
            </w:div>
            <w:div w:id="1306550828">
              <w:marLeft w:val="0"/>
              <w:marRight w:val="0"/>
              <w:marTop w:val="0"/>
              <w:marBottom w:val="0"/>
              <w:divBdr>
                <w:top w:val="none" w:sz="0" w:space="0" w:color="auto"/>
                <w:left w:val="none" w:sz="0" w:space="0" w:color="auto"/>
                <w:bottom w:val="none" w:sz="0" w:space="0" w:color="auto"/>
                <w:right w:val="none" w:sz="0" w:space="0" w:color="auto"/>
              </w:divBdr>
              <w:divsChild>
                <w:div w:id="1749158905">
                  <w:marLeft w:val="0"/>
                  <w:marRight w:val="0"/>
                  <w:marTop w:val="0"/>
                  <w:marBottom w:val="0"/>
                  <w:divBdr>
                    <w:top w:val="none" w:sz="0" w:space="0" w:color="auto"/>
                    <w:left w:val="none" w:sz="0" w:space="0" w:color="auto"/>
                    <w:bottom w:val="none" w:sz="0" w:space="0" w:color="auto"/>
                    <w:right w:val="none" w:sz="0" w:space="0" w:color="auto"/>
                  </w:divBdr>
                </w:div>
              </w:divsChild>
            </w:div>
            <w:div w:id="1456101348">
              <w:marLeft w:val="0"/>
              <w:marRight w:val="0"/>
              <w:marTop w:val="0"/>
              <w:marBottom w:val="0"/>
              <w:divBdr>
                <w:top w:val="none" w:sz="0" w:space="0" w:color="auto"/>
                <w:left w:val="none" w:sz="0" w:space="0" w:color="auto"/>
                <w:bottom w:val="none" w:sz="0" w:space="0" w:color="auto"/>
                <w:right w:val="none" w:sz="0" w:space="0" w:color="auto"/>
              </w:divBdr>
              <w:divsChild>
                <w:div w:id="1873036385">
                  <w:marLeft w:val="0"/>
                  <w:marRight w:val="0"/>
                  <w:marTop w:val="0"/>
                  <w:marBottom w:val="0"/>
                  <w:divBdr>
                    <w:top w:val="none" w:sz="0" w:space="0" w:color="auto"/>
                    <w:left w:val="none" w:sz="0" w:space="0" w:color="auto"/>
                    <w:bottom w:val="none" w:sz="0" w:space="0" w:color="auto"/>
                    <w:right w:val="none" w:sz="0" w:space="0" w:color="auto"/>
                  </w:divBdr>
                </w:div>
              </w:divsChild>
            </w:div>
            <w:div w:id="1472136780">
              <w:marLeft w:val="0"/>
              <w:marRight w:val="0"/>
              <w:marTop w:val="0"/>
              <w:marBottom w:val="0"/>
              <w:divBdr>
                <w:top w:val="none" w:sz="0" w:space="0" w:color="auto"/>
                <w:left w:val="none" w:sz="0" w:space="0" w:color="auto"/>
                <w:bottom w:val="none" w:sz="0" w:space="0" w:color="auto"/>
                <w:right w:val="none" w:sz="0" w:space="0" w:color="auto"/>
              </w:divBdr>
              <w:divsChild>
                <w:div w:id="1711294785">
                  <w:marLeft w:val="0"/>
                  <w:marRight w:val="0"/>
                  <w:marTop w:val="0"/>
                  <w:marBottom w:val="0"/>
                  <w:divBdr>
                    <w:top w:val="none" w:sz="0" w:space="0" w:color="auto"/>
                    <w:left w:val="none" w:sz="0" w:space="0" w:color="auto"/>
                    <w:bottom w:val="none" w:sz="0" w:space="0" w:color="auto"/>
                    <w:right w:val="none" w:sz="0" w:space="0" w:color="auto"/>
                  </w:divBdr>
                </w:div>
              </w:divsChild>
            </w:div>
            <w:div w:id="1502234195">
              <w:marLeft w:val="0"/>
              <w:marRight w:val="0"/>
              <w:marTop w:val="0"/>
              <w:marBottom w:val="0"/>
              <w:divBdr>
                <w:top w:val="none" w:sz="0" w:space="0" w:color="auto"/>
                <w:left w:val="none" w:sz="0" w:space="0" w:color="auto"/>
                <w:bottom w:val="none" w:sz="0" w:space="0" w:color="auto"/>
                <w:right w:val="none" w:sz="0" w:space="0" w:color="auto"/>
              </w:divBdr>
              <w:divsChild>
                <w:div w:id="1723937885">
                  <w:marLeft w:val="0"/>
                  <w:marRight w:val="0"/>
                  <w:marTop w:val="0"/>
                  <w:marBottom w:val="0"/>
                  <w:divBdr>
                    <w:top w:val="none" w:sz="0" w:space="0" w:color="auto"/>
                    <w:left w:val="none" w:sz="0" w:space="0" w:color="auto"/>
                    <w:bottom w:val="none" w:sz="0" w:space="0" w:color="auto"/>
                    <w:right w:val="none" w:sz="0" w:space="0" w:color="auto"/>
                  </w:divBdr>
                </w:div>
              </w:divsChild>
            </w:div>
            <w:div w:id="1508059764">
              <w:marLeft w:val="0"/>
              <w:marRight w:val="0"/>
              <w:marTop w:val="0"/>
              <w:marBottom w:val="0"/>
              <w:divBdr>
                <w:top w:val="none" w:sz="0" w:space="0" w:color="auto"/>
                <w:left w:val="none" w:sz="0" w:space="0" w:color="auto"/>
                <w:bottom w:val="none" w:sz="0" w:space="0" w:color="auto"/>
                <w:right w:val="none" w:sz="0" w:space="0" w:color="auto"/>
              </w:divBdr>
              <w:divsChild>
                <w:div w:id="1646660524">
                  <w:marLeft w:val="0"/>
                  <w:marRight w:val="0"/>
                  <w:marTop w:val="0"/>
                  <w:marBottom w:val="0"/>
                  <w:divBdr>
                    <w:top w:val="none" w:sz="0" w:space="0" w:color="auto"/>
                    <w:left w:val="none" w:sz="0" w:space="0" w:color="auto"/>
                    <w:bottom w:val="none" w:sz="0" w:space="0" w:color="auto"/>
                    <w:right w:val="none" w:sz="0" w:space="0" w:color="auto"/>
                  </w:divBdr>
                </w:div>
              </w:divsChild>
            </w:div>
            <w:div w:id="1572353893">
              <w:marLeft w:val="0"/>
              <w:marRight w:val="0"/>
              <w:marTop w:val="0"/>
              <w:marBottom w:val="0"/>
              <w:divBdr>
                <w:top w:val="none" w:sz="0" w:space="0" w:color="auto"/>
                <w:left w:val="none" w:sz="0" w:space="0" w:color="auto"/>
                <w:bottom w:val="none" w:sz="0" w:space="0" w:color="auto"/>
                <w:right w:val="none" w:sz="0" w:space="0" w:color="auto"/>
              </w:divBdr>
              <w:divsChild>
                <w:div w:id="1102990490">
                  <w:marLeft w:val="0"/>
                  <w:marRight w:val="0"/>
                  <w:marTop w:val="0"/>
                  <w:marBottom w:val="0"/>
                  <w:divBdr>
                    <w:top w:val="none" w:sz="0" w:space="0" w:color="auto"/>
                    <w:left w:val="none" w:sz="0" w:space="0" w:color="auto"/>
                    <w:bottom w:val="none" w:sz="0" w:space="0" w:color="auto"/>
                    <w:right w:val="none" w:sz="0" w:space="0" w:color="auto"/>
                  </w:divBdr>
                </w:div>
              </w:divsChild>
            </w:div>
            <w:div w:id="1617372451">
              <w:marLeft w:val="0"/>
              <w:marRight w:val="0"/>
              <w:marTop w:val="0"/>
              <w:marBottom w:val="0"/>
              <w:divBdr>
                <w:top w:val="none" w:sz="0" w:space="0" w:color="auto"/>
                <w:left w:val="none" w:sz="0" w:space="0" w:color="auto"/>
                <w:bottom w:val="none" w:sz="0" w:space="0" w:color="auto"/>
                <w:right w:val="none" w:sz="0" w:space="0" w:color="auto"/>
              </w:divBdr>
              <w:divsChild>
                <w:div w:id="245382341">
                  <w:marLeft w:val="0"/>
                  <w:marRight w:val="0"/>
                  <w:marTop w:val="0"/>
                  <w:marBottom w:val="0"/>
                  <w:divBdr>
                    <w:top w:val="none" w:sz="0" w:space="0" w:color="auto"/>
                    <w:left w:val="none" w:sz="0" w:space="0" w:color="auto"/>
                    <w:bottom w:val="none" w:sz="0" w:space="0" w:color="auto"/>
                    <w:right w:val="none" w:sz="0" w:space="0" w:color="auto"/>
                  </w:divBdr>
                </w:div>
              </w:divsChild>
            </w:div>
            <w:div w:id="1708530013">
              <w:marLeft w:val="0"/>
              <w:marRight w:val="0"/>
              <w:marTop w:val="0"/>
              <w:marBottom w:val="0"/>
              <w:divBdr>
                <w:top w:val="none" w:sz="0" w:space="0" w:color="auto"/>
                <w:left w:val="none" w:sz="0" w:space="0" w:color="auto"/>
                <w:bottom w:val="none" w:sz="0" w:space="0" w:color="auto"/>
                <w:right w:val="none" w:sz="0" w:space="0" w:color="auto"/>
              </w:divBdr>
              <w:divsChild>
                <w:div w:id="1128888308">
                  <w:marLeft w:val="0"/>
                  <w:marRight w:val="0"/>
                  <w:marTop w:val="0"/>
                  <w:marBottom w:val="0"/>
                  <w:divBdr>
                    <w:top w:val="none" w:sz="0" w:space="0" w:color="auto"/>
                    <w:left w:val="none" w:sz="0" w:space="0" w:color="auto"/>
                    <w:bottom w:val="none" w:sz="0" w:space="0" w:color="auto"/>
                    <w:right w:val="none" w:sz="0" w:space="0" w:color="auto"/>
                  </w:divBdr>
                </w:div>
              </w:divsChild>
            </w:div>
            <w:div w:id="1729915679">
              <w:marLeft w:val="0"/>
              <w:marRight w:val="0"/>
              <w:marTop w:val="0"/>
              <w:marBottom w:val="0"/>
              <w:divBdr>
                <w:top w:val="none" w:sz="0" w:space="0" w:color="auto"/>
                <w:left w:val="none" w:sz="0" w:space="0" w:color="auto"/>
                <w:bottom w:val="none" w:sz="0" w:space="0" w:color="auto"/>
                <w:right w:val="none" w:sz="0" w:space="0" w:color="auto"/>
              </w:divBdr>
              <w:divsChild>
                <w:div w:id="622808679">
                  <w:marLeft w:val="0"/>
                  <w:marRight w:val="0"/>
                  <w:marTop w:val="0"/>
                  <w:marBottom w:val="0"/>
                  <w:divBdr>
                    <w:top w:val="none" w:sz="0" w:space="0" w:color="auto"/>
                    <w:left w:val="none" w:sz="0" w:space="0" w:color="auto"/>
                    <w:bottom w:val="none" w:sz="0" w:space="0" w:color="auto"/>
                    <w:right w:val="none" w:sz="0" w:space="0" w:color="auto"/>
                  </w:divBdr>
                </w:div>
              </w:divsChild>
            </w:div>
            <w:div w:id="1820687417">
              <w:marLeft w:val="0"/>
              <w:marRight w:val="0"/>
              <w:marTop w:val="0"/>
              <w:marBottom w:val="0"/>
              <w:divBdr>
                <w:top w:val="none" w:sz="0" w:space="0" w:color="auto"/>
                <w:left w:val="none" w:sz="0" w:space="0" w:color="auto"/>
                <w:bottom w:val="none" w:sz="0" w:space="0" w:color="auto"/>
                <w:right w:val="none" w:sz="0" w:space="0" w:color="auto"/>
              </w:divBdr>
              <w:divsChild>
                <w:div w:id="689989278">
                  <w:marLeft w:val="0"/>
                  <w:marRight w:val="0"/>
                  <w:marTop w:val="0"/>
                  <w:marBottom w:val="0"/>
                  <w:divBdr>
                    <w:top w:val="none" w:sz="0" w:space="0" w:color="auto"/>
                    <w:left w:val="none" w:sz="0" w:space="0" w:color="auto"/>
                    <w:bottom w:val="none" w:sz="0" w:space="0" w:color="auto"/>
                    <w:right w:val="none" w:sz="0" w:space="0" w:color="auto"/>
                  </w:divBdr>
                </w:div>
              </w:divsChild>
            </w:div>
            <w:div w:id="1823692778">
              <w:marLeft w:val="0"/>
              <w:marRight w:val="0"/>
              <w:marTop w:val="0"/>
              <w:marBottom w:val="0"/>
              <w:divBdr>
                <w:top w:val="none" w:sz="0" w:space="0" w:color="auto"/>
                <w:left w:val="none" w:sz="0" w:space="0" w:color="auto"/>
                <w:bottom w:val="none" w:sz="0" w:space="0" w:color="auto"/>
                <w:right w:val="none" w:sz="0" w:space="0" w:color="auto"/>
              </w:divBdr>
              <w:divsChild>
                <w:div w:id="320282465">
                  <w:marLeft w:val="0"/>
                  <w:marRight w:val="0"/>
                  <w:marTop w:val="0"/>
                  <w:marBottom w:val="0"/>
                  <w:divBdr>
                    <w:top w:val="none" w:sz="0" w:space="0" w:color="auto"/>
                    <w:left w:val="none" w:sz="0" w:space="0" w:color="auto"/>
                    <w:bottom w:val="none" w:sz="0" w:space="0" w:color="auto"/>
                    <w:right w:val="none" w:sz="0" w:space="0" w:color="auto"/>
                  </w:divBdr>
                </w:div>
              </w:divsChild>
            </w:div>
            <w:div w:id="1928540752">
              <w:marLeft w:val="0"/>
              <w:marRight w:val="0"/>
              <w:marTop w:val="0"/>
              <w:marBottom w:val="0"/>
              <w:divBdr>
                <w:top w:val="none" w:sz="0" w:space="0" w:color="auto"/>
                <w:left w:val="none" w:sz="0" w:space="0" w:color="auto"/>
                <w:bottom w:val="none" w:sz="0" w:space="0" w:color="auto"/>
                <w:right w:val="none" w:sz="0" w:space="0" w:color="auto"/>
              </w:divBdr>
              <w:divsChild>
                <w:div w:id="1188448547">
                  <w:marLeft w:val="0"/>
                  <w:marRight w:val="0"/>
                  <w:marTop w:val="0"/>
                  <w:marBottom w:val="0"/>
                  <w:divBdr>
                    <w:top w:val="none" w:sz="0" w:space="0" w:color="auto"/>
                    <w:left w:val="none" w:sz="0" w:space="0" w:color="auto"/>
                    <w:bottom w:val="none" w:sz="0" w:space="0" w:color="auto"/>
                    <w:right w:val="none" w:sz="0" w:space="0" w:color="auto"/>
                  </w:divBdr>
                </w:div>
              </w:divsChild>
            </w:div>
            <w:div w:id="2073120065">
              <w:marLeft w:val="0"/>
              <w:marRight w:val="0"/>
              <w:marTop w:val="0"/>
              <w:marBottom w:val="0"/>
              <w:divBdr>
                <w:top w:val="none" w:sz="0" w:space="0" w:color="auto"/>
                <w:left w:val="none" w:sz="0" w:space="0" w:color="auto"/>
                <w:bottom w:val="none" w:sz="0" w:space="0" w:color="auto"/>
                <w:right w:val="none" w:sz="0" w:space="0" w:color="auto"/>
              </w:divBdr>
              <w:divsChild>
                <w:div w:id="709572465">
                  <w:marLeft w:val="0"/>
                  <w:marRight w:val="0"/>
                  <w:marTop w:val="0"/>
                  <w:marBottom w:val="0"/>
                  <w:divBdr>
                    <w:top w:val="none" w:sz="0" w:space="0" w:color="auto"/>
                    <w:left w:val="none" w:sz="0" w:space="0" w:color="auto"/>
                    <w:bottom w:val="none" w:sz="0" w:space="0" w:color="auto"/>
                    <w:right w:val="none" w:sz="0" w:space="0" w:color="auto"/>
                  </w:divBdr>
                </w:div>
              </w:divsChild>
            </w:div>
            <w:div w:id="2077513266">
              <w:marLeft w:val="0"/>
              <w:marRight w:val="0"/>
              <w:marTop w:val="0"/>
              <w:marBottom w:val="0"/>
              <w:divBdr>
                <w:top w:val="none" w:sz="0" w:space="0" w:color="auto"/>
                <w:left w:val="none" w:sz="0" w:space="0" w:color="auto"/>
                <w:bottom w:val="none" w:sz="0" w:space="0" w:color="auto"/>
                <w:right w:val="none" w:sz="0" w:space="0" w:color="auto"/>
              </w:divBdr>
              <w:divsChild>
                <w:div w:id="12741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7207">
      <w:bodyDiv w:val="1"/>
      <w:marLeft w:val="0"/>
      <w:marRight w:val="0"/>
      <w:marTop w:val="0"/>
      <w:marBottom w:val="0"/>
      <w:divBdr>
        <w:top w:val="none" w:sz="0" w:space="0" w:color="auto"/>
        <w:left w:val="none" w:sz="0" w:space="0" w:color="auto"/>
        <w:bottom w:val="none" w:sz="0" w:space="0" w:color="auto"/>
        <w:right w:val="none" w:sz="0" w:space="0" w:color="auto"/>
      </w:divBdr>
      <w:divsChild>
        <w:div w:id="1333602057">
          <w:marLeft w:val="0"/>
          <w:marRight w:val="0"/>
          <w:marTop w:val="0"/>
          <w:marBottom w:val="0"/>
          <w:divBdr>
            <w:top w:val="none" w:sz="0" w:space="0" w:color="auto"/>
            <w:left w:val="none" w:sz="0" w:space="0" w:color="auto"/>
            <w:bottom w:val="none" w:sz="0" w:space="0" w:color="auto"/>
            <w:right w:val="none" w:sz="0" w:space="0" w:color="auto"/>
          </w:divBdr>
        </w:div>
        <w:div w:id="1741715023">
          <w:marLeft w:val="0"/>
          <w:marRight w:val="0"/>
          <w:marTop w:val="0"/>
          <w:marBottom w:val="0"/>
          <w:divBdr>
            <w:top w:val="none" w:sz="0" w:space="0" w:color="auto"/>
            <w:left w:val="none" w:sz="0" w:space="0" w:color="auto"/>
            <w:bottom w:val="none" w:sz="0" w:space="0" w:color="auto"/>
            <w:right w:val="none" w:sz="0" w:space="0" w:color="auto"/>
          </w:divBdr>
        </w:div>
      </w:divsChild>
    </w:div>
    <w:div w:id="561673773">
      <w:bodyDiv w:val="1"/>
      <w:marLeft w:val="0"/>
      <w:marRight w:val="0"/>
      <w:marTop w:val="0"/>
      <w:marBottom w:val="0"/>
      <w:divBdr>
        <w:top w:val="none" w:sz="0" w:space="0" w:color="auto"/>
        <w:left w:val="none" w:sz="0" w:space="0" w:color="auto"/>
        <w:bottom w:val="none" w:sz="0" w:space="0" w:color="auto"/>
        <w:right w:val="none" w:sz="0" w:space="0" w:color="auto"/>
      </w:divBdr>
      <w:divsChild>
        <w:div w:id="205340628">
          <w:marLeft w:val="0"/>
          <w:marRight w:val="0"/>
          <w:marTop w:val="0"/>
          <w:marBottom w:val="0"/>
          <w:divBdr>
            <w:top w:val="none" w:sz="0" w:space="0" w:color="auto"/>
            <w:left w:val="none" w:sz="0" w:space="0" w:color="auto"/>
            <w:bottom w:val="none" w:sz="0" w:space="0" w:color="auto"/>
            <w:right w:val="none" w:sz="0" w:space="0" w:color="auto"/>
          </w:divBdr>
        </w:div>
        <w:div w:id="1060519471">
          <w:marLeft w:val="0"/>
          <w:marRight w:val="0"/>
          <w:marTop w:val="0"/>
          <w:marBottom w:val="0"/>
          <w:divBdr>
            <w:top w:val="none" w:sz="0" w:space="0" w:color="auto"/>
            <w:left w:val="none" w:sz="0" w:space="0" w:color="auto"/>
            <w:bottom w:val="none" w:sz="0" w:space="0" w:color="auto"/>
            <w:right w:val="none" w:sz="0" w:space="0" w:color="auto"/>
          </w:divBdr>
        </w:div>
      </w:divsChild>
    </w:div>
    <w:div w:id="648100727">
      <w:bodyDiv w:val="1"/>
      <w:marLeft w:val="0"/>
      <w:marRight w:val="0"/>
      <w:marTop w:val="0"/>
      <w:marBottom w:val="0"/>
      <w:divBdr>
        <w:top w:val="none" w:sz="0" w:space="0" w:color="auto"/>
        <w:left w:val="none" w:sz="0" w:space="0" w:color="auto"/>
        <w:bottom w:val="none" w:sz="0" w:space="0" w:color="auto"/>
        <w:right w:val="none" w:sz="0" w:space="0" w:color="auto"/>
      </w:divBdr>
    </w:div>
    <w:div w:id="675767152">
      <w:bodyDiv w:val="1"/>
      <w:marLeft w:val="0"/>
      <w:marRight w:val="0"/>
      <w:marTop w:val="0"/>
      <w:marBottom w:val="0"/>
      <w:divBdr>
        <w:top w:val="none" w:sz="0" w:space="0" w:color="auto"/>
        <w:left w:val="none" w:sz="0" w:space="0" w:color="auto"/>
        <w:bottom w:val="none" w:sz="0" w:space="0" w:color="auto"/>
        <w:right w:val="none" w:sz="0" w:space="0" w:color="auto"/>
      </w:divBdr>
    </w:div>
    <w:div w:id="689843819">
      <w:bodyDiv w:val="1"/>
      <w:marLeft w:val="0"/>
      <w:marRight w:val="0"/>
      <w:marTop w:val="0"/>
      <w:marBottom w:val="0"/>
      <w:divBdr>
        <w:top w:val="none" w:sz="0" w:space="0" w:color="auto"/>
        <w:left w:val="none" w:sz="0" w:space="0" w:color="auto"/>
        <w:bottom w:val="none" w:sz="0" w:space="0" w:color="auto"/>
        <w:right w:val="none" w:sz="0" w:space="0" w:color="auto"/>
      </w:divBdr>
      <w:divsChild>
        <w:div w:id="448671156">
          <w:marLeft w:val="0"/>
          <w:marRight w:val="0"/>
          <w:marTop w:val="0"/>
          <w:marBottom w:val="0"/>
          <w:divBdr>
            <w:top w:val="none" w:sz="0" w:space="0" w:color="auto"/>
            <w:left w:val="none" w:sz="0" w:space="0" w:color="auto"/>
            <w:bottom w:val="none" w:sz="0" w:space="0" w:color="auto"/>
            <w:right w:val="none" w:sz="0" w:space="0" w:color="auto"/>
          </w:divBdr>
        </w:div>
        <w:div w:id="1522933359">
          <w:marLeft w:val="0"/>
          <w:marRight w:val="0"/>
          <w:marTop w:val="0"/>
          <w:marBottom w:val="0"/>
          <w:divBdr>
            <w:top w:val="none" w:sz="0" w:space="0" w:color="auto"/>
            <w:left w:val="none" w:sz="0" w:space="0" w:color="auto"/>
            <w:bottom w:val="none" w:sz="0" w:space="0" w:color="auto"/>
            <w:right w:val="none" w:sz="0" w:space="0" w:color="auto"/>
          </w:divBdr>
        </w:div>
      </w:divsChild>
    </w:div>
    <w:div w:id="769207390">
      <w:bodyDiv w:val="1"/>
      <w:marLeft w:val="0"/>
      <w:marRight w:val="0"/>
      <w:marTop w:val="0"/>
      <w:marBottom w:val="0"/>
      <w:divBdr>
        <w:top w:val="none" w:sz="0" w:space="0" w:color="auto"/>
        <w:left w:val="none" w:sz="0" w:space="0" w:color="auto"/>
        <w:bottom w:val="none" w:sz="0" w:space="0" w:color="auto"/>
        <w:right w:val="none" w:sz="0" w:space="0" w:color="auto"/>
      </w:divBdr>
    </w:div>
    <w:div w:id="775175195">
      <w:bodyDiv w:val="1"/>
      <w:marLeft w:val="0"/>
      <w:marRight w:val="0"/>
      <w:marTop w:val="0"/>
      <w:marBottom w:val="0"/>
      <w:divBdr>
        <w:top w:val="none" w:sz="0" w:space="0" w:color="auto"/>
        <w:left w:val="none" w:sz="0" w:space="0" w:color="auto"/>
        <w:bottom w:val="none" w:sz="0" w:space="0" w:color="auto"/>
        <w:right w:val="none" w:sz="0" w:space="0" w:color="auto"/>
      </w:divBdr>
      <w:divsChild>
        <w:div w:id="211771387">
          <w:marLeft w:val="0"/>
          <w:marRight w:val="0"/>
          <w:marTop w:val="0"/>
          <w:marBottom w:val="0"/>
          <w:divBdr>
            <w:top w:val="none" w:sz="0" w:space="0" w:color="auto"/>
            <w:left w:val="none" w:sz="0" w:space="0" w:color="auto"/>
            <w:bottom w:val="none" w:sz="0" w:space="0" w:color="auto"/>
            <w:right w:val="none" w:sz="0" w:space="0" w:color="auto"/>
          </w:divBdr>
        </w:div>
        <w:div w:id="1075586108">
          <w:marLeft w:val="0"/>
          <w:marRight w:val="0"/>
          <w:marTop w:val="0"/>
          <w:marBottom w:val="0"/>
          <w:divBdr>
            <w:top w:val="none" w:sz="0" w:space="0" w:color="auto"/>
            <w:left w:val="none" w:sz="0" w:space="0" w:color="auto"/>
            <w:bottom w:val="none" w:sz="0" w:space="0" w:color="auto"/>
            <w:right w:val="none" w:sz="0" w:space="0" w:color="auto"/>
          </w:divBdr>
        </w:div>
        <w:div w:id="1945645937">
          <w:marLeft w:val="0"/>
          <w:marRight w:val="0"/>
          <w:marTop w:val="0"/>
          <w:marBottom w:val="0"/>
          <w:divBdr>
            <w:top w:val="none" w:sz="0" w:space="0" w:color="auto"/>
            <w:left w:val="none" w:sz="0" w:space="0" w:color="auto"/>
            <w:bottom w:val="none" w:sz="0" w:space="0" w:color="auto"/>
            <w:right w:val="none" w:sz="0" w:space="0" w:color="auto"/>
          </w:divBdr>
        </w:div>
      </w:divsChild>
    </w:div>
    <w:div w:id="786119067">
      <w:bodyDiv w:val="1"/>
      <w:marLeft w:val="0"/>
      <w:marRight w:val="0"/>
      <w:marTop w:val="0"/>
      <w:marBottom w:val="0"/>
      <w:divBdr>
        <w:top w:val="none" w:sz="0" w:space="0" w:color="auto"/>
        <w:left w:val="none" w:sz="0" w:space="0" w:color="auto"/>
        <w:bottom w:val="none" w:sz="0" w:space="0" w:color="auto"/>
        <w:right w:val="none" w:sz="0" w:space="0" w:color="auto"/>
      </w:divBdr>
      <w:divsChild>
        <w:div w:id="131291815">
          <w:marLeft w:val="0"/>
          <w:marRight w:val="0"/>
          <w:marTop w:val="0"/>
          <w:marBottom w:val="0"/>
          <w:divBdr>
            <w:top w:val="none" w:sz="0" w:space="0" w:color="auto"/>
            <w:left w:val="none" w:sz="0" w:space="0" w:color="auto"/>
            <w:bottom w:val="none" w:sz="0" w:space="0" w:color="auto"/>
            <w:right w:val="none" w:sz="0" w:space="0" w:color="auto"/>
          </w:divBdr>
        </w:div>
        <w:div w:id="202326962">
          <w:marLeft w:val="0"/>
          <w:marRight w:val="0"/>
          <w:marTop w:val="0"/>
          <w:marBottom w:val="0"/>
          <w:divBdr>
            <w:top w:val="none" w:sz="0" w:space="0" w:color="auto"/>
            <w:left w:val="none" w:sz="0" w:space="0" w:color="auto"/>
            <w:bottom w:val="none" w:sz="0" w:space="0" w:color="auto"/>
            <w:right w:val="none" w:sz="0" w:space="0" w:color="auto"/>
          </w:divBdr>
        </w:div>
        <w:div w:id="389622060">
          <w:marLeft w:val="0"/>
          <w:marRight w:val="0"/>
          <w:marTop w:val="0"/>
          <w:marBottom w:val="0"/>
          <w:divBdr>
            <w:top w:val="none" w:sz="0" w:space="0" w:color="auto"/>
            <w:left w:val="none" w:sz="0" w:space="0" w:color="auto"/>
            <w:bottom w:val="none" w:sz="0" w:space="0" w:color="auto"/>
            <w:right w:val="none" w:sz="0" w:space="0" w:color="auto"/>
          </w:divBdr>
        </w:div>
        <w:div w:id="1027876644">
          <w:marLeft w:val="0"/>
          <w:marRight w:val="0"/>
          <w:marTop w:val="0"/>
          <w:marBottom w:val="0"/>
          <w:divBdr>
            <w:top w:val="none" w:sz="0" w:space="0" w:color="auto"/>
            <w:left w:val="none" w:sz="0" w:space="0" w:color="auto"/>
            <w:bottom w:val="none" w:sz="0" w:space="0" w:color="auto"/>
            <w:right w:val="none" w:sz="0" w:space="0" w:color="auto"/>
          </w:divBdr>
        </w:div>
        <w:div w:id="1638222082">
          <w:marLeft w:val="0"/>
          <w:marRight w:val="0"/>
          <w:marTop w:val="0"/>
          <w:marBottom w:val="0"/>
          <w:divBdr>
            <w:top w:val="none" w:sz="0" w:space="0" w:color="auto"/>
            <w:left w:val="none" w:sz="0" w:space="0" w:color="auto"/>
            <w:bottom w:val="none" w:sz="0" w:space="0" w:color="auto"/>
            <w:right w:val="none" w:sz="0" w:space="0" w:color="auto"/>
          </w:divBdr>
        </w:div>
        <w:div w:id="1719162268">
          <w:marLeft w:val="0"/>
          <w:marRight w:val="0"/>
          <w:marTop w:val="0"/>
          <w:marBottom w:val="0"/>
          <w:divBdr>
            <w:top w:val="none" w:sz="0" w:space="0" w:color="auto"/>
            <w:left w:val="none" w:sz="0" w:space="0" w:color="auto"/>
            <w:bottom w:val="none" w:sz="0" w:space="0" w:color="auto"/>
            <w:right w:val="none" w:sz="0" w:space="0" w:color="auto"/>
          </w:divBdr>
        </w:div>
        <w:div w:id="1962497121">
          <w:marLeft w:val="0"/>
          <w:marRight w:val="0"/>
          <w:marTop w:val="0"/>
          <w:marBottom w:val="0"/>
          <w:divBdr>
            <w:top w:val="none" w:sz="0" w:space="0" w:color="auto"/>
            <w:left w:val="none" w:sz="0" w:space="0" w:color="auto"/>
            <w:bottom w:val="none" w:sz="0" w:space="0" w:color="auto"/>
            <w:right w:val="none" w:sz="0" w:space="0" w:color="auto"/>
          </w:divBdr>
        </w:div>
        <w:div w:id="2004970695">
          <w:marLeft w:val="0"/>
          <w:marRight w:val="0"/>
          <w:marTop w:val="0"/>
          <w:marBottom w:val="0"/>
          <w:divBdr>
            <w:top w:val="none" w:sz="0" w:space="0" w:color="auto"/>
            <w:left w:val="none" w:sz="0" w:space="0" w:color="auto"/>
            <w:bottom w:val="none" w:sz="0" w:space="0" w:color="auto"/>
            <w:right w:val="none" w:sz="0" w:space="0" w:color="auto"/>
          </w:divBdr>
        </w:div>
      </w:divsChild>
    </w:div>
    <w:div w:id="806632739">
      <w:bodyDiv w:val="1"/>
      <w:marLeft w:val="0"/>
      <w:marRight w:val="0"/>
      <w:marTop w:val="0"/>
      <w:marBottom w:val="0"/>
      <w:divBdr>
        <w:top w:val="none" w:sz="0" w:space="0" w:color="auto"/>
        <w:left w:val="none" w:sz="0" w:space="0" w:color="auto"/>
        <w:bottom w:val="none" w:sz="0" w:space="0" w:color="auto"/>
        <w:right w:val="none" w:sz="0" w:space="0" w:color="auto"/>
      </w:divBdr>
    </w:div>
    <w:div w:id="848645060">
      <w:bodyDiv w:val="1"/>
      <w:marLeft w:val="0"/>
      <w:marRight w:val="0"/>
      <w:marTop w:val="0"/>
      <w:marBottom w:val="0"/>
      <w:divBdr>
        <w:top w:val="none" w:sz="0" w:space="0" w:color="auto"/>
        <w:left w:val="none" w:sz="0" w:space="0" w:color="auto"/>
        <w:bottom w:val="none" w:sz="0" w:space="0" w:color="auto"/>
        <w:right w:val="none" w:sz="0" w:space="0" w:color="auto"/>
      </w:divBdr>
      <w:divsChild>
        <w:div w:id="646054824">
          <w:marLeft w:val="0"/>
          <w:marRight w:val="0"/>
          <w:marTop w:val="0"/>
          <w:marBottom w:val="0"/>
          <w:divBdr>
            <w:top w:val="none" w:sz="0" w:space="0" w:color="auto"/>
            <w:left w:val="none" w:sz="0" w:space="0" w:color="auto"/>
            <w:bottom w:val="none" w:sz="0" w:space="0" w:color="auto"/>
            <w:right w:val="none" w:sz="0" w:space="0" w:color="auto"/>
          </w:divBdr>
        </w:div>
        <w:div w:id="910500103">
          <w:marLeft w:val="0"/>
          <w:marRight w:val="0"/>
          <w:marTop w:val="0"/>
          <w:marBottom w:val="0"/>
          <w:divBdr>
            <w:top w:val="none" w:sz="0" w:space="0" w:color="auto"/>
            <w:left w:val="none" w:sz="0" w:space="0" w:color="auto"/>
            <w:bottom w:val="none" w:sz="0" w:space="0" w:color="auto"/>
            <w:right w:val="none" w:sz="0" w:space="0" w:color="auto"/>
          </w:divBdr>
        </w:div>
        <w:div w:id="1410733002">
          <w:marLeft w:val="0"/>
          <w:marRight w:val="0"/>
          <w:marTop w:val="0"/>
          <w:marBottom w:val="0"/>
          <w:divBdr>
            <w:top w:val="none" w:sz="0" w:space="0" w:color="auto"/>
            <w:left w:val="none" w:sz="0" w:space="0" w:color="auto"/>
            <w:bottom w:val="none" w:sz="0" w:space="0" w:color="auto"/>
            <w:right w:val="none" w:sz="0" w:space="0" w:color="auto"/>
          </w:divBdr>
        </w:div>
        <w:div w:id="2047365130">
          <w:marLeft w:val="0"/>
          <w:marRight w:val="0"/>
          <w:marTop w:val="0"/>
          <w:marBottom w:val="0"/>
          <w:divBdr>
            <w:top w:val="none" w:sz="0" w:space="0" w:color="auto"/>
            <w:left w:val="none" w:sz="0" w:space="0" w:color="auto"/>
            <w:bottom w:val="none" w:sz="0" w:space="0" w:color="auto"/>
            <w:right w:val="none" w:sz="0" w:space="0" w:color="auto"/>
          </w:divBdr>
          <w:divsChild>
            <w:div w:id="11227477">
              <w:marLeft w:val="0"/>
              <w:marRight w:val="0"/>
              <w:marTop w:val="0"/>
              <w:marBottom w:val="0"/>
              <w:divBdr>
                <w:top w:val="none" w:sz="0" w:space="0" w:color="auto"/>
                <w:left w:val="none" w:sz="0" w:space="0" w:color="auto"/>
                <w:bottom w:val="none" w:sz="0" w:space="0" w:color="auto"/>
                <w:right w:val="none" w:sz="0" w:space="0" w:color="auto"/>
              </w:divBdr>
            </w:div>
            <w:div w:id="14045968">
              <w:marLeft w:val="0"/>
              <w:marRight w:val="0"/>
              <w:marTop w:val="0"/>
              <w:marBottom w:val="0"/>
              <w:divBdr>
                <w:top w:val="none" w:sz="0" w:space="0" w:color="auto"/>
                <w:left w:val="none" w:sz="0" w:space="0" w:color="auto"/>
                <w:bottom w:val="none" w:sz="0" w:space="0" w:color="auto"/>
                <w:right w:val="none" w:sz="0" w:space="0" w:color="auto"/>
              </w:divBdr>
            </w:div>
            <w:div w:id="253710397">
              <w:marLeft w:val="0"/>
              <w:marRight w:val="0"/>
              <w:marTop w:val="0"/>
              <w:marBottom w:val="0"/>
              <w:divBdr>
                <w:top w:val="none" w:sz="0" w:space="0" w:color="auto"/>
                <w:left w:val="none" w:sz="0" w:space="0" w:color="auto"/>
                <w:bottom w:val="none" w:sz="0" w:space="0" w:color="auto"/>
                <w:right w:val="none" w:sz="0" w:space="0" w:color="auto"/>
              </w:divBdr>
            </w:div>
            <w:div w:id="361126194">
              <w:marLeft w:val="0"/>
              <w:marRight w:val="0"/>
              <w:marTop w:val="0"/>
              <w:marBottom w:val="0"/>
              <w:divBdr>
                <w:top w:val="none" w:sz="0" w:space="0" w:color="auto"/>
                <w:left w:val="none" w:sz="0" w:space="0" w:color="auto"/>
                <w:bottom w:val="none" w:sz="0" w:space="0" w:color="auto"/>
                <w:right w:val="none" w:sz="0" w:space="0" w:color="auto"/>
              </w:divBdr>
            </w:div>
            <w:div w:id="482435397">
              <w:marLeft w:val="0"/>
              <w:marRight w:val="0"/>
              <w:marTop w:val="0"/>
              <w:marBottom w:val="0"/>
              <w:divBdr>
                <w:top w:val="none" w:sz="0" w:space="0" w:color="auto"/>
                <w:left w:val="none" w:sz="0" w:space="0" w:color="auto"/>
                <w:bottom w:val="none" w:sz="0" w:space="0" w:color="auto"/>
                <w:right w:val="none" w:sz="0" w:space="0" w:color="auto"/>
              </w:divBdr>
            </w:div>
            <w:div w:id="610481315">
              <w:marLeft w:val="0"/>
              <w:marRight w:val="0"/>
              <w:marTop w:val="0"/>
              <w:marBottom w:val="0"/>
              <w:divBdr>
                <w:top w:val="none" w:sz="0" w:space="0" w:color="auto"/>
                <w:left w:val="none" w:sz="0" w:space="0" w:color="auto"/>
                <w:bottom w:val="none" w:sz="0" w:space="0" w:color="auto"/>
                <w:right w:val="none" w:sz="0" w:space="0" w:color="auto"/>
              </w:divBdr>
            </w:div>
            <w:div w:id="1081757621">
              <w:marLeft w:val="0"/>
              <w:marRight w:val="0"/>
              <w:marTop w:val="0"/>
              <w:marBottom w:val="0"/>
              <w:divBdr>
                <w:top w:val="none" w:sz="0" w:space="0" w:color="auto"/>
                <w:left w:val="none" w:sz="0" w:space="0" w:color="auto"/>
                <w:bottom w:val="none" w:sz="0" w:space="0" w:color="auto"/>
                <w:right w:val="none" w:sz="0" w:space="0" w:color="auto"/>
              </w:divBdr>
            </w:div>
            <w:div w:id="1133866761">
              <w:marLeft w:val="0"/>
              <w:marRight w:val="0"/>
              <w:marTop w:val="0"/>
              <w:marBottom w:val="0"/>
              <w:divBdr>
                <w:top w:val="none" w:sz="0" w:space="0" w:color="auto"/>
                <w:left w:val="none" w:sz="0" w:space="0" w:color="auto"/>
                <w:bottom w:val="none" w:sz="0" w:space="0" w:color="auto"/>
                <w:right w:val="none" w:sz="0" w:space="0" w:color="auto"/>
              </w:divBdr>
            </w:div>
            <w:div w:id="1202472537">
              <w:marLeft w:val="0"/>
              <w:marRight w:val="0"/>
              <w:marTop w:val="0"/>
              <w:marBottom w:val="0"/>
              <w:divBdr>
                <w:top w:val="none" w:sz="0" w:space="0" w:color="auto"/>
                <w:left w:val="none" w:sz="0" w:space="0" w:color="auto"/>
                <w:bottom w:val="none" w:sz="0" w:space="0" w:color="auto"/>
                <w:right w:val="none" w:sz="0" w:space="0" w:color="auto"/>
              </w:divBdr>
            </w:div>
            <w:div w:id="1230994224">
              <w:marLeft w:val="0"/>
              <w:marRight w:val="0"/>
              <w:marTop w:val="0"/>
              <w:marBottom w:val="0"/>
              <w:divBdr>
                <w:top w:val="none" w:sz="0" w:space="0" w:color="auto"/>
                <w:left w:val="none" w:sz="0" w:space="0" w:color="auto"/>
                <w:bottom w:val="none" w:sz="0" w:space="0" w:color="auto"/>
                <w:right w:val="none" w:sz="0" w:space="0" w:color="auto"/>
              </w:divBdr>
            </w:div>
            <w:div w:id="1274098123">
              <w:marLeft w:val="0"/>
              <w:marRight w:val="0"/>
              <w:marTop w:val="0"/>
              <w:marBottom w:val="0"/>
              <w:divBdr>
                <w:top w:val="none" w:sz="0" w:space="0" w:color="auto"/>
                <w:left w:val="none" w:sz="0" w:space="0" w:color="auto"/>
                <w:bottom w:val="none" w:sz="0" w:space="0" w:color="auto"/>
                <w:right w:val="none" w:sz="0" w:space="0" w:color="auto"/>
              </w:divBdr>
            </w:div>
            <w:div w:id="1441877788">
              <w:marLeft w:val="0"/>
              <w:marRight w:val="0"/>
              <w:marTop w:val="0"/>
              <w:marBottom w:val="0"/>
              <w:divBdr>
                <w:top w:val="none" w:sz="0" w:space="0" w:color="auto"/>
                <w:left w:val="none" w:sz="0" w:space="0" w:color="auto"/>
                <w:bottom w:val="none" w:sz="0" w:space="0" w:color="auto"/>
                <w:right w:val="none" w:sz="0" w:space="0" w:color="auto"/>
              </w:divBdr>
            </w:div>
            <w:div w:id="1558396462">
              <w:marLeft w:val="0"/>
              <w:marRight w:val="0"/>
              <w:marTop w:val="0"/>
              <w:marBottom w:val="0"/>
              <w:divBdr>
                <w:top w:val="none" w:sz="0" w:space="0" w:color="auto"/>
                <w:left w:val="none" w:sz="0" w:space="0" w:color="auto"/>
                <w:bottom w:val="none" w:sz="0" w:space="0" w:color="auto"/>
                <w:right w:val="none" w:sz="0" w:space="0" w:color="auto"/>
              </w:divBdr>
            </w:div>
            <w:div w:id="1608196862">
              <w:marLeft w:val="0"/>
              <w:marRight w:val="0"/>
              <w:marTop w:val="0"/>
              <w:marBottom w:val="0"/>
              <w:divBdr>
                <w:top w:val="none" w:sz="0" w:space="0" w:color="auto"/>
                <w:left w:val="none" w:sz="0" w:space="0" w:color="auto"/>
                <w:bottom w:val="none" w:sz="0" w:space="0" w:color="auto"/>
                <w:right w:val="none" w:sz="0" w:space="0" w:color="auto"/>
              </w:divBdr>
            </w:div>
            <w:div w:id="1679237825">
              <w:marLeft w:val="0"/>
              <w:marRight w:val="0"/>
              <w:marTop w:val="0"/>
              <w:marBottom w:val="0"/>
              <w:divBdr>
                <w:top w:val="none" w:sz="0" w:space="0" w:color="auto"/>
                <w:left w:val="none" w:sz="0" w:space="0" w:color="auto"/>
                <w:bottom w:val="none" w:sz="0" w:space="0" w:color="auto"/>
                <w:right w:val="none" w:sz="0" w:space="0" w:color="auto"/>
              </w:divBdr>
            </w:div>
            <w:div w:id="2009794338">
              <w:marLeft w:val="0"/>
              <w:marRight w:val="0"/>
              <w:marTop w:val="0"/>
              <w:marBottom w:val="0"/>
              <w:divBdr>
                <w:top w:val="none" w:sz="0" w:space="0" w:color="auto"/>
                <w:left w:val="none" w:sz="0" w:space="0" w:color="auto"/>
                <w:bottom w:val="none" w:sz="0" w:space="0" w:color="auto"/>
                <w:right w:val="none" w:sz="0" w:space="0" w:color="auto"/>
              </w:divBdr>
            </w:div>
            <w:div w:id="20129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2545">
      <w:bodyDiv w:val="1"/>
      <w:marLeft w:val="0"/>
      <w:marRight w:val="0"/>
      <w:marTop w:val="0"/>
      <w:marBottom w:val="0"/>
      <w:divBdr>
        <w:top w:val="none" w:sz="0" w:space="0" w:color="auto"/>
        <w:left w:val="none" w:sz="0" w:space="0" w:color="auto"/>
        <w:bottom w:val="none" w:sz="0" w:space="0" w:color="auto"/>
        <w:right w:val="none" w:sz="0" w:space="0" w:color="auto"/>
      </w:divBdr>
    </w:div>
    <w:div w:id="867639225">
      <w:bodyDiv w:val="1"/>
      <w:marLeft w:val="0"/>
      <w:marRight w:val="0"/>
      <w:marTop w:val="0"/>
      <w:marBottom w:val="0"/>
      <w:divBdr>
        <w:top w:val="none" w:sz="0" w:space="0" w:color="auto"/>
        <w:left w:val="none" w:sz="0" w:space="0" w:color="auto"/>
        <w:bottom w:val="none" w:sz="0" w:space="0" w:color="auto"/>
        <w:right w:val="none" w:sz="0" w:space="0" w:color="auto"/>
      </w:divBdr>
      <w:divsChild>
        <w:div w:id="807669351">
          <w:marLeft w:val="0"/>
          <w:marRight w:val="0"/>
          <w:marTop w:val="0"/>
          <w:marBottom w:val="0"/>
          <w:divBdr>
            <w:top w:val="none" w:sz="0" w:space="0" w:color="auto"/>
            <w:left w:val="none" w:sz="0" w:space="0" w:color="auto"/>
            <w:bottom w:val="none" w:sz="0" w:space="0" w:color="auto"/>
            <w:right w:val="none" w:sz="0" w:space="0" w:color="auto"/>
          </w:divBdr>
        </w:div>
        <w:div w:id="1000234200">
          <w:marLeft w:val="0"/>
          <w:marRight w:val="0"/>
          <w:marTop w:val="0"/>
          <w:marBottom w:val="0"/>
          <w:divBdr>
            <w:top w:val="none" w:sz="0" w:space="0" w:color="auto"/>
            <w:left w:val="none" w:sz="0" w:space="0" w:color="auto"/>
            <w:bottom w:val="none" w:sz="0" w:space="0" w:color="auto"/>
            <w:right w:val="none" w:sz="0" w:space="0" w:color="auto"/>
          </w:divBdr>
        </w:div>
        <w:div w:id="1161237984">
          <w:marLeft w:val="0"/>
          <w:marRight w:val="0"/>
          <w:marTop w:val="0"/>
          <w:marBottom w:val="0"/>
          <w:divBdr>
            <w:top w:val="none" w:sz="0" w:space="0" w:color="auto"/>
            <w:left w:val="none" w:sz="0" w:space="0" w:color="auto"/>
            <w:bottom w:val="none" w:sz="0" w:space="0" w:color="auto"/>
            <w:right w:val="none" w:sz="0" w:space="0" w:color="auto"/>
          </w:divBdr>
        </w:div>
        <w:div w:id="1183973589">
          <w:marLeft w:val="0"/>
          <w:marRight w:val="0"/>
          <w:marTop w:val="0"/>
          <w:marBottom w:val="0"/>
          <w:divBdr>
            <w:top w:val="none" w:sz="0" w:space="0" w:color="auto"/>
            <w:left w:val="none" w:sz="0" w:space="0" w:color="auto"/>
            <w:bottom w:val="none" w:sz="0" w:space="0" w:color="auto"/>
            <w:right w:val="none" w:sz="0" w:space="0" w:color="auto"/>
          </w:divBdr>
        </w:div>
        <w:div w:id="1326782674">
          <w:marLeft w:val="0"/>
          <w:marRight w:val="0"/>
          <w:marTop w:val="0"/>
          <w:marBottom w:val="0"/>
          <w:divBdr>
            <w:top w:val="none" w:sz="0" w:space="0" w:color="auto"/>
            <w:left w:val="none" w:sz="0" w:space="0" w:color="auto"/>
            <w:bottom w:val="none" w:sz="0" w:space="0" w:color="auto"/>
            <w:right w:val="none" w:sz="0" w:space="0" w:color="auto"/>
          </w:divBdr>
        </w:div>
        <w:div w:id="1555963899">
          <w:marLeft w:val="0"/>
          <w:marRight w:val="0"/>
          <w:marTop w:val="0"/>
          <w:marBottom w:val="0"/>
          <w:divBdr>
            <w:top w:val="none" w:sz="0" w:space="0" w:color="auto"/>
            <w:left w:val="none" w:sz="0" w:space="0" w:color="auto"/>
            <w:bottom w:val="none" w:sz="0" w:space="0" w:color="auto"/>
            <w:right w:val="none" w:sz="0" w:space="0" w:color="auto"/>
          </w:divBdr>
        </w:div>
        <w:div w:id="1944337090">
          <w:marLeft w:val="0"/>
          <w:marRight w:val="0"/>
          <w:marTop w:val="0"/>
          <w:marBottom w:val="0"/>
          <w:divBdr>
            <w:top w:val="none" w:sz="0" w:space="0" w:color="auto"/>
            <w:left w:val="none" w:sz="0" w:space="0" w:color="auto"/>
            <w:bottom w:val="none" w:sz="0" w:space="0" w:color="auto"/>
            <w:right w:val="none" w:sz="0" w:space="0" w:color="auto"/>
          </w:divBdr>
        </w:div>
      </w:divsChild>
    </w:div>
    <w:div w:id="930970487">
      <w:bodyDiv w:val="1"/>
      <w:marLeft w:val="0"/>
      <w:marRight w:val="0"/>
      <w:marTop w:val="0"/>
      <w:marBottom w:val="0"/>
      <w:divBdr>
        <w:top w:val="none" w:sz="0" w:space="0" w:color="auto"/>
        <w:left w:val="none" w:sz="0" w:space="0" w:color="auto"/>
        <w:bottom w:val="none" w:sz="0" w:space="0" w:color="auto"/>
        <w:right w:val="none" w:sz="0" w:space="0" w:color="auto"/>
      </w:divBdr>
      <w:divsChild>
        <w:div w:id="890383234">
          <w:marLeft w:val="0"/>
          <w:marRight w:val="0"/>
          <w:marTop w:val="0"/>
          <w:marBottom w:val="0"/>
          <w:divBdr>
            <w:top w:val="none" w:sz="0" w:space="0" w:color="auto"/>
            <w:left w:val="none" w:sz="0" w:space="0" w:color="auto"/>
            <w:bottom w:val="none" w:sz="0" w:space="0" w:color="auto"/>
            <w:right w:val="none" w:sz="0" w:space="0" w:color="auto"/>
          </w:divBdr>
          <w:divsChild>
            <w:div w:id="112213933">
              <w:marLeft w:val="0"/>
              <w:marRight w:val="0"/>
              <w:marTop w:val="0"/>
              <w:marBottom w:val="0"/>
              <w:divBdr>
                <w:top w:val="none" w:sz="0" w:space="0" w:color="auto"/>
                <w:left w:val="none" w:sz="0" w:space="0" w:color="auto"/>
                <w:bottom w:val="none" w:sz="0" w:space="0" w:color="auto"/>
                <w:right w:val="none" w:sz="0" w:space="0" w:color="auto"/>
              </w:divBdr>
              <w:divsChild>
                <w:div w:id="1873955769">
                  <w:marLeft w:val="0"/>
                  <w:marRight w:val="0"/>
                  <w:marTop w:val="0"/>
                  <w:marBottom w:val="0"/>
                  <w:divBdr>
                    <w:top w:val="none" w:sz="0" w:space="0" w:color="auto"/>
                    <w:left w:val="none" w:sz="0" w:space="0" w:color="auto"/>
                    <w:bottom w:val="none" w:sz="0" w:space="0" w:color="auto"/>
                    <w:right w:val="none" w:sz="0" w:space="0" w:color="auto"/>
                  </w:divBdr>
                </w:div>
              </w:divsChild>
            </w:div>
            <w:div w:id="115955604">
              <w:marLeft w:val="0"/>
              <w:marRight w:val="0"/>
              <w:marTop w:val="0"/>
              <w:marBottom w:val="0"/>
              <w:divBdr>
                <w:top w:val="none" w:sz="0" w:space="0" w:color="auto"/>
                <w:left w:val="none" w:sz="0" w:space="0" w:color="auto"/>
                <w:bottom w:val="none" w:sz="0" w:space="0" w:color="auto"/>
                <w:right w:val="none" w:sz="0" w:space="0" w:color="auto"/>
              </w:divBdr>
              <w:divsChild>
                <w:div w:id="764301524">
                  <w:marLeft w:val="0"/>
                  <w:marRight w:val="0"/>
                  <w:marTop w:val="0"/>
                  <w:marBottom w:val="0"/>
                  <w:divBdr>
                    <w:top w:val="none" w:sz="0" w:space="0" w:color="auto"/>
                    <w:left w:val="none" w:sz="0" w:space="0" w:color="auto"/>
                    <w:bottom w:val="none" w:sz="0" w:space="0" w:color="auto"/>
                    <w:right w:val="none" w:sz="0" w:space="0" w:color="auto"/>
                  </w:divBdr>
                </w:div>
              </w:divsChild>
            </w:div>
            <w:div w:id="252663872">
              <w:marLeft w:val="0"/>
              <w:marRight w:val="0"/>
              <w:marTop w:val="0"/>
              <w:marBottom w:val="0"/>
              <w:divBdr>
                <w:top w:val="none" w:sz="0" w:space="0" w:color="auto"/>
                <w:left w:val="none" w:sz="0" w:space="0" w:color="auto"/>
                <w:bottom w:val="none" w:sz="0" w:space="0" w:color="auto"/>
                <w:right w:val="none" w:sz="0" w:space="0" w:color="auto"/>
              </w:divBdr>
              <w:divsChild>
                <w:div w:id="1823545503">
                  <w:marLeft w:val="0"/>
                  <w:marRight w:val="0"/>
                  <w:marTop w:val="0"/>
                  <w:marBottom w:val="0"/>
                  <w:divBdr>
                    <w:top w:val="none" w:sz="0" w:space="0" w:color="auto"/>
                    <w:left w:val="none" w:sz="0" w:space="0" w:color="auto"/>
                    <w:bottom w:val="none" w:sz="0" w:space="0" w:color="auto"/>
                    <w:right w:val="none" w:sz="0" w:space="0" w:color="auto"/>
                  </w:divBdr>
                </w:div>
              </w:divsChild>
            </w:div>
            <w:div w:id="381828117">
              <w:marLeft w:val="0"/>
              <w:marRight w:val="0"/>
              <w:marTop w:val="0"/>
              <w:marBottom w:val="0"/>
              <w:divBdr>
                <w:top w:val="none" w:sz="0" w:space="0" w:color="auto"/>
                <w:left w:val="none" w:sz="0" w:space="0" w:color="auto"/>
                <w:bottom w:val="none" w:sz="0" w:space="0" w:color="auto"/>
                <w:right w:val="none" w:sz="0" w:space="0" w:color="auto"/>
              </w:divBdr>
              <w:divsChild>
                <w:div w:id="1271551670">
                  <w:marLeft w:val="0"/>
                  <w:marRight w:val="0"/>
                  <w:marTop w:val="0"/>
                  <w:marBottom w:val="0"/>
                  <w:divBdr>
                    <w:top w:val="none" w:sz="0" w:space="0" w:color="auto"/>
                    <w:left w:val="none" w:sz="0" w:space="0" w:color="auto"/>
                    <w:bottom w:val="none" w:sz="0" w:space="0" w:color="auto"/>
                    <w:right w:val="none" w:sz="0" w:space="0" w:color="auto"/>
                  </w:divBdr>
                </w:div>
              </w:divsChild>
            </w:div>
            <w:div w:id="471798574">
              <w:marLeft w:val="0"/>
              <w:marRight w:val="0"/>
              <w:marTop w:val="0"/>
              <w:marBottom w:val="0"/>
              <w:divBdr>
                <w:top w:val="none" w:sz="0" w:space="0" w:color="auto"/>
                <w:left w:val="none" w:sz="0" w:space="0" w:color="auto"/>
                <w:bottom w:val="none" w:sz="0" w:space="0" w:color="auto"/>
                <w:right w:val="none" w:sz="0" w:space="0" w:color="auto"/>
              </w:divBdr>
              <w:divsChild>
                <w:div w:id="1837574564">
                  <w:marLeft w:val="0"/>
                  <w:marRight w:val="0"/>
                  <w:marTop w:val="0"/>
                  <w:marBottom w:val="0"/>
                  <w:divBdr>
                    <w:top w:val="none" w:sz="0" w:space="0" w:color="auto"/>
                    <w:left w:val="none" w:sz="0" w:space="0" w:color="auto"/>
                    <w:bottom w:val="none" w:sz="0" w:space="0" w:color="auto"/>
                    <w:right w:val="none" w:sz="0" w:space="0" w:color="auto"/>
                  </w:divBdr>
                </w:div>
              </w:divsChild>
            </w:div>
            <w:div w:id="547108239">
              <w:marLeft w:val="0"/>
              <w:marRight w:val="0"/>
              <w:marTop w:val="0"/>
              <w:marBottom w:val="0"/>
              <w:divBdr>
                <w:top w:val="none" w:sz="0" w:space="0" w:color="auto"/>
                <w:left w:val="none" w:sz="0" w:space="0" w:color="auto"/>
                <w:bottom w:val="none" w:sz="0" w:space="0" w:color="auto"/>
                <w:right w:val="none" w:sz="0" w:space="0" w:color="auto"/>
              </w:divBdr>
              <w:divsChild>
                <w:div w:id="620459641">
                  <w:marLeft w:val="0"/>
                  <w:marRight w:val="0"/>
                  <w:marTop w:val="0"/>
                  <w:marBottom w:val="0"/>
                  <w:divBdr>
                    <w:top w:val="none" w:sz="0" w:space="0" w:color="auto"/>
                    <w:left w:val="none" w:sz="0" w:space="0" w:color="auto"/>
                    <w:bottom w:val="none" w:sz="0" w:space="0" w:color="auto"/>
                    <w:right w:val="none" w:sz="0" w:space="0" w:color="auto"/>
                  </w:divBdr>
                </w:div>
              </w:divsChild>
            </w:div>
            <w:div w:id="617954676">
              <w:marLeft w:val="0"/>
              <w:marRight w:val="0"/>
              <w:marTop w:val="0"/>
              <w:marBottom w:val="0"/>
              <w:divBdr>
                <w:top w:val="none" w:sz="0" w:space="0" w:color="auto"/>
                <w:left w:val="none" w:sz="0" w:space="0" w:color="auto"/>
                <w:bottom w:val="none" w:sz="0" w:space="0" w:color="auto"/>
                <w:right w:val="none" w:sz="0" w:space="0" w:color="auto"/>
              </w:divBdr>
              <w:divsChild>
                <w:div w:id="918946190">
                  <w:marLeft w:val="0"/>
                  <w:marRight w:val="0"/>
                  <w:marTop w:val="0"/>
                  <w:marBottom w:val="0"/>
                  <w:divBdr>
                    <w:top w:val="none" w:sz="0" w:space="0" w:color="auto"/>
                    <w:left w:val="none" w:sz="0" w:space="0" w:color="auto"/>
                    <w:bottom w:val="none" w:sz="0" w:space="0" w:color="auto"/>
                    <w:right w:val="none" w:sz="0" w:space="0" w:color="auto"/>
                  </w:divBdr>
                </w:div>
              </w:divsChild>
            </w:div>
            <w:div w:id="893545768">
              <w:marLeft w:val="0"/>
              <w:marRight w:val="0"/>
              <w:marTop w:val="0"/>
              <w:marBottom w:val="0"/>
              <w:divBdr>
                <w:top w:val="none" w:sz="0" w:space="0" w:color="auto"/>
                <w:left w:val="none" w:sz="0" w:space="0" w:color="auto"/>
                <w:bottom w:val="none" w:sz="0" w:space="0" w:color="auto"/>
                <w:right w:val="none" w:sz="0" w:space="0" w:color="auto"/>
              </w:divBdr>
              <w:divsChild>
                <w:div w:id="1293095091">
                  <w:marLeft w:val="0"/>
                  <w:marRight w:val="0"/>
                  <w:marTop w:val="0"/>
                  <w:marBottom w:val="0"/>
                  <w:divBdr>
                    <w:top w:val="none" w:sz="0" w:space="0" w:color="auto"/>
                    <w:left w:val="none" w:sz="0" w:space="0" w:color="auto"/>
                    <w:bottom w:val="none" w:sz="0" w:space="0" w:color="auto"/>
                    <w:right w:val="none" w:sz="0" w:space="0" w:color="auto"/>
                  </w:divBdr>
                </w:div>
              </w:divsChild>
            </w:div>
            <w:div w:id="1018311287">
              <w:marLeft w:val="0"/>
              <w:marRight w:val="0"/>
              <w:marTop w:val="0"/>
              <w:marBottom w:val="0"/>
              <w:divBdr>
                <w:top w:val="none" w:sz="0" w:space="0" w:color="auto"/>
                <w:left w:val="none" w:sz="0" w:space="0" w:color="auto"/>
                <w:bottom w:val="none" w:sz="0" w:space="0" w:color="auto"/>
                <w:right w:val="none" w:sz="0" w:space="0" w:color="auto"/>
              </w:divBdr>
              <w:divsChild>
                <w:div w:id="1978952813">
                  <w:marLeft w:val="0"/>
                  <w:marRight w:val="0"/>
                  <w:marTop w:val="0"/>
                  <w:marBottom w:val="0"/>
                  <w:divBdr>
                    <w:top w:val="none" w:sz="0" w:space="0" w:color="auto"/>
                    <w:left w:val="none" w:sz="0" w:space="0" w:color="auto"/>
                    <w:bottom w:val="none" w:sz="0" w:space="0" w:color="auto"/>
                    <w:right w:val="none" w:sz="0" w:space="0" w:color="auto"/>
                  </w:divBdr>
                </w:div>
              </w:divsChild>
            </w:div>
            <w:div w:id="1057818401">
              <w:marLeft w:val="0"/>
              <w:marRight w:val="0"/>
              <w:marTop w:val="0"/>
              <w:marBottom w:val="0"/>
              <w:divBdr>
                <w:top w:val="none" w:sz="0" w:space="0" w:color="auto"/>
                <w:left w:val="none" w:sz="0" w:space="0" w:color="auto"/>
                <w:bottom w:val="none" w:sz="0" w:space="0" w:color="auto"/>
                <w:right w:val="none" w:sz="0" w:space="0" w:color="auto"/>
              </w:divBdr>
              <w:divsChild>
                <w:div w:id="1012611591">
                  <w:marLeft w:val="0"/>
                  <w:marRight w:val="0"/>
                  <w:marTop w:val="0"/>
                  <w:marBottom w:val="0"/>
                  <w:divBdr>
                    <w:top w:val="none" w:sz="0" w:space="0" w:color="auto"/>
                    <w:left w:val="none" w:sz="0" w:space="0" w:color="auto"/>
                    <w:bottom w:val="none" w:sz="0" w:space="0" w:color="auto"/>
                    <w:right w:val="none" w:sz="0" w:space="0" w:color="auto"/>
                  </w:divBdr>
                </w:div>
              </w:divsChild>
            </w:div>
            <w:div w:id="1189216678">
              <w:marLeft w:val="0"/>
              <w:marRight w:val="0"/>
              <w:marTop w:val="0"/>
              <w:marBottom w:val="0"/>
              <w:divBdr>
                <w:top w:val="none" w:sz="0" w:space="0" w:color="auto"/>
                <w:left w:val="none" w:sz="0" w:space="0" w:color="auto"/>
                <w:bottom w:val="none" w:sz="0" w:space="0" w:color="auto"/>
                <w:right w:val="none" w:sz="0" w:space="0" w:color="auto"/>
              </w:divBdr>
              <w:divsChild>
                <w:div w:id="1854538253">
                  <w:marLeft w:val="0"/>
                  <w:marRight w:val="0"/>
                  <w:marTop w:val="0"/>
                  <w:marBottom w:val="0"/>
                  <w:divBdr>
                    <w:top w:val="none" w:sz="0" w:space="0" w:color="auto"/>
                    <w:left w:val="none" w:sz="0" w:space="0" w:color="auto"/>
                    <w:bottom w:val="none" w:sz="0" w:space="0" w:color="auto"/>
                    <w:right w:val="none" w:sz="0" w:space="0" w:color="auto"/>
                  </w:divBdr>
                </w:div>
              </w:divsChild>
            </w:div>
            <w:div w:id="1306162976">
              <w:marLeft w:val="0"/>
              <w:marRight w:val="0"/>
              <w:marTop w:val="0"/>
              <w:marBottom w:val="0"/>
              <w:divBdr>
                <w:top w:val="none" w:sz="0" w:space="0" w:color="auto"/>
                <w:left w:val="none" w:sz="0" w:space="0" w:color="auto"/>
                <w:bottom w:val="none" w:sz="0" w:space="0" w:color="auto"/>
                <w:right w:val="none" w:sz="0" w:space="0" w:color="auto"/>
              </w:divBdr>
              <w:divsChild>
                <w:div w:id="1768186172">
                  <w:marLeft w:val="0"/>
                  <w:marRight w:val="0"/>
                  <w:marTop w:val="0"/>
                  <w:marBottom w:val="0"/>
                  <w:divBdr>
                    <w:top w:val="none" w:sz="0" w:space="0" w:color="auto"/>
                    <w:left w:val="none" w:sz="0" w:space="0" w:color="auto"/>
                    <w:bottom w:val="none" w:sz="0" w:space="0" w:color="auto"/>
                    <w:right w:val="none" w:sz="0" w:space="0" w:color="auto"/>
                  </w:divBdr>
                </w:div>
              </w:divsChild>
            </w:div>
            <w:div w:id="1312249801">
              <w:marLeft w:val="0"/>
              <w:marRight w:val="0"/>
              <w:marTop w:val="0"/>
              <w:marBottom w:val="0"/>
              <w:divBdr>
                <w:top w:val="none" w:sz="0" w:space="0" w:color="auto"/>
                <w:left w:val="none" w:sz="0" w:space="0" w:color="auto"/>
                <w:bottom w:val="none" w:sz="0" w:space="0" w:color="auto"/>
                <w:right w:val="none" w:sz="0" w:space="0" w:color="auto"/>
              </w:divBdr>
              <w:divsChild>
                <w:div w:id="1084107224">
                  <w:marLeft w:val="0"/>
                  <w:marRight w:val="0"/>
                  <w:marTop w:val="0"/>
                  <w:marBottom w:val="0"/>
                  <w:divBdr>
                    <w:top w:val="none" w:sz="0" w:space="0" w:color="auto"/>
                    <w:left w:val="none" w:sz="0" w:space="0" w:color="auto"/>
                    <w:bottom w:val="none" w:sz="0" w:space="0" w:color="auto"/>
                    <w:right w:val="none" w:sz="0" w:space="0" w:color="auto"/>
                  </w:divBdr>
                </w:div>
              </w:divsChild>
            </w:div>
            <w:div w:id="1318875002">
              <w:marLeft w:val="0"/>
              <w:marRight w:val="0"/>
              <w:marTop w:val="0"/>
              <w:marBottom w:val="0"/>
              <w:divBdr>
                <w:top w:val="none" w:sz="0" w:space="0" w:color="auto"/>
                <w:left w:val="none" w:sz="0" w:space="0" w:color="auto"/>
                <w:bottom w:val="none" w:sz="0" w:space="0" w:color="auto"/>
                <w:right w:val="none" w:sz="0" w:space="0" w:color="auto"/>
              </w:divBdr>
              <w:divsChild>
                <w:div w:id="1756434335">
                  <w:marLeft w:val="0"/>
                  <w:marRight w:val="0"/>
                  <w:marTop w:val="0"/>
                  <w:marBottom w:val="0"/>
                  <w:divBdr>
                    <w:top w:val="none" w:sz="0" w:space="0" w:color="auto"/>
                    <w:left w:val="none" w:sz="0" w:space="0" w:color="auto"/>
                    <w:bottom w:val="none" w:sz="0" w:space="0" w:color="auto"/>
                    <w:right w:val="none" w:sz="0" w:space="0" w:color="auto"/>
                  </w:divBdr>
                </w:div>
              </w:divsChild>
            </w:div>
            <w:div w:id="1341161463">
              <w:marLeft w:val="0"/>
              <w:marRight w:val="0"/>
              <w:marTop w:val="0"/>
              <w:marBottom w:val="0"/>
              <w:divBdr>
                <w:top w:val="none" w:sz="0" w:space="0" w:color="auto"/>
                <w:left w:val="none" w:sz="0" w:space="0" w:color="auto"/>
                <w:bottom w:val="none" w:sz="0" w:space="0" w:color="auto"/>
                <w:right w:val="none" w:sz="0" w:space="0" w:color="auto"/>
              </w:divBdr>
              <w:divsChild>
                <w:div w:id="287510971">
                  <w:marLeft w:val="0"/>
                  <w:marRight w:val="0"/>
                  <w:marTop w:val="0"/>
                  <w:marBottom w:val="0"/>
                  <w:divBdr>
                    <w:top w:val="none" w:sz="0" w:space="0" w:color="auto"/>
                    <w:left w:val="none" w:sz="0" w:space="0" w:color="auto"/>
                    <w:bottom w:val="none" w:sz="0" w:space="0" w:color="auto"/>
                    <w:right w:val="none" w:sz="0" w:space="0" w:color="auto"/>
                  </w:divBdr>
                </w:div>
              </w:divsChild>
            </w:div>
            <w:div w:id="1364091799">
              <w:marLeft w:val="0"/>
              <w:marRight w:val="0"/>
              <w:marTop w:val="0"/>
              <w:marBottom w:val="0"/>
              <w:divBdr>
                <w:top w:val="none" w:sz="0" w:space="0" w:color="auto"/>
                <w:left w:val="none" w:sz="0" w:space="0" w:color="auto"/>
                <w:bottom w:val="none" w:sz="0" w:space="0" w:color="auto"/>
                <w:right w:val="none" w:sz="0" w:space="0" w:color="auto"/>
              </w:divBdr>
              <w:divsChild>
                <w:div w:id="567888273">
                  <w:marLeft w:val="0"/>
                  <w:marRight w:val="0"/>
                  <w:marTop w:val="0"/>
                  <w:marBottom w:val="0"/>
                  <w:divBdr>
                    <w:top w:val="none" w:sz="0" w:space="0" w:color="auto"/>
                    <w:left w:val="none" w:sz="0" w:space="0" w:color="auto"/>
                    <w:bottom w:val="none" w:sz="0" w:space="0" w:color="auto"/>
                    <w:right w:val="none" w:sz="0" w:space="0" w:color="auto"/>
                  </w:divBdr>
                </w:div>
              </w:divsChild>
            </w:div>
            <w:div w:id="1438600217">
              <w:marLeft w:val="0"/>
              <w:marRight w:val="0"/>
              <w:marTop w:val="0"/>
              <w:marBottom w:val="0"/>
              <w:divBdr>
                <w:top w:val="none" w:sz="0" w:space="0" w:color="auto"/>
                <w:left w:val="none" w:sz="0" w:space="0" w:color="auto"/>
                <w:bottom w:val="none" w:sz="0" w:space="0" w:color="auto"/>
                <w:right w:val="none" w:sz="0" w:space="0" w:color="auto"/>
              </w:divBdr>
              <w:divsChild>
                <w:div w:id="414011817">
                  <w:marLeft w:val="0"/>
                  <w:marRight w:val="0"/>
                  <w:marTop w:val="0"/>
                  <w:marBottom w:val="0"/>
                  <w:divBdr>
                    <w:top w:val="none" w:sz="0" w:space="0" w:color="auto"/>
                    <w:left w:val="none" w:sz="0" w:space="0" w:color="auto"/>
                    <w:bottom w:val="none" w:sz="0" w:space="0" w:color="auto"/>
                    <w:right w:val="none" w:sz="0" w:space="0" w:color="auto"/>
                  </w:divBdr>
                </w:div>
              </w:divsChild>
            </w:div>
            <w:div w:id="1506556314">
              <w:marLeft w:val="0"/>
              <w:marRight w:val="0"/>
              <w:marTop w:val="0"/>
              <w:marBottom w:val="0"/>
              <w:divBdr>
                <w:top w:val="none" w:sz="0" w:space="0" w:color="auto"/>
                <w:left w:val="none" w:sz="0" w:space="0" w:color="auto"/>
                <w:bottom w:val="none" w:sz="0" w:space="0" w:color="auto"/>
                <w:right w:val="none" w:sz="0" w:space="0" w:color="auto"/>
              </w:divBdr>
              <w:divsChild>
                <w:div w:id="1376394101">
                  <w:marLeft w:val="0"/>
                  <w:marRight w:val="0"/>
                  <w:marTop w:val="0"/>
                  <w:marBottom w:val="0"/>
                  <w:divBdr>
                    <w:top w:val="none" w:sz="0" w:space="0" w:color="auto"/>
                    <w:left w:val="none" w:sz="0" w:space="0" w:color="auto"/>
                    <w:bottom w:val="none" w:sz="0" w:space="0" w:color="auto"/>
                    <w:right w:val="none" w:sz="0" w:space="0" w:color="auto"/>
                  </w:divBdr>
                </w:div>
              </w:divsChild>
            </w:div>
            <w:div w:id="1511943979">
              <w:marLeft w:val="0"/>
              <w:marRight w:val="0"/>
              <w:marTop w:val="0"/>
              <w:marBottom w:val="0"/>
              <w:divBdr>
                <w:top w:val="none" w:sz="0" w:space="0" w:color="auto"/>
                <w:left w:val="none" w:sz="0" w:space="0" w:color="auto"/>
                <w:bottom w:val="none" w:sz="0" w:space="0" w:color="auto"/>
                <w:right w:val="none" w:sz="0" w:space="0" w:color="auto"/>
              </w:divBdr>
              <w:divsChild>
                <w:div w:id="2077626285">
                  <w:marLeft w:val="0"/>
                  <w:marRight w:val="0"/>
                  <w:marTop w:val="0"/>
                  <w:marBottom w:val="0"/>
                  <w:divBdr>
                    <w:top w:val="none" w:sz="0" w:space="0" w:color="auto"/>
                    <w:left w:val="none" w:sz="0" w:space="0" w:color="auto"/>
                    <w:bottom w:val="none" w:sz="0" w:space="0" w:color="auto"/>
                    <w:right w:val="none" w:sz="0" w:space="0" w:color="auto"/>
                  </w:divBdr>
                </w:div>
              </w:divsChild>
            </w:div>
            <w:div w:id="1608847901">
              <w:marLeft w:val="0"/>
              <w:marRight w:val="0"/>
              <w:marTop w:val="0"/>
              <w:marBottom w:val="0"/>
              <w:divBdr>
                <w:top w:val="none" w:sz="0" w:space="0" w:color="auto"/>
                <w:left w:val="none" w:sz="0" w:space="0" w:color="auto"/>
                <w:bottom w:val="none" w:sz="0" w:space="0" w:color="auto"/>
                <w:right w:val="none" w:sz="0" w:space="0" w:color="auto"/>
              </w:divBdr>
              <w:divsChild>
                <w:div w:id="947203975">
                  <w:marLeft w:val="0"/>
                  <w:marRight w:val="0"/>
                  <w:marTop w:val="0"/>
                  <w:marBottom w:val="0"/>
                  <w:divBdr>
                    <w:top w:val="none" w:sz="0" w:space="0" w:color="auto"/>
                    <w:left w:val="none" w:sz="0" w:space="0" w:color="auto"/>
                    <w:bottom w:val="none" w:sz="0" w:space="0" w:color="auto"/>
                    <w:right w:val="none" w:sz="0" w:space="0" w:color="auto"/>
                  </w:divBdr>
                </w:div>
              </w:divsChild>
            </w:div>
            <w:div w:id="1632243406">
              <w:marLeft w:val="0"/>
              <w:marRight w:val="0"/>
              <w:marTop w:val="0"/>
              <w:marBottom w:val="0"/>
              <w:divBdr>
                <w:top w:val="none" w:sz="0" w:space="0" w:color="auto"/>
                <w:left w:val="none" w:sz="0" w:space="0" w:color="auto"/>
                <w:bottom w:val="none" w:sz="0" w:space="0" w:color="auto"/>
                <w:right w:val="none" w:sz="0" w:space="0" w:color="auto"/>
              </w:divBdr>
              <w:divsChild>
                <w:div w:id="1126897571">
                  <w:marLeft w:val="0"/>
                  <w:marRight w:val="0"/>
                  <w:marTop w:val="0"/>
                  <w:marBottom w:val="0"/>
                  <w:divBdr>
                    <w:top w:val="none" w:sz="0" w:space="0" w:color="auto"/>
                    <w:left w:val="none" w:sz="0" w:space="0" w:color="auto"/>
                    <w:bottom w:val="none" w:sz="0" w:space="0" w:color="auto"/>
                    <w:right w:val="none" w:sz="0" w:space="0" w:color="auto"/>
                  </w:divBdr>
                </w:div>
              </w:divsChild>
            </w:div>
            <w:div w:id="1658803857">
              <w:marLeft w:val="0"/>
              <w:marRight w:val="0"/>
              <w:marTop w:val="0"/>
              <w:marBottom w:val="0"/>
              <w:divBdr>
                <w:top w:val="none" w:sz="0" w:space="0" w:color="auto"/>
                <w:left w:val="none" w:sz="0" w:space="0" w:color="auto"/>
                <w:bottom w:val="none" w:sz="0" w:space="0" w:color="auto"/>
                <w:right w:val="none" w:sz="0" w:space="0" w:color="auto"/>
              </w:divBdr>
              <w:divsChild>
                <w:div w:id="1917743742">
                  <w:marLeft w:val="0"/>
                  <w:marRight w:val="0"/>
                  <w:marTop w:val="0"/>
                  <w:marBottom w:val="0"/>
                  <w:divBdr>
                    <w:top w:val="none" w:sz="0" w:space="0" w:color="auto"/>
                    <w:left w:val="none" w:sz="0" w:space="0" w:color="auto"/>
                    <w:bottom w:val="none" w:sz="0" w:space="0" w:color="auto"/>
                    <w:right w:val="none" w:sz="0" w:space="0" w:color="auto"/>
                  </w:divBdr>
                </w:div>
              </w:divsChild>
            </w:div>
            <w:div w:id="1663846997">
              <w:marLeft w:val="0"/>
              <w:marRight w:val="0"/>
              <w:marTop w:val="0"/>
              <w:marBottom w:val="0"/>
              <w:divBdr>
                <w:top w:val="none" w:sz="0" w:space="0" w:color="auto"/>
                <w:left w:val="none" w:sz="0" w:space="0" w:color="auto"/>
                <w:bottom w:val="none" w:sz="0" w:space="0" w:color="auto"/>
                <w:right w:val="none" w:sz="0" w:space="0" w:color="auto"/>
              </w:divBdr>
              <w:divsChild>
                <w:div w:id="649671653">
                  <w:marLeft w:val="0"/>
                  <w:marRight w:val="0"/>
                  <w:marTop w:val="0"/>
                  <w:marBottom w:val="0"/>
                  <w:divBdr>
                    <w:top w:val="none" w:sz="0" w:space="0" w:color="auto"/>
                    <w:left w:val="none" w:sz="0" w:space="0" w:color="auto"/>
                    <w:bottom w:val="none" w:sz="0" w:space="0" w:color="auto"/>
                    <w:right w:val="none" w:sz="0" w:space="0" w:color="auto"/>
                  </w:divBdr>
                </w:div>
              </w:divsChild>
            </w:div>
            <w:div w:id="1774326437">
              <w:marLeft w:val="0"/>
              <w:marRight w:val="0"/>
              <w:marTop w:val="0"/>
              <w:marBottom w:val="0"/>
              <w:divBdr>
                <w:top w:val="none" w:sz="0" w:space="0" w:color="auto"/>
                <w:left w:val="none" w:sz="0" w:space="0" w:color="auto"/>
                <w:bottom w:val="none" w:sz="0" w:space="0" w:color="auto"/>
                <w:right w:val="none" w:sz="0" w:space="0" w:color="auto"/>
              </w:divBdr>
              <w:divsChild>
                <w:div w:id="1958641485">
                  <w:marLeft w:val="0"/>
                  <w:marRight w:val="0"/>
                  <w:marTop w:val="0"/>
                  <w:marBottom w:val="0"/>
                  <w:divBdr>
                    <w:top w:val="none" w:sz="0" w:space="0" w:color="auto"/>
                    <w:left w:val="none" w:sz="0" w:space="0" w:color="auto"/>
                    <w:bottom w:val="none" w:sz="0" w:space="0" w:color="auto"/>
                    <w:right w:val="none" w:sz="0" w:space="0" w:color="auto"/>
                  </w:divBdr>
                </w:div>
              </w:divsChild>
            </w:div>
            <w:div w:id="1774545049">
              <w:marLeft w:val="0"/>
              <w:marRight w:val="0"/>
              <w:marTop w:val="0"/>
              <w:marBottom w:val="0"/>
              <w:divBdr>
                <w:top w:val="none" w:sz="0" w:space="0" w:color="auto"/>
                <w:left w:val="none" w:sz="0" w:space="0" w:color="auto"/>
                <w:bottom w:val="none" w:sz="0" w:space="0" w:color="auto"/>
                <w:right w:val="none" w:sz="0" w:space="0" w:color="auto"/>
              </w:divBdr>
              <w:divsChild>
                <w:div w:id="1729761217">
                  <w:marLeft w:val="0"/>
                  <w:marRight w:val="0"/>
                  <w:marTop w:val="0"/>
                  <w:marBottom w:val="0"/>
                  <w:divBdr>
                    <w:top w:val="none" w:sz="0" w:space="0" w:color="auto"/>
                    <w:left w:val="none" w:sz="0" w:space="0" w:color="auto"/>
                    <w:bottom w:val="none" w:sz="0" w:space="0" w:color="auto"/>
                    <w:right w:val="none" w:sz="0" w:space="0" w:color="auto"/>
                  </w:divBdr>
                </w:div>
              </w:divsChild>
            </w:div>
            <w:div w:id="1776704091">
              <w:marLeft w:val="0"/>
              <w:marRight w:val="0"/>
              <w:marTop w:val="0"/>
              <w:marBottom w:val="0"/>
              <w:divBdr>
                <w:top w:val="none" w:sz="0" w:space="0" w:color="auto"/>
                <w:left w:val="none" w:sz="0" w:space="0" w:color="auto"/>
                <w:bottom w:val="none" w:sz="0" w:space="0" w:color="auto"/>
                <w:right w:val="none" w:sz="0" w:space="0" w:color="auto"/>
              </w:divBdr>
              <w:divsChild>
                <w:div w:id="1400638424">
                  <w:marLeft w:val="0"/>
                  <w:marRight w:val="0"/>
                  <w:marTop w:val="0"/>
                  <w:marBottom w:val="0"/>
                  <w:divBdr>
                    <w:top w:val="none" w:sz="0" w:space="0" w:color="auto"/>
                    <w:left w:val="none" w:sz="0" w:space="0" w:color="auto"/>
                    <w:bottom w:val="none" w:sz="0" w:space="0" w:color="auto"/>
                    <w:right w:val="none" w:sz="0" w:space="0" w:color="auto"/>
                  </w:divBdr>
                </w:div>
              </w:divsChild>
            </w:div>
            <w:div w:id="1873572491">
              <w:marLeft w:val="0"/>
              <w:marRight w:val="0"/>
              <w:marTop w:val="0"/>
              <w:marBottom w:val="0"/>
              <w:divBdr>
                <w:top w:val="none" w:sz="0" w:space="0" w:color="auto"/>
                <w:left w:val="none" w:sz="0" w:space="0" w:color="auto"/>
                <w:bottom w:val="none" w:sz="0" w:space="0" w:color="auto"/>
                <w:right w:val="none" w:sz="0" w:space="0" w:color="auto"/>
              </w:divBdr>
              <w:divsChild>
                <w:div w:id="1298955172">
                  <w:marLeft w:val="0"/>
                  <w:marRight w:val="0"/>
                  <w:marTop w:val="0"/>
                  <w:marBottom w:val="0"/>
                  <w:divBdr>
                    <w:top w:val="none" w:sz="0" w:space="0" w:color="auto"/>
                    <w:left w:val="none" w:sz="0" w:space="0" w:color="auto"/>
                    <w:bottom w:val="none" w:sz="0" w:space="0" w:color="auto"/>
                    <w:right w:val="none" w:sz="0" w:space="0" w:color="auto"/>
                  </w:divBdr>
                </w:div>
              </w:divsChild>
            </w:div>
            <w:div w:id="2020618582">
              <w:marLeft w:val="0"/>
              <w:marRight w:val="0"/>
              <w:marTop w:val="0"/>
              <w:marBottom w:val="0"/>
              <w:divBdr>
                <w:top w:val="none" w:sz="0" w:space="0" w:color="auto"/>
                <w:left w:val="none" w:sz="0" w:space="0" w:color="auto"/>
                <w:bottom w:val="none" w:sz="0" w:space="0" w:color="auto"/>
                <w:right w:val="none" w:sz="0" w:space="0" w:color="auto"/>
              </w:divBdr>
              <w:divsChild>
                <w:div w:id="2033679755">
                  <w:marLeft w:val="0"/>
                  <w:marRight w:val="0"/>
                  <w:marTop w:val="0"/>
                  <w:marBottom w:val="0"/>
                  <w:divBdr>
                    <w:top w:val="none" w:sz="0" w:space="0" w:color="auto"/>
                    <w:left w:val="none" w:sz="0" w:space="0" w:color="auto"/>
                    <w:bottom w:val="none" w:sz="0" w:space="0" w:color="auto"/>
                    <w:right w:val="none" w:sz="0" w:space="0" w:color="auto"/>
                  </w:divBdr>
                </w:div>
              </w:divsChild>
            </w:div>
            <w:div w:id="2030137397">
              <w:marLeft w:val="0"/>
              <w:marRight w:val="0"/>
              <w:marTop w:val="0"/>
              <w:marBottom w:val="0"/>
              <w:divBdr>
                <w:top w:val="none" w:sz="0" w:space="0" w:color="auto"/>
                <w:left w:val="none" w:sz="0" w:space="0" w:color="auto"/>
                <w:bottom w:val="none" w:sz="0" w:space="0" w:color="auto"/>
                <w:right w:val="none" w:sz="0" w:space="0" w:color="auto"/>
              </w:divBdr>
              <w:divsChild>
                <w:div w:id="12321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6756">
      <w:bodyDiv w:val="1"/>
      <w:marLeft w:val="0"/>
      <w:marRight w:val="0"/>
      <w:marTop w:val="0"/>
      <w:marBottom w:val="0"/>
      <w:divBdr>
        <w:top w:val="none" w:sz="0" w:space="0" w:color="auto"/>
        <w:left w:val="none" w:sz="0" w:space="0" w:color="auto"/>
        <w:bottom w:val="none" w:sz="0" w:space="0" w:color="auto"/>
        <w:right w:val="none" w:sz="0" w:space="0" w:color="auto"/>
      </w:divBdr>
      <w:divsChild>
        <w:div w:id="1534611463">
          <w:marLeft w:val="0"/>
          <w:marRight w:val="0"/>
          <w:marTop w:val="0"/>
          <w:marBottom w:val="0"/>
          <w:divBdr>
            <w:top w:val="none" w:sz="0" w:space="0" w:color="auto"/>
            <w:left w:val="none" w:sz="0" w:space="0" w:color="auto"/>
            <w:bottom w:val="none" w:sz="0" w:space="0" w:color="auto"/>
            <w:right w:val="none" w:sz="0" w:space="0" w:color="auto"/>
          </w:divBdr>
          <w:divsChild>
            <w:div w:id="34742293">
              <w:marLeft w:val="0"/>
              <w:marRight w:val="0"/>
              <w:marTop w:val="0"/>
              <w:marBottom w:val="0"/>
              <w:divBdr>
                <w:top w:val="none" w:sz="0" w:space="0" w:color="auto"/>
                <w:left w:val="none" w:sz="0" w:space="0" w:color="auto"/>
                <w:bottom w:val="none" w:sz="0" w:space="0" w:color="auto"/>
                <w:right w:val="none" w:sz="0" w:space="0" w:color="auto"/>
              </w:divBdr>
              <w:divsChild>
                <w:div w:id="1725063345">
                  <w:marLeft w:val="0"/>
                  <w:marRight w:val="0"/>
                  <w:marTop w:val="0"/>
                  <w:marBottom w:val="0"/>
                  <w:divBdr>
                    <w:top w:val="none" w:sz="0" w:space="0" w:color="auto"/>
                    <w:left w:val="none" w:sz="0" w:space="0" w:color="auto"/>
                    <w:bottom w:val="none" w:sz="0" w:space="0" w:color="auto"/>
                    <w:right w:val="none" w:sz="0" w:space="0" w:color="auto"/>
                  </w:divBdr>
                </w:div>
              </w:divsChild>
            </w:div>
            <w:div w:id="43985482">
              <w:marLeft w:val="0"/>
              <w:marRight w:val="0"/>
              <w:marTop w:val="0"/>
              <w:marBottom w:val="0"/>
              <w:divBdr>
                <w:top w:val="none" w:sz="0" w:space="0" w:color="auto"/>
                <w:left w:val="none" w:sz="0" w:space="0" w:color="auto"/>
                <w:bottom w:val="none" w:sz="0" w:space="0" w:color="auto"/>
                <w:right w:val="none" w:sz="0" w:space="0" w:color="auto"/>
              </w:divBdr>
              <w:divsChild>
                <w:div w:id="214044830">
                  <w:marLeft w:val="0"/>
                  <w:marRight w:val="0"/>
                  <w:marTop w:val="0"/>
                  <w:marBottom w:val="0"/>
                  <w:divBdr>
                    <w:top w:val="none" w:sz="0" w:space="0" w:color="auto"/>
                    <w:left w:val="none" w:sz="0" w:space="0" w:color="auto"/>
                    <w:bottom w:val="none" w:sz="0" w:space="0" w:color="auto"/>
                    <w:right w:val="none" w:sz="0" w:space="0" w:color="auto"/>
                  </w:divBdr>
                </w:div>
              </w:divsChild>
            </w:div>
            <w:div w:id="198905936">
              <w:marLeft w:val="0"/>
              <w:marRight w:val="0"/>
              <w:marTop w:val="0"/>
              <w:marBottom w:val="0"/>
              <w:divBdr>
                <w:top w:val="none" w:sz="0" w:space="0" w:color="auto"/>
                <w:left w:val="none" w:sz="0" w:space="0" w:color="auto"/>
                <w:bottom w:val="none" w:sz="0" w:space="0" w:color="auto"/>
                <w:right w:val="none" w:sz="0" w:space="0" w:color="auto"/>
              </w:divBdr>
              <w:divsChild>
                <w:div w:id="929779628">
                  <w:marLeft w:val="0"/>
                  <w:marRight w:val="0"/>
                  <w:marTop w:val="0"/>
                  <w:marBottom w:val="0"/>
                  <w:divBdr>
                    <w:top w:val="none" w:sz="0" w:space="0" w:color="auto"/>
                    <w:left w:val="none" w:sz="0" w:space="0" w:color="auto"/>
                    <w:bottom w:val="none" w:sz="0" w:space="0" w:color="auto"/>
                    <w:right w:val="none" w:sz="0" w:space="0" w:color="auto"/>
                  </w:divBdr>
                </w:div>
              </w:divsChild>
            </w:div>
            <w:div w:id="385957226">
              <w:marLeft w:val="0"/>
              <w:marRight w:val="0"/>
              <w:marTop w:val="0"/>
              <w:marBottom w:val="0"/>
              <w:divBdr>
                <w:top w:val="none" w:sz="0" w:space="0" w:color="auto"/>
                <w:left w:val="none" w:sz="0" w:space="0" w:color="auto"/>
                <w:bottom w:val="none" w:sz="0" w:space="0" w:color="auto"/>
                <w:right w:val="none" w:sz="0" w:space="0" w:color="auto"/>
              </w:divBdr>
              <w:divsChild>
                <w:div w:id="1139614333">
                  <w:marLeft w:val="0"/>
                  <w:marRight w:val="0"/>
                  <w:marTop w:val="0"/>
                  <w:marBottom w:val="0"/>
                  <w:divBdr>
                    <w:top w:val="none" w:sz="0" w:space="0" w:color="auto"/>
                    <w:left w:val="none" w:sz="0" w:space="0" w:color="auto"/>
                    <w:bottom w:val="none" w:sz="0" w:space="0" w:color="auto"/>
                    <w:right w:val="none" w:sz="0" w:space="0" w:color="auto"/>
                  </w:divBdr>
                </w:div>
              </w:divsChild>
            </w:div>
            <w:div w:id="396974461">
              <w:marLeft w:val="0"/>
              <w:marRight w:val="0"/>
              <w:marTop w:val="0"/>
              <w:marBottom w:val="0"/>
              <w:divBdr>
                <w:top w:val="none" w:sz="0" w:space="0" w:color="auto"/>
                <w:left w:val="none" w:sz="0" w:space="0" w:color="auto"/>
                <w:bottom w:val="none" w:sz="0" w:space="0" w:color="auto"/>
                <w:right w:val="none" w:sz="0" w:space="0" w:color="auto"/>
              </w:divBdr>
              <w:divsChild>
                <w:div w:id="1504198911">
                  <w:marLeft w:val="0"/>
                  <w:marRight w:val="0"/>
                  <w:marTop w:val="0"/>
                  <w:marBottom w:val="0"/>
                  <w:divBdr>
                    <w:top w:val="none" w:sz="0" w:space="0" w:color="auto"/>
                    <w:left w:val="none" w:sz="0" w:space="0" w:color="auto"/>
                    <w:bottom w:val="none" w:sz="0" w:space="0" w:color="auto"/>
                    <w:right w:val="none" w:sz="0" w:space="0" w:color="auto"/>
                  </w:divBdr>
                </w:div>
              </w:divsChild>
            </w:div>
            <w:div w:id="474416890">
              <w:marLeft w:val="0"/>
              <w:marRight w:val="0"/>
              <w:marTop w:val="0"/>
              <w:marBottom w:val="0"/>
              <w:divBdr>
                <w:top w:val="none" w:sz="0" w:space="0" w:color="auto"/>
                <w:left w:val="none" w:sz="0" w:space="0" w:color="auto"/>
                <w:bottom w:val="none" w:sz="0" w:space="0" w:color="auto"/>
                <w:right w:val="none" w:sz="0" w:space="0" w:color="auto"/>
              </w:divBdr>
              <w:divsChild>
                <w:div w:id="1546868763">
                  <w:marLeft w:val="0"/>
                  <w:marRight w:val="0"/>
                  <w:marTop w:val="0"/>
                  <w:marBottom w:val="0"/>
                  <w:divBdr>
                    <w:top w:val="none" w:sz="0" w:space="0" w:color="auto"/>
                    <w:left w:val="none" w:sz="0" w:space="0" w:color="auto"/>
                    <w:bottom w:val="none" w:sz="0" w:space="0" w:color="auto"/>
                    <w:right w:val="none" w:sz="0" w:space="0" w:color="auto"/>
                  </w:divBdr>
                </w:div>
              </w:divsChild>
            </w:div>
            <w:div w:id="963538593">
              <w:marLeft w:val="0"/>
              <w:marRight w:val="0"/>
              <w:marTop w:val="0"/>
              <w:marBottom w:val="0"/>
              <w:divBdr>
                <w:top w:val="none" w:sz="0" w:space="0" w:color="auto"/>
                <w:left w:val="none" w:sz="0" w:space="0" w:color="auto"/>
                <w:bottom w:val="none" w:sz="0" w:space="0" w:color="auto"/>
                <w:right w:val="none" w:sz="0" w:space="0" w:color="auto"/>
              </w:divBdr>
              <w:divsChild>
                <w:div w:id="902253037">
                  <w:marLeft w:val="0"/>
                  <w:marRight w:val="0"/>
                  <w:marTop w:val="0"/>
                  <w:marBottom w:val="0"/>
                  <w:divBdr>
                    <w:top w:val="none" w:sz="0" w:space="0" w:color="auto"/>
                    <w:left w:val="none" w:sz="0" w:space="0" w:color="auto"/>
                    <w:bottom w:val="none" w:sz="0" w:space="0" w:color="auto"/>
                    <w:right w:val="none" w:sz="0" w:space="0" w:color="auto"/>
                  </w:divBdr>
                </w:div>
              </w:divsChild>
            </w:div>
            <w:div w:id="1021249799">
              <w:marLeft w:val="0"/>
              <w:marRight w:val="0"/>
              <w:marTop w:val="0"/>
              <w:marBottom w:val="0"/>
              <w:divBdr>
                <w:top w:val="none" w:sz="0" w:space="0" w:color="auto"/>
                <w:left w:val="none" w:sz="0" w:space="0" w:color="auto"/>
                <w:bottom w:val="none" w:sz="0" w:space="0" w:color="auto"/>
                <w:right w:val="none" w:sz="0" w:space="0" w:color="auto"/>
              </w:divBdr>
              <w:divsChild>
                <w:div w:id="804010106">
                  <w:marLeft w:val="0"/>
                  <w:marRight w:val="0"/>
                  <w:marTop w:val="0"/>
                  <w:marBottom w:val="0"/>
                  <w:divBdr>
                    <w:top w:val="none" w:sz="0" w:space="0" w:color="auto"/>
                    <w:left w:val="none" w:sz="0" w:space="0" w:color="auto"/>
                    <w:bottom w:val="none" w:sz="0" w:space="0" w:color="auto"/>
                    <w:right w:val="none" w:sz="0" w:space="0" w:color="auto"/>
                  </w:divBdr>
                </w:div>
              </w:divsChild>
            </w:div>
            <w:div w:id="1114910560">
              <w:marLeft w:val="0"/>
              <w:marRight w:val="0"/>
              <w:marTop w:val="0"/>
              <w:marBottom w:val="0"/>
              <w:divBdr>
                <w:top w:val="none" w:sz="0" w:space="0" w:color="auto"/>
                <w:left w:val="none" w:sz="0" w:space="0" w:color="auto"/>
                <w:bottom w:val="none" w:sz="0" w:space="0" w:color="auto"/>
                <w:right w:val="none" w:sz="0" w:space="0" w:color="auto"/>
              </w:divBdr>
              <w:divsChild>
                <w:div w:id="1989433619">
                  <w:marLeft w:val="0"/>
                  <w:marRight w:val="0"/>
                  <w:marTop w:val="0"/>
                  <w:marBottom w:val="0"/>
                  <w:divBdr>
                    <w:top w:val="none" w:sz="0" w:space="0" w:color="auto"/>
                    <w:left w:val="none" w:sz="0" w:space="0" w:color="auto"/>
                    <w:bottom w:val="none" w:sz="0" w:space="0" w:color="auto"/>
                    <w:right w:val="none" w:sz="0" w:space="0" w:color="auto"/>
                  </w:divBdr>
                </w:div>
              </w:divsChild>
            </w:div>
            <w:div w:id="1145051524">
              <w:marLeft w:val="0"/>
              <w:marRight w:val="0"/>
              <w:marTop w:val="0"/>
              <w:marBottom w:val="0"/>
              <w:divBdr>
                <w:top w:val="none" w:sz="0" w:space="0" w:color="auto"/>
                <w:left w:val="none" w:sz="0" w:space="0" w:color="auto"/>
                <w:bottom w:val="none" w:sz="0" w:space="0" w:color="auto"/>
                <w:right w:val="none" w:sz="0" w:space="0" w:color="auto"/>
              </w:divBdr>
              <w:divsChild>
                <w:div w:id="132601587">
                  <w:marLeft w:val="0"/>
                  <w:marRight w:val="0"/>
                  <w:marTop w:val="0"/>
                  <w:marBottom w:val="0"/>
                  <w:divBdr>
                    <w:top w:val="none" w:sz="0" w:space="0" w:color="auto"/>
                    <w:left w:val="none" w:sz="0" w:space="0" w:color="auto"/>
                    <w:bottom w:val="none" w:sz="0" w:space="0" w:color="auto"/>
                    <w:right w:val="none" w:sz="0" w:space="0" w:color="auto"/>
                  </w:divBdr>
                </w:div>
              </w:divsChild>
            </w:div>
            <w:div w:id="1303542263">
              <w:marLeft w:val="0"/>
              <w:marRight w:val="0"/>
              <w:marTop w:val="0"/>
              <w:marBottom w:val="0"/>
              <w:divBdr>
                <w:top w:val="none" w:sz="0" w:space="0" w:color="auto"/>
                <w:left w:val="none" w:sz="0" w:space="0" w:color="auto"/>
                <w:bottom w:val="none" w:sz="0" w:space="0" w:color="auto"/>
                <w:right w:val="none" w:sz="0" w:space="0" w:color="auto"/>
              </w:divBdr>
              <w:divsChild>
                <w:div w:id="628900217">
                  <w:marLeft w:val="0"/>
                  <w:marRight w:val="0"/>
                  <w:marTop w:val="0"/>
                  <w:marBottom w:val="0"/>
                  <w:divBdr>
                    <w:top w:val="none" w:sz="0" w:space="0" w:color="auto"/>
                    <w:left w:val="none" w:sz="0" w:space="0" w:color="auto"/>
                    <w:bottom w:val="none" w:sz="0" w:space="0" w:color="auto"/>
                    <w:right w:val="none" w:sz="0" w:space="0" w:color="auto"/>
                  </w:divBdr>
                </w:div>
              </w:divsChild>
            </w:div>
            <w:div w:id="1307318634">
              <w:marLeft w:val="0"/>
              <w:marRight w:val="0"/>
              <w:marTop w:val="0"/>
              <w:marBottom w:val="0"/>
              <w:divBdr>
                <w:top w:val="none" w:sz="0" w:space="0" w:color="auto"/>
                <w:left w:val="none" w:sz="0" w:space="0" w:color="auto"/>
                <w:bottom w:val="none" w:sz="0" w:space="0" w:color="auto"/>
                <w:right w:val="none" w:sz="0" w:space="0" w:color="auto"/>
              </w:divBdr>
              <w:divsChild>
                <w:div w:id="1810777989">
                  <w:marLeft w:val="0"/>
                  <w:marRight w:val="0"/>
                  <w:marTop w:val="0"/>
                  <w:marBottom w:val="0"/>
                  <w:divBdr>
                    <w:top w:val="none" w:sz="0" w:space="0" w:color="auto"/>
                    <w:left w:val="none" w:sz="0" w:space="0" w:color="auto"/>
                    <w:bottom w:val="none" w:sz="0" w:space="0" w:color="auto"/>
                    <w:right w:val="none" w:sz="0" w:space="0" w:color="auto"/>
                  </w:divBdr>
                </w:div>
              </w:divsChild>
            </w:div>
            <w:div w:id="1330446896">
              <w:marLeft w:val="0"/>
              <w:marRight w:val="0"/>
              <w:marTop w:val="0"/>
              <w:marBottom w:val="0"/>
              <w:divBdr>
                <w:top w:val="none" w:sz="0" w:space="0" w:color="auto"/>
                <w:left w:val="none" w:sz="0" w:space="0" w:color="auto"/>
                <w:bottom w:val="none" w:sz="0" w:space="0" w:color="auto"/>
                <w:right w:val="none" w:sz="0" w:space="0" w:color="auto"/>
              </w:divBdr>
              <w:divsChild>
                <w:div w:id="710227413">
                  <w:marLeft w:val="0"/>
                  <w:marRight w:val="0"/>
                  <w:marTop w:val="0"/>
                  <w:marBottom w:val="0"/>
                  <w:divBdr>
                    <w:top w:val="none" w:sz="0" w:space="0" w:color="auto"/>
                    <w:left w:val="none" w:sz="0" w:space="0" w:color="auto"/>
                    <w:bottom w:val="none" w:sz="0" w:space="0" w:color="auto"/>
                    <w:right w:val="none" w:sz="0" w:space="0" w:color="auto"/>
                  </w:divBdr>
                </w:div>
              </w:divsChild>
            </w:div>
            <w:div w:id="1384868649">
              <w:marLeft w:val="0"/>
              <w:marRight w:val="0"/>
              <w:marTop w:val="0"/>
              <w:marBottom w:val="0"/>
              <w:divBdr>
                <w:top w:val="none" w:sz="0" w:space="0" w:color="auto"/>
                <w:left w:val="none" w:sz="0" w:space="0" w:color="auto"/>
                <w:bottom w:val="none" w:sz="0" w:space="0" w:color="auto"/>
                <w:right w:val="none" w:sz="0" w:space="0" w:color="auto"/>
              </w:divBdr>
              <w:divsChild>
                <w:div w:id="1495100803">
                  <w:marLeft w:val="0"/>
                  <w:marRight w:val="0"/>
                  <w:marTop w:val="0"/>
                  <w:marBottom w:val="0"/>
                  <w:divBdr>
                    <w:top w:val="none" w:sz="0" w:space="0" w:color="auto"/>
                    <w:left w:val="none" w:sz="0" w:space="0" w:color="auto"/>
                    <w:bottom w:val="none" w:sz="0" w:space="0" w:color="auto"/>
                    <w:right w:val="none" w:sz="0" w:space="0" w:color="auto"/>
                  </w:divBdr>
                </w:div>
              </w:divsChild>
            </w:div>
            <w:div w:id="1656643803">
              <w:marLeft w:val="0"/>
              <w:marRight w:val="0"/>
              <w:marTop w:val="0"/>
              <w:marBottom w:val="0"/>
              <w:divBdr>
                <w:top w:val="none" w:sz="0" w:space="0" w:color="auto"/>
                <w:left w:val="none" w:sz="0" w:space="0" w:color="auto"/>
                <w:bottom w:val="none" w:sz="0" w:space="0" w:color="auto"/>
                <w:right w:val="none" w:sz="0" w:space="0" w:color="auto"/>
              </w:divBdr>
              <w:divsChild>
                <w:div w:id="1674645247">
                  <w:marLeft w:val="0"/>
                  <w:marRight w:val="0"/>
                  <w:marTop w:val="0"/>
                  <w:marBottom w:val="0"/>
                  <w:divBdr>
                    <w:top w:val="none" w:sz="0" w:space="0" w:color="auto"/>
                    <w:left w:val="none" w:sz="0" w:space="0" w:color="auto"/>
                    <w:bottom w:val="none" w:sz="0" w:space="0" w:color="auto"/>
                    <w:right w:val="none" w:sz="0" w:space="0" w:color="auto"/>
                  </w:divBdr>
                </w:div>
              </w:divsChild>
            </w:div>
            <w:div w:id="1851678791">
              <w:marLeft w:val="0"/>
              <w:marRight w:val="0"/>
              <w:marTop w:val="0"/>
              <w:marBottom w:val="0"/>
              <w:divBdr>
                <w:top w:val="none" w:sz="0" w:space="0" w:color="auto"/>
                <w:left w:val="none" w:sz="0" w:space="0" w:color="auto"/>
                <w:bottom w:val="none" w:sz="0" w:space="0" w:color="auto"/>
                <w:right w:val="none" w:sz="0" w:space="0" w:color="auto"/>
              </w:divBdr>
              <w:divsChild>
                <w:div w:id="1058675036">
                  <w:marLeft w:val="0"/>
                  <w:marRight w:val="0"/>
                  <w:marTop w:val="0"/>
                  <w:marBottom w:val="0"/>
                  <w:divBdr>
                    <w:top w:val="none" w:sz="0" w:space="0" w:color="auto"/>
                    <w:left w:val="none" w:sz="0" w:space="0" w:color="auto"/>
                    <w:bottom w:val="none" w:sz="0" w:space="0" w:color="auto"/>
                    <w:right w:val="none" w:sz="0" w:space="0" w:color="auto"/>
                  </w:divBdr>
                </w:div>
              </w:divsChild>
            </w:div>
            <w:div w:id="2005666165">
              <w:marLeft w:val="0"/>
              <w:marRight w:val="0"/>
              <w:marTop w:val="0"/>
              <w:marBottom w:val="0"/>
              <w:divBdr>
                <w:top w:val="none" w:sz="0" w:space="0" w:color="auto"/>
                <w:left w:val="none" w:sz="0" w:space="0" w:color="auto"/>
                <w:bottom w:val="none" w:sz="0" w:space="0" w:color="auto"/>
                <w:right w:val="none" w:sz="0" w:space="0" w:color="auto"/>
              </w:divBdr>
              <w:divsChild>
                <w:div w:id="8945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60018">
      <w:bodyDiv w:val="1"/>
      <w:marLeft w:val="0"/>
      <w:marRight w:val="0"/>
      <w:marTop w:val="0"/>
      <w:marBottom w:val="0"/>
      <w:divBdr>
        <w:top w:val="none" w:sz="0" w:space="0" w:color="auto"/>
        <w:left w:val="none" w:sz="0" w:space="0" w:color="auto"/>
        <w:bottom w:val="none" w:sz="0" w:space="0" w:color="auto"/>
        <w:right w:val="none" w:sz="0" w:space="0" w:color="auto"/>
      </w:divBdr>
      <w:divsChild>
        <w:div w:id="466438894">
          <w:marLeft w:val="0"/>
          <w:marRight w:val="0"/>
          <w:marTop w:val="0"/>
          <w:marBottom w:val="0"/>
          <w:divBdr>
            <w:top w:val="none" w:sz="0" w:space="0" w:color="auto"/>
            <w:left w:val="none" w:sz="0" w:space="0" w:color="auto"/>
            <w:bottom w:val="none" w:sz="0" w:space="0" w:color="auto"/>
            <w:right w:val="none" w:sz="0" w:space="0" w:color="auto"/>
          </w:divBdr>
        </w:div>
        <w:div w:id="508061256">
          <w:marLeft w:val="0"/>
          <w:marRight w:val="0"/>
          <w:marTop w:val="0"/>
          <w:marBottom w:val="0"/>
          <w:divBdr>
            <w:top w:val="none" w:sz="0" w:space="0" w:color="auto"/>
            <w:left w:val="none" w:sz="0" w:space="0" w:color="auto"/>
            <w:bottom w:val="none" w:sz="0" w:space="0" w:color="auto"/>
            <w:right w:val="none" w:sz="0" w:space="0" w:color="auto"/>
          </w:divBdr>
        </w:div>
        <w:div w:id="539822836">
          <w:marLeft w:val="0"/>
          <w:marRight w:val="0"/>
          <w:marTop w:val="0"/>
          <w:marBottom w:val="0"/>
          <w:divBdr>
            <w:top w:val="none" w:sz="0" w:space="0" w:color="auto"/>
            <w:left w:val="none" w:sz="0" w:space="0" w:color="auto"/>
            <w:bottom w:val="none" w:sz="0" w:space="0" w:color="auto"/>
            <w:right w:val="none" w:sz="0" w:space="0" w:color="auto"/>
          </w:divBdr>
        </w:div>
        <w:div w:id="887837928">
          <w:marLeft w:val="0"/>
          <w:marRight w:val="0"/>
          <w:marTop w:val="0"/>
          <w:marBottom w:val="0"/>
          <w:divBdr>
            <w:top w:val="none" w:sz="0" w:space="0" w:color="auto"/>
            <w:left w:val="none" w:sz="0" w:space="0" w:color="auto"/>
            <w:bottom w:val="none" w:sz="0" w:space="0" w:color="auto"/>
            <w:right w:val="none" w:sz="0" w:space="0" w:color="auto"/>
          </w:divBdr>
        </w:div>
        <w:div w:id="901674925">
          <w:marLeft w:val="0"/>
          <w:marRight w:val="0"/>
          <w:marTop w:val="0"/>
          <w:marBottom w:val="0"/>
          <w:divBdr>
            <w:top w:val="none" w:sz="0" w:space="0" w:color="auto"/>
            <w:left w:val="none" w:sz="0" w:space="0" w:color="auto"/>
            <w:bottom w:val="none" w:sz="0" w:space="0" w:color="auto"/>
            <w:right w:val="none" w:sz="0" w:space="0" w:color="auto"/>
          </w:divBdr>
        </w:div>
        <w:div w:id="946811475">
          <w:marLeft w:val="0"/>
          <w:marRight w:val="0"/>
          <w:marTop w:val="0"/>
          <w:marBottom w:val="0"/>
          <w:divBdr>
            <w:top w:val="none" w:sz="0" w:space="0" w:color="auto"/>
            <w:left w:val="none" w:sz="0" w:space="0" w:color="auto"/>
            <w:bottom w:val="none" w:sz="0" w:space="0" w:color="auto"/>
            <w:right w:val="none" w:sz="0" w:space="0" w:color="auto"/>
          </w:divBdr>
        </w:div>
        <w:div w:id="1130174882">
          <w:marLeft w:val="0"/>
          <w:marRight w:val="0"/>
          <w:marTop w:val="0"/>
          <w:marBottom w:val="0"/>
          <w:divBdr>
            <w:top w:val="none" w:sz="0" w:space="0" w:color="auto"/>
            <w:left w:val="none" w:sz="0" w:space="0" w:color="auto"/>
            <w:bottom w:val="none" w:sz="0" w:space="0" w:color="auto"/>
            <w:right w:val="none" w:sz="0" w:space="0" w:color="auto"/>
          </w:divBdr>
        </w:div>
        <w:div w:id="1394231113">
          <w:marLeft w:val="0"/>
          <w:marRight w:val="0"/>
          <w:marTop w:val="0"/>
          <w:marBottom w:val="0"/>
          <w:divBdr>
            <w:top w:val="none" w:sz="0" w:space="0" w:color="auto"/>
            <w:left w:val="none" w:sz="0" w:space="0" w:color="auto"/>
            <w:bottom w:val="none" w:sz="0" w:space="0" w:color="auto"/>
            <w:right w:val="none" w:sz="0" w:space="0" w:color="auto"/>
          </w:divBdr>
        </w:div>
      </w:divsChild>
    </w:div>
    <w:div w:id="1128275865">
      <w:bodyDiv w:val="1"/>
      <w:marLeft w:val="0"/>
      <w:marRight w:val="0"/>
      <w:marTop w:val="0"/>
      <w:marBottom w:val="0"/>
      <w:divBdr>
        <w:top w:val="none" w:sz="0" w:space="0" w:color="auto"/>
        <w:left w:val="none" w:sz="0" w:space="0" w:color="auto"/>
        <w:bottom w:val="none" w:sz="0" w:space="0" w:color="auto"/>
        <w:right w:val="none" w:sz="0" w:space="0" w:color="auto"/>
      </w:divBdr>
      <w:divsChild>
        <w:div w:id="126239632">
          <w:marLeft w:val="0"/>
          <w:marRight w:val="0"/>
          <w:marTop w:val="0"/>
          <w:marBottom w:val="0"/>
          <w:divBdr>
            <w:top w:val="none" w:sz="0" w:space="0" w:color="auto"/>
            <w:left w:val="none" w:sz="0" w:space="0" w:color="auto"/>
            <w:bottom w:val="none" w:sz="0" w:space="0" w:color="auto"/>
            <w:right w:val="none" w:sz="0" w:space="0" w:color="auto"/>
          </w:divBdr>
        </w:div>
        <w:div w:id="130294404">
          <w:marLeft w:val="0"/>
          <w:marRight w:val="0"/>
          <w:marTop w:val="0"/>
          <w:marBottom w:val="0"/>
          <w:divBdr>
            <w:top w:val="none" w:sz="0" w:space="0" w:color="auto"/>
            <w:left w:val="none" w:sz="0" w:space="0" w:color="auto"/>
            <w:bottom w:val="none" w:sz="0" w:space="0" w:color="auto"/>
            <w:right w:val="none" w:sz="0" w:space="0" w:color="auto"/>
          </w:divBdr>
        </w:div>
        <w:div w:id="226768833">
          <w:marLeft w:val="0"/>
          <w:marRight w:val="0"/>
          <w:marTop w:val="0"/>
          <w:marBottom w:val="0"/>
          <w:divBdr>
            <w:top w:val="none" w:sz="0" w:space="0" w:color="auto"/>
            <w:left w:val="none" w:sz="0" w:space="0" w:color="auto"/>
            <w:bottom w:val="none" w:sz="0" w:space="0" w:color="auto"/>
            <w:right w:val="none" w:sz="0" w:space="0" w:color="auto"/>
          </w:divBdr>
        </w:div>
        <w:div w:id="545218955">
          <w:marLeft w:val="0"/>
          <w:marRight w:val="0"/>
          <w:marTop w:val="0"/>
          <w:marBottom w:val="0"/>
          <w:divBdr>
            <w:top w:val="none" w:sz="0" w:space="0" w:color="auto"/>
            <w:left w:val="none" w:sz="0" w:space="0" w:color="auto"/>
            <w:bottom w:val="none" w:sz="0" w:space="0" w:color="auto"/>
            <w:right w:val="none" w:sz="0" w:space="0" w:color="auto"/>
          </w:divBdr>
        </w:div>
        <w:div w:id="593898390">
          <w:marLeft w:val="0"/>
          <w:marRight w:val="0"/>
          <w:marTop w:val="0"/>
          <w:marBottom w:val="0"/>
          <w:divBdr>
            <w:top w:val="none" w:sz="0" w:space="0" w:color="auto"/>
            <w:left w:val="none" w:sz="0" w:space="0" w:color="auto"/>
            <w:bottom w:val="none" w:sz="0" w:space="0" w:color="auto"/>
            <w:right w:val="none" w:sz="0" w:space="0" w:color="auto"/>
          </w:divBdr>
        </w:div>
        <w:div w:id="638458592">
          <w:marLeft w:val="0"/>
          <w:marRight w:val="0"/>
          <w:marTop w:val="0"/>
          <w:marBottom w:val="0"/>
          <w:divBdr>
            <w:top w:val="none" w:sz="0" w:space="0" w:color="auto"/>
            <w:left w:val="none" w:sz="0" w:space="0" w:color="auto"/>
            <w:bottom w:val="none" w:sz="0" w:space="0" w:color="auto"/>
            <w:right w:val="none" w:sz="0" w:space="0" w:color="auto"/>
          </w:divBdr>
        </w:div>
        <w:div w:id="700402398">
          <w:marLeft w:val="0"/>
          <w:marRight w:val="0"/>
          <w:marTop w:val="0"/>
          <w:marBottom w:val="0"/>
          <w:divBdr>
            <w:top w:val="none" w:sz="0" w:space="0" w:color="auto"/>
            <w:left w:val="none" w:sz="0" w:space="0" w:color="auto"/>
            <w:bottom w:val="none" w:sz="0" w:space="0" w:color="auto"/>
            <w:right w:val="none" w:sz="0" w:space="0" w:color="auto"/>
          </w:divBdr>
        </w:div>
        <w:div w:id="808279089">
          <w:marLeft w:val="0"/>
          <w:marRight w:val="0"/>
          <w:marTop w:val="0"/>
          <w:marBottom w:val="0"/>
          <w:divBdr>
            <w:top w:val="none" w:sz="0" w:space="0" w:color="auto"/>
            <w:left w:val="none" w:sz="0" w:space="0" w:color="auto"/>
            <w:bottom w:val="none" w:sz="0" w:space="0" w:color="auto"/>
            <w:right w:val="none" w:sz="0" w:space="0" w:color="auto"/>
          </w:divBdr>
        </w:div>
        <w:div w:id="955217106">
          <w:marLeft w:val="0"/>
          <w:marRight w:val="0"/>
          <w:marTop w:val="0"/>
          <w:marBottom w:val="0"/>
          <w:divBdr>
            <w:top w:val="none" w:sz="0" w:space="0" w:color="auto"/>
            <w:left w:val="none" w:sz="0" w:space="0" w:color="auto"/>
            <w:bottom w:val="none" w:sz="0" w:space="0" w:color="auto"/>
            <w:right w:val="none" w:sz="0" w:space="0" w:color="auto"/>
          </w:divBdr>
        </w:div>
        <w:div w:id="1165053075">
          <w:marLeft w:val="0"/>
          <w:marRight w:val="0"/>
          <w:marTop w:val="0"/>
          <w:marBottom w:val="0"/>
          <w:divBdr>
            <w:top w:val="none" w:sz="0" w:space="0" w:color="auto"/>
            <w:left w:val="none" w:sz="0" w:space="0" w:color="auto"/>
            <w:bottom w:val="none" w:sz="0" w:space="0" w:color="auto"/>
            <w:right w:val="none" w:sz="0" w:space="0" w:color="auto"/>
          </w:divBdr>
        </w:div>
        <w:div w:id="1441148462">
          <w:marLeft w:val="0"/>
          <w:marRight w:val="0"/>
          <w:marTop w:val="0"/>
          <w:marBottom w:val="0"/>
          <w:divBdr>
            <w:top w:val="none" w:sz="0" w:space="0" w:color="auto"/>
            <w:left w:val="none" w:sz="0" w:space="0" w:color="auto"/>
            <w:bottom w:val="none" w:sz="0" w:space="0" w:color="auto"/>
            <w:right w:val="none" w:sz="0" w:space="0" w:color="auto"/>
          </w:divBdr>
        </w:div>
        <w:div w:id="2037073201">
          <w:marLeft w:val="0"/>
          <w:marRight w:val="0"/>
          <w:marTop w:val="0"/>
          <w:marBottom w:val="0"/>
          <w:divBdr>
            <w:top w:val="none" w:sz="0" w:space="0" w:color="auto"/>
            <w:left w:val="none" w:sz="0" w:space="0" w:color="auto"/>
            <w:bottom w:val="none" w:sz="0" w:space="0" w:color="auto"/>
            <w:right w:val="none" w:sz="0" w:space="0" w:color="auto"/>
          </w:divBdr>
        </w:div>
      </w:divsChild>
    </w:div>
    <w:div w:id="1144346913">
      <w:bodyDiv w:val="1"/>
      <w:marLeft w:val="0"/>
      <w:marRight w:val="0"/>
      <w:marTop w:val="0"/>
      <w:marBottom w:val="0"/>
      <w:divBdr>
        <w:top w:val="none" w:sz="0" w:space="0" w:color="auto"/>
        <w:left w:val="none" w:sz="0" w:space="0" w:color="auto"/>
        <w:bottom w:val="none" w:sz="0" w:space="0" w:color="auto"/>
        <w:right w:val="none" w:sz="0" w:space="0" w:color="auto"/>
      </w:divBdr>
    </w:div>
    <w:div w:id="1153595675">
      <w:bodyDiv w:val="1"/>
      <w:marLeft w:val="0"/>
      <w:marRight w:val="0"/>
      <w:marTop w:val="0"/>
      <w:marBottom w:val="0"/>
      <w:divBdr>
        <w:top w:val="none" w:sz="0" w:space="0" w:color="auto"/>
        <w:left w:val="none" w:sz="0" w:space="0" w:color="auto"/>
        <w:bottom w:val="none" w:sz="0" w:space="0" w:color="auto"/>
        <w:right w:val="none" w:sz="0" w:space="0" w:color="auto"/>
      </w:divBdr>
      <w:divsChild>
        <w:div w:id="173960416">
          <w:marLeft w:val="0"/>
          <w:marRight w:val="0"/>
          <w:marTop w:val="0"/>
          <w:marBottom w:val="0"/>
          <w:divBdr>
            <w:top w:val="none" w:sz="0" w:space="0" w:color="auto"/>
            <w:left w:val="none" w:sz="0" w:space="0" w:color="auto"/>
            <w:bottom w:val="none" w:sz="0" w:space="0" w:color="auto"/>
            <w:right w:val="none" w:sz="0" w:space="0" w:color="auto"/>
          </w:divBdr>
        </w:div>
        <w:div w:id="691760066">
          <w:marLeft w:val="0"/>
          <w:marRight w:val="0"/>
          <w:marTop w:val="0"/>
          <w:marBottom w:val="0"/>
          <w:divBdr>
            <w:top w:val="none" w:sz="0" w:space="0" w:color="auto"/>
            <w:left w:val="none" w:sz="0" w:space="0" w:color="auto"/>
            <w:bottom w:val="none" w:sz="0" w:space="0" w:color="auto"/>
            <w:right w:val="none" w:sz="0" w:space="0" w:color="auto"/>
          </w:divBdr>
          <w:divsChild>
            <w:div w:id="163328860">
              <w:marLeft w:val="0"/>
              <w:marRight w:val="0"/>
              <w:marTop w:val="0"/>
              <w:marBottom w:val="0"/>
              <w:divBdr>
                <w:top w:val="none" w:sz="0" w:space="0" w:color="auto"/>
                <w:left w:val="none" w:sz="0" w:space="0" w:color="auto"/>
                <w:bottom w:val="none" w:sz="0" w:space="0" w:color="auto"/>
                <w:right w:val="none" w:sz="0" w:space="0" w:color="auto"/>
              </w:divBdr>
            </w:div>
            <w:div w:id="408580886">
              <w:marLeft w:val="0"/>
              <w:marRight w:val="0"/>
              <w:marTop w:val="0"/>
              <w:marBottom w:val="0"/>
              <w:divBdr>
                <w:top w:val="none" w:sz="0" w:space="0" w:color="auto"/>
                <w:left w:val="none" w:sz="0" w:space="0" w:color="auto"/>
                <w:bottom w:val="none" w:sz="0" w:space="0" w:color="auto"/>
                <w:right w:val="none" w:sz="0" w:space="0" w:color="auto"/>
              </w:divBdr>
            </w:div>
            <w:div w:id="528764842">
              <w:marLeft w:val="0"/>
              <w:marRight w:val="0"/>
              <w:marTop w:val="0"/>
              <w:marBottom w:val="0"/>
              <w:divBdr>
                <w:top w:val="none" w:sz="0" w:space="0" w:color="auto"/>
                <w:left w:val="none" w:sz="0" w:space="0" w:color="auto"/>
                <w:bottom w:val="none" w:sz="0" w:space="0" w:color="auto"/>
                <w:right w:val="none" w:sz="0" w:space="0" w:color="auto"/>
              </w:divBdr>
            </w:div>
            <w:div w:id="599796938">
              <w:marLeft w:val="0"/>
              <w:marRight w:val="0"/>
              <w:marTop w:val="0"/>
              <w:marBottom w:val="0"/>
              <w:divBdr>
                <w:top w:val="none" w:sz="0" w:space="0" w:color="auto"/>
                <w:left w:val="none" w:sz="0" w:space="0" w:color="auto"/>
                <w:bottom w:val="none" w:sz="0" w:space="0" w:color="auto"/>
                <w:right w:val="none" w:sz="0" w:space="0" w:color="auto"/>
              </w:divBdr>
            </w:div>
            <w:div w:id="687412858">
              <w:marLeft w:val="0"/>
              <w:marRight w:val="0"/>
              <w:marTop w:val="0"/>
              <w:marBottom w:val="0"/>
              <w:divBdr>
                <w:top w:val="none" w:sz="0" w:space="0" w:color="auto"/>
                <w:left w:val="none" w:sz="0" w:space="0" w:color="auto"/>
                <w:bottom w:val="none" w:sz="0" w:space="0" w:color="auto"/>
                <w:right w:val="none" w:sz="0" w:space="0" w:color="auto"/>
              </w:divBdr>
            </w:div>
            <w:div w:id="703989509">
              <w:marLeft w:val="0"/>
              <w:marRight w:val="0"/>
              <w:marTop w:val="0"/>
              <w:marBottom w:val="0"/>
              <w:divBdr>
                <w:top w:val="none" w:sz="0" w:space="0" w:color="auto"/>
                <w:left w:val="none" w:sz="0" w:space="0" w:color="auto"/>
                <w:bottom w:val="none" w:sz="0" w:space="0" w:color="auto"/>
                <w:right w:val="none" w:sz="0" w:space="0" w:color="auto"/>
              </w:divBdr>
            </w:div>
            <w:div w:id="832374416">
              <w:marLeft w:val="0"/>
              <w:marRight w:val="0"/>
              <w:marTop w:val="0"/>
              <w:marBottom w:val="0"/>
              <w:divBdr>
                <w:top w:val="none" w:sz="0" w:space="0" w:color="auto"/>
                <w:left w:val="none" w:sz="0" w:space="0" w:color="auto"/>
                <w:bottom w:val="none" w:sz="0" w:space="0" w:color="auto"/>
                <w:right w:val="none" w:sz="0" w:space="0" w:color="auto"/>
              </w:divBdr>
            </w:div>
            <w:div w:id="1168670059">
              <w:marLeft w:val="0"/>
              <w:marRight w:val="0"/>
              <w:marTop w:val="0"/>
              <w:marBottom w:val="0"/>
              <w:divBdr>
                <w:top w:val="none" w:sz="0" w:space="0" w:color="auto"/>
                <w:left w:val="none" w:sz="0" w:space="0" w:color="auto"/>
                <w:bottom w:val="none" w:sz="0" w:space="0" w:color="auto"/>
                <w:right w:val="none" w:sz="0" w:space="0" w:color="auto"/>
              </w:divBdr>
            </w:div>
            <w:div w:id="1218588302">
              <w:marLeft w:val="0"/>
              <w:marRight w:val="0"/>
              <w:marTop w:val="0"/>
              <w:marBottom w:val="0"/>
              <w:divBdr>
                <w:top w:val="none" w:sz="0" w:space="0" w:color="auto"/>
                <w:left w:val="none" w:sz="0" w:space="0" w:color="auto"/>
                <w:bottom w:val="none" w:sz="0" w:space="0" w:color="auto"/>
                <w:right w:val="none" w:sz="0" w:space="0" w:color="auto"/>
              </w:divBdr>
            </w:div>
            <w:div w:id="1360619006">
              <w:marLeft w:val="0"/>
              <w:marRight w:val="0"/>
              <w:marTop w:val="0"/>
              <w:marBottom w:val="0"/>
              <w:divBdr>
                <w:top w:val="none" w:sz="0" w:space="0" w:color="auto"/>
                <w:left w:val="none" w:sz="0" w:space="0" w:color="auto"/>
                <w:bottom w:val="none" w:sz="0" w:space="0" w:color="auto"/>
                <w:right w:val="none" w:sz="0" w:space="0" w:color="auto"/>
              </w:divBdr>
            </w:div>
            <w:div w:id="1557349270">
              <w:marLeft w:val="0"/>
              <w:marRight w:val="0"/>
              <w:marTop w:val="0"/>
              <w:marBottom w:val="0"/>
              <w:divBdr>
                <w:top w:val="none" w:sz="0" w:space="0" w:color="auto"/>
                <w:left w:val="none" w:sz="0" w:space="0" w:color="auto"/>
                <w:bottom w:val="none" w:sz="0" w:space="0" w:color="auto"/>
                <w:right w:val="none" w:sz="0" w:space="0" w:color="auto"/>
              </w:divBdr>
            </w:div>
            <w:div w:id="1600605932">
              <w:marLeft w:val="0"/>
              <w:marRight w:val="0"/>
              <w:marTop w:val="0"/>
              <w:marBottom w:val="0"/>
              <w:divBdr>
                <w:top w:val="none" w:sz="0" w:space="0" w:color="auto"/>
                <w:left w:val="none" w:sz="0" w:space="0" w:color="auto"/>
                <w:bottom w:val="none" w:sz="0" w:space="0" w:color="auto"/>
                <w:right w:val="none" w:sz="0" w:space="0" w:color="auto"/>
              </w:divBdr>
            </w:div>
            <w:div w:id="1642074584">
              <w:marLeft w:val="0"/>
              <w:marRight w:val="0"/>
              <w:marTop w:val="0"/>
              <w:marBottom w:val="0"/>
              <w:divBdr>
                <w:top w:val="none" w:sz="0" w:space="0" w:color="auto"/>
                <w:left w:val="none" w:sz="0" w:space="0" w:color="auto"/>
                <w:bottom w:val="none" w:sz="0" w:space="0" w:color="auto"/>
                <w:right w:val="none" w:sz="0" w:space="0" w:color="auto"/>
              </w:divBdr>
            </w:div>
            <w:div w:id="1667055998">
              <w:marLeft w:val="0"/>
              <w:marRight w:val="0"/>
              <w:marTop w:val="0"/>
              <w:marBottom w:val="0"/>
              <w:divBdr>
                <w:top w:val="none" w:sz="0" w:space="0" w:color="auto"/>
                <w:left w:val="none" w:sz="0" w:space="0" w:color="auto"/>
                <w:bottom w:val="none" w:sz="0" w:space="0" w:color="auto"/>
                <w:right w:val="none" w:sz="0" w:space="0" w:color="auto"/>
              </w:divBdr>
            </w:div>
            <w:div w:id="1878421301">
              <w:marLeft w:val="0"/>
              <w:marRight w:val="0"/>
              <w:marTop w:val="0"/>
              <w:marBottom w:val="0"/>
              <w:divBdr>
                <w:top w:val="none" w:sz="0" w:space="0" w:color="auto"/>
                <w:left w:val="none" w:sz="0" w:space="0" w:color="auto"/>
                <w:bottom w:val="none" w:sz="0" w:space="0" w:color="auto"/>
                <w:right w:val="none" w:sz="0" w:space="0" w:color="auto"/>
              </w:divBdr>
            </w:div>
            <w:div w:id="1944454969">
              <w:marLeft w:val="0"/>
              <w:marRight w:val="0"/>
              <w:marTop w:val="0"/>
              <w:marBottom w:val="0"/>
              <w:divBdr>
                <w:top w:val="none" w:sz="0" w:space="0" w:color="auto"/>
                <w:left w:val="none" w:sz="0" w:space="0" w:color="auto"/>
                <w:bottom w:val="none" w:sz="0" w:space="0" w:color="auto"/>
                <w:right w:val="none" w:sz="0" w:space="0" w:color="auto"/>
              </w:divBdr>
            </w:div>
            <w:div w:id="2032996557">
              <w:marLeft w:val="0"/>
              <w:marRight w:val="0"/>
              <w:marTop w:val="0"/>
              <w:marBottom w:val="0"/>
              <w:divBdr>
                <w:top w:val="none" w:sz="0" w:space="0" w:color="auto"/>
                <w:left w:val="none" w:sz="0" w:space="0" w:color="auto"/>
                <w:bottom w:val="none" w:sz="0" w:space="0" w:color="auto"/>
                <w:right w:val="none" w:sz="0" w:space="0" w:color="auto"/>
              </w:divBdr>
            </w:div>
          </w:divsChild>
        </w:div>
        <w:div w:id="1709064463">
          <w:marLeft w:val="0"/>
          <w:marRight w:val="0"/>
          <w:marTop w:val="0"/>
          <w:marBottom w:val="0"/>
          <w:divBdr>
            <w:top w:val="none" w:sz="0" w:space="0" w:color="auto"/>
            <w:left w:val="none" w:sz="0" w:space="0" w:color="auto"/>
            <w:bottom w:val="none" w:sz="0" w:space="0" w:color="auto"/>
            <w:right w:val="none" w:sz="0" w:space="0" w:color="auto"/>
          </w:divBdr>
        </w:div>
        <w:div w:id="2062515364">
          <w:marLeft w:val="0"/>
          <w:marRight w:val="0"/>
          <w:marTop w:val="0"/>
          <w:marBottom w:val="0"/>
          <w:divBdr>
            <w:top w:val="none" w:sz="0" w:space="0" w:color="auto"/>
            <w:left w:val="none" w:sz="0" w:space="0" w:color="auto"/>
            <w:bottom w:val="none" w:sz="0" w:space="0" w:color="auto"/>
            <w:right w:val="none" w:sz="0" w:space="0" w:color="auto"/>
          </w:divBdr>
        </w:div>
      </w:divsChild>
    </w:div>
    <w:div w:id="1279601613">
      <w:bodyDiv w:val="1"/>
      <w:marLeft w:val="0"/>
      <w:marRight w:val="0"/>
      <w:marTop w:val="0"/>
      <w:marBottom w:val="0"/>
      <w:divBdr>
        <w:top w:val="none" w:sz="0" w:space="0" w:color="auto"/>
        <w:left w:val="none" w:sz="0" w:space="0" w:color="auto"/>
        <w:bottom w:val="none" w:sz="0" w:space="0" w:color="auto"/>
        <w:right w:val="none" w:sz="0" w:space="0" w:color="auto"/>
      </w:divBdr>
    </w:div>
    <w:div w:id="1316566858">
      <w:bodyDiv w:val="1"/>
      <w:marLeft w:val="0"/>
      <w:marRight w:val="0"/>
      <w:marTop w:val="0"/>
      <w:marBottom w:val="0"/>
      <w:divBdr>
        <w:top w:val="none" w:sz="0" w:space="0" w:color="auto"/>
        <w:left w:val="none" w:sz="0" w:space="0" w:color="auto"/>
        <w:bottom w:val="none" w:sz="0" w:space="0" w:color="auto"/>
        <w:right w:val="none" w:sz="0" w:space="0" w:color="auto"/>
      </w:divBdr>
    </w:div>
    <w:div w:id="1329167524">
      <w:bodyDiv w:val="1"/>
      <w:marLeft w:val="0"/>
      <w:marRight w:val="0"/>
      <w:marTop w:val="0"/>
      <w:marBottom w:val="0"/>
      <w:divBdr>
        <w:top w:val="none" w:sz="0" w:space="0" w:color="auto"/>
        <w:left w:val="none" w:sz="0" w:space="0" w:color="auto"/>
        <w:bottom w:val="none" w:sz="0" w:space="0" w:color="auto"/>
        <w:right w:val="none" w:sz="0" w:space="0" w:color="auto"/>
      </w:divBdr>
    </w:div>
    <w:div w:id="1335189187">
      <w:bodyDiv w:val="1"/>
      <w:marLeft w:val="0"/>
      <w:marRight w:val="0"/>
      <w:marTop w:val="0"/>
      <w:marBottom w:val="0"/>
      <w:divBdr>
        <w:top w:val="none" w:sz="0" w:space="0" w:color="auto"/>
        <w:left w:val="none" w:sz="0" w:space="0" w:color="auto"/>
        <w:bottom w:val="none" w:sz="0" w:space="0" w:color="auto"/>
        <w:right w:val="none" w:sz="0" w:space="0" w:color="auto"/>
      </w:divBdr>
    </w:div>
    <w:div w:id="1379166478">
      <w:bodyDiv w:val="1"/>
      <w:marLeft w:val="0"/>
      <w:marRight w:val="0"/>
      <w:marTop w:val="0"/>
      <w:marBottom w:val="0"/>
      <w:divBdr>
        <w:top w:val="none" w:sz="0" w:space="0" w:color="auto"/>
        <w:left w:val="none" w:sz="0" w:space="0" w:color="auto"/>
        <w:bottom w:val="none" w:sz="0" w:space="0" w:color="auto"/>
        <w:right w:val="none" w:sz="0" w:space="0" w:color="auto"/>
      </w:divBdr>
    </w:div>
    <w:div w:id="1382090682">
      <w:bodyDiv w:val="1"/>
      <w:marLeft w:val="0"/>
      <w:marRight w:val="0"/>
      <w:marTop w:val="0"/>
      <w:marBottom w:val="0"/>
      <w:divBdr>
        <w:top w:val="none" w:sz="0" w:space="0" w:color="auto"/>
        <w:left w:val="none" w:sz="0" w:space="0" w:color="auto"/>
        <w:bottom w:val="none" w:sz="0" w:space="0" w:color="auto"/>
        <w:right w:val="none" w:sz="0" w:space="0" w:color="auto"/>
      </w:divBdr>
      <w:divsChild>
        <w:div w:id="224338933">
          <w:marLeft w:val="0"/>
          <w:marRight w:val="0"/>
          <w:marTop w:val="0"/>
          <w:marBottom w:val="0"/>
          <w:divBdr>
            <w:top w:val="none" w:sz="0" w:space="0" w:color="auto"/>
            <w:left w:val="none" w:sz="0" w:space="0" w:color="auto"/>
            <w:bottom w:val="none" w:sz="0" w:space="0" w:color="auto"/>
            <w:right w:val="none" w:sz="0" w:space="0" w:color="auto"/>
          </w:divBdr>
        </w:div>
        <w:div w:id="711032396">
          <w:marLeft w:val="0"/>
          <w:marRight w:val="0"/>
          <w:marTop w:val="0"/>
          <w:marBottom w:val="0"/>
          <w:divBdr>
            <w:top w:val="none" w:sz="0" w:space="0" w:color="auto"/>
            <w:left w:val="none" w:sz="0" w:space="0" w:color="auto"/>
            <w:bottom w:val="none" w:sz="0" w:space="0" w:color="auto"/>
            <w:right w:val="none" w:sz="0" w:space="0" w:color="auto"/>
          </w:divBdr>
        </w:div>
        <w:div w:id="1090813930">
          <w:marLeft w:val="0"/>
          <w:marRight w:val="0"/>
          <w:marTop w:val="0"/>
          <w:marBottom w:val="0"/>
          <w:divBdr>
            <w:top w:val="none" w:sz="0" w:space="0" w:color="auto"/>
            <w:left w:val="none" w:sz="0" w:space="0" w:color="auto"/>
            <w:bottom w:val="none" w:sz="0" w:space="0" w:color="auto"/>
            <w:right w:val="none" w:sz="0" w:space="0" w:color="auto"/>
          </w:divBdr>
          <w:divsChild>
            <w:div w:id="898444633">
              <w:marLeft w:val="0"/>
              <w:marRight w:val="0"/>
              <w:marTop w:val="30"/>
              <w:marBottom w:val="30"/>
              <w:divBdr>
                <w:top w:val="none" w:sz="0" w:space="0" w:color="auto"/>
                <w:left w:val="none" w:sz="0" w:space="0" w:color="auto"/>
                <w:bottom w:val="none" w:sz="0" w:space="0" w:color="auto"/>
                <w:right w:val="none" w:sz="0" w:space="0" w:color="auto"/>
              </w:divBdr>
              <w:divsChild>
                <w:div w:id="20325207">
                  <w:marLeft w:val="0"/>
                  <w:marRight w:val="0"/>
                  <w:marTop w:val="0"/>
                  <w:marBottom w:val="0"/>
                  <w:divBdr>
                    <w:top w:val="none" w:sz="0" w:space="0" w:color="auto"/>
                    <w:left w:val="none" w:sz="0" w:space="0" w:color="auto"/>
                    <w:bottom w:val="none" w:sz="0" w:space="0" w:color="auto"/>
                    <w:right w:val="none" w:sz="0" w:space="0" w:color="auto"/>
                  </w:divBdr>
                  <w:divsChild>
                    <w:div w:id="1891843820">
                      <w:marLeft w:val="0"/>
                      <w:marRight w:val="0"/>
                      <w:marTop w:val="0"/>
                      <w:marBottom w:val="0"/>
                      <w:divBdr>
                        <w:top w:val="none" w:sz="0" w:space="0" w:color="auto"/>
                        <w:left w:val="none" w:sz="0" w:space="0" w:color="auto"/>
                        <w:bottom w:val="none" w:sz="0" w:space="0" w:color="auto"/>
                        <w:right w:val="none" w:sz="0" w:space="0" w:color="auto"/>
                      </w:divBdr>
                    </w:div>
                  </w:divsChild>
                </w:div>
                <w:div w:id="31078528">
                  <w:marLeft w:val="0"/>
                  <w:marRight w:val="0"/>
                  <w:marTop w:val="0"/>
                  <w:marBottom w:val="0"/>
                  <w:divBdr>
                    <w:top w:val="none" w:sz="0" w:space="0" w:color="auto"/>
                    <w:left w:val="none" w:sz="0" w:space="0" w:color="auto"/>
                    <w:bottom w:val="none" w:sz="0" w:space="0" w:color="auto"/>
                    <w:right w:val="none" w:sz="0" w:space="0" w:color="auto"/>
                  </w:divBdr>
                  <w:divsChild>
                    <w:div w:id="806898753">
                      <w:marLeft w:val="0"/>
                      <w:marRight w:val="0"/>
                      <w:marTop w:val="0"/>
                      <w:marBottom w:val="0"/>
                      <w:divBdr>
                        <w:top w:val="none" w:sz="0" w:space="0" w:color="auto"/>
                        <w:left w:val="none" w:sz="0" w:space="0" w:color="auto"/>
                        <w:bottom w:val="none" w:sz="0" w:space="0" w:color="auto"/>
                        <w:right w:val="none" w:sz="0" w:space="0" w:color="auto"/>
                      </w:divBdr>
                    </w:div>
                  </w:divsChild>
                </w:div>
                <w:div w:id="58135014">
                  <w:marLeft w:val="0"/>
                  <w:marRight w:val="0"/>
                  <w:marTop w:val="0"/>
                  <w:marBottom w:val="0"/>
                  <w:divBdr>
                    <w:top w:val="none" w:sz="0" w:space="0" w:color="auto"/>
                    <w:left w:val="none" w:sz="0" w:space="0" w:color="auto"/>
                    <w:bottom w:val="none" w:sz="0" w:space="0" w:color="auto"/>
                    <w:right w:val="none" w:sz="0" w:space="0" w:color="auto"/>
                  </w:divBdr>
                  <w:divsChild>
                    <w:div w:id="1692368481">
                      <w:marLeft w:val="0"/>
                      <w:marRight w:val="0"/>
                      <w:marTop w:val="0"/>
                      <w:marBottom w:val="0"/>
                      <w:divBdr>
                        <w:top w:val="none" w:sz="0" w:space="0" w:color="auto"/>
                        <w:left w:val="none" w:sz="0" w:space="0" w:color="auto"/>
                        <w:bottom w:val="none" w:sz="0" w:space="0" w:color="auto"/>
                        <w:right w:val="none" w:sz="0" w:space="0" w:color="auto"/>
                      </w:divBdr>
                    </w:div>
                  </w:divsChild>
                </w:div>
                <w:div w:id="66652895">
                  <w:marLeft w:val="0"/>
                  <w:marRight w:val="0"/>
                  <w:marTop w:val="0"/>
                  <w:marBottom w:val="0"/>
                  <w:divBdr>
                    <w:top w:val="none" w:sz="0" w:space="0" w:color="auto"/>
                    <w:left w:val="none" w:sz="0" w:space="0" w:color="auto"/>
                    <w:bottom w:val="none" w:sz="0" w:space="0" w:color="auto"/>
                    <w:right w:val="none" w:sz="0" w:space="0" w:color="auto"/>
                  </w:divBdr>
                  <w:divsChild>
                    <w:div w:id="1206793880">
                      <w:marLeft w:val="0"/>
                      <w:marRight w:val="0"/>
                      <w:marTop w:val="0"/>
                      <w:marBottom w:val="0"/>
                      <w:divBdr>
                        <w:top w:val="none" w:sz="0" w:space="0" w:color="auto"/>
                        <w:left w:val="none" w:sz="0" w:space="0" w:color="auto"/>
                        <w:bottom w:val="none" w:sz="0" w:space="0" w:color="auto"/>
                        <w:right w:val="none" w:sz="0" w:space="0" w:color="auto"/>
                      </w:divBdr>
                    </w:div>
                  </w:divsChild>
                </w:div>
                <w:div w:id="97333898">
                  <w:marLeft w:val="0"/>
                  <w:marRight w:val="0"/>
                  <w:marTop w:val="0"/>
                  <w:marBottom w:val="0"/>
                  <w:divBdr>
                    <w:top w:val="none" w:sz="0" w:space="0" w:color="auto"/>
                    <w:left w:val="none" w:sz="0" w:space="0" w:color="auto"/>
                    <w:bottom w:val="none" w:sz="0" w:space="0" w:color="auto"/>
                    <w:right w:val="none" w:sz="0" w:space="0" w:color="auto"/>
                  </w:divBdr>
                  <w:divsChild>
                    <w:div w:id="519322288">
                      <w:marLeft w:val="0"/>
                      <w:marRight w:val="0"/>
                      <w:marTop w:val="0"/>
                      <w:marBottom w:val="0"/>
                      <w:divBdr>
                        <w:top w:val="none" w:sz="0" w:space="0" w:color="auto"/>
                        <w:left w:val="none" w:sz="0" w:space="0" w:color="auto"/>
                        <w:bottom w:val="none" w:sz="0" w:space="0" w:color="auto"/>
                        <w:right w:val="none" w:sz="0" w:space="0" w:color="auto"/>
                      </w:divBdr>
                    </w:div>
                  </w:divsChild>
                </w:div>
                <w:div w:id="125705375">
                  <w:marLeft w:val="0"/>
                  <w:marRight w:val="0"/>
                  <w:marTop w:val="0"/>
                  <w:marBottom w:val="0"/>
                  <w:divBdr>
                    <w:top w:val="none" w:sz="0" w:space="0" w:color="auto"/>
                    <w:left w:val="none" w:sz="0" w:space="0" w:color="auto"/>
                    <w:bottom w:val="none" w:sz="0" w:space="0" w:color="auto"/>
                    <w:right w:val="none" w:sz="0" w:space="0" w:color="auto"/>
                  </w:divBdr>
                  <w:divsChild>
                    <w:div w:id="1839418914">
                      <w:marLeft w:val="0"/>
                      <w:marRight w:val="0"/>
                      <w:marTop w:val="0"/>
                      <w:marBottom w:val="0"/>
                      <w:divBdr>
                        <w:top w:val="none" w:sz="0" w:space="0" w:color="auto"/>
                        <w:left w:val="none" w:sz="0" w:space="0" w:color="auto"/>
                        <w:bottom w:val="none" w:sz="0" w:space="0" w:color="auto"/>
                        <w:right w:val="none" w:sz="0" w:space="0" w:color="auto"/>
                      </w:divBdr>
                    </w:div>
                  </w:divsChild>
                </w:div>
                <w:div w:id="145319675">
                  <w:marLeft w:val="0"/>
                  <w:marRight w:val="0"/>
                  <w:marTop w:val="0"/>
                  <w:marBottom w:val="0"/>
                  <w:divBdr>
                    <w:top w:val="none" w:sz="0" w:space="0" w:color="auto"/>
                    <w:left w:val="none" w:sz="0" w:space="0" w:color="auto"/>
                    <w:bottom w:val="none" w:sz="0" w:space="0" w:color="auto"/>
                    <w:right w:val="none" w:sz="0" w:space="0" w:color="auto"/>
                  </w:divBdr>
                  <w:divsChild>
                    <w:div w:id="1103185315">
                      <w:marLeft w:val="0"/>
                      <w:marRight w:val="0"/>
                      <w:marTop w:val="0"/>
                      <w:marBottom w:val="0"/>
                      <w:divBdr>
                        <w:top w:val="none" w:sz="0" w:space="0" w:color="auto"/>
                        <w:left w:val="none" w:sz="0" w:space="0" w:color="auto"/>
                        <w:bottom w:val="none" w:sz="0" w:space="0" w:color="auto"/>
                        <w:right w:val="none" w:sz="0" w:space="0" w:color="auto"/>
                      </w:divBdr>
                    </w:div>
                  </w:divsChild>
                </w:div>
                <w:div w:id="155610499">
                  <w:marLeft w:val="0"/>
                  <w:marRight w:val="0"/>
                  <w:marTop w:val="0"/>
                  <w:marBottom w:val="0"/>
                  <w:divBdr>
                    <w:top w:val="none" w:sz="0" w:space="0" w:color="auto"/>
                    <w:left w:val="none" w:sz="0" w:space="0" w:color="auto"/>
                    <w:bottom w:val="none" w:sz="0" w:space="0" w:color="auto"/>
                    <w:right w:val="none" w:sz="0" w:space="0" w:color="auto"/>
                  </w:divBdr>
                  <w:divsChild>
                    <w:div w:id="2113624841">
                      <w:marLeft w:val="0"/>
                      <w:marRight w:val="0"/>
                      <w:marTop w:val="0"/>
                      <w:marBottom w:val="0"/>
                      <w:divBdr>
                        <w:top w:val="none" w:sz="0" w:space="0" w:color="auto"/>
                        <w:left w:val="none" w:sz="0" w:space="0" w:color="auto"/>
                        <w:bottom w:val="none" w:sz="0" w:space="0" w:color="auto"/>
                        <w:right w:val="none" w:sz="0" w:space="0" w:color="auto"/>
                      </w:divBdr>
                    </w:div>
                  </w:divsChild>
                </w:div>
                <w:div w:id="179125532">
                  <w:marLeft w:val="0"/>
                  <w:marRight w:val="0"/>
                  <w:marTop w:val="0"/>
                  <w:marBottom w:val="0"/>
                  <w:divBdr>
                    <w:top w:val="none" w:sz="0" w:space="0" w:color="auto"/>
                    <w:left w:val="none" w:sz="0" w:space="0" w:color="auto"/>
                    <w:bottom w:val="none" w:sz="0" w:space="0" w:color="auto"/>
                    <w:right w:val="none" w:sz="0" w:space="0" w:color="auto"/>
                  </w:divBdr>
                  <w:divsChild>
                    <w:div w:id="484854753">
                      <w:marLeft w:val="0"/>
                      <w:marRight w:val="0"/>
                      <w:marTop w:val="0"/>
                      <w:marBottom w:val="0"/>
                      <w:divBdr>
                        <w:top w:val="none" w:sz="0" w:space="0" w:color="auto"/>
                        <w:left w:val="none" w:sz="0" w:space="0" w:color="auto"/>
                        <w:bottom w:val="none" w:sz="0" w:space="0" w:color="auto"/>
                        <w:right w:val="none" w:sz="0" w:space="0" w:color="auto"/>
                      </w:divBdr>
                    </w:div>
                  </w:divsChild>
                </w:div>
                <w:div w:id="188565839">
                  <w:marLeft w:val="0"/>
                  <w:marRight w:val="0"/>
                  <w:marTop w:val="0"/>
                  <w:marBottom w:val="0"/>
                  <w:divBdr>
                    <w:top w:val="none" w:sz="0" w:space="0" w:color="auto"/>
                    <w:left w:val="none" w:sz="0" w:space="0" w:color="auto"/>
                    <w:bottom w:val="none" w:sz="0" w:space="0" w:color="auto"/>
                    <w:right w:val="none" w:sz="0" w:space="0" w:color="auto"/>
                  </w:divBdr>
                  <w:divsChild>
                    <w:div w:id="1302618469">
                      <w:marLeft w:val="0"/>
                      <w:marRight w:val="0"/>
                      <w:marTop w:val="0"/>
                      <w:marBottom w:val="0"/>
                      <w:divBdr>
                        <w:top w:val="none" w:sz="0" w:space="0" w:color="auto"/>
                        <w:left w:val="none" w:sz="0" w:space="0" w:color="auto"/>
                        <w:bottom w:val="none" w:sz="0" w:space="0" w:color="auto"/>
                        <w:right w:val="none" w:sz="0" w:space="0" w:color="auto"/>
                      </w:divBdr>
                    </w:div>
                  </w:divsChild>
                </w:div>
                <w:div w:id="193620133">
                  <w:marLeft w:val="0"/>
                  <w:marRight w:val="0"/>
                  <w:marTop w:val="0"/>
                  <w:marBottom w:val="0"/>
                  <w:divBdr>
                    <w:top w:val="none" w:sz="0" w:space="0" w:color="auto"/>
                    <w:left w:val="none" w:sz="0" w:space="0" w:color="auto"/>
                    <w:bottom w:val="none" w:sz="0" w:space="0" w:color="auto"/>
                    <w:right w:val="none" w:sz="0" w:space="0" w:color="auto"/>
                  </w:divBdr>
                  <w:divsChild>
                    <w:div w:id="821197683">
                      <w:marLeft w:val="0"/>
                      <w:marRight w:val="0"/>
                      <w:marTop w:val="0"/>
                      <w:marBottom w:val="0"/>
                      <w:divBdr>
                        <w:top w:val="none" w:sz="0" w:space="0" w:color="auto"/>
                        <w:left w:val="none" w:sz="0" w:space="0" w:color="auto"/>
                        <w:bottom w:val="none" w:sz="0" w:space="0" w:color="auto"/>
                        <w:right w:val="none" w:sz="0" w:space="0" w:color="auto"/>
                      </w:divBdr>
                    </w:div>
                  </w:divsChild>
                </w:div>
                <w:div w:id="202669506">
                  <w:marLeft w:val="0"/>
                  <w:marRight w:val="0"/>
                  <w:marTop w:val="0"/>
                  <w:marBottom w:val="0"/>
                  <w:divBdr>
                    <w:top w:val="none" w:sz="0" w:space="0" w:color="auto"/>
                    <w:left w:val="none" w:sz="0" w:space="0" w:color="auto"/>
                    <w:bottom w:val="none" w:sz="0" w:space="0" w:color="auto"/>
                    <w:right w:val="none" w:sz="0" w:space="0" w:color="auto"/>
                  </w:divBdr>
                  <w:divsChild>
                    <w:div w:id="104548340">
                      <w:marLeft w:val="0"/>
                      <w:marRight w:val="0"/>
                      <w:marTop w:val="0"/>
                      <w:marBottom w:val="0"/>
                      <w:divBdr>
                        <w:top w:val="none" w:sz="0" w:space="0" w:color="auto"/>
                        <w:left w:val="none" w:sz="0" w:space="0" w:color="auto"/>
                        <w:bottom w:val="none" w:sz="0" w:space="0" w:color="auto"/>
                        <w:right w:val="none" w:sz="0" w:space="0" w:color="auto"/>
                      </w:divBdr>
                    </w:div>
                  </w:divsChild>
                </w:div>
                <w:div w:id="205528466">
                  <w:marLeft w:val="0"/>
                  <w:marRight w:val="0"/>
                  <w:marTop w:val="0"/>
                  <w:marBottom w:val="0"/>
                  <w:divBdr>
                    <w:top w:val="none" w:sz="0" w:space="0" w:color="auto"/>
                    <w:left w:val="none" w:sz="0" w:space="0" w:color="auto"/>
                    <w:bottom w:val="none" w:sz="0" w:space="0" w:color="auto"/>
                    <w:right w:val="none" w:sz="0" w:space="0" w:color="auto"/>
                  </w:divBdr>
                  <w:divsChild>
                    <w:div w:id="114711976">
                      <w:marLeft w:val="0"/>
                      <w:marRight w:val="0"/>
                      <w:marTop w:val="0"/>
                      <w:marBottom w:val="0"/>
                      <w:divBdr>
                        <w:top w:val="none" w:sz="0" w:space="0" w:color="auto"/>
                        <w:left w:val="none" w:sz="0" w:space="0" w:color="auto"/>
                        <w:bottom w:val="none" w:sz="0" w:space="0" w:color="auto"/>
                        <w:right w:val="none" w:sz="0" w:space="0" w:color="auto"/>
                      </w:divBdr>
                    </w:div>
                    <w:div w:id="732580930">
                      <w:marLeft w:val="0"/>
                      <w:marRight w:val="0"/>
                      <w:marTop w:val="0"/>
                      <w:marBottom w:val="0"/>
                      <w:divBdr>
                        <w:top w:val="none" w:sz="0" w:space="0" w:color="auto"/>
                        <w:left w:val="none" w:sz="0" w:space="0" w:color="auto"/>
                        <w:bottom w:val="none" w:sz="0" w:space="0" w:color="auto"/>
                        <w:right w:val="none" w:sz="0" w:space="0" w:color="auto"/>
                      </w:divBdr>
                    </w:div>
                  </w:divsChild>
                </w:div>
                <w:div w:id="247927278">
                  <w:marLeft w:val="0"/>
                  <w:marRight w:val="0"/>
                  <w:marTop w:val="0"/>
                  <w:marBottom w:val="0"/>
                  <w:divBdr>
                    <w:top w:val="none" w:sz="0" w:space="0" w:color="auto"/>
                    <w:left w:val="none" w:sz="0" w:space="0" w:color="auto"/>
                    <w:bottom w:val="none" w:sz="0" w:space="0" w:color="auto"/>
                    <w:right w:val="none" w:sz="0" w:space="0" w:color="auto"/>
                  </w:divBdr>
                  <w:divsChild>
                    <w:div w:id="608855681">
                      <w:marLeft w:val="0"/>
                      <w:marRight w:val="0"/>
                      <w:marTop w:val="0"/>
                      <w:marBottom w:val="0"/>
                      <w:divBdr>
                        <w:top w:val="none" w:sz="0" w:space="0" w:color="auto"/>
                        <w:left w:val="none" w:sz="0" w:space="0" w:color="auto"/>
                        <w:bottom w:val="none" w:sz="0" w:space="0" w:color="auto"/>
                        <w:right w:val="none" w:sz="0" w:space="0" w:color="auto"/>
                      </w:divBdr>
                    </w:div>
                  </w:divsChild>
                </w:div>
                <w:div w:id="255866109">
                  <w:marLeft w:val="0"/>
                  <w:marRight w:val="0"/>
                  <w:marTop w:val="0"/>
                  <w:marBottom w:val="0"/>
                  <w:divBdr>
                    <w:top w:val="none" w:sz="0" w:space="0" w:color="auto"/>
                    <w:left w:val="none" w:sz="0" w:space="0" w:color="auto"/>
                    <w:bottom w:val="none" w:sz="0" w:space="0" w:color="auto"/>
                    <w:right w:val="none" w:sz="0" w:space="0" w:color="auto"/>
                  </w:divBdr>
                  <w:divsChild>
                    <w:div w:id="24334175">
                      <w:marLeft w:val="0"/>
                      <w:marRight w:val="0"/>
                      <w:marTop w:val="0"/>
                      <w:marBottom w:val="0"/>
                      <w:divBdr>
                        <w:top w:val="none" w:sz="0" w:space="0" w:color="auto"/>
                        <w:left w:val="none" w:sz="0" w:space="0" w:color="auto"/>
                        <w:bottom w:val="none" w:sz="0" w:space="0" w:color="auto"/>
                        <w:right w:val="none" w:sz="0" w:space="0" w:color="auto"/>
                      </w:divBdr>
                    </w:div>
                  </w:divsChild>
                </w:div>
                <w:div w:id="259991023">
                  <w:marLeft w:val="0"/>
                  <w:marRight w:val="0"/>
                  <w:marTop w:val="0"/>
                  <w:marBottom w:val="0"/>
                  <w:divBdr>
                    <w:top w:val="none" w:sz="0" w:space="0" w:color="auto"/>
                    <w:left w:val="none" w:sz="0" w:space="0" w:color="auto"/>
                    <w:bottom w:val="none" w:sz="0" w:space="0" w:color="auto"/>
                    <w:right w:val="none" w:sz="0" w:space="0" w:color="auto"/>
                  </w:divBdr>
                  <w:divsChild>
                    <w:div w:id="90321527">
                      <w:marLeft w:val="0"/>
                      <w:marRight w:val="0"/>
                      <w:marTop w:val="0"/>
                      <w:marBottom w:val="0"/>
                      <w:divBdr>
                        <w:top w:val="none" w:sz="0" w:space="0" w:color="auto"/>
                        <w:left w:val="none" w:sz="0" w:space="0" w:color="auto"/>
                        <w:bottom w:val="none" w:sz="0" w:space="0" w:color="auto"/>
                        <w:right w:val="none" w:sz="0" w:space="0" w:color="auto"/>
                      </w:divBdr>
                    </w:div>
                  </w:divsChild>
                </w:div>
                <w:div w:id="267350852">
                  <w:marLeft w:val="0"/>
                  <w:marRight w:val="0"/>
                  <w:marTop w:val="0"/>
                  <w:marBottom w:val="0"/>
                  <w:divBdr>
                    <w:top w:val="none" w:sz="0" w:space="0" w:color="auto"/>
                    <w:left w:val="none" w:sz="0" w:space="0" w:color="auto"/>
                    <w:bottom w:val="none" w:sz="0" w:space="0" w:color="auto"/>
                    <w:right w:val="none" w:sz="0" w:space="0" w:color="auto"/>
                  </w:divBdr>
                  <w:divsChild>
                    <w:div w:id="1870146009">
                      <w:marLeft w:val="0"/>
                      <w:marRight w:val="0"/>
                      <w:marTop w:val="0"/>
                      <w:marBottom w:val="0"/>
                      <w:divBdr>
                        <w:top w:val="none" w:sz="0" w:space="0" w:color="auto"/>
                        <w:left w:val="none" w:sz="0" w:space="0" w:color="auto"/>
                        <w:bottom w:val="none" w:sz="0" w:space="0" w:color="auto"/>
                        <w:right w:val="none" w:sz="0" w:space="0" w:color="auto"/>
                      </w:divBdr>
                    </w:div>
                  </w:divsChild>
                </w:div>
                <w:div w:id="284391835">
                  <w:marLeft w:val="0"/>
                  <w:marRight w:val="0"/>
                  <w:marTop w:val="0"/>
                  <w:marBottom w:val="0"/>
                  <w:divBdr>
                    <w:top w:val="none" w:sz="0" w:space="0" w:color="auto"/>
                    <w:left w:val="none" w:sz="0" w:space="0" w:color="auto"/>
                    <w:bottom w:val="none" w:sz="0" w:space="0" w:color="auto"/>
                    <w:right w:val="none" w:sz="0" w:space="0" w:color="auto"/>
                  </w:divBdr>
                  <w:divsChild>
                    <w:div w:id="1732650167">
                      <w:marLeft w:val="0"/>
                      <w:marRight w:val="0"/>
                      <w:marTop w:val="0"/>
                      <w:marBottom w:val="0"/>
                      <w:divBdr>
                        <w:top w:val="none" w:sz="0" w:space="0" w:color="auto"/>
                        <w:left w:val="none" w:sz="0" w:space="0" w:color="auto"/>
                        <w:bottom w:val="none" w:sz="0" w:space="0" w:color="auto"/>
                        <w:right w:val="none" w:sz="0" w:space="0" w:color="auto"/>
                      </w:divBdr>
                    </w:div>
                    <w:div w:id="2048216612">
                      <w:marLeft w:val="0"/>
                      <w:marRight w:val="0"/>
                      <w:marTop w:val="0"/>
                      <w:marBottom w:val="0"/>
                      <w:divBdr>
                        <w:top w:val="none" w:sz="0" w:space="0" w:color="auto"/>
                        <w:left w:val="none" w:sz="0" w:space="0" w:color="auto"/>
                        <w:bottom w:val="none" w:sz="0" w:space="0" w:color="auto"/>
                        <w:right w:val="none" w:sz="0" w:space="0" w:color="auto"/>
                      </w:divBdr>
                    </w:div>
                  </w:divsChild>
                </w:div>
                <w:div w:id="294023928">
                  <w:marLeft w:val="0"/>
                  <w:marRight w:val="0"/>
                  <w:marTop w:val="0"/>
                  <w:marBottom w:val="0"/>
                  <w:divBdr>
                    <w:top w:val="none" w:sz="0" w:space="0" w:color="auto"/>
                    <w:left w:val="none" w:sz="0" w:space="0" w:color="auto"/>
                    <w:bottom w:val="none" w:sz="0" w:space="0" w:color="auto"/>
                    <w:right w:val="none" w:sz="0" w:space="0" w:color="auto"/>
                  </w:divBdr>
                  <w:divsChild>
                    <w:div w:id="406651768">
                      <w:marLeft w:val="0"/>
                      <w:marRight w:val="0"/>
                      <w:marTop w:val="0"/>
                      <w:marBottom w:val="0"/>
                      <w:divBdr>
                        <w:top w:val="none" w:sz="0" w:space="0" w:color="auto"/>
                        <w:left w:val="none" w:sz="0" w:space="0" w:color="auto"/>
                        <w:bottom w:val="none" w:sz="0" w:space="0" w:color="auto"/>
                        <w:right w:val="none" w:sz="0" w:space="0" w:color="auto"/>
                      </w:divBdr>
                    </w:div>
                  </w:divsChild>
                </w:div>
                <w:div w:id="317345798">
                  <w:marLeft w:val="0"/>
                  <w:marRight w:val="0"/>
                  <w:marTop w:val="0"/>
                  <w:marBottom w:val="0"/>
                  <w:divBdr>
                    <w:top w:val="none" w:sz="0" w:space="0" w:color="auto"/>
                    <w:left w:val="none" w:sz="0" w:space="0" w:color="auto"/>
                    <w:bottom w:val="none" w:sz="0" w:space="0" w:color="auto"/>
                    <w:right w:val="none" w:sz="0" w:space="0" w:color="auto"/>
                  </w:divBdr>
                  <w:divsChild>
                    <w:div w:id="38675863">
                      <w:marLeft w:val="0"/>
                      <w:marRight w:val="0"/>
                      <w:marTop w:val="0"/>
                      <w:marBottom w:val="0"/>
                      <w:divBdr>
                        <w:top w:val="none" w:sz="0" w:space="0" w:color="auto"/>
                        <w:left w:val="none" w:sz="0" w:space="0" w:color="auto"/>
                        <w:bottom w:val="none" w:sz="0" w:space="0" w:color="auto"/>
                        <w:right w:val="none" w:sz="0" w:space="0" w:color="auto"/>
                      </w:divBdr>
                    </w:div>
                  </w:divsChild>
                </w:div>
                <w:div w:id="353844740">
                  <w:marLeft w:val="0"/>
                  <w:marRight w:val="0"/>
                  <w:marTop w:val="0"/>
                  <w:marBottom w:val="0"/>
                  <w:divBdr>
                    <w:top w:val="none" w:sz="0" w:space="0" w:color="auto"/>
                    <w:left w:val="none" w:sz="0" w:space="0" w:color="auto"/>
                    <w:bottom w:val="none" w:sz="0" w:space="0" w:color="auto"/>
                    <w:right w:val="none" w:sz="0" w:space="0" w:color="auto"/>
                  </w:divBdr>
                  <w:divsChild>
                    <w:div w:id="1855414146">
                      <w:marLeft w:val="0"/>
                      <w:marRight w:val="0"/>
                      <w:marTop w:val="0"/>
                      <w:marBottom w:val="0"/>
                      <w:divBdr>
                        <w:top w:val="none" w:sz="0" w:space="0" w:color="auto"/>
                        <w:left w:val="none" w:sz="0" w:space="0" w:color="auto"/>
                        <w:bottom w:val="none" w:sz="0" w:space="0" w:color="auto"/>
                        <w:right w:val="none" w:sz="0" w:space="0" w:color="auto"/>
                      </w:divBdr>
                    </w:div>
                  </w:divsChild>
                </w:div>
                <w:div w:id="407655617">
                  <w:marLeft w:val="0"/>
                  <w:marRight w:val="0"/>
                  <w:marTop w:val="0"/>
                  <w:marBottom w:val="0"/>
                  <w:divBdr>
                    <w:top w:val="none" w:sz="0" w:space="0" w:color="auto"/>
                    <w:left w:val="none" w:sz="0" w:space="0" w:color="auto"/>
                    <w:bottom w:val="none" w:sz="0" w:space="0" w:color="auto"/>
                    <w:right w:val="none" w:sz="0" w:space="0" w:color="auto"/>
                  </w:divBdr>
                  <w:divsChild>
                    <w:div w:id="346910184">
                      <w:marLeft w:val="0"/>
                      <w:marRight w:val="0"/>
                      <w:marTop w:val="0"/>
                      <w:marBottom w:val="0"/>
                      <w:divBdr>
                        <w:top w:val="none" w:sz="0" w:space="0" w:color="auto"/>
                        <w:left w:val="none" w:sz="0" w:space="0" w:color="auto"/>
                        <w:bottom w:val="none" w:sz="0" w:space="0" w:color="auto"/>
                        <w:right w:val="none" w:sz="0" w:space="0" w:color="auto"/>
                      </w:divBdr>
                    </w:div>
                  </w:divsChild>
                </w:div>
                <w:div w:id="470637693">
                  <w:marLeft w:val="0"/>
                  <w:marRight w:val="0"/>
                  <w:marTop w:val="0"/>
                  <w:marBottom w:val="0"/>
                  <w:divBdr>
                    <w:top w:val="none" w:sz="0" w:space="0" w:color="auto"/>
                    <w:left w:val="none" w:sz="0" w:space="0" w:color="auto"/>
                    <w:bottom w:val="none" w:sz="0" w:space="0" w:color="auto"/>
                    <w:right w:val="none" w:sz="0" w:space="0" w:color="auto"/>
                  </w:divBdr>
                  <w:divsChild>
                    <w:div w:id="364410158">
                      <w:marLeft w:val="0"/>
                      <w:marRight w:val="0"/>
                      <w:marTop w:val="0"/>
                      <w:marBottom w:val="0"/>
                      <w:divBdr>
                        <w:top w:val="none" w:sz="0" w:space="0" w:color="auto"/>
                        <w:left w:val="none" w:sz="0" w:space="0" w:color="auto"/>
                        <w:bottom w:val="none" w:sz="0" w:space="0" w:color="auto"/>
                        <w:right w:val="none" w:sz="0" w:space="0" w:color="auto"/>
                      </w:divBdr>
                    </w:div>
                  </w:divsChild>
                </w:div>
                <w:div w:id="484013925">
                  <w:marLeft w:val="0"/>
                  <w:marRight w:val="0"/>
                  <w:marTop w:val="0"/>
                  <w:marBottom w:val="0"/>
                  <w:divBdr>
                    <w:top w:val="none" w:sz="0" w:space="0" w:color="auto"/>
                    <w:left w:val="none" w:sz="0" w:space="0" w:color="auto"/>
                    <w:bottom w:val="none" w:sz="0" w:space="0" w:color="auto"/>
                    <w:right w:val="none" w:sz="0" w:space="0" w:color="auto"/>
                  </w:divBdr>
                  <w:divsChild>
                    <w:div w:id="2089647550">
                      <w:marLeft w:val="0"/>
                      <w:marRight w:val="0"/>
                      <w:marTop w:val="0"/>
                      <w:marBottom w:val="0"/>
                      <w:divBdr>
                        <w:top w:val="none" w:sz="0" w:space="0" w:color="auto"/>
                        <w:left w:val="none" w:sz="0" w:space="0" w:color="auto"/>
                        <w:bottom w:val="none" w:sz="0" w:space="0" w:color="auto"/>
                        <w:right w:val="none" w:sz="0" w:space="0" w:color="auto"/>
                      </w:divBdr>
                    </w:div>
                  </w:divsChild>
                </w:div>
                <w:div w:id="524052644">
                  <w:marLeft w:val="0"/>
                  <w:marRight w:val="0"/>
                  <w:marTop w:val="0"/>
                  <w:marBottom w:val="0"/>
                  <w:divBdr>
                    <w:top w:val="none" w:sz="0" w:space="0" w:color="auto"/>
                    <w:left w:val="none" w:sz="0" w:space="0" w:color="auto"/>
                    <w:bottom w:val="none" w:sz="0" w:space="0" w:color="auto"/>
                    <w:right w:val="none" w:sz="0" w:space="0" w:color="auto"/>
                  </w:divBdr>
                  <w:divsChild>
                    <w:div w:id="404186110">
                      <w:marLeft w:val="0"/>
                      <w:marRight w:val="0"/>
                      <w:marTop w:val="0"/>
                      <w:marBottom w:val="0"/>
                      <w:divBdr>
                        <w:top w:val="none" w:sz="0" w:space="0" w:color="auto"/>
                        <w:left w:val="none" w:sz="0" w:space="0" w:color="auto"/>
                        <w:bottom w:val="none" w:sz="0" w:space="0" w:color="auto"/>
                        <w:right w:val="none" w:sz="0" w:space="0" w:color="auto"/>
                      </w:divBdr>
                    </w:div>
                  </w:divsChild>
                </w:div>
                <w:div w:id="552887500">
                  <w:marLeft w:val="0"/>
                  <w:marRight w:val="0"/>
                  <w:marTop w:val="0"/>
                  <w:marBottom w:val="0"/>
                  <w:divBdr>
                    <w:top w:val="none" w:sz="0" w:space="0" w:color="auto"/>
                    <w:left w:val="none" w:sz="0" w:space="0" w:color="auto"/>
                    <w:bottom w:val="none" w:sz="0" w:space="0" w:color="auto"/>
                    <w:right w:val="none" w:sz="0" w:space="0" w:color="auto"/>
                  </w:divBdr>
                  <w:divsChild>
                    <w:div w:id="696658664">
                      <w:marLeft w:val="0"/>
                      <w:marRight w:val="0"/>
                      <w:marTop w:val="0"/>
                      <w:marBottom w:val="0"/>
                      <w:divBdr>
                        <w:top w:val="none" w:sz="0" w:space="0" w:color="auto"/>
                        <w:left w:val="none" w:sz="0" w:space="0" w:color="auto"/>
                        <w:bottom w:val="none" w:sz="0" w:space="0" w:color="auto"/>
                        <w:right w:val="none" w:sz="0" w:space="0" w:color="auto"/>
                      </w:divBdr>
                    </w:div>
                  </w:divsChild>
                </w:div>
                <w:div w:id="573048070">
                  <w:marLeft w:val="0"/>
                  <w:marRight w:val="0"/>
                  <w:marTop w:val="0"/>
                  <w:marBottom w:val="0"/>
                  <w:divBdr>
                    <w:top w:val="none" w:sz="0" w:space="0" w:color="auto"/>
                    <w:left w:val="none" w:sz="0" w:space="0" w:color="auto"/>
                    <w:bottom w:val="none" w:sz="0" w:space="0" w:color="auto"/>
                    <w:right w:val="none" w:sz="0" w:space="0" w:color="auto"/>
                  </w:divBdr>
                  <w:divsChild>
                    <w:div w:id="199510986">
                      <w:marLeft w:val="0"/>
                      <w:marRight w:val="0"/>
                      <w:marTop w:val="0"/>
                      <w:marBottom w:val="0"/>
                      <w:divBdr>
                        <w:top w:val="none" w:sz="0" w:space="0" w:color="auto"/>
                        <w:left w:val="none" w:sz="0" w:space="0" w:color="auto"/>
                        <w:bottom w:val="none" w:sz="0" w:space="0" w:color="auto"/>
                        <w:right w:val="none" w:sz="0" w:space="0" w:color="auto"/>
                      </w:divBdr>
                    </w:div>
                  </w:divsChild>
                </w:div>
                <w:div w:id="624045824">
                  <w:marLeft w:val="0"/>
                  <w:marRight w:val="0"/>
                  <w:marTop w:val="0"/>
                  <w:marBottom w:val="0"/>
                  <w:divBdr>
                    <w:top w:val="none" w:sz="0" w:space="0" w:color="auto"/>
                    <w:left w:val="none" w:sz="0" w:space="0" w:color="auto"/>
                    <w:bottom w:val="none" w:sz="0" w:space="0" w:color="auto"/>
                    <w:right w:val="none" w:sz="0" w:space="0" w:color="auto"/>
                  </w:divBdr>
                  <w:divsChild>
                    <w:div w:id="199900385">
                      <w:marLeft w:val="0"/>
                      <w:marRight w:val="0"/>
                      <w:marTop w:val="0"/>
                      <w:marBottom w:val="0"/>
                      <w:divBdr>
                        <w:top w:val="none" w:sz="0" w:space="0" w:color="auto"/>
                        <w:left w:val="none" w:sz="0" w:space="0" w:color="auto"/>
                        <w:bottom w:val="none" w:sz="0" w:space="0" w:color="auto"/>
                        <w:right w:val="none" w:sz="0" w:space="0" w:color="auto"/>
                      </w:divBdr>
                    </w:div>
                  </w:divsChild>
                </w:div>
                <w:div w:id="631209224">
                  <w:marLeft w:val="0"/>
                  <w:marRight w:val="0"/>
                  <w:marTop w:val="0"/>
                  <w:marBottom w:val="0"/>
                  <w:divBdr>
                    <w:top w:val="none" w:sz="0" w:space="0" w:color="auto"/>
                    <w:left w:val="none" w:sz="0" w:space="0" w:color="auto"/>
                    <w:bottom w:val="none" w:sz="0" w:space="0" w:color="auto"/>
                    <w:right w:val="none" w:sz="0" w:space="0" w:color="auto"/>
                  </w:divBdr>
                  <w:divsChild>
                    <w:div w:id="190143492">
                      <w:marLeft w:val="0"/>
                      <w:marRight w:val="0"/>
                      <w:marTop w:val="0"/>
                      <w:marBottom w:val="0"/>
                      <w:divBdr>
                        <w:top w:val="none" w:sz="0" w:space="0" w:color="auto"/>
                        <w:left w:val="none" w:sz="0" w:space="0" w:color="auto"/>
                        <w:bottom w:val="none" w:sz="0" w:space="0" w:color="auto"/>
                        <w:right w:val="none" w:sz="0" w:space="0" w:color="auto"/>
                      </w:divBdr>
                    </w:div>
                  </w:divsChild>
                </w:div>
                <w:div w:id="656303510">
                  <w:marLeft w:val="0"/>
                  <w:marRight w:val="0"/>
                  <w:marTop w:val="0"/>
                  <w:marBottom w:val="0"/>
                  <w:divBdr>
                    <w:top w:val="none" w:sz="0" w:space="0" w:color="auto"/>
                    <w:left w:val="none" w:sz="0" w:space="0" w:color="auto"/>
                    <w:bottom w:val="none" w:sz="0" w:space="0" w:color="auto"/>
                    <w:right w:val="none" w:sz="0" w:space="0" w:color="auto"/>
                  </w:divBdr>
                  <w:divsChild>
                    <w:div w:id="971055601">
                      <w:marLeft w:val="0"/>
                      <w:marRight w:val="0"/>
                      <w:marTop w:val="0"/>
                      <w:marBottom w:val="0"/>
                      <w:divBdr>
                        <w:top w:val="none" w:sz="0" w:space="0" w:color="auto"/>
                        <w:left w:val="none" w:sz="0" w:space="0" w:color="auto"/>
                        <w:bottom w:val="none" w:sz="0" w:space="0" w:color="auto"/>
                        <w:right w:val="none" w:sz="0" w:space="0" w:color="auto"/>
                      </w:divBdr>
                    </w:div>
                  </w:divsChild>
                </w:div>
                <w:div w:id="667749947">
                  <w:marLeft w:val="0"/>
                  <w:marRight w:val="0"/>
                  <w:marTop w:val="0"/>
                  <w:marBottom w:val="0"/>
                  <w:divBdr>
                    <w:top w:val="none" w:sz="0" w:space="0" w:color="auto"/>
                    <w:left w:val="none" w:sz="0" w:space="0" w:color="auto"/>
                    <w:bottom w:val="none" w:sz="0" w:space="0" w:color="auto"/>
                    <w:right w:val="none" w:sz="0" w:space="0" w:color="auto"/>
                  </w:divBdr>
                  <w:divsChild>
                    <w:div w:id="1431005085">
                      <w:marLeft w:val="0"/>
                      <w:marRight w:val="0"/>
                      <w:marTop w:val="0"/>
                      <w:marBottom w:val="0"/>
                      <w:divBdr>
                        <w:top w:val="none" w:sz="0" w:space="0" w:color="auto"/>
                        <w:left w:val="none" w:sz="0" w:space="0" w:color="auto"/>
                        <w:bottom w:val="none" w:sz="0" w:space="0" w:color="auto"/>
                        <w:right w:val="none" w:sz="0" w:space="0" w:color="auto"/>
                      </w:divBdr>
                    </w:div>
                  </w:divsChild>
                </w:div>
                <w:div w:id="689718456">
                  <w:marLeft w:val="0"/>
                  <w:marRight w:val="0"/>
                  <w:marTop w:val="0"/>
                  <w:marBottom w:val="0"/>
                  <w:divBdr>
                    <w:top w:val="none" w:sz="0" w:space="0" w:color="auto"/>
                    <w:left w:val="none" w:sz="0" w:space="0" w:color="auto"/>
                    <w:bottom w:val="none" w:sz="0" w:space="0" w:color="auto"/>
                    <w:right w:val="none" w:sz="0" w:space="0" w:color="auto"/>
                  </w:divBdr>
                  <w:divsChild>
                    <w:div w:id="260184627">
                      <w:marLeft w:val="0"/>
                      <w:marRight w:val="0"/>
                      <w:marTop w:val="0"/>
                      <w:marBottom w:val="0"/>
                      <w:divBdr>
                        <w:top w:val="none" w:sz="0" w:space="0" w:color="auto"/>
                        <w:left w:val="none" w:sz="0" w:space="0" w:color="auto"/>
                        <w:bottom w:val="none" w:sz="0" w:space="0" w:color="auto"/>
                        <w:right w:val="none" w:sz="0" w:space="0" w:color="auto"/>
                      </w:divBdr>
                    </w:div>
                    <w:div w:id="1538422996">
                      <w:marLeft w:val="0"/>
                      <w:marRight w:val="0"/>
                      <w:marTop w:val="0"/>
                      <w:marBottom w:val="0"/>
                      <w:divBdr>
                        <w:top w:val="none" w:sz="0" w:space="0" w:color="auto"/>
                        <w:left w:val="none" w:sz="0" w:space="0" w:color="auto"/>
                        <w:bottom w:val="none" w:sz="0" w:space="0" w:color="auto"/>
                        <w:right w:val="none" w:sz="0" w:space="0" w:color="auto"/>
                      </w:divBdr>
                    </w:div>
                  </w:divsChild>
                </w:div>
                <w:div w:id="722100095">
                  <w:marLeft w:val="0"/>
                  <w:marRight w:val="0"/>
                  <w:marTop w:val="0"/>
                  <w:marBottom w:val="0"/>
                  <w:divBdr>
                    <w:top w:val="none" w:sz="0" w:space="0" w:color="auto"/>
                    <w:left w:val="none" w:sz="0" w:space="0" w:color="auto"/>
                    <w:bottom w:val="none" w:sz="0" w:space="0" w:color="auto"/>
                    <w:right w:val="none" w:sz="0" w:space="0" w:color="auto"/>
                  </w:divBdr>
                  <w:divsChild>
                    <w:div w:id="773130342">
                      <w:marLeft w:val="0"/>
                      <w:marRight w:val="0"/>
                      <w:marTop w:val="0"/>
                      <w:marBottom w:val="0"/>
                      <w:divBdr>
                        <w:top w:val="none" w:sz="0" w:space="0" w:color="auto"/>
                        <w:left w:val="none" w:sz="0" w:space="0" w:color="auto"/>
                        <w:bottom w:val="none" w:sz="0" w:space="0" w:color="auto"/>
                        <w:right w:val="none" w:sz="0" w:space="0" w:color="auto"/>
                      </w:divBdr>
                    </w:div>
                  </w:divsChild>
                </w:div>
                <w:div w:id="761607049">
                  <w:marLeft w:val="0"/>
                  <w:marRight w:val="0"/>
                  <w:marTop w:val="0"/>
                  <w:marBottom w:val="0"/>
                  <w:divBdr>
                    <w:top w:val="none" w:sz="0" w:space="0" w:color="auto"/>
                    <w:left w:val="none" w:sz="0" w:space="0" w:color="auto"/>
                    <w:bottom w:val="none" w:sz="0" w:space="0" w:color="auto"/>
                    <w:right w:val="none" w:sz="0" w:space="0" w:color="auto"/>
                  </w:divBdr>
                  <w:divsChild>
                    <w:div w:id="2053773585">
                      <w:marLeft w:val="0"/>
                      <w:marRight w:val="0"/>
                      <w:marTop w:val="0"/>
                      <w:marBottom w:val="0"/>
                      <w:divBdr>
                        <w:top w:val="none" w:sz="0" w:space="0" w:color="auto"/>
                        <w:left w:val="none" w:sz="0" w:space="0" w:color="auto"/>
                        <w:bottom w:val="none" w:sz="0" w:space="0" w:color="auto"/>
                        <w:right w:val="none" w:sz="0" w:space="0" w:color="auto"/>
                      </w:divBdr>
                    </w:div>
                  </w:divsChild>
                </w:div>
                <w:div w:id="780026785">
                  <w:marLeft w:val="0"/>
                  <w:marRight w:val="0"/>
                  <w:marTop w:val="0"/>
                  <w:marBottom w:val="0"/>
                  <w:divBdr>
                    <w:top w:val="none" w:sz="0" w:space="0" w:color="auto"/>
                    <w:left w:val="none" w:sz="0" w:space="0" w:color="auto"/>
                    <w:bottom w:val="none" w:sz="0" w:space="0" w:color="auto"/>
                    <w:right w:val="none" w:sz="0" w:space="0" w:color="auto"/>
                  </w:divBdr>
                  <w:divsChild>
                    <w:div w:id="1554542087">
                      <w:marLeft w:val="0"/>
                      <w:marRight w:val="0"/>
                      <w:marTop w:val="0"/>
                      <w:marBottom w:val="0"/>
                      <w:divBdr>
                        <w:top w:val="none" w:sz="0" w:space="0" w:color="auto"/>
                        <w:left w:val="none" w:sz="0" w:space="0" w:color="auto"/>
                        <w:bottom w:val="none" w:sz="0" w:space="0" w:color="auto"/>
                        <w:right w:val="none" w:sz="0" w:space="0" w:color="auto"/>
                      </w:divBdr>
                    </w:div>
                  </w:divsChild>
                </w:div>
                <w:div w:id="804852434">
                  <w:marLeft w:val="0"/>
                  <w:marRight w:val="0"/>
                  <w:marTop w:val="0"/>
                  <w:marBottom w:val="0"/>
                  <w:divBdr>
                    <w:top w:val="none" w:sz="0" w:space="0" w:color="auto"/>
                    <w:left w:val="none" w:sz="0" w:space="0" w:color="auto"/>
                    <w:bottom w:val="none" w:sz="0" w:space="0" w:color="auto"/>
                    <w:right w:val="none" w:sz="0" w:space="0" w:color="auto"/>
                  </w:divBdr>
                  <w:divsChild>
                    <w:div w:id="76289305">
                      <w:marLeft w:val="0"/>
                      <w:marRight w:val="0"/>
                      <w:marTop w:val="0"/>
                      <w:marBottom w:val="0"/>
                      <w:divBdr>
                        <w:top w:val="none" w:sz="0" w:space="0" w:color="auto"/>
                        <w:left w:val="none" w:sz="0" w:space="0" w:color="auto"/>
                        <w:bottom w:val="none" w:sz="0" w:space="0" w:color="auto"/>
                        <w:right w:val="none" w:sz="0" w:space="0" w:color="auto"/>
                      </w:divBdr>
                    </w:div>
                    <w:div w:id="2118523827">
                      <w:marLeft w:val="0"/>
                      <w:marRight w:val="0"/>
                      <w:marTop w:val="0"/>
                      <w:marBottom w:val="0"/>
                      <w:divBdr>
                        <w:top w:val="none" w:sz="0" w:space="0" w:color="auto"/>
                        <w:left w:val="none" w:sz="0" w:space="0" w:color="auto"/>
                        <w:bottom w:val="none" w:sz="0" w:space="0" w:color="auto"/>
                        <w:right w:val="none" w:sz="0" w:space="0" w:color="auto"/>
                      </w:divBdr>
                    </w:div>
                  </w:divsChild>
                </w:div>
                <w:div w:id="849760942">
                  <w:marLeft w:val="0"/>
                  <w:marRight w:val="0"/>
                  <w:marTop w:val="0"/>
                  <w:marBottom w:val="0"/>
                  <w:divBdr>
                    <w:top w:val="none" w:sz="0" w:space="0" w:color="auto"/>
                    <w:left w:val="none" w:sz="0" w:space="0" w:color="auto"/>
                    <w:bottom w:val="none" w:sz="0" w:space="0" w:color="auto"/>
                    <w:right w:val="none" w:sz="0" w:space="0" w:color="auto"/>
                  </w:divBdr>
                  <w:divsChild>
                    <w:div w:id="752700616">
                      <w:marLeft w:val="0"/>
                      <w:marRight w:val="0"/>
                      <w:marTop w:val="0"/>
                      <w:marBottom w:val="0"/>
                      <w:divBdr>
                        <w:top w:val="none" w:sz="0" w:space="0" w:color="auto"/>
                        <w:left w:val="none" w:sz="0" w:space="0" w:color="auto"/>
                        <w:bottom w:val="none" w:sz="0" w:space="0" w:color="auto"/>
                        <w:right w:val="none" w:sz="0" w:space="0" w:color="auto"/>
                      </w:divBdr>
                    </w:div>
                  </w:divsChild>
                </w:div>
                <w:div w:id="866915145">
                  <w:marLeft w:val="0"/>
                  <w:marRight w:val="0"/>
                  <w:marTop w:val="0"/>
                  <w:marBottom w:val="0"/>
                  <w:divBdr>
                    <w:top w:val="none" w:sz="0" w:space="0" w:color="auto"/>
                    <w:left w:val="none" w:sz="0" w:space="0" w:color="auto"/>
                    <w:bottom w:val="none" w:sz="0" w:space="0" w:color="auto"/>
                    <w:right w:val="none" w:sz="0" w:space="0" w:color="auto"/>
                  </w:divBdr>
                  <w:divsChild>
                    <w:div w:id="1008867448">
                      <w:marLeft w:val="0"/>
                      <w:marRight w:val="0"/>
                      <w:marTop w:val="0"/>
                      <w:marBottom w:val="0"/>
                      <w:divBdr>
                        <w:top w:val="none" w:sz="0" w:space="0" w:color="auto"/>
                        <w:left w:val="none" w:sz="0" w:space="0" w:color="auto"/>
                        <w:bottom w:val="none" w:sz="0" w:space="0" w:color="auto"/>
                        <w:right w:val="none" w:sz="0" w:space="0" w:color="auto"/>
                      </w:divBdr>
                    </w:div>
                  </w:divsChild>
                </w:div>
                <w:div w:id="876699798">
                  <w:marLeft w:val="0"/>
                  <w:marRight w:val="0"/>
                  <w:marTop w:val="0"/>
                  <w:marBottom w:val="0"/>
                  <w:divBdr>
                    <w:top w:val="none" w:sz="0" w:space="0" w:color="auto"/>
                    <w:left w:val="none" w:sz="0" w:space="0" w:color="auto"/>
                    <w:bottom w:val="none" w:sz="0" w:space="0" w:color="auto"/>
                    <w:right w:val="none" w:sz="0" w:space="0" w:color="auto"/>
                  </w:divBdr>
                  <w:divsChild>
                    <w:div w:id="1756510797">
                      <w:marLeft w:val="0"/>
                      <w:marRight w:val="0"/>
                      <w:marTop w:val="0"/>
                      <w:marBottom w:val="0"/>
                      <w:divBdr>
                        <w:top w:val="none" w:sz="0" w:space="0" w:color="auto"/>
                        <w:left w:val="none" w:sz="0" w:space="0" w:color="auto"/>
                        <w:bottom w:val="none" w:sz="0" w:space="0" w:color="auto"/>
                        <w:right w:val="none" w:sz="0" w:space="0" w:color="auto"/>
                      </w:divBdr>
                    </w:div>
                  </w:divsChild>
                </w:div>
                <w:div w:id="890504856">
                  <w:marLeft w:val="0"/>
                  <w:marRight w:val="0"/>
                  <w:marTop w:val="0"/>
                  <w:marBottom w:val="0"/>
                  <w:divBdr>
                    <w:top w:val="none" w:sz="0" w:space="0" w:color="auto"/>
                    <w:left w:val="none" w:sz="0" w:space="0" w:color="auto"/>
                    <w:bottom w:val="none" w:sz="0" w:space="0" w:color="auto"/>
                    <w:right w:val="none" w:sz="0" w:space="0" w:color="auto"/>
                  </w:divBdr>
                  <w:divsChild>
                    <w:div w:id="944507756">
                      <w:marLeft w:val="0"/>
                      <w:marRight w:val="0"/>
                      <w:marTop w:val="0"/>
                      <w:marBottom w:val="0"/>
                      <w:divBdr>
                        <w:top w:val="none" w:sz="0" w:space="0" w:color="auto"/>
                        <w:left w:val="none" w:sz="0" w:space="0" w:color="auto"/>
                        <w:bottom w:val="none" w:sz="0" w:space="0" w:color="auto"/>
                        <w:right w:val="none" w:sz="0" w:space="0" w:color="auto"/>
                      </w:divBdr>
                    </w:div>
                    <w:div w:id="1302807388">
                      <w:marLeft w:val="0"/>
                      <w:marRight w:val="0"/>
                      <w:marTop w:val="0"/>
                      <w:marBottom w:val="0"/>
                      <w:divBdr>
                        <w:top w:val="none" w:sz="0" w:space="0" w:color="auto"/>
                        <w:left w:val="none" w:sz="0" w:space="0" w:color="auto"/>
                        <w:bottom w:val="none" w:sz="0" w:space="0" w:color="auto"/>
                        <w:right w:val="none" w:sz="0" w:space="0" w:color="auto"/>
                      </w:divBdr>
                    </w:div>
                  </w:divsChild>
                </w:div>
                <w:div w:id="903636699">
                  <w:marLeft w:val="0"/>
                  <w:marRight w:val="0"/>
                  <w:marTop w:val="0"/>
                  <w:marBottom w:val="0"/>
                  <w:divBdr>
                    <w:top w:val="none" w:sz="0" w:space="0" w:color="auto"/>
                    <w:left w:val="none" w:sz="0" w:space="0" w:color="auto"/>
                    <w:bottom w:val="none" w:sz="0" w:space="0" w:color="auto"/>
                    <w:right w:val="none" w:sz="0" w:space="0" w:color="auto"/>
                  </w:divBdr>
                  <w:divsChild>
                    <w:div w:id="815488765">
                      <w:marLeft w:val="0"/>
                      <w:marRight w:val="0"/>
                      <w:marTop w:val="0"/>
                      <w:marBottom w:val="0"/>
                      <w:divBdr>
                        <w:top w:val="none" w:sz="0" w:space="0" w:color="auto"/>
                        <w:left w:val="none" w:sz="0" w:space="0" w:color="auto"/>
                        <w:bottom w:val="none" w:sz="0" w:space="0" w:color="auto"/>
                        <w:right w:val="none" w:sz="0" w:space="0" w:color="auto"/>
                      </w:divBdr>
                    </w:div>
                  </w:divsChild>
                </w:div>
                <w:div w:id="963390416">
                  <w:marLeft w:val="0"/>
                  <w:marRight w:val="0"/>
                  <w:marTop w:val="0"/>
                  <w:marBottom w:val="0"/>
                  <w:divBdr>
                    <w:top w:val="none" w:sz="0" w:space="0" w:color="auto"/>
                    <w:left w:val="none" w:sz="0" w:space="0" w:color="auto"/>
                    <w:bottom w:val="none" w:sz="0" w:space="0" w:color="auto"/>
                    <w:right w:val="none" w:sz="0" w:space="0" w:color="auto"/>
                  </w:divBdr>
                  <w:divsChild>
                    <w:div w:id="811144479">
                      <w:marLeft w:val="0"/>
                      <w:marRight w:val="0"/>
                      <w:marTop w:val="0"/>
                      <w:marBottom w:val="0"/>
                      <w:divBdr>
                        <w:top w:val="none" w:sz="0" w:space="0" w:color="auto"/>
                        <w:left w:val="none" w:sz="0" w:space="0" w:color="auto"/>
                        <w:bottom w:val="none" w:sz="0" w:space="0" w:color="auto"/>
                        <w:right w:val="none" w:sz="0" w:space="0" w:color="auto"/>
                      </w:divBdr>
                    </w:div>
                    <w:div w:id="1166550921">
                      <w:marLeft w:val="0"/>
                      <w:marRight w:val="0"/>
                      <w:marTop w:val="0"/>
                      <w:marBottom w:val="0"/>
                      <w:divBdr>
                        <w:top w:val="none" w:sz="0" w:space="0" w:color="auto"/>
                        <w:left w:val="none" w:sz="0" w:space="0" w:color="auto"/>
                        <w:bottom w:val="none" w:sz="0" w:space="0" w:color="auto"/>
                        <w:right w:val="none" w:sz="0" w:space="0" w:color="auto"/>
                      </w:divBdr>
                    </w:div>
                  </w:divsChild>
                </w:div>
                <w:div w:id="974529291">
                  <w:marLeft w:val="0"/>
                  <w:marRight w:val="0"/>
                  <w:marTop w:val="0"/>
                  <w:marBottom w:val="0"/>
                  <w:divBdr>
                    <w:top w:val="none" w:sz="0" w:space="0" w:color="auto"/>
                    <w:left w:val="none" w:sz="0" w:space="0" w:color="auto"/>
                    <w:bottom w:val="none" w:sz="0" w:space="0" w:color="auto"/>
                    <w:right w:val="none" w:sz="0" w:space="0" w:color="auto"/>
                  </w:divBdr>
                  <w:divsChild>
                    <w:div w:id="1195727496">
                      <w:marLeft w:val="0"/>
                      <w:marRight w:val="0"/>
                      <w:marTop w:val="0"/>
                      <w:marBottom w:val="0"/>
                      <w:divBdr>
                        <w:top w:val="none" w:sz="0" w:space="0" w:color="auto"/>
                        <w:left w:val="none" w:sz="0" w:space="0" w:color="auto"/>
                        <w:bottom w:val="none" w:sz="0" w:space="0" w:color="auto"/>
                        <w:right w:val="none" w:sz="0" w:space="0" w:color="auto"/>
                      </w:divBdr>
                    </w:div>
                  </w:divsChild>
                </w:div>
                <w:div w:id="976298911">
                  <w:marLeft w:val="0"/>
                  <w:marRight w:val="0"/>
                  <w:marTop w:val="0"/>
                  <w:marBottom w:val="0"/>
                  <w:divBdr>
                    <w:top w:val="none" w:sz="0" w:space="0" w:color="auto"/>
                    <w:left w:val="none" w:sz="0" w:space="0" w:color="auto"/>
                    <w:bottom w:val="none" w:sz="0" w:space="0" w:color="auto"/>
                    <w:right w:val="none" w:sz="0" w:space="0" w:color="auto"/>
                  </w:divBdr>
                  <w:divsChild>
                    <w:div w:id="2063215514">
                      <w:marLeft w:val="0"/>
                      <w:marRight w:val="0"/>
                      <w:marTop w:val="0"/>
                      <w:marBottom w:val="0"/>
                      <w:divBdr>
                        <w:top w:val="none" w:sz="0" w:space="0" w:color="auto"/>
                        <w:left w:val="none" w:sz="0" w:space="0" w:color="auto"/>
                        <w:bottom w:val="none" w:sz="0" w:space="0" w:color="auto"/>
                        <w:right w:val="none" w:sz="0" w:space="0" w:color="auto"/>
                      </w:divBdr>
                    </w:div>
                  </w:divsChild>
                </w:div>
                <w:div w:id="1001587482">
                  <w:marLeft w:val="0"/>
                  <w:marRight w:val="0"/>
                  <w:marTop w:val="0"/>
                  <w:marBottom w:val="0"/>
                  <w:divBdr>
                    <w:top w:val="none" w:sz="0" w:space="0" w:color="auto"/>
                    <w:left w:val="none" w:sz="0" w:space="0" w:color="auto"/>
                    <w:bottom w:val="none" w:sz="0" w:space="0" w:color="auto"/>
                    <w:right w:val="none" w:sz="0" w:space="0" w:color="auto"/>
                  </w:divBdr>
                  <w:divsChild>
                    <w:div w:id="490364529">
                      <w:marLeft w:val="0"/>
                      <w:marRight w:val="0"/>
                      <w:marTop w:val="0"/>
                      <w:marBottom w:val="0"/>
                      <w:divBdr>
                        <w:top w:val="none" w:sz="0" w:space="0" w:color="auto"/>
                        <w:left w:val="none" w:sz="0" w:space="0" w:color="auto"/>
                        <w:bottom w:val="none" w:sz="0" w:space="0" w:color="auto"/>
                        <w:right w:val="none" w:sz="0" w:space="0" w:color="auto"/>
                      </w:divBdr>
                    </w:div>
                  </w:divsChild>
                </w:div>
                <w:div w:id="1055467811">
                  <w:marLeft w:val="0"/>
                  <w:marRight w:val="0"/>
                  <w:marTop w:val="0"/>
                  <w:marBottom w:val="0"/>
                  <w:divBdr>
                    <w:top w:val="none" w:sz="0" w:space="0" w:color="auto"/>
                    <w:left w:val="none" w:sz="0" w:space="0" w:color="auto"/>
                    <w:bottom w:val="none" w:sz="0" w:space="0" w:color="auto"/>
                    <w:right w:val="none" w:sz="0" w:space="0" w:color="auto"/>
                  </w:divBdr>
                  <w:divsChild>
                    <w:div w:id="196435075">
                      <w:marLeft w:val="0"/>
                      <w:marRight w:val="0"/>
                      <w:marTop w:val="0"/>
                      <w:marBottom w:val="0"/>
                      <w:divBdr>
                        <w:top w:val="none" w:sz="0" w:space="0" w:color="auto"/>
                        <w:left w:val="none" w:sz="0" w:space="0" w:color="auto"/>
                        <w:bottom w:val="none" w:sz="0" w:space="0" w:color="auto"/>
                        <w:right w:val="none" w:sz="0" w:space="0" w:color="auto"/>
                      </w:divBdr>
                    </w:div>
                  </w:divsChild>
                </w:div>
                <w:div w:id="1115441719">
                  <w:marLeft w:val="0"/>
                  <w:marRight w:val="0"/>
                  <w:marTop w:val="0"/>
                  <w:marBottom w:val="0"/>
                  <w:divBdr>
                    <w:top w:val="none" w:sz="0" w:space="0" w:color="auto"/>
                    <w:left w:val="none" w:sz="0" w:space="0" w:color="auto"/>
                    <w:bottom w:val="none" w:sz="0" w:space="0" w:color="auto"/>
                    <w:right w:val="none" w:sz="0" w:space="0" w:color="auto"/>
                  </w:divBdr>
                  <w:divsChild>
                    <w:div w:id="1086265604">
                      <w:marLeft w:val="0"/>
                      <w:marRight w:val="0"/>
                      <w:marTop w:val="0"/>
                      <w:marBottom w:val="0"/>
                      <w:divBdr>
                        <w:top w:val="none" w:sz="0" w:space="0" w:color="auto"/>
                        <w:left w:val="none" w:sz="0" w:space="0" w:color="auto"/>
                        <w:bottom w:val="none" w:sz="0" w:space="0" w:color="auto"/>
                        <w:right w:val="none" w:sz="0" w:space="0" w:color="auto"/>
                      </w:divBdr>
                    </w:div>
                  </w:divsChild>
                </w:div>
                <w:div w:id="1119833241">
                  <w:marLeft w:val="0"/>
                  <w:marRight w:val="0"/>
                  <w:marTop w:val="0"/>
                  <w:marBottom w:val="0"/>
                  <w:divBdr>
                    <w:top w:val="none" w:sz="0" w:space="0" w:color="auto"/>
                    <w:left w:val="none" w:sz="0" w:space="0" w:color="auto"/>
                    <w:bottom w:val="none" w:sz="0" w:space="0" w:color="auto"/>
                    <w:right w:val="none" w:sz="0" w:space="0" w:color="auto"/>
                  </w:divBdr>
                  <w:divsChild>
                    <w:div w:id="184558730">
                      <w:marLeft w:val="0"/>
                      <w:marRight w:val="0"/>
                      <w:marTop w:val="0"/>
                      <w:marBottom w:val="0"/>
                      <w:divBdr>
                        <w:top w:val="none" w:sz="0" w:space="0" w:color="auto"/>
                        <w:left w:val="none" w:sz="0" w:space="0" w:color="auto"/>
                        <w:bottom w:val="none" w:sz="0" w:space="0" w:color="auto"/>
                        <w:right w:val="none" w:sz="0" w:space="0" w:color="auto"/>
                      </w:divBdr>
                    </w:div>
                  </w:divsChild>
                </w:div>
                <w:div w:id="1124038989">
                  <w:marLeft w:val="0"/>
                  <w:marRight w:val="0"/>
                  <w:marTop w:val="0"/>
                  <w:marBottom w:val="0"/>
                  <w:divBdr>
                    <w:top w:val="none" w:sz="0" w:space="0" w:color="auto"/>
                    <w:left w:val="none" w:sz="0" w:space="0" w:color="auto"/>
                    <w:bottom w:val="none" w:sz="0" w:space="0" w:color="auto"/>
                    <w:right w:val="none" w:sz="0" w:space="0" w:color="auto"/>
                  </w:divBdr>
                  <w:divsChild>
                    <w:div w:id="1992706805">
                      <w:marLeft w:val="0"/>
                      <w:marRight w:val="0"/>
                      <w:marTop w:val="0"/>
                      <w:marBottom w:val="0"/>
                      <w:divBdr>
                        <w:top w:val="none" w:sz="0" w:space="0" w:color="auto"/>
                        <w:left w:val="none" w:sz="0" w:space="0" w:color="auto"/>
                        <w:bottom w:val="none" w:sz="0" w:space="0" w:color="auto"/>
                        <w:right w:val="none" w:sz="0" w:space="0" w:color="auto"/>
                      </w:divBdr>
                    </w:div>
                  </w:divsChild>
                </w:div>
                <w:div w:id="1124692739">
                  <w:marLeft w:val="0"/>
                  <w:marRight w:val="0"/>
                  <w:marTop w:val="0"/>
                  <w:marBottom w:val="0"/>
                  <w:divBdr>
                    <w:top w:val="none" w:sz="0" w:space="0" w:color="auto"/>
                    <w:left w:val="none" w:sz="0" w:space="0" w:color="auto"/>
                    <w:bottom w:val="none" w:sz="0" w:space="0" w:color="auto"/>
                    <w:right w:val="none" w:sz="0" w:space="0" w:color="auto"/>
                  </w:divBdr>
                  <w:divsChild>
                    <w:div w:id="864637636">
                      <w:marLeft w:val="0"/>
                      <w:marRight w:val="0"/>
                      <w:marTop w:val="0"/>
                      <w:marBottom w:val="0"/>
                      <w:divBdr>
                        <w:top w:val="none" w:sz="0" w:space="0" w:color="auto"/>
                        <w:left w:val="none" w:sz="0" w:space="0" w:color="auto"/>
                        <w:bottom w:val="none" w:sz="0" w:space="0" w:color="auto"/>
                        <w:right w:val="none" w:sz="0" w:space="0" w:color="auto"/>
                      </w:divBdr>
                    </w:div>
                  </w:divsChild>
                </w:div>
                <w:div w:id="1176968001">
                  <w:marLeft w:val="0"/>
                  <w:marRight w:val="0"/>
                  <w:marTop w:val="0"/>
                  <w:marBottom w:val="0"/>
                  <w:divBdr>
                    <w:top w:val="none" w:sz="0" w:space="0" w:color="auto"/>
                    <w:left w:val="none" w:sz="0" w:space="0" w:color="auto"/>
                    <w:bottom w:val="none" w:sz="0" w:space="0" w:color="auto"/>
                    <w:right w:val="none" w:sz="0" w:space="0" w:color="auto"/>
                  </w:divBdr>
                  <w:divsChild>
                    <w:div w:id="1095783905">
                      <w:marLeft w:val="0"/>
                      <w:marRight w:val="0"/>
                      <w:marTop w:val="0"/>
                      <w:marBottom w:val="0"/>
                      <w:divBdr>
                        <w:top w:val="none" w:sz="0" w:space="0" w:color="auto"/>
                        <w:left w:val="none" w:sz="0" w:space="0" w:color="auto"/>
                        <w:bottom w:val="none" w:sz="0" w:space="0" w:color="auto"/>
                        <w:right w:val="none" w:sz="0" w:space="0" w:color="auto"/>
                      </w:divBdr>
                    </w:div>
                  </w:divsChild>
                </w:div>
                <w:div w:id="1222056041">
                  <w:marLeft w:val="0"/>
                  <w:marRight w:val="0"/>
                  <w:marTop w:val="0"/>
                  <w:marBottom w:val="0"/>
                  <w:divBdr>
                    <w:top w:val="none" w:sz="0" w:space="0" w:color="auto"/>
                    <w:left w:val="none" w:sz="0" w:space="0" w:color="auto"/>
                    <w:bottom w:val="none" w:sz="0" w:space="0" w:color="auto"/>
                    <w:right w:val="none" w:sz="0" w:space="0" w:color="auto"/>
                  </w:divBdr>
                  <w:divsChild>
                    <w:div w:id="2013600642">
                      <w:marLeft w:val="0"/>
                      <w:marRight w:val="0"/>
                      <w:marTop w:val="0"/>
                      <w:marBottom w:val="0"/>
                      <w:divBdr>
                        <w:top w:val="none" w:sz="0" w:space="0" w:color="auto"/>
                        <w:left w:val="none" w:sz="0" w:space="0" w:color="auto"/>
                        <w:bottom w:val="none" w:sz="0" w:space="0" w:color="auto"/>
                        <w:right w:val="none" w:sz="0" w:space="0" w:color="auto"/>
                      </w:divBdr>
                    </w:div>
                  </w:divsChild>
                </w:div>
                <w:div w:id="1241602991">
                  <w:marLeft w:val="0"/>
                  <w:marRight w:val="0"/>
                  <w:marTop w:val="0"/>
                  <w:marBottom w:val="0"/>
                  <w:divBdr>
                    <w:top w:val="none" w:sz="0" w:space="0" w:color="auto"/>
                    <w:left w:val="none" w:sz="0" w:space="0" w:color="auto"/>
                    <w:bottom w:val="none" w:sz="0" w:space="0" w:color="auto"/>
                    <w:right w:val="none" w:sz="0" w:space="0" w:color="auto"/>
                  </w:divBdr>
                  <w:divsChild>
                    <w:div w:id="1251894544">
                      <w:marLeft w:val="0"/>
                      <w:marRight w:val="0"/>
                      <w:marTop w:val="0"/>
                      <w:marBottom w:val="0"/>
                      <w:divBdr>
                        <w:top w:val="none" w:sz="0" w:space="0" w:color="auto"/>
                        <w:left w:val="none" w:sz="0" w:space="0" w:color="auto"/>
                        <w:bottom w:val="none" w:sz="0" w:space="0" w:color="auto"/>
                        <w:right w:val="none" w:sz="0" w:space="0" w:color="auto"/>
                      </w:divBdr>
                    </w:div>
                  </w:divsChild>
                </w:div>
                <w:div w:id="1246720956">
                  <w:marLeft w:val="0"/>
                  <w:marRight w:val="0"/>
                  <w:marTop w:val="0"/>
                  <w:marBottom w:val="0"/>
                  <w:divBdr>
                    <w:top w:val="none" w:sz="0" w:space="0" w:color="auto"/>
                    <w:left w:val="none" w:sz="0" w:space="0" w:color="auto"/>
                    <w:bottom w:val="none" w:sz="0" w:space="0" w:color="auto"/>
                    <w:right w:val="none" w:sz="0" w:space="0" w:color="auto"/>
                  </w:divBdr>
                  <w:divsChild>
                    <w:div w:id="1378698934">
                      <w:marLeft w:val="0"/>
                      <w:marRight w:val="0"/>
                      <w:marTop w:val="0"/>
                      <w:marBottom w:val="0"/>
                      <w:divBdr>
                        <w:top w:val="none" w:sz="0" w:space="0" w:color="auto"/>
                        <w:left w:val="none" w:sz="0" w:space="0" w:color="auto"/>
                        <w:bottom w:val="none" w:sz="0" w:space="0" w:color="auto"/>
                        <w:right w:val="none" w:sz="0" w:space="0" w:color="auto"/>
                      </w:divBdr>
                    </w:div>
                  </w:divsChild>
                </w:div>
                <w:div w:id="1291208000">
                  <w:marLeft w:val="0"/>
                  <w:marRight w:val="0"/>
                  <w:marTop w:val="0"/>
                  <w:marBottom w:val="0"/>
                  <w:divBdr>
                    <w:top w:val="none" w:sz="0" w:space="0" w:color="auto"/>
                    <w:left w:val="none" w:sz="0" w:space="0" w:color="auto"/>
                    <w:bottom w:val="none" w:sz="0" w:space="0" w:color="auto"/>
                    <w:right w:val="none" w:sz="0" w:space="0" w:color="auto"/>
                  </w:divBdr>
                  <w:divsChild>
                    <w:div w:id="623075006">
                      <w:marLeft w:val="0"/>
                      <w:marRight w:val="0"/>
                      <w:marTop w:val="0"/>
                      <w:marBottom w:val="0"/>
                      <w:divBdr>
                        <w:top w:val="none" w:sz="0" w:space="0" w:color="auto"/>
                        <w:left w:val="none" w:sz="0" w:space="0" w:color="auto"/>
                        <w:bottom w:val="none" w:sz="0" w:space="0" w:color="auto"/>
                        <w:right w:val="none" w:sz="0" w:space="0" w:color="auto"/>
                      </w:divBdr>
                    </w:div>
                  </w:divsChild>
                </w:div>
                <w:div w:id="1294673983">
                  <w:marLeft w:val="0"/>
                  <w:marRight w:val="0"/>
                  <w:marTop w:val="0"/>
                  <w:marBottom w:val="0"/>
                  <w:divBdr>
                    <w:top w:val="none" w:sz="0" w:space="0" w:color="auto"/>
                    <w:left w:val="none" w:sz="0" w:space="0" w:color="auto"/>
                    <w:bottom w:val="none" w:sz="0" w:space="0" w:color="auto"/>
                    <w:right w:val="none" w:sz="0" w:space="0" w:color="auto"/>
                  </w:divBdr>
                  <w:divsChild>
                    <w:div w:id="207648758">
                      <w:marLeft w:val="0"/>
                      <w:marRight w:val="0"/>
                      <w:marTop w:val="0"/>
                      <w:marBottom w:val="0"/>
                      <w:divBdr>
                        <w:top w:val="none" w:sz="0" w:space="0" w:color="auto"/>
                        <w:left w:val="none" w:sz="0" w:space="0" w:color="auto"/>
                        <w:bottom w:val="none" w:sz="0" w:space="0" w:color="auto"/>
                        <w:right w:val="none" w:sz="0" w:space="0" w:color="auto"/>
                      </w:divBdr>
                    </w:div>
                  </w:divsChild>
                </w:div>
                <w:div w:id="1300575700">
                  <w:marLeft w:val="0"/>
                  <w:marRight w:val="0"/>
                  <w:marTop w:val="0"/>
                  <w:marBottom w:val="0"/>
                  <w:divBdr>
                    <w:top w:val="none" w:sz="0" w:space="0" w:color="auto"/>
                    <w:left w:val="none" w:sz="0" w:space="0" w:color="auto"/>
                    <w:bottom w:val="none" w:sz="0" w:space="0" w:color="auto"/>
                    <w:right w:val="none" w:sz="0" w:space="0" w:color="auto"/>
                  </w:divBdr>
                  <w:divsChild>
                    <w:div w:id="2108034194">
                      <w:marLeft w:val="0"/>
                      <w:marRight w:val="0"/>
                      <w:marTop w:val="0"/>
                      <w:marBottom w:val="0"/>
                      <w:divBdr>
                        <w:top w:val="none" w:sz="0" w:space="0" w:color="auto"/>
                        <w:left w:val="none" w:sz="0" w:space="0" w:color="auto"/>
                        <w:bottom w:val="none" w:sz="0" w:space="0" w:color="auto"/>
                        <w:right w:val="none" w:sz="0" w:space="0" w:color="auto"/>
                      </w:divBdr>
                    </w:div>
                  </w:divsChild>
                </w:div>
                <w:div w:id="1339192876">
                  <w:marLeft w:val="0"/>
                  <w:marRight w:val="0"/>
                  <w:marTop w:val="0"/>
                  <w:marBottom w:val="0"/>
                  <w:divBdr>
                    <w:top w:val="none" w:sz="0" w:space="0" w:color="auto"/>
                    <w:left w:val="none" w:sz="0" w:space="0" w:color="auto"/>
                    <w:bottom w:val="none" w:sz="0" w:space="0" w:color="auto"/>
                    <w:right w:val="none" w:sz="0" w:space="0" w:color="auto"/>
                  </w:divBdr>
                  <w:divsChild>
                    <w:div w:id="2134907784">
                      <w:marLeft w:val="0"/>
                      <w:marRight w:val="0"/>
                      <w:marTop w:val="0"/>
                      <w:marBottom w:val="0"/>
                      <w:divBdr>
                        <w:top w:val="none" w:sz="0" w:space="0" w:color="auto"/>
                        <w:left w:val="none" w:sz="0" w:space="0" w:color="auto"/>
                        <w:bottom w:val="none" w:sz="0" w:space="0" w:color="auto"/>
                        <w:right w:val="none" w:sz="0" w:space="0" w:color="auto"/>
                      </w:divBdr>
                    </w:div>
                  </w:divsChild>
                </w:div>
                <w:div w:id="1375427229">
                  <w:marLeft w:val="0"/>
                  <w:marRight w:val="0"/>
                  <w:marTop w:val="0"/>
                  <w:marBottom w:val="0"/>
                  <w:divBdr>
                    <w:top w:val="none" w:sz="0" w:space="0" w:color="auto"/>
                    <w:left w:val="none" w:sz="0" w:space="0" w:color="auto"/>
                    <w:bottom w:val="none" w:sz="0" w:space="0" w:color="auto"/>
                    <w:right w:val="none" w:sz="0" w:space="0" w:color="auto"/>
                  </w:divBdr>
                  <w:divsChild>
                    <w:div w:id="1608270304">
                      <w:marLeft w:val="0"/>
                      <w:marRight w:val="0"/>
                      <w:marTop w:val="0"/>
                      <w:marBottom w:val="0"/>
                      <w:divBdr>
                        <w:top w:val="none" w:sz="0" w:space="0" w:color="auto"/>
                        <w:left w:val="none" w:sz="0" w:space="0" w:color="auto"/>
                        <w:bottom w:val="none" w:sz="0" w:space="0" w:color="auto"/>
                        <w:right w:val="none" w:sz="0" w:space="0" w:color="auto"/>
                      </w:divBdr>
                    </w:div>
                  </w:divsChild>
                </w:div>
                <w:div w:id="1397902036">
                  <w:marLeft w:val="0"/>
                  <w:marRight w:val="0"/>
                  <w:marTop w:val="0"/>
                  <w:marBottom w:val="0"/>
                  <w:divBdr>
                    <w:top w:val="none" w:sz="0" w:space="0" w:color="auto"/>
                    <w:left w:val="none" w:sz="0" w:space="0" w:color="auto"/>
                    <w:bottom w:val="none" w:sz="0" w:space="0" w:color="auto"/>
                    <w:right w:val="none" w:sz="0" w:space="0" w:color="auto"/>
                  </w:divBdr>
                  <w:divsChild>
                    <w:div w:id="1387484758">
                      <w:marLeft w:val="0"/>
                      <w:marRight w:val="0"/>
                      <w:marTop w:val="0"/>
                      <w:marBottom w:val="0"/>
                      <w:divBdr>
                        <w:top w:val="none" w:sz="0" w:space="0" w:color="auto"/>
                        <w:left w:val="none" w:sz="0" w:space="0" w:color="auto"/>
                        <w:bottom w:val="none" w:sz="0" w:space="0" w:color="auto"/>
                        <w:right w:val="none" w:sz="0" w:space="0" w:color="auto"/>
                      </w:divBdr>
                    </w:div>
                  </w:divsChild>
                </w:div>
                <w:div w:id="1406879004">
                  <w:marLeft w:val="0"/>
                  <w:marRight w:val="0"/>
                  <w:marTop w:val="0"/>
                  <w:marBottom w:val="0"/>
                  <w:divBdr>
                    <w:top w:val="none" w:sz="0" w:space="0" w:color="auto"/>
                    <w:left w:val="none" w:sz="0" w:space="0" w:color="auto"/>
                    <w:bottom w:val="none" w:sz="0" w:space="0" w:color="auto"/>
                    <w:right w:val="none" w:sz="0" w:space="0" w:color="auto"/>
                  </w:divBdr>
                  <w:divsChild>
                    <w:div w:id="1926111276">
                      <w:marLeft w:val="0"/>
                      <w:marRight w:val="0"/>
                      <w:marTop w:val="0"/>
                      <w:marBottom w:val="0"/>
                      <w:divBdr>
                        <w:top w:val="none" w:sz="0" w:space="0" w:color="auto"/>
                        <w:left w:val="none" w:sz="0" w:space="0" w:color="auto"/>
                        <w:bottom w:val="none" w:sz="0" w:space="0" w:color="auto"/>
                        <w:right w:val="none" w:sz="0" w:space="0" w:color="auto"/>
                      </w:divBdr>
                    </w:div>
                  </w:divsChild>
                </w:div>
                <w:div w:id="1439372309">
                  <w:marLeft w:val="0"/>
                  <w:marRight w:val="0"/>
                  <w:marTop w:val="0"/>
                  <w:marBottom w:val="0"/>
                  <w:divBdr>
                    <w:top w:val="none" w:sz="0" w:space="0" w:color="auto"/>
                    <w:left w:val="none" w:sz="0" w:space="0" w:color="auto"/>
                    <w:bottom w:val="none" w:sz="0" w:space="0" w:color="auto"/>
                    <w:right w:val="none" w:sz="0" w:space="0" w:color="auto"/>
                  </w:divBdr>
                  <w:divsChild>
                    <w:div w:id="36004218">
                      <w:marLeft w:val="0"/>
                      <w:marRight w:val="0"/>
                      <w:marTop w:val="0"/>
                      <w:marBottom w:val="0"/>
                      <w:divBdr>
                        <w:top w:val="none" w:sz="0" w:space="0" w:color="auto"/>
                        <w:left w:val="none" w:sz="0" w:space="0" w:color="auto"/>
                        <w:bottom w:val="none" w:sz="0" w:space="0" w:color="auto"/>
                        <w:right w:val="none" w:sz="0" w:space="0" w:color="auto"/>
                      </w:divBdr>
                    </w:div>
                    <w:div w:id="388655985">
                      <w:marLeft w:val="0"/>
                      <w:marRight w:val="0"/>
                      <w:marTop w:val="0"/>
                      <w:marBottom w:val="0"/>
                      <w:divBdr>
                        <w:top w:val="none" w:sz="0" w:space="0" w:color="auto"/>
                        <w:left w:val="none" w:sz="0" w:space="0" w:color="auto"/>
                        <w:bottom w:val="none" w:sz="0" w:space="0" w:color="auto"/>
                        <w:right w:val="none" w:sz="0" w:space="0" w:color="auto"/>
                      </w:divBdr>
                    </w:div>
                    <w:div w:id="840968244">
                      <w:marLeft w:val="0"/>
                      <w:marRight w:val="0"/>
                      <w:marTop w:val="0"/>
                      <w:marBottom w:val="0"/>
                      <w:divBdr>
                        <w:top w:val="none" w:sz="0" w:space="0" w:color="auto"/>
                        <w:left w:val="none" w:sz="0" w:space="0" w:color="auto"/>
                        <w:bottom w:val="none" w:sz="0" w:space="0" w:color="auto"/>
                        <w:right w:val="none" w:sz="0" w:space="0" w:color="auto"/>
                      </w:divBdr>
                    </w:div>
                    <w:div w:id="1389841100">
                      <w:marLeft w:val="0"/>
                      <w:marRight w:val="0"/>
                      <w:marTop w:val="0"/>
                      <w:marBottom w:val="0"/>
                      <w:divBdr>
                        <w:top w:val="none" w:sz="0" w:space="0" w:color="auto"/>
                        <w:left w:val="none" w:sz="0" w:space="0" w:color="auto"/>
                        <w:bottom w:val="none" w:sz="0" w:space="0" w:color="auto"/>
                        <w:right w:val="none" w:sz="0" w:space="0" w:color="auto"/>
                      </w:divBdr>
                    </w:div>
                  </w:divsChild>
                </w:div>
                <w:div w:id="1472550402">
                  <w:marLeft w:val="0"/>
                  <w:marRight w:val="0"/>
                  <w:marTop w:val="0"/>
                  <w:marBottom w:val="0"/>
                  <w:divBdr>
                    <w:top w:val="none" w:sz="0" w:space="0" w:color="auto"/>
                    <w:left w:val="none" w:sz="0" w:space="0" w:color="auto"/>
                    <w:bottom w:val="none" w:sz="0" w:space="0" w:color="auto"/>
                    <w:right w:val="none" w:sz="0" w:space="0" w:color="auto"/>
                  </w:divBdr>
                  <w:divsChild>
                    <w:div w:id="200174518">
                      <w:marLeft w:val="0"/>
                      <w:marRight w:val="0"/>
                      <w:marTop w:val="0"/>
                      <w:marBottom w:val="0"/>
                      <w:divBdr>
                        <w:top w:val="none" w:sz="0" w:space="0" w:color="auto"/>
                        <w:left w:val="none" w:sz="0" w:space="0" w:color="auto"/>
                        <w:bottom w:val="none" w:sz="0" w:space="0" w:color="auto"/>
                        <w:right w:val="none" w:sz="0" w:space="0" w:color="auto"/>
                      </w:divBdr>
                    </w:div>
                  </w:divsChild>
                </w:div>
                <w:div w:id="1478842841">
                  <w:marLeft w:val="0"/>
                  <w:marRight w:val="0"/>
                  <w:marTop w:val="0"/>
                  <w:marBottom w:val="0"/>
                  <w:divBdr>
                    <w:top w:val="none" w:sz="0" w:space="0" w:color="auto"/>
                    <w:left w:val="none" w:sz="0" w:space="0" w:color="auto"/>
                    <w:bottom w:val="none" w:sz="0" w:space="0" w:color="auto"/>
                    <w:right w:val="none" w:sz="0" w:space="0" w:color="auto"/>
                  </w:divBdr>
                  <w:divsChild>
                    <w:div w:id="571358378">
                      <w:marLeft w:val="0"/>
                      <w:marRight w:val="0"/>
                      <w:marTop w:val="0"/>
                      <w:marBottom w:val="0"/>
                      <w:divBdr>
                        <w:top w:val="none" w:sz="0" w:space="0" w:color="auto"/>
                        <w:left w:val="none" w:sz="0" w:space="0" w:color="auto"/>
                        <w:bottom w:val="none" w:sz="0" w:space="0" w:color="auto"/>
                        <w:right w:val="none" w:sz="0" w:space="0" w:color="auto"/>
                      </w:divBdr>
                    </w:div>
                  </w:divsChild>
                </w:div>
                <w:div w:id="1526410001">
                  <w:marLeft w:val="0"/>
                  <w:marRight w:val="0"/>
                  <w:marTop w:val="0"/>
                  <w:marBottom w:val="0"/>
                  <w:divBdr>
                    <w:top w:val="none" w:sz="0" w:space="0" w:color="auto"/>
                    <w:left w:val="none" w:sz="0" w:space="0" w:color="auto"/>
                    <w:bottom w:val="none" w:sz="0" w:space="0" w:color="auto"/>
                    <w:right w:val="none" w:sz="0" w:space="0" w:color="auto"/>
                  </w:divBdr>
                  <w:divsChild>
                    <w:div w:id="2007047209">
                      <w:marLeft w:val="0"/>
                      <w:marRight w:val="0"/>
                      <w:marTop w:val="0"/>
                      <w:marBottom w:val="0"/>
                      <w:divBdr>
                        <w:top w:val="none" w:sz="0" w:space="0" w:color="auto"/>
                        <w:left w:val="none" w:sz="0" w:space="0" w:color="auto"/>
                        <w:bottom w:val="none" w:sz="0" w:space="0" w:color="auto"/>
                        <w:right w:val="none" w:sz="0" w:space="0" w:color="auto"/>
                      </w:divBdr>
                    </w:div>
                  </w:divsChild>
                </w:div>
                <w:div w:id="1527599683">
                  <w:marLeft w:val="0"/>
                  <w:marRight w:val="0"/>
                  <w:marTop w:val="0"/>
                  <w:marBottom w:val="0"/>
                  <w:divBdr>
                    <w:top w:val="none" w:sz="0" w:space="0" w:color="auto"/>
                    <w:left w:val="none" w:sz="0" w:space="0" w:color="auto"/>
                    <w:bottom w:val="none" w:sz="0" w:space="0" w:color="auto"/>
                    <w:right w:val="none" w:sz="0" w:space="0" w:color="auto"/>
                  </w:divBdr>
                  <w:divsChild>
                    <w:div w:id="428618448">
                      <w:marLeft w:val="0"/>
                      <w:marRight w:val="0"/>
                      <w:marTop w:val="0"/>
                      <w:marBottom w:val="0"/>
                      <w:divBdr>
                        <w:top w:val="none" w:sz="0" w:space="0" w:color="auto"/>
                        <w:left w:val="none" w:sz="0" w:space="0" w:color="auto"/>
                        <w:bottom w:val="none" w:sz="0" w:space="0" w:color="auto"/>
                        <w:right w:val="none" w:sz="0" w:space="0" w:color="auto"/>
                      </w:divBdr>
                    </w:div>
                  </w:divsChild>
                </w:div>
                <w:div w:id="1537232488">
                  <w:marLeft w:val="0"/>
                  <w:marRight w:val="0"/>
                  <w:marTop w:val="0"/>
                  <w:marBottom w:val="0"/>
                  <w:divBdr>
                    <w:top w:val="none" w:sz="0" w:space="0" w:color="auto"/>
                    <w:left w:val="none" w:sz="0" w:space="0" w:color="auto"/>
                    <w:bottom w:val="none" w:sz="0" w:space="0" w:color="auto"/>
                    <w:right w:val="none" w:sz="0" w:space="0" w:color="auto"/>
                  </w:divBdr>
                  <w:divsChild>
                    <w:div w:id="51315905">
                      <w:marLeft w:val="0"/>
                      <w:marRight w:val="0"/>
                      <w:marTop w:val="0"/>
                      <w:marBottom w:val="0"/>
                      <w:divBdr>
                        <w:top w:val="none" w:sz="0" w:space="0" w:color="auto"/>
                        <w:left w:val="none" w:sz="0" w:space="0" w:color="auto"/>
                        <w:bottom w:val="none" w:sz="0" w:space="0" w:color="auto"/>
                        <w:right w:val="none" w:sz="0" w:space="0" w:color="auto"/>
                      </w:divBdr>
                    </w:div>
                  </w:divsChild>
                </w:div>
                <w:div w:id="1550216193">
                  <w:marLeft w:val="0"/>
                  <w:marRight w:val="0"/>
                  <w:marTop w:val="0"/>
                  <w:marBottom w:val="0"/>
                  <w:divBdr>
                    <w:top w:val="none" w:sz="0" w:space="0" w:color="auto"/>
                    <w:left w:val="none" w:sz="0" w:space="0" w:color="auto"/>
                    <w:bottom w:val="none" w:sz="0" w:space="0" w:color="auto"/>
                    <w:right w:val="none" w:sz="0" w:space="0" w:color="auto"/>
                  </w:divBdr>
                  <w:divsChild>
                    <w:div w:id="1943103631">
                      <w:marLeft w:val="0"/>
                      <w:marRight w:val="0"/>
                      <w:marTop w:val="0"/>
                      <w:marBottom w:val="0"/>
                      <w:divBdr>
                        <w:top w:val="none" w:sz="0" w:space="0" w:color="auto"/>
                        <w:left w:val="none" w:sz="0" w:space="0" w:color="auto"/>
                        <w:bottom w:val="none" w:sz="0" w:space="0" w:color="auto"/>
                        <w:right w:val="none" w:sz="0" w:space="0" w:color="auto"/>
                      </w:divBdr>
                    </w:div>
                  </w:divsChild>
                </w:div>
                <w:div w:id="1555192895">
                  <w:marLeft w:val="0"/>
                  <w:marRight w:val="0"/>
                  <w:marTop w:val="0"/>
                  <w:marBottom w:val="0"/>
                  <w:divBdr>
                    <w:top w:val="none" w:sz="0" w:space="0" w:color="auto"/>
                    <w:left w:val="none" w:sz="0" w:space="0" w:color="auto"/>
                    <w:bottom w:val="none" w:sz="0" w:space="0" w:color="auto"/>
                    <w:right w:val="none" w:sz="0" w:space="0" w:color="auto"/>
                  </w:divBdr>
                  <w:divsChild>
                    <w:div w:id="1963226783">
                      <w:marLeft w:val="0"/>
                      <w:marRight w:val="0"/>
                      <w:marTop w:val="0"/>
                      <w:marBottom w:val="0"/>
                      <w:divBdr>
                        <w:top w:val="none" w:sz="0" w:space="0" w:color="auto"/>
                        <w:left w:val="none" w:sz="0" w:space="0" w:color="auto"/>
                        <w:bottom w:val="none" w:sz="0" w:space="0" w:color="auto"/>
                        <w:right w:val="none" w:sz="0" w:space="0" w:color="auto"/>
                      </w:divBdr>
                    </w:div>
                  </w:divsChild>
                </w:div>
                <w:div w:id="1568566464">
                  <w:marLeft w:val="0"/>
                  <w:marRight w:val="0"/>
                  <w:marTop w:val="0"/>
                  <w:marBottom w:val="0"/>
                  <w:divBdr>
                    <w:top w:val="none" w:sz="0" w:space="0" w:color="auto"/>
                    <w:left w:val="none" w:sz="0" w:space="0" w:color="auto"/>
                    <w:bottom w:val="none" w:sz="0" w:space="0" w:color="auto"/>
                    <w:right w:val="none" w:sz="0" w:space="0" w:color="auto"/>
                  </w:divBdr>
                  <w:divsChild>
                    <w:div w:id="1903100103">
                      <w:marLeft w:val="0"/>
                      <w:marRight w:val="0"/>
                      <w:marTop w:val="0"/>
                      <w:marBottom w:val="0"/>
                      <w:divBdr>
                        <w:top w:val="none" w:sz="0" w:space="0" w:color="auto"/>
                        <w:left w:val="none" w:sz="0" w:space="0" w:color="auto"/>
                        <w:bottom w:val="none" w:sz="0" w:space="0" w:color="auto"/>
                        <w:right w:val="none" w:sz="0" w:space="0" w:color="auto"/>
                      </w:divBdr>
                    </w:div>
                  </w:divsChild>
                </w:div>
                <w:div w:id="1586375865">
                  <w:marLeft w:val="0"/>
                  <w:marRight w:val="0"/>
                  <w:marTop w:val="0"/>
                  <w:marBottom w:val="0"/>
                  <w:divBdr>
                    <w:top w:val="none" w:sz="0" w:space="0" w:color="auto"/>
                    <w:left w:val="none" w:sz="0" w:space="0" w:color="auto"/>
                    <w:bottom w:val="none" w:sz="0" w:space="0" w:color="auto"/>
                    <w:right w:val="none" w:sz="0" w:space="0" w:color="auto"/>
                  </w:divBdr>
                  <w:divsChild>
                    <w:div w:id="183205038">
                      <w:marLeft w:val="0"/>
                      <w:marRight w:val="0"/>
                      <w:marTop w:val="0"/>
                      <w:marBottom w:val="0"/>
                      <w:divBdr>
                        <w:top w:val="none" w:sz="0" w:space="0" w:color="auto"/>
                        <w:left w:val="none" w:sz="0" w:space="0" w:color="auto"/>
                        <w:bottom w:val="none" w:sz="0" w:space="0" w:color="auto"/>
                        <w:right w:val="none" w:sz="0" w:space="0" w:color="auto"/>
                      </w:divBdr>
                    </w:div>
                  </w:divsChild>
                </w:div>
                <w:div w:id="1631668260">
                  <w:marLeft w:val="0"/>
                  <w:marRight w:val="0"/>
                  <w:marTop w:val="0"/>
                  <w:marBottom w:val="0"/>
                  <w:divBdr>
                    <w:top w:val="none" w:sz="0" w:space="0" w:color="auto"/>
                    <w:left w:val="none" w:sz="0" w:space="0" w:color="auto"/>
                    <w:bottom w:val="none" w:sz="0" w:space="0" w:color="auto"/>
                    <w:right w:val="none" w:sz="0" w:space="0" w:color="auto"/>
                  </w:divBdr>
                  <w:divsChild>
                    <w:div w:id="377051588">
                      <w:marLeft w:val="0"/>
                      <w:marRight w:val="0"/>
                      <w:marTop w:val="0"/>
                      <w:marBottom w:val="0"/>
                      <w:divBdr>
                        <w:top w:val="none" w:sz="0" w:space="0" w:color="auto"/>
                        <w:left w:val="none" w:sz="0" w:space="0" w:color="auto"/>
                        <w:bottom w:val="none" w:sz="0" w:space="0" w:color="auto"/>
                        <w:right w:val="none" w:sz="0" w:space="0" w:color="auto"/>
                      </w:divBdr>
                    </w:div>
                  </w:divsChild>
                </w:div>
                <w:div w:id="1672483889">
                  <w:marLeft w:val="0"/>
                  <w:marRight w:val="0"/>
                  <w:marTop w:val="0"/>
                  <w:marBottom w:val="0"/>
                  <w:divBdr>
                    <w:top w:val="none" w:sz="0" w:space="0" w:color="auto"/>
                    <w:left w:val="none" w:sz="0" w:space="0" w:color="auto"/>
                    <w:bottom w:val="none" w:sz="0" w:space="0" w:color="auto"/>
                    <w:right w:val="none" w:sz="0" w:space="0" w:color="auto"/>
                  </w:divBdr>
                  <w:divsChild>
                    <w:div w:id="2131707364">
                      <w:marLeft w:val="0"/>
                      <w:marRight w:val="0"/>
                      <w:marTop w:val="0"/>
                      <w:marBottom w:val="0"/>
                      <w:divBdr>
                        <w:top w:val="none" w:sz="0" w:space="0" w:color="auto"/>
                        <w:left w:val="none" w:sz="0" w:space="0" w:color="auto"/>
                        <w:bottom w:val="none" w:sz="0" w:space="0" w:color="auto"/>
                        <w:right w:val="none" w:sz="0" w:space="0" w:color="auto"/>
                      </w:divBdr>
                    </w:div>
                  </w:divsChild>
                </w:div>
                <w:div w:id="1674261723">
                  <w:marLeft w:val="0"/>
                  <w:marRight w:val="0"/>
                  <w:marTop w:val="0"/>
                  <w:marBottom w:val="0"/>
                  <w:divBdr>
                    <w:top w:val="none" w:sz="0" w:space="0" w:color="auto"/>
                    <w:left w:val="none" w:sz="0" w:space="0" w:color="auto"/>
                    <w:bottom w:val="none" w:sz="0" w:space="0" w:color="auto"/>
                    <w:right w:val="none" w:sz="0" w:space="0" w:color="auto"/>
                  </w:divBdr>
                  <w:divsChild>
                    <w:div w:id="1985812531">
                      <w:marLeft w:val="0"/>
                      <w:marRight w:val="0"/>
                      <w:marTop w:val="0"/>
                      <w:marBottom w:val="0"/>
                      <w:divBdr>
                        <w:top w:val="none" w:sz="0" w:space="0" w:color="auto"/>
                        <w:left w:val="none" w:sz="0" w:space="0" w:color="auto"/>
                        <w:bottom w:val="none" w:sz="0" w:space="0" w:color="auto"/>
                        <w:right w:val="none" w:sz="0" w:space="0" w:color="auto"/>
                      </w:divBdr>
                    </w:div>
                  </w:divsChild>
                </w:div>
                <w:div w:id="1713533488">
                  <w:marLeft w:val="0"/>
                  <w:marRight w:val="0"/>
                  <w:marTop w:val="0"/>
                  <w:marBottom w:val="0"/>
                  <w:divBdr>
                    <w:top w:val="none" w:sz="0" w:space="0" w:color="auto"/>
                    <w:left w:val="none" w:sz="0" w:space="0" w:color="auto"/>
                    <w:bottom w:val="none" w:sz="0" w:space="0" w:color="auto"/>
                    <w:right w:val="none" w:sz="0" w:space="0" w:color="auto"/>
                  </w:divBdr>
                  <w:divsChild>
                    <w:div w:id="1565218634">
                      <w:marLeft w:val="0"/>
                      <w:marRight w:val="0"/>
                      <w:marTop w:val="0"/>
                      <w:marBottom w:val="0"/>
                      <w:divBdr>
                        <w:top w:val="none" w:sz="0" w:space="0" w:color="auto"/>
                        <w:left w:val="none" w:sz="0" w:space="0" w:color="auto"/>
                        <w:bottom w:val="none" w:sz="0" w:space="0" w:color="auto"/>
                        <w:right w:val="none" w:sz="0" w:space="0" w:color="auto"/>
                      </w:divBdr>
                    </w:div>
                  </w:divsChild>
                </w:div>
                <w:div w:id="1778058267">
                  <w:marLeft w:val="0"/>
                  <w:marRight w:val="0"/>
                  <w:marTop w:val="0"/>
                  <w:marBottom w:val="0"/>
                  <w:divBdr>
                    <w:top w:val="none" w:sz="0" w:space="0" w:color="auto"/>
                    <w:left w:val="none" w:sz="0" w:space="0" w:color="auto"/>
                    <w:bottom w:val="none" w:sz="0" w:space="0" w:color="auto"/>
                    <w:right w:val="none" w:sz="0" w:space="0" w:color="auto"/>
                  </w:divBdr>
                  <w:divsChild>
                    <w:div w:id="1431315598">
                      <w:marLeft w:val="0"/>
                      <w:marRight w:val="0"/>
                      <w:marTop w:val="0"/>
                      <w:marBottom w:val="0"/>
                      <w:divBdr>
                        <w:top w:val="none" w:sz="0" w:space="0" w:color="auto"/>
                        <w:left w:val="none" w:sz="0" w:space="0" w:color="auto"/>
                        <w:bottom w:val="none" w:sz="0" w:space="0" w:color="auto"/>
                        <w:right w:val="none" w:sz="0" w:space="0" w:color="auto"/>
                      </w:divBdr>
                    </w:div>
                  </w:divsChild>
                </w:div>
                <w:div w:id="1787459098">
                  <w:marLeft w:val="0"/>
                  <w:marRight w:val="0"/>
                  <w:marTop w:val="0"/>
                  <w:marBottom w:val="0"/>
                  <w:divBdr>
                    <w:top w:val="none" w:sz="0" w:space="0" w:color="auto"/>
                    <w:left w:val="none" w:sz="0" w:space="0" w:color="auto"/>
                    <w:bottom w:val="none" w:sz="0" w:space="0" w:color="auto"/>
                    <w:right w:val="none" w:sz="0" w:space="0" w:color="auto"/>
                  </w:divBdr>
                  <w:divsChild>
                    <w:div w:id="1479495258">
                      <w:marLeft w:val="0"/>
                      <w:marRight w:val="0"/>
                      <w:marTop w:val="0"/>
                      <w:marBottom w:val="0"/>
                      <w:divBdr>
                        <w:top w:val="none" w:sz="0" w:space="0" w:color="auto"/>
                        <w:left w:val="none" w:sz="0" w:space="0" w:color="auto"/>
                        <w:bottom w:val="none" w:sz="0" w:space="0" w:color="auto"/>
                        <w:right w:val="none" w:sz="0" w:space="0" w:color="auto"/>
                      </w:divBdr>
                    </w:div>
                  </w:divsChild>
                </w:div>
                <w:div w:id="1800604384">
                  <w:marLeft w:val="0"/>
                  <w:marRight w:val="0"/>
                  <w:marTop w:val="0"/>
                  <w:marBottom w:val="0"/>
                  <w:divBdr>
                    <w:top w:val="none" w:sz="0" w:space="0" w:color="auto"/>
                    <w:left w:val="none" w:sz="0" w:space="0" w:color="auto"/>
                    <w:bottom w:val="none" w:sz="0" w:space="0" w:color="auto"/>
                    <w:right w:val="none" w:sz="0" w:space="0" w:color="auto"/>
                  </w:divBdr>
                  <w:divsChild>
                    <w:div w:id="1420521706">
                      <w:marLeft w:val="0"/>
                      <w:marRight w:val="0"/>
                      <w:marTop w:val="0"/>
                      <w:marBottom w:val="0"/>
                      <w:divBdr>
                        <w:top w:val="none" w:sz="0" w:space="0" w:color="auto"/>
                        <w:left w:val="none" w:sz="0" w:space="0" w:color="auto"/>
                        <w:bottom w:val="none" w:sz="0" w:space="0" w:color="auto"/>
                        <w:right w:val="none" w:sz="0" w:space="0" w:color="auto"/>
                      </w:divBdr>
                    </w:div>
                  </w:divsChild>
                </w:div>
                <w:div w:id="1805855161">
                  <w:marLeft w:val="0"/>
                  <w:marRight w:val="0"/>
                  <w:marTop w:val="0"/>
                  <w:marBottom w:val="0"/>
                  <w:divBdr>
                    <w:top w:val="none" w:sz="0" w:space="0" w:color="auto"/>
                    <w:left w:val="none" w:sz="0" w:space="0" w:color="auto"/>
                    <w:bottom w:val="none" w:sz="0" w:space="0" w:color="auto"/>
                    <w:right w:val="none" w:sz="0" w:space="0" w:color="auto"/>
                  </w:divBdr>
                  <w:divsChild>
                    <w:div w:id="1033463748">
                      <w:marLeft w:val="0"/>
                      <w:marRight w:val="0"/>
                      <w:marTop w:val="0"/>
                      <w:marBottom w:val="0"/>
                      <w:divBdr>
                        <w:top w:val="none" w:sz="0" w:space="0" w:color="auto"/>
                        <w:left w:val="none" w:sz="0" w:space="0" w:color="auto"/>
                        <w:bottom w:val="none" w:sz="0" w:space="0" w:color="auto"/>
                        <w:right w:val="none" w:sz="0" w:space="0" w:color="auto"/>
                      </w:divBdr>
                    </w:div>
                  </w:divsChild>
                </w:div>
                <w:div w:id="1833568377">
                  <w:marLeft w:val="0"/>
                  <w:marRight w:val="0"/>
                  <w:marTop w:val="0"/>
                  <w:marBottom w:val="0"/>
                  <w:divBdr>
                    <w:top w:val="none" w:sz="0" w:space="0" w:color="auto"/>
                    <w:left w:val="none" w:sz="0" w:space="0" w:color="auto"/>
                    <w:bottom w:val="none" w:sz="0" w:space="0" w:color="auto"/>
                    <w:right w:val="none" w:sz="0" w:space="0" w:color="auto"/>
                  </w:divBdr>
                  <w:divsChild>
                    <w:div w:id="942998878">
                      <w:marLeft w:val="0"/>
                      <w:marRight w:val="0"/>
                      <w:marTop w:val="0"/>
                      <w:marBottom w:val="0"/>
                      <w:divBdr>
                        <w:top w:val="none" w:sz="0" w:space="0" w:color="auto"/>
                        <w:left w:val="none" w:sz="0" w:space="0" w:color="auto"/>
                        <w:bottom w:val="none" w:sz="0" w:space="0" w:color="auto"/>
                        <w:right w:val="none" w:sz="0" w:space="0" w:color="auto"/>
                      </w:divBdr>
                    </w:div>
                  </w:divsChild>
                </w:div>
                <w:div w:id="1839809832">
                  <w:marLeft w:val="0"/>
                  <w:marRight w:val="0"/>
                  <w:marTop w:val="0"/>
                  <w:marBottom w:val="0"/>
                  <w:divBdr>
                    <w:top w:val="none" w:sz="0" w:space="0" w:color="auto"/>
                    <w:left w:val="none" w:sz="0" w:space="0" w:color="auto"/>
                    <w:bottom w:val="none" w:sz="0" w:space="0" w:color="auto"/>
                    <w:right w:val="none" w:sz="0" w:space="0" w:color="auto"/>
                  </w:divBdr>
                  <w:divsChild>
                    <w:div w:id="61417708">
                      <w:marLeft w:val="0"/>
                      <w:marRight w:val="0"/>
                      <w:marTop w:val="0"/>
                      <w:marBottom w:val="0"/>
                      <w:divBdr>
                        <w:top w:val="none" w:sz="0" w:space="0" w:color="auto"/>
                        <w:left w:val="none" w:sz="0" w:space="0" w:color="auto"/>
                        <w:bottom w:val="none" w:sz="0" w:space="0" w:color="auto"/>
                        <w:right w:val="none" w:sz="0" w:space="0" w:color="auto"/>
                      </w:divBdr>
                    </w:div>
                  </w:divsChild>
                </w:div>
                <w:div w:id="1843548181">
                  <w:marLeft w:val="0"/>
                  <w:marRight w:val="0"/>
                  <w:marTop w:val="0"/>
                  <w:marBottom w:val="0"/>
                  <w:divBdr>
                    <w:top w:val="none" w:sz="0" w:space="0" w:color="auto"/>
                    <w:left w:val="none" w:sz="0" w:space="0" w:color="auto"/>
                    <w:bottom w:val="none" w:sz="0" w:space="0" w:color="auto"/>
                    <w:right w:val="none" w:sz="0" w:space="0" w:color="auto"/>
                  </w:divBdr>
                  <w:divsChild>
                    <w:div w:id="1318454332">
                      <w:marLeft w:val="0"/>
                      <w:marRight w:val="0"/>
                      <w:marTop w:val="0"/>
                      <w:marBottom w:val="0"/>
                      <w:divBdr>
                        <w:top w:val="none" w:sz="0" w:space="0" w:color="auto"/>
                        <w:left w:val="none" w:sz="0" w:space="0" w:color="auto"/>
                        <w:bottom w:val="none" w:sz="0" w:space="0" w:color="auto"/>
                        <w:right w:val="none" w:sz="0" w:space="0" w:color="auto"/>
                      </w:divBdr>
                    </w:div>
                  </w:divsChild>
                </w:div>
                <w:div w:id="1846747252">
                  <w:marLeft w:val="0"/>
                  <w:marRight w:val="0"/>
                  <w:marTop w:val="0"/>
                  <w:marBottom w:val="0"/>
                  <w:divBdr>
                    <w:top w:val="none" w:sz="0" w:space="0" w:color="auto"/>
                    <w:left w:val="none" w:sz="0" w:space="0" w:color="auto"/>
                    <w:bottom w:val="none" w:sz="0" w:space="0" w:color="auto"/>
                    <w:right w:val="none" w:sz="0" w:space="0" w:color="auto"/>
                  </w:divBdr>
                  <w:divsChild>
                    <w:div w:id="1176529727">
                      <w:marLeft w:val="0"/>
                      <w:marRight w:val="0"/>
                      <w:marTop w:val="0"/>
                      <w:marBottom w:val="0"/>
                      <w:divBdr>
                        <w:top w:val="none" w:sz="0" w:space="0" w:color="auto"/>
                        <w:left w:val="none" w:sz="0" w:space="0" w:color="auto"/>
                        <w:bottom w:val="none" w:sz="0" w:space="0" w:color="auto"/>
                        <w:right w:val="none" w:sz="0" w:space="0" w:color="auto"/>
                      </w:divBdr>
                    </w:div>
                  </w:divsChild>
                </w:div>
                <w:div w:id="1855875795">
                  <w:marLeft w:val="0"/>
                  <w:marRight w:val="0"/>
                  <w:marTop w:val="0"/>
                  <w:marBottom w:val="0"/>
                  <w:divBdr>
                    <w:top w:val="none" w:sz="0" w:space="0" w:color="auto"/>
                    <w:left w:val="none" w:sz="0" w:space="0" w:color="auto"/>
                    <w:bottom w:val="none" w:sz="0" w:space="0" w:color="auto"/>
                    <w:right w:val="none" w:sz="0" w:space="0" w:color="auto"/>
                  </w:divBdr>
                  <w:divsChild>
                    <w:div w:id="774133802">
                      <w:marLeft w:val="0"/>
                      <w:marRight w:val="0"/>
                      <w:marTop w:val="0"/>
                      <w:marBottom w:val="0"/>
                      <w:divBdr>
                        <w:top w:val="none" w:sz="0" w:space="0" w:color="auto"/>
                        <w:left w:val="none" w:sz="0" w:space="0" w:color="auto"/>
                        <w:bottom w:val="none" w:sz="0" w:space="0" w:color="auto"/>
                        <w:right w:val="none" w:sz="0" w:space="0" w:color="auto"/>
                      </w:divBdr>
                    </w:div>
                  </w:divsChild>
                </w:div>
                <w:div w:id="1856914838">
                  <w:marLeft w:val="0"/>
                  <w:marRight w:val="0"/>
                  <w:marTop w:val="0"/>
                  <w:marBottom w:val="0"/>
                  <w:divBdr>
                    <w:top w:val="none" w:sz="0" w:space="0" w:color="auto"/>
                    <w:left w:val="none" w:sz="0" w:space="0" w:color="auto"/>
                    <w:bottom w:val="none" w:sz="0" w:space="0" w:color="auto"/>
                    <w:right w:val="none" w:sz="0" w:space="0" w:color="auto"/>
                  </w:divBdr>
                  <w:divsChild>
                    <w:div w:id="824784242">
                      <w:marLeft w:val="0"/>
                      <w:marRight w:val="0"/>
                      <w:marTop w:val="0"/>
                      <w:marBottom w:val="0"/>
                      <w:divBdr>
                        <w:top w:val="none" w:sz="0" w:space="0" w:color="auto"/>
                        <w:left w:val="none" w:sz="0" w:space="0" w:color="auto"/>
                        <w:bottom w:val="none" w:sz="0" w:space="0" w:color="auto"/>
                        <w:right w:val="none" w:sz="0" w:space="0" w:color="auto"/>
                      </w:divBdr>
                    </w:div>
                  </w:divsChild>
                </w:div>
                <w:div w:id="1900825919">
                  <w:marLeft w:val="0"/>
                  <w:marRight w:val="0"/>
                  <w:marTop w:val="0"/>
                  <w:marBottom w:val="0"/>
                  <w:divBdr>
                    <w:top w:val="none" w:sz="0" w:space="0" w:color="auto"/>
                    <w:left w:val="none" w:sz="0" w:space="0" w:color="auto"/>
                    <w:bottom w:val="none" w:sz="0" w:space="0" w:color="auto"/>
                    <w:right w:val="none" w:sz="0" w:space="0" w:color="auto"/>
                  </w:divBdr>
                  <w:divsChild>
                    <w:div w:id="39864785">
                      <w:marLeft w:val="0"/>
                      <w:marRight w:val="0"/>
                      <w:marTop w:val="0"/>
                      <w:marBottom w:val="0"/>
                      <w:divBdr>
                        <w:top w:val="none" w:sz="0" w:space="0" w:color="auto"/>
                        <w:left w:val="none" w:sz="0" w:space="0" w:color="auto"/>
                        <w:bottom w:val="none" w:sz="0" w:space="0" w:color="auto"/>
                        <w:right w:val="none" w:sz="0" w:space="0" w:color="auto"/>
                      </w:divBdr>
                    </w:div>
                  </w:divsChild>
                </w:div>
                <w:div w:id="1950697063">
                  <w:marLeft w:val="0"/>
                  <w:marRight w:val="0"/>
                  <w:marTop w:val="0"/>
                  <w:marBottom w:val="0"/>
                  <w:divBdr>
                    <w:top w:val="none" w:sz="0" w:space="0" w:color="auto"/>
                    <w:left w:val="none" w:sz="0" w:space="0" w:color="auto"/>
                    <w:bottom w:val="none" w:sz="0" w:space="0" w:color="auto"/>
                    <w:right w:val="none" w:sz="0" w:space="0" w:color="auto"/>
                  </w:divBdr>
                  <w:divsChild>
                    <w:div w:id="1558668178">
                      <w:marLeft w:val="0"/>
                      <w:marRight w:val="0"/>
                      <w:marTop w:val="0"/>
                      <w:marBottom w:val="0"/>
                      <w:divBdr>
                        <w:top w:val="none" w:sz="0" w:space="0" w:color="auto"/>
                        <w:left w:val="none" w:sz="0" w:space="0" w:color="auto"/>
                        <w:bottom w:val="none" w:sz="0" w:space="0" w:color="auto"/>
                        <w:right w:val="none" w:sz="0" w:space="0" w:color="auto"/>
                      </w:divBdr>
                    </w:div>
                  </w:divsChild>
                </w:div>
                <w:div w:id="1954091375">
                  <w:marLeft w:val="0"/>
                  <w:marRight w:val="0"/>
                  <w:marTop w:val="0"/>
                  <w:marBottom w:val="0"/>
                  <w:divBdr>
                    <w:top w:val="none" w:sz="0" w:space="0" w:color="auto"/>
                    <w:left w:val="none" w:sz="0" w:space="0" w:color="auto"/>
                    <w:bottom w:val="none" w:sz="0" w:space="0" w:color="auto"/>
                    <w:right w:val="none" w:sz="0" w:space="0" w:color="auto"/>
                  </w:divBdr>
                  <w:divsChild>
                    <w:div w:id="463550427">
                      <w:marLeft w:val="0"/>
                      <w:marRight w:val="0"/>
                      <w:marTop w:val="0"/>
                      <w:marBottom w:val="0"/>
                      <w:divBdr>
                        <w:top w:val="none" w:sz="0" w:space="0" w:color="auto"/>
                        <w:left w:val="none" w:sz="0" w:space="0" w:color="auto"/>
                        <w:bottom w:val="none" w:sz="0" w:space="0" w:color="auto"/>
                        <w:right w:val="none" w:sz="0" w:space="0" w:color="auto"/>
                      </w:divBdr>
                    </w:div>
                  </w:divsChild>
                </w:div>
                <w:div w:id="1954483041">
                  <w:marLeft w:val="0"/>
                  <w:marRight w:val="0"/>
                  <w:marTop w:val="0"/>
                  <w:marBottom w:val="0"/>
                  <w:divBdr>
                    <w:top w:val="none" w:sz="0" w:space="0" w:color="auto"/>
                    <w:left w:val="none" w:sz="0" w:space="0" w:color="auto"/>
                    <w:bottom w:val="none" w:sz="0" w:space="0" w:color="auto"/>
                    <w:right w:val="none" w:sz="0" w:space="0" w:color="auto"/>
                  </w:divBdr>
                  <w:divsChild>
                    <w:div w:id="690031233">
                      <w:marLeft w:val="0"/>
                      <w:marRight w:val="0"/>
                      <w:marTop w:val="0"/>
                      <w:marBottom w:val="0"/>
                      <w:divBdr>
                        <w:top w:val="none" w:sz="0" w:space="0" w:color="auto"/>
                        <w:left w:val="none" w:sz="0" w:space="0" w:color="auto"/>
                        <w:bottom w:val="none" w:sz="0" w:space="0" w:color="auto"/>
                        <w:right w:val="none" w:sz="0" w:space="0" w:color="auto"/>
                      </w:divBdr>
                    </w:div>
                  </w:divsChild>
                </w:div>
                <w:div w:id="1981374367">
                  <w:marLeft w:val="0"/>
                  <w:marRight w:val="0"/>
                  <w:marTop w:val="0"/>
                  <w:marBottom w:val="0"/>
                  <w:divBdr>
                    <w:top w:val="none" w:sz="0" w:space="0" w:color="auto"/>
                    <w:left w:val="none" w:sz="0" w:space="0" w:color="auto"/>
                    <w:bottom w:val="none" w:sz="0" w:space="0" w:color="auto"/>
                    <w:right w:val="none" w:sz="0" w:space="0" w:color="auto"/>
                  </w:divBdr>
                  <w:divsChild>
                    <w:div w:id="1701973139">
                      <w:marLeft w:val="0"/>
                      <w:marRight w:val="0"/>
                      <w:marTop w:val="0"/>
                      <w:marBottom w:val="0"/>
                      <w:divBdr>
                        <w:top w:val="none" w:sz="0" w:space="0" w:color="auto"/>
                        <w:left w:val="none" w:sz="0" w:space="0" w:color="auto"/>
                        <w:bottom w:val="none" w:sz="0" w:space="0" w:color="auto"/>
                        <w:right w:val="none" w:sz="0" w:space="0" w:color="auto"/>
                      </w:divBdr>
                    </w:div>
                  </w:divsChild>
                </w:div>
                <w:div w:id="1995258276">
                  <w:marLeft w:val="0"/>
                  <w:marRight w:val="0"/>
                  <w:marTop w:val="0"/>
                  <w:marBottom w:val="0"/>
                  <w:divBdr>
                    <w:top w:val="none" w:sz="0" w:space="0" w:color="auto"/>
                    <w:left w:val="none" w:sz="0" w:space="0" w:color="auto"/>
                    <w:bottom w:val="none" w:sz="0" w:space="0" w:color="auto"/>
                    <w:right w:val="none" w:sz="0" w:space="0" w:color="auto"/>
                  </w:divBdr>
                  <w:divsChild>
                    <w:div w:id="1814834836">
                      <w:marLeft w:val="0"/>
                      <w:marRight w:val="0"/>
                      <w:marTop w:val="0"/>
                      <w:marBottom w:val="0"/>
                      <w:divBdr>
                        <w:top w:val="none" w:sz="0" w:space="0" w:color="auto"/>
                        <w:left w:val="none" w:sz="0" w:space="0" w:color="auto"/>
                        <w:bottom w:val="none" w:sz="0" w:space="0" w:color="auto"/>
                        <w:right w:val="none" w:sz="0" w:space="0" w:color="auto"/>
                      </w:divBdr>
                    </w:div>
                  </w:divsChild>
                </w:div>
                <w:div w:id="2003580347">
                  <w:marLeft w:val="0"/>
                  <w:marRight w:val="0"/>
                  <w:marTop w:val="0"/>
                  <w:marBottom w:val="0"/>
                  <w:divBdr>
                    <w:top w:val="none" w:sz="0" w:space="0" w:color="auto"/>
                    <w:left w:val="none" w:sz="0" w:space="0" w:color="auto"/>
                    <w:bottom w:val="none" w:sz="0" w:space="0" w:color="auto"/>
                    <w:right w:val="none" w:sz="0" w:space="0" w:color="auto"/>
                  </w:divBdr>
                  <w:divsChild>
                    <w:div w:id="300036993">
                      <w:marLeft w:val="0"/>
                      <w:marRight w:val="0"/>
                      <w:marTop w:val="0"/>
                      <w:marBottom w:val="0"/>
                      <w:divBdr>
                        <w:top w:val="none" w:sz="0" w:space="0" w:color="auto"/>
                        <w:left w:val="none" w:sz="0" w:space="0" w:color="auto"/>
                        <w:bottom w:val="none" w:sz="0" w:space="0" w:color="auto"/>
                        <w:right w:val="none" w:sz="0" w:space="0" w:color="auto"/>
                      </w:divBdr>
                    </w:div>
                    <w:div w:id="2099326226">
                      <w:marLeft w:val="0"/>
                      <w:marRight w:val="0"/>
                      <w:marTop w:val="0"/>
                      <w:marBottom w:val="0"/>
                      <w:divBdr>
                        <w:top w:val="none" w:sz="0" w:space="0" w:color="auto"/>
                        <w:left w:val="none" w:sz="0" w:space="0" w:color="auto"/>
                        <w:bottom w:val="none" w:sz="0" w:space="0" w:color="auto"/>
                        <w:right w:val="none" w:sz="0" w:space="0" w:color="auto"/>
                      </w:divBdr>
                    </w:div>
                  </w:divsChild>
                </w:div>
                <w:div w:id="2033872228">
                  <w:marLeft w:val="0"/>
                  <w:marRight w:val="0"/>
                  <w:marTop w:val="0"/>
                  <w:marBottom w:val="0"/>
                  <w:divBdr>
                    <w:top w:val="none" w:sz="0" w:space="0" w:color="auto"/>
                    <w:left w:val="none" w:sz="0" w:space="0" w:color="auto"/>
                    <w:bottom w:val="none" w:sz="0" w:space="0" w:color="auto"/>
                    <w:right w:val="none" w:sz="0" w:space="0" w:color="auto"/>
                  </w:divBdr>
                  <w:divsChild>
                    <w:div w:id="1294754075">
                      <w:marLeft w:val="0"/>
                      <w:marRight w:val="0"/>
                      <w:marTop w:val="0"/>
                      <w:marBottom w:val="0"/>
                      <w:divBdr>
                        <w:top w:val="none" w:sz="0" w:space="0" w:color="auto"/>
                        <w:left w:val="none" w:sz="0" w:space="0" w:color="auto"/>
                        <w:bottom w:val="none" w:sz="0" w:space="0" w:color="auto"/>
                        <w:right w:val="none" w:sz="0" w:space="0" w:color="auto"/>
                      </w:divBdr>
                    </w:div>
                  </w:divsChild>
                </w:div>
                <w:div w:id="2048291401">
                  <w:marLeft w:val="0"/>
                  <w:marRight w:val="0"/>
                  <w:marTop w:val="0"/>
                  <w:marBottom w:val="0"/>
                  <w:divBdr>
                    <w:top w:val="none" w:sz="0" w:space="0" w:color="auto"/>
                    <w:left w:val="none" w:sz="0" w:space="0" w:color="auto"/>
                    <w:bottom w:val="none" w:sz="0" w:space="0" w:color="auto"/>
                    <w:right w:val="none" w:sz="0" w:space="0" w:color="auto"/>
                  </w:divBdr>
                  <w:divsChild>
                    <w:div w:id="292030381">
                      <w:marLeft w:val="0"/>
                      <w:marRight w:val="0"/>
                      <w:marTop w:val="0"/>
                      <w:marBottom w:val="0"/>
                      <w:divBdr>
                        <w:top w:val="none" w:sz="0" w:space="0" w:color="auto"/>
                        <w:left w:val="none" w:sz="0" w:space="0" w:color="auto"/>
                        <w:bottom w:val="none" w:sz="0" w:space="0" w:color="auto"/>
                        <w:right w:val="none" w:sz="0" w:space="0" w:color="auto"/>
                      </w:divBdr>
                    </w:div>
                  </w:divsChild>
                </w:div>
                <w:div w:id="2057462433">
                  <w:marLeft w:val="0"/>
                  <w:marRight w:val="0"/>
                  <w:marTop w:val="0"/>
                  <w:marBottom w:val="0"/>
                  <w:divBdr>
                    <w:top w:val="none" w:sz="0" w:space="0" w:color="auto"/>
                    <w:left w:val="none" w:sz="0" w:space="0" w:color="auto"/>
                    <w:bottom w:val="none" w:sz="0" w:space="0" w:color="auto"/>
                    <w:right w:val="none" w:sz="0" w:space="0" w:color="auto"/>
                  </w:divBdr>
                  <w:divsChild>
                    <w:div w:id="266235314">
                      <w:marLeft w:val="0"/>
                      <w:marRight w:val="0"/>
                      <w:marTop w:val="0"/>
                      <w:marBottom w:val="0"/>
                      <w:divBdr>
                        <w:top w:val="none" w:sz="0" w:space="0" w:color="auto"/>
                        <w:left w:val="none" w:sz="0" w:space="0" w:color="auto"/>
                        <w:bottom w:val="none" w:sz="0" w:space="0" w:color="auto"/>
                        <w:right w:val="none" w:sz="0" w:space="0" w:color="auto"/>
                      </w:divBdr>
                    </w:div>
                  </w:divsChild>
                </w:div>
                <w:div w:id="2064215597">
                  <w:marLeft w:val="0"/>
                  <w:marRight w:val="0"/>
                  <w:marTop w:val="0"/>
                  <w:marBottom w:val="0"/>
                  <w:divBdr>
                    <w:top w:val="none" w:sz="0" w:space="0" w:color="auto"/>
                    <w:left w:val="none" w:sz="0" w:space="0" w:color="auto"/>
                    <w:bottom w:val="none" w:sz="0" w:space="0" w:color="auto"/>
                    <w:right w:val="none" w:sz="0" w:space="0" w:color="auto"/>
                  </w:divBdr>
                  <w:divsChild>
                    <w:div w:id="245575203">
                      <w:marLeft w:val="0"/>
                      <w:marRight w:val="0"/>
                      <w:marTop w:val="0"/>
                      <w:marBottom w:val="0"/>
                      <w:divBdr>
                        <w:top w:val="none" w:sz="0" w:space="0" w:color="auto"/>
                        <w:left w:val="none" w:sz="0" w:space="0" w:color="auto"/>
                        <w:bottom w:val="none" w:sz="0" w:space="0" w:color="auto"/>
                        <w:right w:val="none" w:sz="0" w:space="0" w:color="auto"/>
                      </w:divBdr>
                    </w:div>
                  </w:divsChild>
                </w:div>
                <w:div w:id="2066483828">
                  <w:marLeft w:val="0"/>
                  <w:marRight w:val="0"/>
                  <w:marTop w:val="0"/>
                  <w:marBottom w:val="0"/>
                  <w:divBdr>
                    <w:top w:val="none" w:sz="0" w:space="0" w:color="auto"/>
                    <w:left w:val="none" w:sz="0" w:space="0" w:color="auto"/>
                    <w:bottom w:val="none" w:sz="0" w:space="0" w:color="auto"/>
                    <w:right w:val="none" w:sz="0" w:space="0" w:color="auto"/>
                  </w:divBdr>
                  <w:divsChild>
                    <w:div w:id="1224949821">
                      <w:marLeft w:val="0"/>
                      <w:marRight w:val="0"/>
                      <w:marTop w:val="0"/>
                      <w:marBottom w:val="0"/>
                      <w:divBdr>
                        <w:top w:val="none" w:sz="0" w:space="0" w:color="auto"/>
                        <w:left w:val="none" w:sz="0" w:space="0" w:color="auto"/>
                        <w:bottom w:val="none" w:sz="0" w:space="0" w:color="auto"/>
                        <w:right w:val="none" w:sz="0" w:space="0" w:color="auto"/>
                      </w:divBdr>
                    </w:div>
                  </w:divsChild>
                </w:div>
                <w:div w:id="2073650997">
                  <w:marLeft w:val="0"/>
                  <w:marRight w:val="0"/>
                  <w:marTop w:val="0"/>
                  <w:marBottom w:val="0"/>
                  <w:divBdr>
                    <w:top w:val="none" w:sz="0" w:space="0" w:color="auto"/>
                    <w:left w:val="none" w:sz="0" w:space="0" w:color="auto"/>
                    <w:bottom w:val="none" w:sz="0" w:space="0" w:color="auto"/>
                    <w:right w:val="none" w:sz="0" w:space="0" w:color="auto"/>
                  </w:divBdr>
                  <w:divsChild>
                    <w:div w:id="1651670338">
                      <w:marLeft w:val="0"/>
                      <w:marRight w:val="0"/>
                      <w:marTop w:val="0"/>
                      <w:marBottom w:val="0"/>
                      <w:divBdr>
                        <w:top w:val="none" w:sz="0" w:space="0" w:color="auto"/>
                        <w:left w:val="none" w:sz="0" w:space="0" w:color="auto"/>
                        <w:bottom w:val="none" w:sz="0" w:space="0" w:color="auto"/>
                        <w:right w:val="none" w:sz="0" w:space="0" w:color="auto"/>
                      </w:divBdr>
                    </w:div>
                  </w:divsChild>
                </w:div>
                <w:div w:id="2104103917">
                  <w:marLeft w:val="0"/>
                  <w:marRight w:val="0"/>
                  <w:marTop w:val="0"/>
                  <w:marBottom w:val="0"/>
                  <w:divBdr>
                    <w:top w:val="none" w:sz="0" w:space="0" w:color="auto"/>
                    <w:left w:val="none" w:sz="0" w:space="0" w:color="auto"/>
                    <w:bottom w:val="none" w:sz="0" w:space="0" w:color="auto"/>
                    <w:right w:val="none" w:sz="0" w:space="0" w:color="auto"/>
                  </w:divBdr>
                  <w:divsChild>
                    <w:div w:id="2028605074">
                      <w:marLeft w:val="0"/>
                      <w:marRight w:val="0"/>
                      <w:marTop w:val="0"/>
                      <w:marBottom w:val="0"/>
                      <w:divBdr>
                        <w:top w:val="none" w:sz="0" w:space="0" w:color="auto"/>
                        <w:left w:val="none" w:sz="0" w:space="0" w:color="auto"/>
                        <w:bottom w:val="none" w:sz="0" w:space="0" w:color="auto"/>
                        <w:right w:val="none" w:sz="0" w:space="0" w:color="auto"/>
                      </w:divBdr>
                    </w:div>
                  </w:divsChild>
                </w:div>
                <w:div w:id="2107655560">
                  <w:marLeft w:val="0"/>
                  <w:marRight w:val="0"/>
                  <w:marTop w:val="0"/>
                  <w:marBottom w:val="0"/>
                  <w:divBdr>
                    <w:top w:val="none" w:sz="0" w:space="0" w:color="auto"/>
                    <w:left w:val="none" w:sz="0" w:space="0" w:color="auto"/>
                    <w:bottom w:val="none" w:sz="0" w:space="0" w:color="auto"/>
                    <w:right w:val="none" w:sz="0" w:space="0" w:color="auto"/>
                  </w:divBdr>
                  <w:divsChild>
                    <w:div w:id="883446853">
                      <w:marLeft w:val="0"/>
                      <w:marRight w:val="0"/>
                      <w:marTop w:val="0"/>
                      <w:marBottom w:val="0"/>
                      <w:divBdr>
                        <w:top w:val="none" w:sz="0" w:space="0" w:color="auto"/>
                        <w:left w:val="none" w:sz="0" w:space="0" w:color="auto"/>
                        <w:bottom w:val="none" w:sz="0" w:space="0" w:color="auto"/>
                        <w:right w:val="none" w:sz="0" w:space="0" w:color="auto"/>
                      </w:divBdr>
                    </w:div>
                  </w:divsChild>
                </w:div>
                <w:div w:id="2120442329">
                  <w:marLeft w:val="0"/>
                  <w:marRight w:val="0"/>
                  <w:marTop w:val="0"/>
                  <w:marBottom w:val="0"/>
                  <w:divBdr>
                    <w:top w:val="none" w:sz="0" w:space="0" w:color="auto"/>
                    <w:left w:val="none" w:sz="0" w:space="0" w:color="auto"/>
                    <w:bottom w:val="none" w:sz="0" w:space="0" w:color="auto"/>
                    <w:right w:val="none" w:sz="0" w:space="0" w:color="auto"/>
                  </w:divBdr>
                  <w:divsChild>
                    <w:div w:id="918439749">
                      <w:marLeft w:val="0"/>
                      <w:marRight w:val="0"/>
                      <w:marTop w:val="0"/>
                      <w:marBottom w:val="0"/>
                      <w:divBdr>
                        <w:top w:val="none" w:sz="0" w:space="0" w:color="auto"/>
                        <w:left w:val="none" w:sz="0" w:space="0" w:color="auto"/>
                        <w:bottom w:val="none" w:sz="0" w:space="0" w:color="auto"/>
                        <w:right w:val="none" w:sz="0" w:space="0" w:color="auto"/>
                      </w:divBdr>
                    </w:div>
                    <w:div w:id="1082800008">
                      <w:marLeft w:val="0"/>
                      <w:marRight w:val="0"/>
                      <w:marTop w:val="0"/>
                      <w:marBottom w:val="0"/>
                      <w:divBdr>
                        <w:top w:val="none" w:sz="0" w:space="0" w:color="auto"/>
                        <w:left w:val="none" w:sz="0" w:space="0" w:color="auto"/>
                        <w:bottom w:val="none" w:sz="0" w:space="0" w:color="auto"/>
                        <w:right w:val="none" w:sz="0" w:space="0" w:color="auto"/>
                      </w:divBdr>
                    </w:div>
                  </w:divsChild>
                </w:div>
                <w:div w:id="2141528522">
                  <w:marLeft w:val="0"/>
                  <w:marRight w:val="0"/>
                  <w:marTop w:val="0"/>
                  <w:marBottom w:val="0"/>
                  <w:divBdr>
                    <w:top w:val="none" w:sz="0" w:space="0" w:color="auto"/>
                    <w:left w:val="none" w:sz="0" w:space="0" w:color="auto"/>
                    <w:bottom w:val="none" w:sz="0" w:space="0" w:color="auto"/>
                    <w:right w:val="none" w:sz="0" w:space="0" w:color="auto"/>
                  </w:divBdr>
                  <w:divsChild>
                    <w:div w:id="4032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72991">
          <w:marLeft w:val="0"/>
          <w:marRight w:val="0"/>
          <w:marTop w:val="0"/>
          <w:marBottom w:val="0"/>
          <w:divBdr>
            <w:top w:val="none" w:sz="0" w:space="0" w:color="auto"/>
            <w:left w:val="none" w:sz="0" w:space="0" w:color="auto"/>
            <w:bottom w:val="none" w:sz="0" w:space="0" w:color="auto"/>
            <w:right w:val="none" w:sz="0" w:space="0" w:color="auto"/>
          </w:divBdr>
        </w:div>
      </w:divsChild>
    </w:div>
    <w:div w:id="1423183392">
      <w:bodyDiv w:val="1"/>
      <w:marLeft w:val="0"/>
      <w:marRight w:val="0"/>
      <w:marTop w:val="0"/>
      <w:marBottom w:val="0"/>
      <w:divBdr>
        <w:top w:val="none" w:sz="0" w:space="0" w:color="auto"/>
        <w:left w:val="none" w:sz="0" w:space="0" w:color="auto"/>
        <w:bottom w:val="none" w:sz="0" w:space="0" w:color="auto"/>
        <w:right w:val="none" w:sz="0" w:space="0" w:color="auto"/>
      </w:divBdr>
    </w:div>
    <w:div w:id="1616207394">
      <w:bodyDiv w:val="1"/>
      <w:marLeft w:val="0"/>
      <w:marRight w:val="0"/>
      <w:marTop w:val="0"/>
      <w:marBottom w:val="0"/>
      <w:divBdr>
        <w:top w:val="none" w:sz="0" w:space="0" w:color="auto"/>
        <w:left w:val="none" w:sz="0" w:space="0" w:color="auto"/>
        <w:bottom w:val="none" w:sz="0" w:space="0" w:color="auto"/>
        <w:right w:val="none" w:sz="0" w:space="0" w:color="auto"/>
      </w:divBdr>
    </w:div>
    <w:div w:id="1616211357">
      <w:bodyDiv w:val="1"/>
      <w:marLeft w:val="0"/>
      <w:marRight w:val="0"/>
      <w:marTop w:val="0"/>
      <w:marBottom w:val="0"/>
      <w:divBdr>
        <w:top w:val="none" w:sz="0" w:space="0" w:color="auto"/>
        <w:left w:val="none" w:sz="0" w:space="0" w:color="auto"/>
        <w:bottom w:val="none" w:sz="0" w:space="0" w:color="auto"/>
        <w:right w:val="none" w:sz="0" w:space="0" w:color="auto"/>
      </w:divBdr>
    </w:div>
    <w:div w:id="1685014215">
      <w:bodyDiv w:val="1"/>
      <w:marLeft w:val="0"/>
      <w:marRight w:val="0"/>
      <w:marTop w:val="0"/>
      <w:marBottom w:val="0"/>
      <w:divBdr>
        <w:top w:val="none" w:sz="0" w:space="0" w:color="auto"/>
        <w:left w:val="none" w:sz="0" w:space="0" w:color="auto"/>
        <w:bottom w:val="none" w:sz="0" w:space="0" w:color="auto"/>
        <w:right w:val="none" w:sz="0" w:space="0" w:color="auto"/>
      </w:divBdr>
    </w:div>
    <w:div w:id="1714840667">
      <w:bodyDiv w:val="1"/>
      <w:marLeft w:val="0"/>
      <w:marRight w:val="0"/>
      <w:marTop w:val="0"/>
      <w:marBottom w:val="0"/>
      <w:divBdr>
        <w:top w:val="none" w:sz="0" w:space="0" w:color="auto"/>
        <w:left w:val="none" w:sz="0" w:space="0" w:color="auto"/>
        <w:bottom w:val="none" w:sz="0" w:space="0" w:color="auto"/>
        <w:right w:val="none" w:sz="0" w:space="0" w:color="auto"/>
      </w:divBdr>
    </w:div>
    <w:div w:id="1734233811">
      <w:bodyDiv w:val="1"/>
      <w:marLeft w:val="0"/>
      <w:marRight w:val="0"/>
      <w:marTop w:val="0"/>
      <w:marBottom w:val="0"/>
      <w:divBdr>
        <w:top w:val="none" w:sz="0" w:space="0" w:color="auto"/>
        <w:left w:val="none" w:sz="0" w:space="0" w:color="auto"/>
        <w:bottom w:val="none" w:sz="0" w:space="0" w:color="auto"/>
        <w:right w:val="none" w:sz="0" w:space="0" w:color="auto"/>
      </w:divBdr>
    </w:div>
    <w:div w:id="1747260892">
      <w:bodyDiv w:val="1"/>
      <w:marLeft w:val="0"/>
      <w:marRight w:val="0"/>
      <w:marTop w:val="0"/>
      <w:marBottom w:val="0"/>
      <w:divBdr>
        <w:top w:val="none" w:sz="0" w:space="0" w:color="auto"/>
        <w:left w:val="none" w:sz="0" w:space="0" w:color="auto"/>
        <w:bottom w:val="none" w:sz="0" w:space="0" w:color="auto"/>
        <w:right w:val="none" w:sz="0" w:space="0" w:color="auto"/>
      </w:divBdr>
    </w:div>
    <w:div w:id="1828281786">
      <w:bodyDiv w:val="1"/>
      <w:marLeft w:val="0"/>
      <w:marRight w:val="0"/>
      <w:marTop w:val="0"/>
      <w:marBottom w:val="0"/>
      <w:divBdr>
        <w:top w:val="none" w:sz="0" w:space="0" w:color="auto"/>
        <w:left w:val="none" w:sz="0" w:space="0" w:color="auto"/>
        <w:bottom w:val="none" w:sz="0" w:space="0" w:color="auto"/>
        <w:right w:val="none" w:sz="0" w:space="0" w:color="auto"/>
      </w:divBdr>
      <w:divsChild>
        <w:div w:id="271059121">
          <w:marLeft w:val="0"/>
          <w:marRight w:val="0"/>
          <w:marTop w:val="0"/>
          <w:marBottom w:val="0"/>
          <w:divBdr>
            <w:top w:val="none" w:sz="0" w:space="0" w:color="auto"/>
            <w:left w:val="none" w:sz="0" w:space="0" w:color="auto"/>
            <w:bottom w:val="none" w:sz="0" w:space="0" w:color="auto"/>
            <w:right w:val="none" w:sz="0" w:space="0" w:color="auto"/>
          </w:divBdr>
        </w:div>
        <w:div w:id="808474717">
          <w:marLeft w:val="0"/>
          <w:marRight w:val="0"/>
          <w:marTop w:val="0"/>
          <w:marBottom w:val="0"/>
          <w:divBdr>
            <w:top w:val="none" w:sz="0" w:space="0" w:color="auto"/>
            <w:left w:val="none" w:sz="0" w:space="0" w:color="auto"/>
            <w:bottom w:val="none" w:sz="0" w:space="0" w:color="auto"/>
            <w:right w:val="none" w:sz="0" w:space="0" w:color="auto"/>
          </w:divBdr>
        </w:div>
        <w:div w:id="936793744">
          <w:marLeft w:val="0"/>
          <w:marRight w:val="0"/>
          <w:marTop w:val="0"/>
          <w:marBottom w:val="0"/>
          <w:divBdr>
            <w:top w:val="none" w:sz="0" w:space="0" w:color="auto"/>
            <w:left w:val="none" w:sz="0" w:space="0" w:color="auto"/>
            <w:bottom w:val="none" w:sz="0" w:space="0" w:color="auto"/>
            <w:right w:val="none" w:sz="0" w:space="0" w:color="auto"/>
          </w:divBdr>
          <w:divsChild>
            <w:div w:id="689793093">
              <w:marLeft w:val="0"/>
              <w:marRight w:val="0"/>
              <w:marTop w:val="30"/>
              <w:marBottom w:val="30"/>
              <w:divBdr>
                <w:top w:val="none" w:sz="0" w:space="0" w:color="auto"/>
                <w:left w:val="none" w:sz="0" w:space="0" w:color="auto"/>
                <w:bottom w:val="none" w:sz="0" w:space="0" w:color="auto"/>
                <w:right w:val="none" w:sz="0" w:space="0" w:color="auto"/>
              </w:divBdr>
              <w:divsChild>
                <w:div w:id="10573444">
                  <w:marLeft w:val="0"/>
                  <w:marRight w:val="0"/>
                  <w:marTop w:val="0"/>
                  <w:marBottom w:val="0"/>
                  <w:divBdr>
                    <w:top w:val="none" w:sz="0" w:space="0" w:color="auto"/>
                    <w:left w:val="none" w:sz="0" w:space="0" w:color="auto"/>
                    <w:bottom w:val="none" w:sz="0" w:space="0" w:color="auto"/>
                    <w:right w:val="none" w:sz="0" w:space="0" w:color="auto"/>
                  </w:divBdr>
                  <w:divsChild>
                    <w:div w:id="1222256022">
                      <w:marLeft w:val="0"/>
                      <w:marRight w:val="0"/>
                      <w:marTop w:val="0"/>
                      <w:marBottom w:val="0"/>
                      <w:divBdr>
                        <w:top w:val="none" w:sz="0" w:space="0" w:color="auto"/>
                        <w:left w:val="none" w:sz="0" w:space="0" w:color="auto"/>
                        <w:bottom w:val="none" w:sz="0" w:space="0" w:color="auto"/>
                        <w:right w:val="none" w:sz="0" w:space="0" w:color="auto"/>
                      </w:divBdr>
                    </w:div>
                  </w:divsChild>
                </w:div>
                <w:div w:id="20673742">
                  <w:marLeft w:val="0"/>
                  <w:marRight w:val="0"/>
                  <w:marTop w:val="0"/>
                  <w:marBottom w:val="0"/>
                  <w:divBdr>
                    <w:top w:val="none" w:sz="0" w:space="0" w:color="auto"/>
                    <w:left w:val="none" w:sz="0" w:space="0" w:color="auto"/>
                    <w:bottom w:val="none" w:sz="0" w:space="0" w:color="auto"/>
                    <w:right w:val="none" w:sz="0" w:space="0" w:color="auto"/>
                  </w:divBdr>
                  <w:divsChild>
                    <w:div w:id="2014212651">
                      <w:marLeft w:val="0"/>
                      <w:marRight w:val="0"/>
                      <w:marTop w:val="0"/>
                      <w:marBottom w:val="0"/>
                      <w:divBdr>
                        <w:top w:val="none" w:sz="0" w:space="0" w:color="auto"/>
                        <w:left w:val="none" w:sz="0" w:space="0" w:color="auto"/>
                        <w:bottom w:val="none" w:sz="0" w:space="0" w:color="auto"/>
                        <w:right w:val="none" w:sz="0" w:space="0" w:color="auto"/>
                      </w:divBdr>
                    </w:div>
                  </w:divsChild>
                </w:div>
                <w:div w:id="58403586">
                  <w:marLeft w:val="0"/>
                  <w:marRight w:val="0"/>
                  <w:marTop w:val="0"/>
                  <w:marBottom w:val="0"/>
                  <w:divBdr>
                    <w:top w:val="none" w:sz="0" w:space="0" w:color="auto"/>
                    <w:left w:val="none" w:sz="0" w:space="0" w:color="auto"/>
                    <w:bottom w:val="none" w:sz="0" w:space="0" w:color="auto"/>
                    <w:right w:val="none" w:sz="0" w:space="0" w:color="auto"/>
                  </w:divBdr>
                  <w:divsChild>
                    <w:div w:id="1811248473">
                      <w:marLeft w:val="0"/>
                      <w:marRight w:val="0"/>
                      <w:marTop w:val="0"/>
                      <w:marBottom w:val="0"/>
                      <w:divBdr>
                        <w:top w:val="none" w:sz="0" w:space="0" w:color="auto"/>
                        <w:left w:val="none" w:sz="0" w:space="0" w:color="auto"/>
                        <w:bottom w:val="none" w:sz="0" w:space="0" w:color="auto"/>
                        <w:right w:val="none" w:sz="0" w:space="0" w:color="auto"/>
                      </w:divBdr>
                    </w:div>
                  </w:divsChild>
                </w:div>
                <w:div w:id="89087544">
                  <w:marLeft w:val="0"/>
                  <w:marRight w:val="0"/>
                  <w:marTop w:val="0"/>
                  <w:marBottom w:val="0"/>
                  <w:divBdr>
                    <w:top w:val="none" w:sz="0" w:space="0" w:color="auto"/>
                    <w:left w:val="none" w:sz="0" w:space="0" w:color="auto"/>
                    <w:bottom w:val="none" w:sz="0" w:space="0" w:color="auto"/>
                    <w:right w:val="none" w:sz="0" w:space="0" w:color="auto"/>
                  </w:divBdr>
                  <w:divsChild>
                    <w:div w:id="1054045936">
                      <w:marLeft w:val="0"/>
                      <w:marRight w:val="0"/>
                      <w:marTop w:val="0"/>
                      <w:marBottom w:val="0"/>
                      <w:divBdr>
                        <w:top w:val="none" w:sz="0" w:space="0" w:color="auto"/>
                        <w:left w:val="none" w:sz="0" w:space="0" w:color="auto"/>
                        <w:bottom w:val="none" w:sz="0" w:space="0" w:color="auto"/>
                        <w:right w:val="none" w:sz="0" w:space="0" w:color="auto"/>
                      </w:divBdr>
                    </w:div>
                  </w:divsChild>
                </w:div>
                <w:div w:id="106776366">
                  <w:marLeft w:val="0"/>
                  <w:marRight w:val="0"/>
                  <w:marTop w:val="0"/>
                  <w:marBottom w:val="0"/>
                  <w:divBdr>
                    <w:top w:val="none" w:sz="0" w:space="0" w:color="auto"/>
                    <w:left w:val="none" w:sz="0" w:space="0" w:color="auto"/>
                    <w:bottom w:val="none" w:sz="0" w:space="0" w:color="auto"/>
                    <w:right w:val="none" w:sz="0" w:space="0" w:color="auto"/>
                  </w:divBdr>
                  <w:divsChild>
                    <w:div w:id="894269001">
                      <w:marLeft w:val="0"/>
                      <w:marRight w:val="0"/>
                      <w:marTop w:val="0"/>
                      <w:marBottom w:val="0"/>
                      <w:divBdr>
                        <w:top w:val="none" w:sz="0" w:space="0" w:color="auto"/>
                        <w:left w:val="none" w:sz="0" w:space="0" w:color="auto"/>
                        <w:bottom w:val="none" w:sz="0" w:space="0" w:color="auto"/>
                        <w:right w:val="none" w:sz="0" w:space="0" w:color="auto"/>
                      </w:divBdr>
                    </w:div>
                  </w:divsChild>
                </w:div>
                <w:div w:id="107629005">
                  <w:marLeft w:val="0"/>
                  <w:marRight w:val="0"/>
                  <w:marTop w:val="0"/>
                  <w:marBottom w:val="0"/>
                  <w:divBdr>
                    <w:top w:val="none" w:sz="0" w:space="0" w:color="auto"/>
                    <w:left w:val="none" w:sz="0" w:space="0" w:color="auto"/>
                    <w:bottom w:val="none" w:sz="0" w:space="0" w:color="auto"/>
                    <w:right w:val="none" w:sz="0" w:space="0" w:color="auto"/>
                  </w:divBdr>
                  <w:divsChild>
                    <w:div w:id="70854942">
                      <w:marLeft w:val="0"/>
                      <w:marRight w:val="0"/>
                      <w:marTop w:val="0"/>
                      <w:marBottom w:val="0"/>
                      <w:divBdr>
                        <w:top w:val="none" w:sz="0" w:space="0" w:color="auto"/>
                        <w:left w:val="none" w:sz="0" w:space="0" w:color="auto"/>
                        <w:bottom w:val="none" w:sz="0" w:space="0" w:color="auto"/>
                        <w:right w:val="none" w:sz="0" w:space="0" w:color="auto"/>
                      </w:divBdr>
                    </w:div>
                  </w:divsChild>
                </w:div>
                <w:div w:id="184634554">
                  <w:marLeft w:val="0"/>
                  <w:marRight w:val="0"/>
                  <w:marTop w:val="0"/>
                  <w:marBottom w:val="0"/>
                  <w:divBdr>
                    <w:top w:val="none" w:sz="0" w:space="0" w:color="auto"/>
                    <w:left w:val="none" w:sz="0" w:space="0" w:color="auto"/>
                    <w:bottom w:val="none" w:sz="0" w:space="0" w:color="auto"/>
                    <w:right w:val="none" w:sz="0" w:space="0" w:color="auto"/>
                  </w:divBdr>
                  <w:divsChild>
                    <w:div w:id="1337003619">
                      <w:marLeft w:val="0"/>
                      <w:marRight w:val="0"/>
                      <w:marTop w:val="0"/>
                      <w:marBottom w:val="0"/>
                      <w:divBdr>
                        <w:top w:val="none" w:sz="0" w:space="0" w:color="auto"/>
                        <w:left w:val="none" w:sz="0" w:space="0" w:color="auto"/>
                        <w:bottom w:val="none" w:sz="0" w:space="0" w:color="auto"/>
                        <w:right w:val="none" w:sz="0" w:space="0" w:color="auto"/>
                      </w:divBdr>
                    </w:div>
                  </w:divsChild>
                </w:div>
                <w:div w:id="230504399">
                  <w:marLeft w:val="0"/>
                  <w:marRight w:val="0"/>
                  <w:marTop w:val="0"/>
                  <w:marBottom w:val="0"/>
                  <w:divBdr>
                    <w:top w:val="none" w:sz="0" w:space="0" w:color="auto"/>
                    <w:left w:val="none" w:sz="0" w:space="0" w:color="auto"/>
                    <w:bottom w:val="none" w:sz="0" w:space="0" w:color="auto"/>
                    <w:right w:val="none" w:sz="0" w:space="0" w:color="auto"/>
                  </w:divBdr>
                  <w:divsChild>
                    <w:div w:id="1293708613">
                      <w:marLeft w:val="0"/>
                      <w:marRight w:val="0"/>
                      <w:marTop w:val="0"/>
                      <w:marBottom w:val="0"/>
                      <w:divBdr>
                        <w:top w:val="none" w:sz="0" w:space="0" w:color="auto"/>
                        <w:left w:val="none" w:sz="0" w:space="0" w:color="auto"/>
                        <w:bottom w:val="none" w:sz="0" w:space="0" w:color="auto"/>
                        <w:right w:val="none" w:sz="0" w:space="0" w:color="auto"/>
                      </w:divBdr>
                    </w:div>
                  </w:divsChild>
                </w:div>
                <w:div w:id="247227933">
                  <w:marLeft w:val="0"/>
                  <w:marRight w:val="0"/>
                  <w:marTop w:val="0"/>
                  <w:marBottom w:val="0"/>
                  <w:divBdr>
                    <w:top w:val="none" w:sz="0" w:space="0" w:color="auto"/>
                    <w:left w:val="none" w:sz="0" w:space="0" w:color="auto"/>
                    <w:bottom w:val="none" w:sz="0" w:space="0" w:color="auto"/>
                    <w:right w:val="none" w:sz="0" w:space="0" w:color="auto"/>
                  </w:divBdr>
                  <w:divsChild>
                    <w:div w:id="1354846274">
                      <w:marLeft w:val="0"/>
                      <w:marRight w:val="0"/>
                      <w:marTop w:val="0"/>
                      <w:marBottom w:val="0"/>
                      <w:divBdr>
                        <w:top w:val="none" w:sz="0" w:space="0" w:color="auto"/>
                        <w:left w:val="none" w:sz="0" w:space="0" w:color="auto"/>
                        <w:bottom w:val="none" w:sz="0" w:space="0" w:color="auto"/>
                        <w:right w:val="none" w:sz="0" w:space="0" w:color="auto"/>
                      </w:divBdr>
                    </w:div>
                  </w:divsChild>
                </w:div>
                <w:div w:id="264656720">
                  <w:marLeft w:val="0"/>
                  <w:marRight w:val="0"/>
                  <w:marTop w:val="0"/>
                  <w:marBottom w:val="0"/>
                  <w:divBdr>
                    <w:top w:val="none" w:sz="0" w:space="0" w:color="auto"/>
                    <w:left w:val="none" w:sz="0" w:space="0" w:color="auto"/>
                    <w:bottom w:val="none" w:sz="0" w:space="0" w:color="auto"/>
                    <w:right w:val="none" w:sz="0" w:space="0" w:color="auto"/>
                  </w:divBdr>
                  <w:divsChild>
                    <w:div w:id="203102694">
                      <w:marLeft w:val="0"/>
                      <w:marRight w:val="0"/>
                      <w:marTop w:val="0"/>
                      <w:marBottom w:val="0"/>
                      <w:divBdr>
                        <w:top w:val="none" w:sz="0" w:space="0" w:color="auto"/>
                        <w:left w:val="none" w:sz="0" w:space="0" w:color="auto"/>
                        <w:bottom w:val="none" w:sz="0" w:space="0" w:color="auto"/>
                        <w:right w:val="none" w:sz="0" w:space="0" w:color="auto"/>
                      </w:divBdr>
                    </w:div>
                  </w:divsChild>
                </w:div>
                <w:div w:id="264701768">
                  <w:marLeft w:val="0"/>
                  <w:marRight w:val="0"/>
                  <w:marTop w:val="0"/>
                  <w:marBottom w:val="0"/>
                  <w:divBdr>
                    <w:top w:val="none" w:sz="0" w:space="0" w:color="auto"/>
                    <w:left w:val="none" w:sz="0" w:space="0" w:color="auto"/>
                    <w:bottom w:val="none" w:sz="0" w:space="0" w:color="auto"/>
                    <w:right w:val="none" w:sz="0" w:space="0" w:color="auto"/>
                  </w:divBdr>
                  <w:divsChild>
                    <w:div w:id="1730879107">
                      <w:marLeft w:val="0"/>
                      <w:marRight w:val="0"/>
                      <w:marTop w:val="0"/>
                      <w:marBottom w:val="0"/>
                      <w:divBdr>
                        <w:top w:val="none" w:sz="0" w:space="0" w:color="auto"/>
                        <w:left w:val="none" w:sz="0" w:space="0" w:color="auto"/>
                        <w:bottom w:val="none" w:sz="0" w:space="0" w:color="auto"/>
                        <w:right w:val="none" w:sz="0" w:space="0" w:color="auto"/>
                      </w:divBdr>
                    </w:div>
                  </w:divsChild>
                </w:div>
                <w:div w:id="333923002">
                  <w:marLeft w:val="0"/>
                  <w:marRight w:val="0"/>
                  <w:marTop w:val="0"/>
                  <w:marBottom w:val="0"/>
                  <w:divBdr>
                    <w:top w:val="none" w:sz="0" w:space="0" w:color="auto"/>
                    <w:left w:val="none" w:sz="0" w:space="0" w:color="auto"/>
                    <w:bottom w:val="none" w:sz="0" w:space="0" w:color="auto"/>
                    <w:right w:val="none" w:sz="0" w:space="0" w:color="auto"/>
                  </w:divBdr>
                  <w:divsChild>
                    <w:div w:id="1630548052">
                      <w:marLeft w:val="0"/>
                      <w:marRight w:val="0"/>
                      <w:marTop w:val="0"/>
                      <w:marBottom w:val="0"/>
                      <w:divBdr>
                        <w:top w:val="none" w:sz="0" w:space="0" w:color="auto"/>
                        <w:left w:val="none" w:sz="0" w:space="0" w:color="auto"/>
                        <w:bottom w:val="none" w:sz="0" w:space="0" w:color="auto"/>
                        <w:right w:val="none" w:sz="0" w:space="0" w:color="auto"/>
                      </w:divBdr>
                    </w:div>
                  </w:divsChild>
                </w:div>
                <w:div w:id="334650049">
                  <w:marLeft w:val="0"/>
                  <w:marRight w:val="0"/>
                  <w:marTop w:val="0"/>
                  <w:marBottom w:val="0"/>
                  <w:divBdr>
                    <w:top w:val="none" w:sz="0" w:space="0" w:color="auto"/>
                    <w:left w:val="none" w:sz="0" w:space="0" w:color="auto"/>
                    <w:bottom w:val="none" w:sz="0" w:space="0" w:color="auto"/>
                    <w:right w:val="none" w:sz="0" w:space="0" w:color="auto"/>
                  </w:divBdr>
                  <w:divsChild>
                    <w:div w:id="940992016">
                      <w:marLeft w:val="0"/>
                      <w:marRight w:val="0"/>
                      <w:marTop w:val="0"/>
                      <w:marBottom w:val="0"/>
                      <w:divBdr>
                        <w:top w:val="none" w:sz="0" w:space="0" w:color="auto"/>
                        <w:left w:val="none" w:sz="0" w:space="0" w:color="auto"/>
                        <w:bottom w:val="none" w:sz="0" w:space="0" w:color="auto"/>
                        <w:right w:val="none" w:sz="0" w:space="0" w:color="auto"/>
                      </w:divBdr>
                    </w:div>
                  </w:divsChild>
                </w:div>
                <w:div w:id="339506014">
                  <w:marLeft w:val="0"/>
                  <w:marRight w:val="0"/>
                  <w:marTop w:val="0"/>
                  <w:marBottom w:val="0"/>
                  <w:divBdr>
                    <w:top w:val="none" w:sz="0" w:space="0" w:color="auto"/>
                    <w:left w:val="none" w:sz="0" w:space="0" w:color="auto"/>
                    <w:bottom w:val="none" w:sz="0" w:space="0" w:color="auto"/>
                    <w:right w:val="none" w:sz="0" w:space="0" w:color="auto"/>
                  </w:divBdr>
                  <w:divsChild>
                    <w:div w:id="526524565">
                      <w:marLeft w:val="0"/>
                      <w:marRight w:val="0"/>
                      <w:marTop w:val="0"/>
                      <w:marBottom w:val="0"/>
                      <w:divBdr>
                        <w:top w:val="none" w:sz="0" w:space="0" w:color="auto"/>
                        <w:left w:val="none" w:sz="0" w:space="0" w:color="auto"/>
                        <w:bottom w:val="none" w:sz="0" w:space="0" w:color="auto"/>
                        <w:right w:val="none" w:sz="0" w:space="0" w:color="auto"/>
                      </w:divBdr>
                    </w:div>
                  </w:divsChild>
                </w:div>
                <w:div w:id="346519243">
                  <w:marLeft w:val="0"/>
                  <w:marRight w:val="0"/>
                  <w:marTop w:val="0"/>
                  <w:marBottom w:val="0"/>
                  <w:divBdr>
                    <w:top w:val="none" w:sz="0" w:space="0" w:color="auto"/>
                    <w:left w:val="none" w:sz="0" w:space="0" w:color="auto"/>
                    <w:bottom w:val="none" w:sz="0" w:space="0" w:color="auto"/>
                    <w:right w:val="none" w:sz="0" w:space="0" w:color="auto"/>
                  </w:divBdr>
                  <w:divsChild>
                    <w:div w:id="762797945">
                      <w:marLeft w:val="0"/>
                      <w:marRight w:val="0"/>
                      <w:marTop w:val="0"/>
                      <w:marBottom w:val="0"/>
                      <w:divBdr>
                        <w:top w:val="none" w:sz="0" w:space="0" w:color="auto"/>
                        <w:left w:val="none" w:sz="0" w:space="0" w:color="auto"/>
                        <w:bottom w:val="none" w:sz="0" w:space="0" w:color="auto"/>
                        <w:right w:val="none" w:sz="0" w:space="0" w:color="auto"/>
                      </w:divBdr>
                    </w:div>
                    <w:div w:id="1154759735">
                      <w:marLeft w:val="0"/>
                      <w:marRight w:val="0"/>
                      <w:marTop w:val="0"/>
                      <w:marBottom w:val="0"/>
                      <w:divBdr>
                        <w:top w:val="none" w:sz="0" w:space="0" w:color="auto"/>
                        <w:left w:val="none" w:sz="0" w:space="0" w:color="auto"/>
                        <w:bottom w:val="none" w:sz="0" w:space="0" w:color="auto"/>
                        <w:right w:val="none" w:sz="0" w:space="0" w:color="auto"/>
                      </w:divBdr>
                    </w:div>
                    <w:div w:id="1357348016">
                      <w:marLeft w:val="0"/>
                      <w:marRight w:val="0"/>
                      <w:marTop w:val="0"/>
                      <w:marBottom w:val="0"/>
                      <w:divBdr>
                        <w:top w:val="none" w:sz="0" w:space="0" w:color="auto"/>
                        <w:left w:val="none" w:sz="0" w:space="0" w:color="auto"/>
                        <w:bottom w:val="none" w:sz="0" w:space="0" w:color="auto"/>
                        <w:right w:val="none" w:sz="0" w:space="0" w:color="auto"/>
                      </w:divBdr>
                    </w:div>
                    <w:div w:id="2040546537">
                      <w:marLeft w:val="0"/>
                      <w:marRight w:val="0"/>
                      <w:marTop w:val="0"/>
                      <w:marBottom w:val="0"/>
                      <w:divBdr>
                        <w:top w:val="none" w:sz="0" w:space="0" w:color="auto"/>
                        <w:left w:val="none" w:sz="0" w:space="0" w:color="auto"/>
                        <w:bottom w:val="none" w:sz="0" w:space="0" w:color="auto"/>
                        <w:right w:val="none" w:sz="0" w:space="0" w:color="auto"/>
                      </w:divBdr>
                    </w:div>
                  </w:divsChild>
                </w:div>
                <w:div w:id="377705723">
                  <w:marLeft w:val="0"/>
                  <w:marRight w:val="0"/>
                  <w:marTop w:val="0"/>
                  <w:marBottom w:val="0"/>
                  <w:divBdr>
                    <w:top w:val="none" w:sz="0" w:space="0" w:color="auto"/>
                    <w:left w:val="none" w:sz="0" w:space="0" w:color="auto"/>
                    <w:bottom w:val="none" w:sz="0" w:space="0" w:color="auto"/>
                    <w:right w:val="none" w:sz="0" w:space="0" w:color="auto"/>
                  </w:divBdr>
                  <w:divsChild>
                    <w:div w:id="882206648">
                      <w:marLeft w:val="0"/>
                      <w:marRight w:val="0"/>
                      <w:marTop w:val="0"/>
                      <w:marBottom w:val="0"/>
                      <w:divBdr>
                        <w:top w:val="none" w:sz="0" w:space="0" w:color="auto"/>
                        <w:left w:val="none" w:sz="0" w:space="0" w:color="auto"/>
                        <w:bottom w:val="none" w:sz="0" w:space="0" w:color="auto"/>
                        <w:right w:val="none" w:sz="0" w:space="0" w:color="auto"/>
                      </w:divBdr>
                    </w:div>
                    <w:div w:id="1212956965">
                      <w:marLeft w:val="0"/>
                      <w:marRight w:val="0"/>
                      <w:marTop w:val="0"/>
                      <w:marBottom w:val="0"/>
                      <w:divBdr>
                        <w:top w:val="none" w:sz="0" w:space="0" w:color="auto"/>
                        <w:left w:val="none" w:sz="0" w:space="0" w:color="auto"/>
                        <w:bottom w:val="none" w:sz="0" w:space="0" w:color="auto"/>
                        <w:right w:val="none" w:sz="0" w:space="0" w:color="auto"/>
                      </w:divBdr>
                    </w:div>
                  </w:divsChild>
                </w:div>
                <w:div w:id="391775197">
                  <w:marLeft w:val="0"/>
                  <w:marRight w:val="0"/>
                  <w:marTop w:val="0"/>
                  <w:marBottom w:val="0"/>
                  <w:divBdr>
                    <w:top w:val="none" w:sz="0" w:space="0" w:color="auto"/>
                    <w:left w:val="none" w:sz="0" w:space="0" w:color="auto"/>
                    <w:bottom w:val="none" w:sz="0" w:space="0" w:color="auto"/>
                    <w:right w:val="none" w:sz="0" w:space="0" w:color="auto"/>
                  </w:divBdr>
                  <w:divsChild>
                    <w:div w:id="1565682646">
                      <w:marLeft w:val="0"/>
                      <w:marRight w:val="0"/>
                      <w:marTop w:val="0"/>
                      <w:marBottom w:val="0"/>
                      <w:divBdr>
                        <w:top w:val="none" w:sz="0" w:space="0" w:color="auto"/>
                        <w:left w:val="none" w:sz="0" w:space="0" w:color="auto"/>
                        <w:bottom w:val="none" w:sz="0" w:space="0" w:color="auto"/>
                        <w:right w:val="none" w:sz="0" w:space="0" w:color="auto"/>
                      </w:divBdr>
                    </w:div>
                  </w:divsChild>
                </w:div>
                <w:div w:id="393502773">
                  <w:marLeft w:val="0"/>
                  <w:marRight w:val="0"/>
                  <w:marTop w:val="0"/>
                  <w:marBottom w:val="0"/>
                  <w:divBdr>
                    <w:top w:val="none" w:sz="0" w:space="0" w:color="auto"/>
                    <w:left w:val="none" w:sz="0" w:space="0" w:color="auto"/>
                    <w:bottom w:val="none" w:sz="0" w:space="0" w:color="auto"/>
                    <w:right w:val="none" w:sz="0" w:space="0" w:color="auto"/>
                  </w:divBdr>
                  <w:divsChild>
                    <w:div w:id="606039919">
                      <w:marLeft w:val="0"/>
                      <w:marRight w:val="0"/>
                      <w:marTop w:val="0"/>
                      <w:marBottom w:val="0"/>
                      <w:divBdr>
                        <w:top w:val="none" w:sz="0" w:space="0" w:color="auto"/>
                        <w:left w:val="none" w:sz="0" w:space="0" w:color="auto"/>
                        <w:bottom w:val="none" w:sz="0" w:space="0" w:color="auto"/>
                        <w:right w:val="none" w:sz="0" w:space="0" w:color="auto"/>
                      </w:divBdr>
                    </w:div>
                  </w:divsChild>
                </w:div>
                <w:div w:id="401491614">
                  <w:marLeft w:val="0"/>
                  <w:marRight w:val="0"/>
                  <w:marTop w:val="0"/>
                  <w:marBottom w:val="0"/>
                  <w:divBdr>
                    <w:top w:val="none" w:sz="0" w:space="0" w:color="auto"/>
                    <w:left w:val="none" w:sz="0" w:space="0" w:color="auto"/>
                    <w:bottom w:val="none" w:sz="0" w:space="0" w:color="auto"/>
                    <w:right w:val="none" w:sz="0" w:space="0" w:color="auto"/>
                  </w:divBdr>
                  <w:divsChild>
                    <w:div w:id="1438990237">
                      <w:marLeft w:val="0"/>
                      <w:marRight w:val="0"/>
                      <w:marTop w:val="0"/>
                      <w:marBottom w:val="0"/>
                      <w:divBdr>
                        <w:top w:val="none" w:sz="0" w:space="0" w:color="auto"/>
                        <w:left w:val="none" w:sz="0" w:space="0" w:color="auto"/>
                        <w:bottom w:val="none" w:sz="0" w:space="0" w:color="auto"/>
                        <w:right w:val="none" w:sz="0" w:space="0" w:color="auto"/>
                      </w:divBdr>
                    </w:div>
                  </w:divsChild>
                </w:div>
                <w:div w:id="405037253">
                  <w:marLeft w:val="0"/>
                  <w:marRight w:val="0"/>
                  <w:marTop w:val="0"/>
                  <w:marBottom w:val="0"/>
                  <w:divBdr>
                    <w:top w:val="none" w:sz="0" w:space="0" w:color="auto"/>
                    <w:left w:val="none" w:sz="0" w:space="0" w:color="auto"/>
                    <w:bottom w:val="none" w:sz="0" w:space="0" w:color="auto"/>
                    <w:right w:val="none" w:sz="0" w:space="0" w:color="auto"/>
                  </w:divBdr>
                  <w:divsChild>
                    <w:div w:id="1478915975">
                      <w:marLeft w:val="0"/>
                      <w:marRight w:val="0"/>
                      <w:marTop w:val="0"/>
                      <w:marBottom w:val="0"/>
                      <w:divBdr>
                        <w:top w:val="none" w:sz="0" w:space="0" w:color="auto"/>
                        <w:left w:val="none" w:sz="0" w:space="0" w:color="auto"/>
                        <w:bottom w:val="none" w:sz="0" w:space="0" w:color="auto"/>
                        <w:right w:val="none" w:sz="0" w:space="0" w:color="auto"/>
                      </w:divBdr>
                    </w:div>
                  </w:divsChild>
                </w:div>
                <w:div w:id="422646561">
                  <w:marLeft w:val="0"/>
                  <w:marRight w:val="0"/>
                  <w:marTop w:val="0"/>
                  <w:marBottom w:val="0"/>
                  <w:divBdr>
                    <w:top w:val="none" w:sz="0" w:space="0" w:color="auto"/>
                    <w:left w:val="none" w:sz="0" w:space="0" w:color="auto"/>
                    <w:bottom w:val="none" w:sz="0" w:space="0" w:color="auto"/>
                    <w:right w:val="none" w:sz="0" w:space="0" w:color="auto"/>
                  </w:divBdr>
                  <w:divsChild>
                    <w:div w:id="1113477033">
                      <w:marLeft w:val="0"/>
                      <w:marRight w:val="0"/>
                      <w:marTop w:val="0"/>
                      <w:marBottom w:val="0"/>
                      <w:divBdr>
                        <w:top w:val="none" w:sz="0" w:space="0" w:color="auto"/>
                        <w:left w:val="none" w:sz="0" w:space="0" w:color="auto"/>
                        <w:bottom w:val="none" w:sz="0" w:space="0" w:color="auto"/>
                        <w:right w:val="none" w:sz="0" w:space="0" w:color="auto"/>
                      </w:divBdr>
                    </w:div>
                  </w:divsChild>
                </w:div>
                <w:div w:id="454492317">
                  <w:marLeft w:val="0"/>
                  <w:marRight w:val="0"/>
                  <w:marTop w:val="0"/>
                  <w:marBottom w:val="0"/>
                  <w:divBdr>
                    <w:top w:val="none" w:sz="0" w:space="0" w:color="auto"/>
                    <w:left w:val="none" w:sz="0" w:space="0" w:color="auto"/>
                    <w:bottom w:val="none" w:sz="0" w:space="0" w:color="auto"/>
                    <w:right w:val="none" w:sz="0" w:space="0" w:color="auto"/>
                  </w:divBdr>
                  <w:divsChild>
                    <w:div w:id="1731807114">
                      <w:marLeft w:val="0"/>
                      <w:marRight w:val="0"/>
                      <w:marTop w:val="0"/>
                      <w:marBottom w:val="0"/>
                      <w:divBdr>
                        <w:top w:val="none" w:sz="0" w:space="0" w:color="auto"/>
                        <w:left w:val="none" w:sz="0" w:space="0" w:color="auto"/>
                        <w:bottom w:val="none" w:sz="0" w:space="0" w:color="auto"/>
                        <w:right w:val="none" w:sz="0" w:space="0" w:color="auto"/>
                      </w:divBdr>
                    </w:div>
                  </w:divsChild>
                </w:div>
                <w:div w:id="454760793">
                  <w:marLeft w:val="0"/>
                  <w:marRight w:val="0"/>
                  <w:marTop w:val="0"/>
                  <w:marBottom w:val="0"/>
                  <w:divBdr>
                    <w:top w:val="none" w:sz="0" w:space="0" w:color="auto"/>
                    <w:left w:val="none" w:sz="0" w:space="0" w:color="auto"/>
                    <w:bottom w:val="none" w:sz="0" w:space="0" w:color="auto"/>
                    <w:right w:val="none" w:sz="0" w:space="0" w:color="auto"/>
                  </w:divBdr>
                  <w:divsChild>
                    <w:div w:id="94056906">
                      <w:marLeft w:val="0"/>
                      <w:marRight w:val="0"/>
                      <w:marTop w:val="0"/>
                      <w:marBottom w:val="0"/>
                      <w:divBdr>
                        <w:top w:val="none" w:sz="0" w:space="0" w:color="auto"/>
                        <w:left w:val="none" w:sz="0" w:space="0" w:color="auto"/>
                        <w:bottom w:val="none" w:sz="0" w:space="0" w:color="auto"/>
                        <w:right w:val="none" w:sz="0" w:space="0" w:color="auto"/>
                      </w:divBdr>
                    </w:div>
                  </w:divsChild>
                </w:div>
                <w:div w:id="460877372">
                  <w:marLeft w:val="0"/>
                  <w:marRight w:val="0"/>
                  <w:marTop w:val="0"/>
                  <w:marBottom w:val="0"/>
                  <w:divBdr>
                    <w:top w:val="none" w:sz="0" w:space="0" w:color="auto"/>
                    <w:left w:val="none" w:sz="0" w:space="0" w:color="auto"/>
                    <w:bottom w:val="none" w:sz="0" w:space="0" w:color="auto"/>
                    <w:right w:val="none" w:sz="0" w:space="0" w:color="auto"/>
                  </w:divBdr>
                  <w:divsChild>
                    <w:div w:id="1602954540">
                      <w:marLeft w:val="0"/>
                      <w:marRight w:val="0"/>
                      <w:marTop w:val="0"/>
                      <w:marBottom w:val="0"/>
                      <w:divBdr>
                        <w:top w:val="none" w:sz="0" w:space="0" w:color="auto"/>
                        <w:left w:val="none" w:sz="0" w:space="0" w:color="auto"/>
                        <w:bottom w:val="none" w:sz="0" w:space="0" w:color="auto"/>
                        <w:right w:val="none" w:sz="0" w:space="0" w:color="auto"/>
                      </w:divBdr>
                    </w:div>
                    <w:div w:id="1845431272">
                      <w:marLeft w:val="0"/>
                      <w:marRight w:val="0"/>
                      <w:marTop w:val="0"/>
                      <w:marBottom w:val="0"/>
                      <w:divBdr>
                        <w:top w:val="none" w:sz="0" w:space="0" w:color="auto"/>
                        <w:left w:val="none" w:sz="0" w:space="0" w:color="auto"/>
                        <w:bottom w:val="none" w:sz="0" w:space="0" w:color="auto"/>
                        <w:right w:val="none" w:sz="0" w:space="0" w:color="auto"/>
                      </w:divBdr>
                    </w:div>
                  </w:divsChild>
                </w:div>
                <w:div w:id="476800430">
                  <w:marLeft w:val="0"/>
                  <w:marRight w:val="0"/>
                  <w:marTop w:val="0"/>
                  <w:marBottom w:val="0"/>
                  <w:divBdr>
                    <w:top w:val="none" w:sz="0" w:space="0" w:color="auto"/>
                    <w:left w:val="none" w:sz="0" w:space="0" w:color="auto"/>
                    <w:bottom w:val="none" w:sz="0" w:space="0" w:color="auto"/>
                    <w:right w:val="none" w:sz="0" w:space="0" w:color="auto"/>
                  </w:divBdr>
                  <w:divsChild>
                    <w:div w:id="743835559">
                      <w:marLeft w:val="0"/>
                      <w:marRight w:val="0"/>
                      <w:marTop w:val="0"/>
                      <w:marBottom w:val="0"/>
                      <w:divBdr>
                        <w:top w:val="none" w:sz="0" w:space="0" w:color="auto"/>
                        <w:left w:val="none" w:sz="0" w:space="0" w:color="auto"/>
                        <w:bottom w:val="none" w:sz="0" w:space="0" w:color="auto"/>
                        <w:right w:val="none" w:sz="0" w:space="0" w:color="auto"/>
                      </w:divBdr>
                    </w:div>
                  </w:divsChild>
                </w:div>
                <w:div w:id="526260261">
                  <w:marLeft w:val="0"/>
                  <w:marRight w:val="0"/>
                  <w:marTop w:val="0"/>
                  <w:marBottom w:val="0"/>
                  <w:divBdr>
                    <w:top w:val="none" w:sz="0" w:space="0" w:color="auto"/>
                    <w:left w:val="none" w:sz="0" w:space="0" w:color="auto"/>
                    <w:bottom w:val="none" w:sz="0" w:space="0" w:color="auto"/>
                    <w:right w:val="none" w:sz="0" w:space="0" w:color="auto"/>
                  </w:divBdr>
                  <w:divsChild>
                    <w:div w:id="944733587">
                      <w:marLeft w:val="0"/>
                      <w:marRight w:val="0"/>
                      <w:marTop w:val="0"/>
                      <w:marBottom w:val="0"/>
                      <w:divBdr>
                        <w:top w:val="none" w:sz="0" w:space="0" w:color="auto"/>
                        <w:left w:val="none" w:sz="0" w:space="0" w:color="auto"/>
                        <w:bottom w:val="none" w:sz="0" w:space="0" w:color="auto"/>
                        <w:right w:val="none" w:sz="0" w:space="0" w:color="auto"/>
                      </w:divBdr>
                    </w:div>
                  </w:divsChild>
                </w:div>
                <w:div w:id="536892462">
                  <w:marLeft w:val="0"/>
                  <w:marRight w:val="0"/>
                  <w:marTop w:val="0"/>
                  <w:marBottom w:val="0"/>
                  <w:divBdr>
                    <w:top w:val="none" w:sz="0" w:space="0" w:color="auto"/>
                    <w:left w:val="none" w:sz="0" w:space="0" w:color="auto"/>
                    <w:bottom w:val="none" w:sz="0" w:space="0" w:color="auto"/>
                    <w:right w:val="none" w:sz="0" w:space="0" w:color="auto"/>
                  </w:divBdr>
                  <w:divsChild>
                    <w:div w:id="517697631">
                      <w:marLeft w:val="0"/>
                      <w:marRight w:val="0"/>
                      <w:marTop w:val="0"/>
                      <w:marBottom w:val="0"/>
                      <w:divBdr>
                        <w:top w:val="none" w:sz="0" w:space="0" w:color="auto"/>
                        <w:left w:val="none" w:sz="0" w:space="0" w:color="auto"/>
                        <w:bottom w:val="none" w:sz="0" w:space="0" w:color="auto"/>
                        <w:right w:val="none" w:sz="0" w:space="0" w:color="auto"/>
                      </w:divBdr>
                    </w:div>
                  </w:divsChild>
                </w:div>
                <w:div w:id="540442060">
                  <w:marLeft w:val="0"/>
                  <w:marRight w:val="0"/>
                  <w:marTop w:val="0"/>
                  <w:marBottom w:val="0"/>
                  <w:divBdr>
                    <w:top w:val="none" w:sz="0" w:space="0" w:color="auto"/>
                    <w:left w:val="none" w:sz="0" w:space="0" w:color="auto"/>
                    <w:bottom w:val="none" w:sz="0" w:space="0" w:color="auto"/>
                    <w:right w:val="none" w:sz="0" w:space="0" w:color="auto"/>
                  </w:divBdr>
                  <w:divsChild>
                    <w:div w:id="1526820869">
                      <w:marLeft w:val="0"/>
                      <w:marRight w:val="0"/>
                      <w:marTop w:val="0"/>
                      <w:marBottom w:val="0"/>
                      <w:divBdr>
                        <w:top w:val="none" w:sz="0" w:space="0" w:color="auto"/>
                        <w:left w:val="none" w:sz="0" w:space="0" w:color="auto"/>
                        <w:bottom w:val="none" w:sz="0" w:space="0" w:color="auto"/>
                        <w:right w:val="none" w:sz="0" w:space="0" w:color="auto"/>
                      </w:divBdr>
                    </w:div>
                  </w:divsChild>
                </w:div>
                <w:div w:id="544634644">
                  <w:marLeft w:val="0"/>
                  <w:marRight w:val="0"/>
                  <w:marTop w:val="0"/>
                  <w:marBottom w:val="0"/>
                  <w:divBdr>
                    <w:top w:val="none" w:sz="0" w:space="0" w:color="auto"/>
                    <w:left w:val="none" w:sz="0" w:space="0" w:color="auto"/>
                    <w:bottom w:val="none" w:sz="0" w:space="0" w:color="auto"/>
                    <w:right w:val="none" w:sz="0" w:space="0" w:color="auto"/>
                  </w:divBdr>
                  <w:divsChild>
                    <w:div w:id="944264579">
                      <w:marLeft w:val="0"/>
                      <w:marRight w:val="0"/>
                      <w:marTop w:val="0"/>
                      <w:marBottom w:val="0"/>
                      <w:divBdr>
                        <w:top w:val="none" w:sz="0" w:space="0" w:color="auto"/>
                        <w:left w:val="none" w:sz="0" w:space="0" w:color="auto"/>
                        <w:bottom w:val="none" w:sz="0" w:space="0" w:color="auto"/>
                        <w:right w:val="none" w:sz="0" w:space="0" w:color="auto"/>
                      </w:divBdr>
                    </w:div>
                  </w:divsChild>
                </w:div>
                <w:div w:id="562179674">
                  <w:marLeft w:val="0"/>
                  <w:marRight w:val="0"/>
                  <w:marTop w:val="0"/>
                  <w:marBottom w:val="0"/>
                  <w:divBdr>
                    <w:top w:val="none" w:sz="0" w:space="0" w:color="auto"/>
                    <w:left w:val="none" w:sz="0" w:space="0" w:color="auto"/>
                    <w:bottom w:val="none" w:sz="0" w:space="0" w:color="auto"/>
                    <w:right w:val="none" w:sz="0" w:space="0" w:color="auto"/>
                  </w:divBdr>
                  <w:divsChild>
                    <w:div w:id="1078361581">
                      <w:marLeft w:val="0"/>
                      <w:marRight w:val="0"/>
                      <w:marTop w:val="0"/>
                      <w:marBottom w:val="0"/>
                      <w:divBdr>
                        <w:top w:val="none" w:sz="0" w:space="0" w:color="auto"/>
                        <w:left w:val="none" w:sz="0" w:space="0" w:color="auto"/>
                        <w:bottom w:val="none" w:sz="0" w:space="0" w:color="auto"/>
                        <w:right w:val="none" w:sz="0" w:space="0" w:color="auto"/>
                      </w:divBdr>
                    </w:div>
                  </w:divsChild>
                </w:div>
                <w:div w:id="609821824">
                  <w:marLeft w:val="0"/>
                  <w:marRight w:val="0"/>
                  <w:marTop w:val="0"/>
                  <w:marBottom w:val="0"/>
                  <w:divBdr>
                    <w:top w:val="none" w:sz="0" w:space="0" w:color="auto"/>
                    <w:left w:val="none" w:sz="0" w:space="0" w:color="auto"/>
                    <w:bottom w:val="none" w:sz="0" w:space="0" w:color="auto"/>
                    <w:right w:val="none" w:sz="0" w:space="0" w:color="auto"/>
                  </w:divBdr>
                  <w:divsChild>
                    <w:div w:id="482699175">
                      <w:marLeft w:val="0"/>
                      <w:marRight w:val="0"/>
                      <w:marTop w:val="0"/>
                      <w:marBottom w:val="0"/>
                      <w:divBdr>
                        <w:top w:val="none" w:sz="0" w:space="0" w:color="auto"/>
                        <w:left w:val="none" w:sz="0" w:space="0" w:color="auto"/>
                        <w:bottom w:val="none" w:sz="0" w:space="0" w:color="auto"/>
                        <w:right w:val="none" w:sz="0" w:space="0" w:color="auto"/>
                      </w:divBdr>
                    </w:div>
                  </w:divsChild>
                </w:div>
                <w:div w:id="622659983">
                  <w:marLeft w:val="0"/>
                  <w:marRight w:val="0"/>
                  <w:marTop w:val="0"/>
                  <w:marBottom w:val="0"/>
                  <w:divBdr>
                    <w:top w:val="none" w:sz="0" w:space="0" w:color="auto"/>
                    <w:left w:val="none" w:sz="0" w:space="0" w:color="auto"/>
                    <w:bottom w:val="none" w:sz="0" w:space="0" w:color="auto"/>
                    <w:right w:val="none" w:sz="0" w:space="0" w:color="auto"/>
                  </w:divBdr>
                  <w:divsChild>
                    <w:div w:id="810830127">
                      <w:marLeft w:val="0"/>
                      <w:marRight w:val="0"/>
                      <w:marTop w:val="0"/>
                      <w:marBottom w:val="0"/>
                      <w:divBdr>
                        <w:top w:val="none" w:sz="0" w:space="0" w:color="auto"/>
                        <w:left w:val="none" w:sz="0" w:space="0" w:color="auto"/>
                        <w:bottom w:val="none" w:sz="0" w:space="0" w:color="auto"/>
                        <w:right w:val="none" w:sz="0" w:space="0" w:color="auto"/>
                      </w:divBdr>
                    </w:div>
                  </w:divsChild>
                </w:div>
                <w:div w:id="627010943">
                  <w:marLeft w:val="0"/>
                  <w:marRight w:val="0"/>
                  <w:marTop w:val="0"/>
                  <w:marBottom w:val="0"/>
                  <w:divBdr>
                    <w:top w:val="none" w:sz="0" w:space="0" w:color="auto"/>
                    <w:left w:val="none" w:sz="0" w:space="0" w:color="auto"/>
                    <w:bottom w:val="none" w:sz="0" w:space="0" w:color="auto"/>
                    <w:right w:val="none" w:sz="0" w:space="0" w:color="auto"/>
                  </w:divBdr>
                  <w:divsChild>
                    <w:div w:id="843591014">
                      <w:marLeft w:val="0"/>
                      <w:marRight w:val="0"/>
                      <w:marTop w:val="0"/>
                      <w:marBottom w:val="0"/>
                      <w:divBdr>
                        <w:top w:val="none" w:sz="0" w:space="0" w:color="auto"/>
                        <w:left w:val="none" w:sz="0" w:space="0" w:color="auto"/>
                        <w:bottom w:val="none" w:sz="0" w:space="0" w:color="auto"/>
                        <w:right w:val="none" w:sz="0" w:space="0" w:color="auto"/>
                      </w:divBdr>
                    </w:div>
                  </w:divsChild>
                </w:div>
                <w:div w:id="637615841">
                  <w:marLeft w:val="0"/>
                  <w:marRight w:val="0"/>
                  <w:marTop w:val="0"/>
                  <w:marBottom w:val="0"/>
                  <w:divBdr>
                    <w:top w:val="none" w:sz="0" w:space="0" w:color="auto"/>
                    <w:left w:val="none" w:sz="0" w:space="0" w:color="auto"/>
                    <w:bottom w:val="none" w:sz="0" w:space="0" w:color="auto"/>
                    <w:right w:val="none" w:sz="0" w:space="0" w:color="auto"/>
                  </w:divBdr>
                  <w:divsChild>
                    <w:div w:id="1869642298">
                      <w:marLeft w:val="0"/>
                      <w:marRight w:val="0"/>
                      <w:marTop w:val="0"/>
                      <w:marBottom w:val="0"/>
                      <w:divBdr>
                        <w:top w:val="none" w:sz="0" w:space="0" w:color="auto"/>
                        <w:left w:val="none" w:sz="0" w:space="0" w:color="auto"/>
                        <w:bottom w:val="none" w:sz="0" w:space="0" w:color="auto"/>
                        <w:right w:val="none" w:sz="0" w:space="0" w:color="auto"/>
                      </w:divBdr>
                    </w:div>
                  </w:divsChild>
                </w:div>
                <w:div w:id="647394167">
                  <w:marLeft w:val="0"/>
                  <w:marRight w:val="0"/>
                  <w:marTop w:val="0"/>
                  <w:marBottom w:val="0"/>
                  <w:divBdr>
                    <w:top w:val="none" w:sz="0" w:space="0" w:color="auto"/>
                    <w:left w:val="none" w:sz="0" w:space="0" w:color="auto"/>
                    <w:bottom w:val="none" w:sz="0" w:space="0" w:color="auto"/>
                    <w:right w:val="none" w:sz="0" w:space="0" w:color="auto"/>
                  </w:divBdr>
                  <w:divsChild>
                    <w:div w:id="338237699">
                      <w:marLeft w:val="0"/>
                      <w:marRight w:val="0"/>
                      <w:marTop w:val="0"/>
                      <w:marBottom w:val="0"/>
                      <w:divBdr>
                        <w:top w:val="none" w:sz="0" w:space="0" w:color="auto"/>
                        <w:left w:val="none" w:sz="0" w:space="0" w:color="auto"/>
                        <w:bottom w:val="none" w:sz="0" w:space="0" w:color="auto"/>
                        <w:right w:val="none" w:sz="0" w:space="0" w:color="auto"/>
                      </w:divBdr>
                    </w:div>
                    <w:div w:id="1429815584">
                      <w:marLeft w:val="0"/>
                      <w:marRight w:val="0"/>
                      <w:marTop w:val="0"/>
                      <w:marBottom w:val="0"/>
                      <w:divBdr>
                        <w:top w:val="none" w:sz="0" w:space="0" w:color="auto"/>
                        <w:left w:val="none" w:sz="0" w:space="0" w:color="auto"/>
                        <w:bottom w:val="none" w:sz="0" w:space="0" w:color="auto"/>
                        <w:right w:val="none" w:sz="0" w:space="0" w:color="auto"/>
                      </w:divBdr>
                    </w:div>
                  </w:divsChild>
                </w:div>
                <w:div w:id="671640279">
                  <w:marLeft w:val="0"/>
                  <w:marRight w:val="0"/>
                  <w:marTop w:val="0"/>
                  <w:marBottom w:val="0"/>
                  <w:divBdr>
                    <w:top w:val="none" w:sz="0" w:space="0" w:color="auto"/>
                    <w:left w:val="none" w:sz="0" w:space="0" w:color="auto"/>
                    <w:bottom w:val="none" w:sz="0" w:space="0" w:color="auto"/>
                    <w:right w:val="none" w:sz="0" w:space="0" w:color="auto"/>
                  </w:divBdr>
                  <w:divsChild>
                    <w:div w:id="776829024">
                      <w:marLeft w:val="0"/>
                      <w:marRight w:val="0"/>
                      <w:marTop w:val="0"/>
                      <w:marBottom w:val="0"/>
                      <w:divBdr>
                        <w:top w:val="none" w:sz="0" w:space="0" w:color="auto"/>
                        <w:left w:val="none" w:sz="0" w:space="0" w:color="auto"/>
                        <w:bottom w:val="none" w:sz="0" w:space="0" w:color="auto"/>
                        <w:right w:val="none" w:sz="0" w:space="0" w:color="auto"/>
                      </w:divBdr>
                    </w:div>
                  </w:divsChild>
                </w:div>
                <w:div w:id="682244816">
                  <w:marLeft w:val="0"/>
                  <w:marRight w:val="0"/>
                  <w:marTop w:val="0"/>
                  <w:marBottom w:val="0"/>
                  <w:divBdr>
                    <w:top w:val="none" w:sz="0" w:space="0" w:color="auto"/>
                    <w:left w:val="none" w:sz="0" w:space="0" w:color="auto"/>
                    <w:bottom w:val="none" w:sz="0" w:space="0" w:color="auto"/>
                    <w:right w:val="none" w:sz="0" w:space="0" w:color="auto"/>
                  </w:divBdr>
                  <w:divsChild>
                    <w:div w:id="184295214">
                      <w:marLeft w:val="0"/>
                      <w:marRight w:val="0"/>
                      <w:marTop w:val="0"/>
                      <w:marBottom w:val="0"/>
                      <w:divBdr>
                        <w:top w:val="none" w:sz="0" w:space="0" w:color="auto"/>
                        <w:left w:val="none" w:sz="0" w:space="0" w:color="auto"/>
                        <w:bottom w:val="none" w:sz="0" w:space="0" w:color="auto"/>
                        <w:right w:val="none" w:sz="0" w:space="0" w:color="auto"/>
                      </w:divBdr>
                    </w:div>
                  </w:divsChild>
                </w:div>
                <w:div w:id="702289039">
                  <w:marLeft w:val="0"/>
                  <w:marRight w:val="0"/>
                  <w:marTop w:val="0"/>
                  <w:marBottom w:val="0"/>
                  <w:divBdr>
                    <w:top w:val="none" w:sz="0" w:space="0" w:color="auto"/>
                    <w:left w:val="none" w:sz="0" w:space="0" w:color="auto"/>
                    <w:bottom w:val="none" w:sz="0" w:space="0" w:color="auto"/>
                    <w:right w:val="none" w:sz="0" w:space="0" w:color="auto"/>
                  </w:divBdr>
                  <w:divsChild>
                    <w:div w:id="2100834215">
                      <w:marLeft w:val="0"/>
                      <w:marRight w:val="0"/>
                      <w:marTop w:val="0"/>
                      <w:marBottom w:val="0"/>
                      <w:divBdr>
                        <w:top w:val="none" w:sz="0" w:space="0" w:color="auto"/>
                        <w:left w:val="none" w:sz="0" w:space="0" w:color="auto"/>
                        <w:bottom w:val="none" w:sz="0" w:space="0" w:color="auto"/>
                        <w:right w:val="none" w:sz="0" w:space="0" w:color="auto"/>
                      </w:divBdr>
                    </w:div>
                  </w:divsChild>
                </w:div>
                <w:div w:id="736435737">
                  <w:marLeft w:val="0"/>
                  <w:marRight w:val="0"/>
                  <w:marTop w:val="0"/>
                  <w:marBottom w:val="0"/>
                  <w:divBdr>
                    <w:top w:val="none" w:sz="0" w:space="0" w:color="auto"/>
                    <w:left w:val="none" w:sz="0" w:space="0" w:color="auto"/>
                    <w:bottom w:val="none" w:sz="0" w:space="0" w:color="auto"/>
                    <w:right w:val="none" w:sz="0" w:space="0" w:color="auto"/>
                  </w:divBdr>
                  <w:divsChild>
                    <w:div w:id="1398045469">
                      <w:marLeft w:val="0"/>
                      <w:marRight w:val="0"/>
                      <w:marTop w:val="0"/>
                      <w:marBottom w:val="0"/>
                      <w:divBdr>
                        <w:top w:val="none" w:sz="0" w:space="0" w:color="auto"/>
                        <w:left w:val="none" w:sz="0" w:space="0" w:color="auto"/>
                        <w:bottom w:val="none" w:sz="0" w:space="0" w:color="auto"/>
                        <w:right w:val="none" w:sz="0" w:space="0" w:color="auto"/>
                      </w:divBdr>
                    </w:div>
                  </w:divsChild>
                </w:div>
                <w:div w:id="769205955">
                  <w:marLeft w:val="0"/>
                  <w:marRight w:val="0"/>
                  <w:marTop w:val="0"/>
                  <w:marBottom w:val="0"/>
                  <w:divBdr>
                    <w:top w:val="none" w:sz="0" w:space="0" w:color="auto"/>
                    <w:left w:val="none" w:sz="0" w:space="0" w:color="auto"/>
                    <w:bottom w:val="none" w:sz="0" w:space="0" w:color="auto"/>
                    <w:right w:val="none" w:sz="0" w:space="0" w:color="auto"/>
                  </w:divBdr>
                  <w:divsChild>
                    <w:div w:id="989290611">
                      <w:marLeft w:val="0"/>
                      <w:marRight w:val="0"/>
                      <w:marTop w:val="0"/>
                      <w:marBottom w:val="0"/>
                      <w:divBdr>
                        <w:top w:val="none" w:sz="0" w:space="0" w:color="auto"/>
                        <w:left w:val="none" w:sz="0" w:space="0" w:color="auto"/>
                        <w:bottom w:val="none" w:sz="0" w:space="0" w:color="auto"/>
                        <w:right w:val="none" w:sz="0" w:space="0" w:color="auto"/>
                      </w:divBdr>
                    </w:div>
                  </w:divsChild>
                </w:div>
                <w:div w:id="821971428">
                  <w:marLeft w:val="0"/>
                  <w:marRight w:val="0"/>
                  <w:marTop w:val="0"/>
                  <w:marBottom w:val="0"/>
                  <w:divBdr>
                    <w:top w:val="none" w:sz="0" w:space="0" w:color="auto"/>
                    <w:left w:val="none" w:sz="0" w:space="0" w:color="auto"/>
                    <w:bottom w:val="none" w:sz="0" w:space="0" w:color="auto"/>
                    <w:right w:val="none" w:sz="0" w:space="0" w:color="auto"/>
                  </w:divBdr>
                  <w:divsChild>
                    <w:div w:id="132062294">
                      <w:marLeft w:val="0"/>
                      <w:marRight w:val="0"/>
                      <w:marTop w:val="0"/>
                      <w:marBottom w:val="0"/>
                      <w:divBdr>
                        <w:top w:val="none" w:sz="0" w:space="0" w:color="auto"/>
                        <w:left w:val="none" w:sz="0" w:space="0" w:color="auto"/>
                        <w:bottom w:val="none" w:sz="0" w:space="0" w:color="auto"/>
                        <w:right w:val="none" w:sz="0" w:space="0" w:color="auto"/>
                      </w:divBdr>
                    </w:div>
                  </w:divsChild>
                </w:div>
                <w:div w:id="854732753">
                  <w:marLeft w:val="0"/>
                  <w:marRight w:val="0"/>
                  <w:marTop w:val="0"/>
                  <w:marBottom w:val="0"/>
                  <w:divBdr>
                    <w:top w:val="none" w:sz="0" w:space="0" w:color="auto"/>
                    <w:left w:val="none" w:sz="0" w:space="0" w:color="auto"/>
                    <w:bottom w:val="none" w:sz="0" w:space="0" w:color="auto"/>
                    <w:right w:val="none" w:sz="0" w:space="0" w:color="auto"/>
                  </w:divBdr>
                  <w:divsChild>
                    <w:div w:id="1715273732">
                      <w:marLeft w:val="0"/>
                      <w:marRight w:val="0"/>
                      <w:marTop w:val="0"/>
                      <w:marBottom w:val="0"/>
                      <w:divBdr>
                        <w:top w:val="none" w:sz="0" w:space="0" w:color="auto"/>
                        <w:left w:val="none" w:sz="0" w:space="0" w:color="auto"/>
                        <w:bottom w:val="none" w:sz="0" w:space="0" w:color="auto"/>
                        <w:right w:val="none" w:sz="0" w:space="0" w:color="auto"/>
                      </w:divBdr>
                    </w:div>
                  </w:divsChild>
                </w:div>
                <w:div w:id="865868256">
                  <w:marLeft w:val="0"/>
                  <w:marRight w:val="0"/>
                  <w:marTop w:val="0"/>
                  <w:marBottom w:val="0"/>
                  <w:divBdr>
                    <w:top w:val="none" w:sz="0" w:space="0" w:color="auto"/>
                    <w:left w:val="none" w:sz="0" w:space="0" w:color="auto"/>
                    <w:bottom w:val="none" w:sz="0" w:space="0" w:color="auto"/>
                    <w:right w:val="none" w:sz="0" w:space="0" w:color="auto"/>
                  </w:divBdr>
                  <w:divsChild>
                    <w:div w:id="1154907897">
                      <w:marLeft w:val="0"/>
                      <w:marRight w:val="0"/>
                      <w:marTop w:val="0"/>
                      <w:marBottom w:val="0"/>
                      <w:divBdr>
                        <w:top w:val="none" w:sz="0" w:space="0" w:color="auto"/>
                        <w:left w:val="none" w:sz="0" w:space="0" w:color="auto"/>
                        <w:bottom w:val="none" w:sz="0" w:space="0" w:color="auto"/>
                        <w:right w:val="none" w:sz="0" w:space="0" w:color="auto"/>
                      </w:divBdr>
                    </w:div>
                  </w:divsChild>
                </w:div>
                <w:div w:id="869076549">
                  <w:marLeft w:val="0"/>
                  <w:marRight w:val="0"/>
                  <w:marTop w:val="0"/>
                  <w:marBottom w:val="0"/>
                  <w:divBdr>
                    <w:top w:val="none" w:sz="0" w:space="0" w:color="auto"/>
                    <w:left w:val="none" w:sz="0" w:space="0" w:color="auto"/>
                    <w:bottom w:val="none" w:sz="0" w:space="0" w:color="auto"/>
                    <w:right w:val="none" w:sz="0" w:space="0" w:color="auto"/>
                  </w:divBdr>
                  <w:divsChild>
                    <w:div w:id="1235554733">
                      <w:marLeft w:val="0"/>
                      <w:marRight w:val="0"/>
                      <w:marTop w:val="0"/>
                      <w:marBottom w:val="0"/>
                      <w:divBdr>
                        <w:top w:val="none" w:sz="0" w:space="0" w:color="auto"/>
                        <w:left w:val="none" w:sz="0" w:space="0" w:color="auto"/>
                        <w:bottom w:val="none" w:sz="0" w:space="0" w:color="auto"/>
                        <w:right w:val="none" w:sz="0" w:space="0" w:color="auto"/>
                      </w:divBdr>
                    </w:div>
                  </w:divsChild>
                </w:div>
                <w:div w:id="870848312">
                  <w:marLeft w:val="0"/>
                  <w:marRight w:val="0"/>
                  <w:marTop w:val="0"/>
                  <w:marBottom w:val="0"/>
                  <w:divBdr>
                    <w:top w:val="none" w:sz="0" w:space="0" w:color="auto"/>
                    <w:left w:val="none" w:sz="0" w:space="0" w:color="auto"/>
                    <w:bottom w:val="none" w:sz="0" w:space="0" w:color="auto"/>
                    <w:right w:val="none" w:sz="0" w:space="0" w:color="auto"/>
                  </w:divBdr>
                  <w:divsChild>
                    <w:div w:id="294987037">
                      <w:marLeft w:val="0"/>
                      <w:marRight w:val="0"/>
                      <w:marTop w:val="0"/>
                      <w:marBottom w:val="0"/>
                      <w:divBdr>
                        <w:top w:val="none" w:sz="0" w:space="0" w:color="auto"/>
                        <w:left w:val="none" w:sz="0" w:space="0" w:color="auto"/>
                        <w:bottom w:val="none" w:sz="0" w:space="0" w:color="auto"/>
                        <w:right w:val="none" w:sz="0" w:space="0" w:color="auto"/>
                      </w:divBdr>
                    </w:div>
                    <w:div w:id="1651248851">
                      <w:marLeft w:val="0"/>
                      <w:marRight w:val="0"/>
                      <w:marTop w:val="0"/>
                      <w:marBottom w:val="0"/>
                      <w:divBdr>
                        <w:top w:val="none" w:sz="0" w:space="0" w:color="auto"/>
                        <w:left w:val="none" w:sz="0" w:space="0" w:color="auto"/>
                        <w:bottom w:val="none" w:sz="0" w:space="0" w:color="auto"/>
                        <w:right w:val="none" w:sz="0" w:space="0" w:color="auto"/>
                      </w:divBdr>
                    </w:div>
                  </w:divsChild>
                </w:div>
                <w:div w:id="885482108">
                  <w:marLeft w:val="0"/>
                  <w:marRight w:val="0"/>
                  <w:marTop w:val="0"/>
                  <w:marBottom w:val="0"/>
                  <w:divBdr>
                    <w:top w:val="none" w:sz="0" w:space="0" w:color="auto"/>
                    <w:left w:val="none" w:sz="0" w:space="0" w:color="auto"/>
                    <w:bottom w:val="none" w:sz="0" w:space="0" w:color="auto"/>
                    <w:right w:val="none" w:sz="0" w:space="0" w:color="auto"/>
                  </w:divBdr>
                  <w:divsChild>
                    <w:div w:id="1926497275">
                      <w:marLeft w:val="0"/>
                      <w:marRight w:val="0"/>
                      <w:marTop w:val="0"/>
                      <w:marBottom w:val="0"/>
                      <w:divBdr>
                        <w:top w:val="none" w:sz="0" w:space="0" w:color="auto"/>
                        <w:left w:val="none" w:sz="0" w:space="0" w:color="auto"/>
                        <w:bottom w:val="none" w:sz="0" w:space="0" w:color="auto"/>
                        <w:right w:val="none" w:sz="0" w:space="0" w:color="auto"/>
                      </w:divBdr>
                    </w:div>
                  </w:divsChild>
                </w:div>
                <w:div w:id="896359427">
                  <w:marLeft w:val="0"/>
                  <w:marRight w:val="0"/>
                  <w:marTop w:val="0"/>
                  <w:marBottom w:val="0"/>
                  <w:divBdr>
                    <w:top w:val="none" w:sz="0" w:space="0" w:color="auto"/>
                    <w:left w:val="none" w:sz="0" w:space="0" w:color="auto"/>
                    <w:bottom w:val="none" w:sz="0" w:space="0" w:color="auto"/>
                    <w:right w:val="none" w:sz="0" w:space="0" w:color="auto"/>
                  </w:divBdr>
                  <w:divsChild>
                    <w:div w:id="697237575">
                      <w:marLeft w:val="0"/>
                      <w:marRight w:val="0"/>
                      <w:marTop w:val="0"/>
                      <w:marBottom w:val="0"/>
                      <w:divBdr>
                        <w:top w:val="none" w:sz="0" w:space="0" w:color="auto"/>
                        <w:left w:val="none" w:sz="0" w:space="0" w:color="auto"/>
                        <w:bottom w:val="none" w:sz="0" w:space="0" w:color="auto"/>
                        <w:right w:val="none" w:sz="0" w:space="0" w:color="auto"/>
                      </w:divBdr>
                    </w:div>
                  </w:divsChild>
                </w:div>
                <w:div w:id="960189827">
                  <w:marLeft w:val="0"/>
                  <w:marRight w:val="0"/>
                  <w:marTop w:val="0"/>
                  <w:marBottom w:val="0"/>
                  <w:divBdr>
                    <w:top w:val="none" w:sz="0" w:space="0" w:color="auto"/>
                    <w:left w:val="none" w:sz="0" w:space="0" w:color="auto"/>
                    <w:bottom w:val="none" w:sz="0" w:space="0" w:color="auto"/>
                    <w:right w:val="none" w:sz="0" w:space="0" w:color="auto"/>
                  </w:divBdr>
                  <w:divsChild>
                    <w:div w:id="808939873">
                      <w:marLeft w:val="0"/>
                      <w:marRight w:val="0"/>
                      <w:marTop w:val="0"/>
                      <w:marBottom w:val="0"/>
                      <w:divBdr>
                        <w:top w:val="none" w:sz="0" w:space="0" w:color="auto"/>
                        <w:left w:val="none" w:sz="0" w:space="0" w:color="auto"/>
                        <w:bottom w:val="none" w:sz="0" w:space="0" w:color="auto"/>
                        <w:right w:val="none" w:sz="0" w:space="0" w:color="auto"/>
                      </w:divBdr>
                    </w:div>
                  </w:divsChild>
                </w:div>
                <w:div w:id="976685541">
                  <w:marLeft w:val="0"/>
                  <w:marRight w:val="0"/>
                  <w:marTop w:val="0"/>
                  <w:marBottom w:val="0"/>
                  <w:divBdr>
                    <w:top w:val="none" w:sz="0" w:space="0" w:color="auto"/>
                    <w:left w:val="none" w:sz="0" w:space="0" w:color="auto"/>
                    <w:bottom w:val="none" w:sz="0" w:space="0" w:color="auto"/>
                    <w:right w:val="none" w:sz="0" w:space="0" w:color="auto"/>
                  </w:divBdr>
                  <w:divsChild>
                    <w:div w:id="54360301">
                      <w:marLeft w:val="0"/>
                      <w:marRight w:val="0"/>
                      <w:marTop w:val="0"/>
                      <w:marBottom w:val="0"/>
                      <w:divBdr>
                        <w:top w:val="none" w:sz="0" w:space="0" w:color="auto"/>
                        <w:left w:val="none" w:sz="0" w:space="0" w:color="auto"/>
                        <w:bottom w:val="none" w:sz="0" w:space="0" w:color="auto"/>
                        <w:right w:val="none" w:sz="0" w:space="0" w:color="auto"/>
                      </w:divBdr>
                    </w:div>
                  </w:divsChild>
                </w:div>
                <w:div w:id="978148074">
                  <w:marLeft w:val="0"/>
                  <w:marRight w:val="0"/>
                  <w:marTop w:val="0"/>
                  <w:marBottom w:val="0"/>
                  <w:divBdr>
                    <w:top w:val="none" w:sz="0" w:space="0" w:color="auto"/>
                    <w:left w:val="none" w:sz="0" w:space="0" w:color="auto"/>
                    <w:bottom w:val="none" w:sz="0" w:space="0" w:color="auto"/>
                    <w:right w:val="none" w:sz="0" w:space="0" w:color="auto"/>
                  </w:divBdr>
                  <w:divsChild>
                    <w:div w:id="664364040">
                      <w:marLeft w:val="0"/>
                      <w:marRight w:val="0"/>
                      <w:marTop w:val="0"/>
                      <w:marBottom w:val="0"/>
                      <w:divBdr>
                        <w:top w:val="none" w:sz="0" w:space="0" w:color="auto"/>
                        <w:left w:val="none" w:sz="0" w:space="0" w:color="auto"/>
                        <w:bottom w:val="none" w:sz="0" w:space="0" w:color="auto"/>
                        <w:right w:val="none" w:sz="0" w:space="0" w:color="auto"/>
                      </w:divBdr>
                    </w:div>
                  </w:divsChild>
                </w:div>
                <w:div w:id="998188567">
                  <w:marLeft w:val="0"/>
                  <w:marRight w:val="0"/>
                  <w:marTop w:val="0"/>
                  <w:marBottom w:val="0"/>
                  <w:divBdr>
                    <w:top w:val="none" w:sz="0" w:space="0" w:color="auto"/>
                    <w:left w:val="none" w:sz="0" w:space="0" w:color="auto"/>
                    <w:bottom w:val="none" w:sz="0" w:space="0" w:color="auto"/>
                    <w:right w:val="none" w:sz="0" w:space="0" w:color="auto"/>
                  </w:divBdr>
                  <w:divsChild>
                    <w:div w:id="1736121971">
                      <w:marLeft w:val="0"/>
                      <w:marRight w:val="0"/>
                      <w:marTop w:val="0"/>
                      <w:marBottom w:val="0"/>
                      <w:divBdr>
                        <w:top w:val="none" w:sz="0" w:space="0" w:color="auto"/>
                        <w:left w:val="none" w:sz="0" w:space="0" w:color="auto"/>
                        <w:bottom w:val="none" w:sz="0" w:space="0" w:color="auto"/>
                        <w:right w:val="none" w:sz="0" w:space="0" w:color="auto"/>
                      </w:divBdr>
                    </w:div>
                  </w:divsChild>
                </w:div>
                <w:div w:id="1025668005">
                  <w:marLeft w:val="0"/>
                  <w:marRight w:val="0"/>
                  <w:marTop w:val="0"/>
                  <w:marBottom w:val="0"/>
                  <w:divBdr>
                    <w:top w:val="none" w:sz="0" w:space="0" w:color="auto"/>
                    <w:left w:val="none" w:sz="0" w:space="0" w:color="auto"/>
                    <w:bottom w:val="none" w:sz="0" w:space="0" w:color="auto"/>
                    <w:right w:val="none" w:sz="0" w:space="0" w:color="auto"/>
                  </w:divBdr>
                  <w:divsChild>
                    <w:div w:id="2107534705">
                      <w:marLeft w:val="0"/>
                      <w:marRight w:val="0"/>
                      <w:marTop w:val="0"/>
                      <w:marBottom w:val="0"/>
                      <w:divBdr>
                        <w:top w:val="none" w:sz="0" w:space="0" w:color="auto"/>
                        <w:left w:val="none" w:sz="0" w:space="0" w:color="auto"/>
                        <w:bottom w:val="none" w:sz="0" w:space="0" w:color="auto"/>
                        <w:right w:val="none" w:sz="0" w:space="0" w:color="auto"/>
                      </w:divBdr>
                    </w:div>
                  </w:divsChild>
                </w:div>
                <w:div w:id="1032999189">
                  <w:marLeft w:val="0"/>
                  <w:marRight w:val="0"/>
                  <w:marTop w:val="0"/>
                  <w:marBottom w:val="0"/>
                  <w:divBdr>
                    <w:top w:val="none" w:sz="0" w:space="0" w:color="auto"/>
                    <w:left w:val="none" w:sz="0" w:space="0" w:color="auto"/>
                    <w:bottom w:val="none" w:sz="0" w:space="0" w:color="auto"/>
                    <w:right w:val="none" w:sz="0" w:space="0" w:color="auto"/>
                  </w:divBdr>
                  <w:divsChild>
                    <w:div w:id="1969816601">
                      <w:marLeft w:val="0"/>
                      <w:marRight w:val="0"/>
                      <w:marTop w:val="0"/>
                      <w:marBottom w:val="0"/>
                      <w:divBdr>
                        <w:top w:val="none" w:sz="0" w:space="0" w:color="auto"/>
                        <w:left w:val="none" w:sz="0" w:space="0" w:color="auto"/>
                        <w:bottom w:val="none" w:sz="0" w:space="0" w:color="auto"/>
                        <w:right w:val="none" w:sz="0" w:space="0" w:color="auto"/>
                      </w:divBdr>
                    </w:div>
                  </w:divsChild>
                </w:div>
                <w:div w:id="1117675450">
                  <w:marLeft w:val="0"/>
                  <w:marRight w:val="0"/>
                  <w:marTop w:val="0"/>
                  <w:marBottom w:val="0"/>
                  <w:divBdr>
                    <w:top w:val="none" w:sz="0" w:space="0" w:color="auto"/>
                    <w:left w:val="none" w:sz="0" w:space="0" w:color="auto"/>
                    <w:bottom w:val="none" w:sz="0" w:space="0" w:color="auto"/>
                    <w:right w:val="none" w:sz="0" w:space="0" w:color="auto"/>
                  </w:divBdr>
                  <w:divsChild>
                    <w:div w:id="1380864654">
                      <w:marLeft w:val="0"/>
                      <w:marRight w:val="0"/>
                      <w:marTop w:val="0"/>
                      <w:marBottom w:val="0"/>
                      <w:divBdr>
                        <w:top w:val="none" w:sz="0" w:space="0" w:color="auto"/>
                        <w:left w:val="none" w:sz="0" w:space="0" w:color="auto"/>
                        <w:bottom w:val="none" w:sz="0" w:space="0" w:color="auto"/>
                        <w:right w:val="none" w:sz="0" w:space="0" w:color="auto"/>
                      </w:divBdr>
                    </w:div>
                  </w:divsChild>
                </w:div>
                <w:div w:id="1166626665">
                  <w:marLeft w:val="0"/>
                  <w:marRight w:val="0"/>
                  <w:marTop w:val="0"/>
                  <w:marBottom w:val="0"/>
                  <w:divBdr>
                    <w:top w:val="none" w:sz="0" w:space="0" w:color="auto"/>
                    <w:left w:val="none" w:sz="0" w:space="0" w:color="auto"/>
                    <w:bottom w:val="none" w:sz="0" w:space="0" w:color="auto"/>
                    <w:right w:val="none" w:sz="0" w:space="0" w:color="auto"/>
                  </w:divBdr>
                  <w:divsChild>
                    <w:div w:id="1601180505">
                      <w:marLeft w:val="0"/>
                      <w:marRight w:val="0"/>
                      <w:marTop w:val="0"/>
                      <w:marBottom w:val="0"/>
                      <w:divBdr>
                        <w:top w:val="none" w:sz="0" w:space="0" w:color="auto"/>
                        <w:left w:val="none" w:sz="0" w:space="0" w:color="auto"/>
                        <w:bottom w:val="none" w:sz="0" w:space="0" w:color="auto"/>
                        <w:right w:val="none" w:sz="0" w:space="0" w:color="auto"/>
                      </w:divBdr>
                    </w:div>
                  </w:divsChild>
                </w:div>
                <w:div w:id="1184857469">
                  <w:marLeft w:val="0"/>
                  <w:marRight w:val="0"/>
                  <w:marTop w:val="0"/>
                  <w:marBottom w:val="0"/>
                  <w:divBdr>
                    <w:top w:val="none" w:sz="0" w:space="0" w:color="auto"/>
                    <w:left w:val="none" w:sz="0" w:space="0" w:color="auto"/>
                    <w:bottom w:val="none" w:sz="0" w:space="0" w:color="auto"/>
                    <w:right w:val="none" w:sz="0" w:space="0" w:color="auto"/>
                  </w:divBdr>
                  <w:divsChild>
                    <w:div w:id="1221360884">
                      <w:marLeft w:val="0"/>
                      <w:marRight w:val="0"/>
                      <w:marTop w:val="0"/>
                      <w:marBottom w:val="0"/>
                      <w:divBdr>
                        <w:top w:val="none" w:sz="0" w:space="0" w:color="auto"/>
                        <w:left w:val="none" w:sz="0" w:space="0" w:color="auto"/>
                        <w:bottom w:val="none" w:sz="0" w:space="0" w:color="auto"/>
                        <w:right w:val="none" w:sz="0" w:space="0" w:color="auto"/>
                      </w:divBdr>
                    </w:div>
                  </w:divsChild>
                </w:div>
                <w:div w:id="1184902420">
                  <w:marLeft w:val="0"/>
                  <w:marRight w:val="0"/>
                  <w:marTop w:val="0"/>
                  <w:marBottom w:val="0"/>
                  <w:divBdr>
                    <w:top w:val="none" w:sz="0" w:space="0" w:color="auto"/>
                    <w:left w:val="none" w:sz="0" w:space="0" w:color="auto"/>
                    <w:bottom w:val="none" w:sz="0" w:space="0" w:color="auto"/>
                    <w:right w:val="none" w:sz="0" w:space="0" w:color="auto"/>
                  </w:divBdr>
                  <w:divsChild>
                    <w:div w:id="1541479758">
                      <w:marLeft w:val="0"/>
                      <w:marRight w:val="0"/>
                      <w:marTop w:val="0"/>
                      <w:marBottom w:val="0"/>
                      <w:divBdr>
                        <w:top w:val="none" w:sz="0" w:space="0" w:color="auto"/>
                        <w:left w:val="none" w:sz="0" w:space="0" w:color="auto"/>
                        <w:bottom w:val="none" w:sz="0" w:space="0" w:color="auto"/>
                        <w:right w:val="none" w:sz="0" w:space="0" w:color="auto"/>
                      </w:divBdr>
                    </w:div>
                  </w:divsChild>
                </w:div>
                <w:div w:id="1189492800">
                  <w:marLeft w:val="0"/>
                  <w:marRight w:val="0"/>
                  <w:marTop w:val="0"/>
                  <w:marBottom w:val="0"/>
                  <w:divBdr>
                    <w:top w:val="none" w:sz="0" w:space="0" w:color="auto"/>
                    <w:left w:val="none" w:sz="0" w:space="0" w:color="auto"/>
                    <w:bottom w:val="none" w:sz="0" w:space="0" w:color="auto"/>
                    <w:right w:val="none" w:sz="0" w:space="0" w:color="auto"/>
                  </w:divBdr>
                  <w:divsChild>
                    <w:div w:id="990865400">
                      <w:marLeft w:val="0"/>
                      <w:marRight w:val="0"/>
                      <w:marTop w:val="0"/>
                      <w:marBottom w:val="0"/>
                      <w:divBdr>
                        <w:top w:val="none" w:sz="0" w:space="0" w:color="auto"/>
                        <w:left w:val="none" w:sz="0" w:space="0" w:color="auto"/>
                        <w:bottom w:val="none" w:sz="0" w:space="0" w:color="auto"/>
                        <w:right w:val="none" w:sz="0" w:space="0" w:color="auto"/>
                      </w:divBdr>
                    </w:div>
                  </w:divsChild>
                </w:div>
                <w:div w:id="1197081592">
                  <w:marLeft w:val="0"/>
                  <w:marRight w:val="0"/>
                  <w:marTop w:val="0"/>
                  <w:marBottom w:val="0"/>
                  <w:divBdr>
                    <w:top w:val="none" w:sz="0" w:space="0" w:color="auto"/>
                    <w:left w:val="none" w:sz="0" w:space="0" w:color="auto"/>
                    <w:bottom w:val="none" w:sz="0" w:space="0" w:color="auto"/>
                    <w:right w:val="none" w:sz="0" w:space="0" w:color="auto"/>
                  </w:divBdr>
                  <w:divsChild>
                    <w:div w:id="2069723550">
                      <w:marLeft w:val="0"/>
                      <w:marRight w:val="0"/>
                      <w:marTop w:val="0"/>
                      <w:marBottom w:val="0"/>
                      <w:divBdr>
                        <w:top w:val="none" w:sz="0" w:space="0" w:color="auto"/>
                        <w:left w:val="none" w:sz="0" w:space="0" w:color="auto"/>
                        <w:bottom w:val="none" w:sz="0" w:space="0" w:color="auto"/>
                        <w:right w:val="none" w:sz="0" w:space="0" w:color="auto"/>
                      </w:divBdr>
                    </w:div>
                  </w:divsChild>
                </w:div>
                <w:div w:id="1218321733">
                  <w:marLeft w:val="0"/>
                  <w:marRight w:val="0"/>
                  <w:marTop w:val="0"/>
                  <w:marBottom w:val="0"/>
                  <w:divBdr>
                    <w:top w:val="none" w:sz="0" w:space="0" w:color="auto"/>
                    <w:left w:val="none" w:sz="0" w:space="0" w:color="auto"/>
                    <w:bottom w:val="none" w:sz="0" w:space="0" w:color="auto"/>
                    <w:right w:val="none" w:sz="0" w:space="0" w:color="auto"/>
                  </w:divBdr>
                  <w:divsChild>
                    <w:div w:id="2107385850">
                      <w:marLeft w:val="0"/>
                      <w:marRight w:val="0"/>
                      <w:marTop w:val="0"/>
                      <w:marBottom w:val="0"/>
                      <w:divBdr>
                        <w:top w:val="none" w:sz="0" w:space="0" w:color="auto"/>
                        <w:left w:val="none" w:sz="0" w:space="0" w:color="auto"/>
                        <w:bottom w:val="none" w:sz="0" w:space="0" w:color="auto"/>
                        <w:right w:val="none" w:sz="0" w:space="0" w:color="auto"/>
                      </w:divBdr>
                    </w:div>
                  </w:divsChild>
                </w:div>
                <w:div w:id="1218325062">
                  <w:marLeft w:val="0"/>
                  <w:marRight w:val="0"/>
                  <w:marTop w:val="0"/>
                  <w:marBottom w:val="0"/>
                  <w:divBdr>
                    <w:top w:val="none" w:sz="0" w:space="0" w:color="auto"/>
                    <w:left w:val="none" w:sz="0" w:space="0" w:color="auto"/>
                    <w:bottom w:val="none" w:sz="0" w:space="0" w:color="auto"/>
                    <w:right w:val="none" w:sz="0" w:space="0" w:color="auto"/>
                  </w:divBdr>
                  <w:divsChild>
                    <w:div w:id="1355308681">
                      <w:marLeft w:val="0"/>
                      <w:marRight w:val="0"/>
                      <w:marTop w:val="0"/>
                      <w:marBottom w:val="0"/>
                      <w:divBdr>
                        <w:top w:val="none" w:sz="0" w:space="0" w:color="auto"/>
                        <w:left w:val="none" w:sz="0" w:space="0" w:color="auto"/>
                        <w:bottom w:val="none" w:sz="0" w:space="0" w:color="auto"/>
                        <w:right w:val="none" w:sz="0" w:space="0" w:color="auto"/>
                      </w:divBdr>
                    </w:div>
                  </w:divsChild>
                </w:div>
                <w:div w:id="1229997248">
                  <w:marLeft w:val="0"/>
                  <w:marRight w:val="0"/>
                  <w:marTop w:val="0"/>
                  <w:marBottom w:val="0"/>
                  <w:divBdr>
                    <w:top w:val="none" w:sz="0" w:space="0" w:color="auto"/>
                    <w:left w:val="none" w:sz="0" w:space="0" w:color="auto"/>
                    <w:bottom w:val="none" w:sz="0" w:space="0" w:color="auto"/>
                    <w:right w:val="none" w:sz="0" w:space="0" w:color="auto"/>
                  </w:divBdr>
                  <w:divsChild>
                    <w:div w:id="397747581">
                      <w:marLeft w:val="0"/>
                      <w:marRight w:val="0"/>
                      <w:marTop w:val="0"/>
                      <w:marBottom w:val="0"/>
                      <w:divBdr>
                        <w:top w:val="none" w:sz="0" w:space="0" w:color="auto"/>
                        <w:left w:val="none" w:sz="0" w:space="0" w:color="auto"/>
                        <w:bottom w:val="none" w:sz="0" w:space="0" w:color="auto"/>
                        <w:right w:val="none" w:sz="0" w:space="0" w:color="auto"/>
                      </w:divBdr>
                    </w:div>
                    <w:div w:id="868177833">
                      <w:marLeft w:val="0"/>
                      <w:marRight w:val="0"/>
                      <w:marTop w:val="0"/>
                      <w:marBottom w:val="0"/>
                      <w:divBdr>
                        <w:top w:val="none" w:sz="0" w:space="0" w:color="auto"/>
                        <w:left w:val="none" w:sz="0" w:space="0" w:color="auto"/>
                        <w:bottom w:val="none" w:sz="0" w:space="0" w:color="auto"/>
                        <w:right w:val="none" w:sz="0" w:space="0" w:color="auto"/>
                      </w:divBdr>
                    </w:div>
                  </w:divsChild>
                </w:div>
                <w:div w:id="1244417738">
                  <w:marLeft w:val="0"/>
                  <w:marRight w:val="0"/>
                  <w:marTop w:val="0"/>
                  <w:marBottom w:val="0"/>
                  <w:divBdr>
                    <w:top w:val="none" w:sz="0" w:space="0" w:color="auto"/>
                    <w:left w:val="none" w:sz="0" w:space="0" w:color="auto"/>
                    <w:bottom w:val="none" w:sz="0" w:space="0" w:color="auto"/>
                    <w:right w:val="none" w:sz="0" w:space="0" w:color="auto"/>
                  </w:divBdr>
                  <w:divsChild>
                    <w:div w:id="340619224">
                      <w:marLeft w:val="0"/>
                      <w:marRight w:val="0"/>
                      <w:marTop w:val="0"/>
                      <w:marBottom w:val="0"/>
                      <w:divBdr>
                        <w:top w:val="none" w:sz="0" w:space="0" w:color="auto"/>
                        <w:left w:val="none" w:sz="0" w:space="0" w:color="auto"/>
                        <w:bottom w:val="none" w:sz="0" w:space="0" w:color="auto"/>
                        <w:right w:val="none" w:sz="0" w:space="0" w:color="auto"/>
                      </w:divBdr>
                    </w:div>
                  </w:divsChild>
                </w:div>
                <w:div w:id="1257983254">
                  <w:marLeft w:val="0"/>
                  <w:marRight w:val="0"/>
                  <w:marTop w:val="0"/>
                  <w:marBottom w:val="0"/>
                  <w:divBdr>
                    <w:top w:val="none" w:sz="0" w:space="0" w:color="auto"/>
                    <w:left w:val="none" w:sz="0" w:space="0" w:color="auto"/>
                    <w:bottom w:val="none" w:sz="0" w:space="0" w:color="auto"/>
                    <w:right w:val="none" w:sz="0" w:space="0" w:color="auto"/>
                  </w:divBdr>
                  <w:divsChild>
                    <w:div w:id="102312815">
                      <w:marLeft w:val="0"/>
                      <w:marRight w:val="0"/>
                      <w:marTop w:val="0"/>
                      <w:marBottom w:val="0"/>
                      <w:divBdr>
                        <w:top w:val="none" w:sz="0" w:space="0" w:color="auto"/>
                        <w:left w:val="none" w:sz="0" w:space="0" w:color="auto"/>
                        <w:bottom w:val="none" w:sz="0" w:space="0" w:color="auto"/>
                        <w:right w:val="none" w:sz="0" w:space="0" w:color="auto"/>
                      </w:divBdr>
                    </w:div>
                  </w:divsChild>
                </w:div>
                <w:div w:id="1294367791">
                  <w:marLeft w:val="0"/>
                  <w:marRight w:val="0"/>
                  <w:marTop w:val="0"/>
                  <w:marBottom w:val="0"/>
                  <w:divBdr>
                    <w:top w:val="none" w:sz="0" w:space="0" w:color="auto"/>
                    <w:left w:val="none" w:sz="0" w:space="0" w:color="auto"/>
                    <w:bottom w:val="none" w:sz="0" w:space="0" w:color="auto"/>
                    <w:right w:val="none" w:sz="0" w:space="0" w:color="auto"/>
                  </w:divBdr>
                  <w:divsChild>
                    <w:div w:id="117795302">
                      <w:marLeft w:val="0"/>
                      <w:marRight w:val="0"/>
                      <w:marTop w:val="0"/>
                      <w:marBottom w:val="0"/>
                      <w:divBdr>
                        <w:top w:val="none" w:sz="0" w:space="0" w:color="auto"/>
                        <w:left w:val="none" w:sz="0" w:space="0" w:color="auto"/>
                        <w:bottom w:val="none" w:sz="0" w:space="0" w:color="auto"/>
                        <w:right w:val="none" w:sz="0" w:space="0" w:color="auto"/>
                      </w:divBdr>
                    </w:div>
                  </w:divsChild>
                </w:div>
                <w:div w:id="1328902263">
                  <w:marLeft w:val="0"/>
                  <w:marRight w:val="0"/>
                  <w:marTop w:val="0"/>
                  <w:marBottom w:val="0"/>
                  <w:divBdr>
                    <w:top w:val="none" w:sz="0" w:space="0" w:color="auto"/>
                    <w:left w:val="none" w:sz="0" w:space="0" w:color="auto"/>
                    <w:bottom w:val="none" w:sz="0" w:space="0" w:color="auto"/>
                    <w:right w:val="none" w:sz="0" w:space="0" w:color="auto"/>
                  </w:divBdr>
                  <w:divsChild>
                    <w:div w:id="867375711">
                      <w:marLeft w:val="0"/>
                      <w:marRight w:val="0"/>
                      <w:marTop w:val="0"/>
                      <w:marBottom w:val="0"/>
                      <w:divBdr>
                        <w:top w:val="none" w:sz="0" w:space="0" w:color="auto"/>
                        <w:left w:val="none" w:sz="0" w:space="0" w:color="auto"/>
                        <w:bottom w:val="none" w:sz="0" w:space="0" w:color="auto"/>
                        <w:right w:val="none" w:sz="0" w:space="0" w:color="auto"/>
                      </w:divBdr>
                    </w:div>
                  </w:divsChild>
                </w:div>
                <w:div w:id="1343317203">
                  <w:marLeft w:val="0"/>
                  <w:marRight w:val="0"/>
                  <w:marTop w:val="0"/>
                  <w:marBottom w:val="0"/>
                  <w:divBdr>
                    <w:top w:val="none" w:sz="0" w:space="0" w:color="auto"/>
                    <w:left w:val="none" w:sz="0" w:space="0" w:color="auto"/>
                    <w:bottom w:val="none" w:sz="0" w:space="0" w:color="auto"/>
                    <w:right w:val="none" w:sz="0" w:space="0" w:color="auto"/>
                  </w:divBdr>
                  <w:divsChild>
                    <w:div w:id="467012427">
                      <w:marLeft w:val="0"/>
                      <w:marRight w:val="0"/>
                      <w:marTop w:val="0"/>
                      <w:marBottom w:val="0"/>
                      <w:divBdr>
                        <w:top w:val="none" w:sz="0" w:space="0" w:color="auto"/>
                        <w:left w:val="none" w:sz="0" w:space="0" w:color="auto"/>
                        <w:bottom w:val="none" w:sz="0" w:space="0" w:color="auto"/>
                        <w:right w:val="none" w:sz="0" w:space="0" w:color="auto"/>
                      </w:divBdr>
                    </w:div>
                  </w:divsChild>
                </w:div>
                <w:div w:id="1346975685">
                  <w:marLeft w:val="0"/>
                  <w:marRight w:val="0"/>
                  <w:marTop w:val="0"/>
                  <w:marBottom w:val="0"/>
                  <w:divBdr>
                    <w:top w:val="none" w:sz="0" w:space="0" w:color="auto"/>
                    <w:left w:val="none" w:sz="0" w:space="0" w:color="auto"/>
                    <w:bottom w:val="none" w:sz="0" w:space="0" w:color="auto"/>
                    <w:right w:val="none" w:sz="0" w:space="0" w:color="auto"/>
                  </w:divBdr>
                  <w:divsChild>
                    <w:div w:id="491917218">
                      <w:marLeft w:val="0"/>
                      <w:marRight w:val="0"/>
                      <w:marTop w:val="0"/>
                      <w:marBottom w:val="0"/>
                      <w:divBdr>
                        <w:top w:val="none" w:sz="0" w:space="0" w:color="auto"/>
                        <w:left w:val="none" w:sz="0" w:space="0" w:color="auto"/>
                        <w:bottom w:val="none" w:sz="0" w:space="0" w:color="auto"/>
                        <w:right w:val="none" w:sz="0" w:space="0" w:color="auto"/>
                      </w:divBdr>
                    </w:div>
                  </w:divsChild>
                </w:div>
                <w:div w:id="1403529108">
                  <w:marLeft w:val="0"/>
                  <w:marRight w:val="0"/>
                  <w:marTop w:val="0"/>
                  <w:marBottom w:val="0"/>
                  <w:divBdr>
                    <w:top w:val="none" w:sz="0" w:space="0" w:color="auto"/>
                    <w:left w:val="none" w:sz="0" w:space="0" w:color="auto"/>
                    <w:bottom w:val="none" w:sz="0" w:space="0" w:color="auto"/>
                    <w:right w:val="none" w:sz="0" w:space="0" w:color="auto"/>
                  </w:divBdr>
                  <w:divsChild>
                    <w:div w:id="996297862">
                      <w:marLeft w:val="0"/>
                      <w:marRight w:val="0"/>
                      <w:marTop w:val="0"/>
                      <w:marBottom w:val="0"/>
                      <w:divBdr>
                        <w:top w:val="none" w:sz="0" w:space="0" w:color="auto"/>
                        <w:left w:val="none" w:sz="0" w:space="0" w:color="auto"/>
                        <w:bottom w:val="none" w:sz="0" w:space="0" w:color="auto"/>
                        <w:right w:val="none" w:sz="0" w:space="0" w:color="auto"/>
                      </w:divBdr>
                    </w:div>
                  </w:divsChild>
                </w:div>
                <w:div w:id="1409764932">
                  <w:marLeft w:val="0"/>
                  <w:marRight w:val="0"/>
                  <w:marTop w:val="0"/>
                  <w:marBottom w:val="0"/>
                  <w:divBdr>
                    <w:top w:val="none" w:sz="0" w:space="0" w:color="auto"/>
                    <w:left w:val="none" w:sz="0" w:space="0" w:color="auto"/>
                    <w:bottom w:val="none" w:sz="0" w:space="0" w:color="auto"/>
                    <w:right w:val="none" w:sz="0" w:space="0" w:color="auto"/>
                  </w:divBdr>
                  <w:divsChild>
                    <w:div w:id="1374118814">
                      <w:marLeft w:val="0"/>
                      <w:marRight w:val="0"/>
                      <w:marTop w:val="0"/>
                      <w:marBottom w:val="0"/>
                      <w:divBdr>
                        <w:top w:val="none" w:sz="0" w:space="0" w:color="auto"/>
                        <w:left w:val="none" w:sz="0" w:space="0" w:color="auto"/>
                        <w:bottom w:val="none" w:sz="0" w:space="0" w:color="auto"/>
                        <w:right w:val="none" w:sz="0" w:space="0" w:color="auto"/>
                      </w:divBdr>
                    </w:div>
                  </w:divsChild>
                </w:div>
                <w:div w:id="1424688717">
                  <w:marLeft w:val="0"/>
                  <w:marRight w:val="0"/>
                  <w:marTop w:val="0"/>
                  <w:marBottom w:val="0"/>
                  <w:divBdr>
                    <w:top w:val="none" w:sz="0" w:space="0" w:color="auto"/>
                    <w:left w:val="none" w:sz="0" w:space="0" w:color="auto"/>
                    <w:bottom w:val="none" w:sz="0" w:space="0" w:color="auto"/>
                    <w:right w:val="none" w:sz="0" w:space="0" w:color="auto"/>
                  </w:divBdr>
                  <w:divsChild>
                    <w:div w:id="1687248508">
                      <w:marLeft w:val="0"/>
                      <w:marRight w:val="0"/>
                      <w:marTop w:val="0"/>
                      <w:marBottom w:val="0"/>
                      <w:divBdr>
                        <w:top w:val="none" w:sz="0" w:space="0" w:color="auto"/>
                        <w:left w:val="none" w:sz="0" w:space="0" w:color="auto"/>
                        <w:bottom w:val="none" w:sz="0" w:space="0" w:color="auto"/>
                        <w:right w:val="none" w:sz="0" w:space="0" w:color="auto"/>
                      </w:divBdr>
                    </w:div>
                  </w:divsChild>
                </w:div>
                <w:div w:id="1425763361">
                  <w:marLeft w:val="0"/>
                  <w:marRight w:val="0"/>
                  <w:marTop w:val="0"/>
                  <w:marBottom w:val="0"/>
                  <w:divBdr>
                    <w:top w:val="none" w:sz="0" w:space="0" w:color="auto"/>
                    <w:left w:val="none" w:sz="0" w:space="0" w:color="auto"/>
                    <w:bottom w:val="none" w:sz="0" w:space="0" w:color="auto"/>
                    <w:right w:val="none" w:sz="0" w:space="0" w:color="auto"/>
                  </w:divBdr>
                  <w:divsChild>
                    <w:div w:id="846599629">
                      <w:marLeft w:val="0"/>
                      <w:marRight w:val="0"/>
                      <w:marTop w:val="0"/>
                      <w:marBottom w:val="0"/>
                      <w:divBdr>
                        <w:top w:val="none" w:sz="0" w:space="0" w:color="auto"/>
                        <w:left w:val="none" w:sz="0" w:space="0" w:color="auto"/>
                        <w:bottom w:val="none" w:sz="0" w:space="0" w:color="auto"/>
                        <w:right w:val="none" w:sz="0" w:space="0" w:color="auto"/>
                      </w:divBdr>
                    </w:div>
                  </w:divsChild>
                </w:div>
                <w:div w:id="1525242793">
                  <w:marLeft w:val="0"/>
                  <w:marRight w:val="0"/>
                  <w:marTop w:val="0"/>
                  <w:marBottom w:val="0"/>
                  <w:divBdr>
                    <w:top w:val="none" w:sz="0" w:space="0" w:color="auto"/>
                    <w:left w:val="none" w:sz="0" w:space="0" w:color="auto"/>
                    <w:bottom w:val="none" w:sz="0" w:space="0" w:color="auto"/>
                    <w:right w:val="none" w:sz="0" w:space="0" w:color="auto"/>
                  </w:divBdr>
                  <w:divsChild>
                    <w:div w:id="2067680130">
                      <w:marLeft w:val="0"/>
                      <w:marRight w:val="0"/>
                      <w:marTop w:val="0"/>
                      <w:marBottom w:val="0"/>
                      <w:divBdr>
                        <w:top w:val="none" w:sz="0" w:space="0" w:color="auto"/>
                        <w:left w:val="none" w:sz="0" w:space="0" w:color="auto"/>
                        <w:bottom w:val="none" w:sz="0" w:space="0" w:color="auto"/>
                        <w:right w:val="none" w:sz="0" w:space="0" w:color="auto"/>
                      </w:divBdr>
                    </w:div>
                  </w:divsChild>
                </w:div>
                <w:div w:id="1529953009">
                  <w:marLeft w:val="0"/>
                  <w:marRight w:val="0"/>
                  <w:marTop w:val="0"/>
                  <w:marBottom w:val="0"/>
                  <w:divBdr>
                    <w:top w:val="none" w:sz="0" w:space="0" w:color="auto"/>
                    <w:left w:val="none" w:sz="0" w:space="0" w:color="auto"/>
                    <w:bottom w:val="none" w:sz="0" w:space="0" w:color="auto"/>
                    <w:right w:val="none" w:sz="0" w:space="0" w:color="auto"/>
                  </w:divBdr>
                  <w:divsChild>
                    <w:div w:id="432408926">
                      <w:marLeft w:val="0"/>
                      <w:marRight w:val="0"/>
                      <w:marTop w:val="0"/>
                      <w:marBottom w:val="0"/>
                      <w:divBdr>
                        <w:top w:val="none" w:sz="0" w:space="0" w:color="auto"/>
                        <w:left w:val="none" w:sz="0" w:space="0" w:color="auto"/>
                        <w:bottom w:val="none" w:sz="0" w:space="0" w:color="auto"/>
                        <w:right w:val="none" w:sz="0" w:space="0" w:color="auto"/>
                      </w:divBdr>
                    </w:div>
                  </w:divsChild>
                </w:div>
                <w:div w:id="1537431166">
                  <w:marLeft w:val="0"/>
                  <w:marRight w:val="0"/>
                  <w:marTop w:val="0"/>
                  <w:marBottom w:val="0"/>
                  <w:divBdr>
                    <w:top w:val="none" w:sz="0" w:space="0" w:color="auto"/>
                    <w:left w:val="none" w:sz="0" w:space="0" w:color="auto"/>
                    <w:bottom w:val="none" w:sz="0" w:space="0" w:color="auto"/>
                    <w:right w:val="none" w:sz="0" w:space="0" w:color="auto"/>
                  </w:divBdr>
                  <w:divsChild>
                    <w:div w:id="798960502">
                      <w:marLeft w:val="0"/>
                      <w:marRight w:val="0"/>
                      <w:marTop w:val="0"/>
                      <w:marBottom w:val="0"/>
                      <w:divBdr>
                        <w:top w:val="none" w:sz="0" w:space="0" w:color="auto"/>
                        <w:left w:val="none" w:sz="0" w:space="0" w:color="auto"/>
                        <w:bottom w:val="none" w:sz="0" w:space="0" w:color="auto"/>
                        <w:right w:val="none" w:sz="0" w:space="0" w:color="auto"/>
                      </w:divBdr>
                    </w:div>
                  </w:divsChild>
                </w:div>
                <w:div w:id="1568761269">
                  <w:marLeft w:val="0"/>
                  <w:marRight w:val="0"/>
                  <w:marTop w:val="0"/>
                  <w:marBottom w:val="0"/>
                  <w:divBdr>
                    <w:top w:val="none" w:sz="0" w:space="0" w:color="auto"/>
                    <w:left w:val="none" w:sz="0" w:space="0" w:color="auto"/>
                    <w:bottom w:val="none" w:sz="0" w:space="0" w:color="auto"/>
                    <w:right w:val="none" w:sz="0" w:space="0" w:color="auto"/>
                  </w:divBdr>
                  <w:divsChild>
                    <w:div w:id="1205829546">
                      <w:marLeft w:val="0"/>
                      <w:marRight w:val="0"/>
                      <w:marTop w:val="0"/>
                      <w:marBottom w:val="0"/>
                      <w:divBdr>
                        <w:top w:val="none" w:sz="0" w:space="0" w:color="auto"/>
                        <w:left w:val="none" w:sz="0" w:space="0" w:color="auto"/>
                        <w:bottom w:val="none" w:sz="0" w:space="0" w:color="auto"/>
                        <w:right w:val="none" w:sz="0" w:space="0" w:color="auto"/>
                      </w:divBdr>
                    </w:div>
                  </w:divsChild>
                </w:div>
                <w:div w:id="1573007198">
                  <w:marLeft w:val="0"/>
                  <w:marRight w:val="0"/>
                  <w:marTop w:val="0"/>
                  <w:marBottom w:val="0"/>
                  <w:divBdr>
                    <w:top w:val="none" w:sz="0" w:space="0" w:color="auto"/>
                    <w:left w:val="none" w:sz="0" w:space="0" w:color="auto"/>
                    <w:bottom w:val="none" w:sz="0" w:space="0" w:color="auto"/>
                    <w:right w:val="none" w:sz="0" w:space="0" w:color="auto"/>
                  </w:divBdr>
                  <w:divsChild>
                    <w:div w:id="170414628">
                      <w:marLeft w:val="0"/>
                      <w:marRight w:val="0"/>
                      <w:marTop w:val="0"/>
                      <w:marBottom w:val="0"/>
                      <w:divBdr>
                        <w:top w:val="none" w:sz="0" w:space="0" w:color="auto"/>
                        <w:left w:val="none" w:sz="0" w:space="0" w:color="auto"/>
                        <w:bottom w:val="none" w:sz="0" w:space="0" w:color="auto"/>
                        <w:right w:val="none" w:sz="0" w:space="0" w:color="auto"/>
                      </w:divBdr>
                    </w:div>
                  </w:divsChild>
                </w:div>
                <w:div w:id="1584415276">
                  <w:marLeft w:val="0"/>
                  <w:marRight w:val="0"/>
                  <w:marTop w:val="0"/>
                  <w:marBottom w:val="0"/>
                  <w:divBdr>
                    <w:top w:val="none" w:sz="0" w:space="0" w:color="auto"/>
                    <w:left w:val="none" w:sz="0" w:space="0" w:color="auto"/>
                    <w:bottom w:val="none" w:sz="0" w:space="0" w:color="auto"/>
                    <w:right w:val="none" w:sz="0" w:space="0" w:color="auto"/>
                  </w:divBdr>
                  <w:divsChild>
                    <w:div w:id="1154100793">
                      <w:marLeft w:val="0"/>
                      <w:marRight w:val="0"/>
                      <w:marTop w:val="0"/>
                      <w:marBottom w:val="0"/>
                      <w:divBdr>
                        <w:top w:val="none" w:sz="0" w:space="0" w:color="auto"/>
                        <w:left w:val="none" w:sz="0" w:space="0" w:color="auto"/>
                        <w:bottom w:val="none" w:sz="0" w:space="0" w:color="auto"/>
                        <w:right w:val="none" w:sz="0" w:space="0" w:color="auto"/>
                      </w:divBdr>
                    </w:div>
                  </w:divsChild>
                </w:div>
                <w:div w:id="1592199823">
                  <w:marLeft w:val="0"/>
                  <w:marRight w:val="0"/>
                  <w:marTop w:val="0"/>
                  <w:marBottom w:val="0"/>
                  <w:divBdr>
                    <w:top w:val="none" w:sz="0" w:space="0" w:color="auto"/>
                    <w:left w:val="none" w:sz="0" w:space="0" w:color="auto"/>
                    <w:bottom w:val="none" w:sz="0" w:space="0" w:color="auto"/>
                    <w:right w:val="none" w:sz="0" w:space="0" w:color="auto"/>
                  </w:divBdr>
                  <w:divsChild>
                    <w:div w:id="399327686">
                      <w:marLeft w:val="0"/>
                      <w:marRight w:val="0"/>
                      <w:marTop w:val="0"/>
                      <w:marBottom w:val="0"/>
                      <w:divBdr>
                        <w:top w:val="none" w:sz="0" w:space="0" w:color="auto"/>
                        <w:left w:val="none" w:sz="0" w:space="0" w:color="auto"/>
                        <w:bottom w:val="none" w:sz="0" w:space="0" w:color="auto"/>
                        <w:right w:val="none" w:sz="0" w:space="0" w:color="auto"/>
                      </w:divBdr>
                    </w:div>
                  </w:divsChild>
                </w:div>
                <w:div w:id="1600139646">
                  <w:marLeft w:val="0"/>
                  <w:marRight w:val="0"/>
                  <w:marTop w:val="0"/>
                  <w:marBottom w:val="0"/>
                  <w:divBdr>
                    <w:top w:val="none" w:sz="0" w:space="0" w:color="auto"/>
                    <w:left w:val="none" w:sz="0" w:space="0" w:color="auto"/>
                    <w:bottom w:val="none" w:sz="0" w:space="0" w:color="auto"/>
                    <w:right w:val="none" w:sz="0" w:space="0" w:color="auto"/>
                  </w:divBdr>
                  <w:divsChild>
                    <w:div w:id="232280502">
                      <w:marLeft w:val="0"/>
                      <w:marRight w:val="0"/>
                      <w:marTop w:val="0"/>
                      <w:marBottom w:val="0"/>
                      <w:divBdr>
                        <w:top w:val="none" w:sz="0" w:space="0" w:color="auto"/>
                        <w:left w:val="none" w:sz="0" w:space="0" w:color="auto"/>
                        <w:bottom w:val="none" w:sz="0" w:space="0" w:color="auto"/>
                        <w:right w:val="none" w:sz="0" w:space="0" w:color="auto"/>
                      </w:divBdr>
                    </w:div>
                  </w:divsChild>
                </w:div>
                <w:div w:id="1631595928">
                  <w:marLeft w:val="0"/>
                  <w:marRight w:val="0"/>
                  <w:marTop w:val="0"/>
                  <w:marBottom w:val="0"/>
                  <w:divBdr>
                    <w:top w:val="none" w:sz="0" w:space="0" w:color="auto"/>
                    <w:left w:val="none" w:sz="0" w:space="0" w:color="auto"/>
                    <w:bottom w:val="none" w:sz="0" w:space="0" w:color="auto"/>
                    <w:right w:val="none" w:sz="0" w:space="0" w:color="auto"/>
                  </w:divBdr>
                  <w:divsChild>
                    <w:div w:id="524293467">
                      <w:marLeft w:val="0"/>
                      <w:marRight w:val="0"/>
                      <w:marTop w:val="0"/>
                      <w:marBottom w:val="0"/>
                      <w:divBdr>
                        <w:top w:val="none" w:sz="0" w:space="0" w:color="auto"/>
                        <w:left w:val="none" w:sz="0" w:space="0" w:color="auto"/>
                        <w:bottom w:val="none" w:sz="0" w:space="0" w:color="auto"/>
                        <w:right w:val="none" w:sz="0" w:space="0" w:color="auto"/>
                      </w:divBdr>
                    </w:div>
                  </w:divsChild>
                </w:div>
                <w:div w:id="1631859772">
                  <w:marLeft w:val="0"/>
                  <w:marRight w:val="0"/>
                  <w:marTop w:val="0"/>
                  <w:marBottom w:val="0"/>
                  <w:divBdr>
                    <w:top w:val="none" w:sz="0" w:space="0" w:color="auto"/>
                    <w:left w:val="none" w:sz="0" w:space="0" w:color="auto"/>
                    <w:bottom w:val="none" w:sz="0" w:space="0" w:color="auto"/>
                    <w:right w:val="none" w:sz="0" w:space="0" w:color="auto"/>
                  </w:divBdr>
                  <w:divsChild>
                    <w:div w:id="389497116">
                      <w:marLeft w:val="0"/>
                      <w:marRight w:val="0"/>
                      <w:marTop w:val="0"/>
                      <w:marBottom w:val="0"/>
                      <w:divBdr>
                        <w:top w:val="none" w:sz="0" w:space="0" w:color="auto"/>
                        <w:left w:val="none" w:sz="0" w:space="0" w:color="auto"/>
                        <w:bottom w:val="none" w:sz="0" w:space="0" w:color="auto"/>
                        <w:right w:val="none" w:sz="0" w:space="0" w:color="auto"/>
                      </w:divBdr>
                    </w:div>
                  </w:divsChild>
                </w:div>
                <w:div w:id="1640652961">
                  <w:marLeft w:val="0"/>
                  <w:marRight w:val="0"/>
                  <w:marTop w:val="0"/>
                  <w:marBottom w:val="0"/>
                  <w:divBdr>
                    <w:top w:val="none" w:sz="0" w:space="0" w:color="auto"/>
                    <w:left w:val="none" w:sz="0" w:space="0" w:color="auto"/>
                    <w:bottom w:val="none" w:sz="0" w:space="0" w:color="auto"/>
                    <w:right w:val="none" w:sz="0" w:space="0" w:color="auto"/>
                  </w:divBdr>
                  <w:divsChild>
                    <w:div w:id="1501389833">
                      <w:marLeft w:val="0"/>
                      <w:marRight w:val="0"/>
                      <w:marTop w:val="0"/>
                      <w:marBottom w:val="0"/>
                      <w:divBdr>
                        <w:top w:val="none" w:sz="0" w:space="0" w:color="auto"/>
                        <w:left w:val="none" w:sz="0" w:space="0" w:color="auto"/>
                        <w:bottom w:val="none" w:sz="0" w:space="0" w:color="auto"/>
                        <w:right w:val="none" w:sz="0" w:space="0" w:color="auto"/>
                      </w:divBdr>
                    </w:div>
                  </w:divsChild>
                </w:div>
                <w:div w:id="1744716740">
                  <w:marLeft w:val="0"/>
                  <w:marRight w:val="0"/>
                  <w:marTop w:val="0"/>
                  <w:marBottom w:val="0"/>
                  <w:divBdr>
                    <w:top w:val="none" w:sz="0" w:space="0" w:color="auto"/>
                    <w:left w:val="none" w:sz="0" w:space="0" w:color="auto"/>
                    <w:bottom w:val="none" w:sz="0" w:space="0" w:color="auto"/>
                    <w:right w:val="none" w:sz="0" w:space="0" w:color="auto"/>
                  </w:divBdr>
                  <w:divsChild>
                    <w:div w:id="540704439">
                      <w:marLeft w:val="0"/>
                      <w:marRight w:val="0"/>
                      <w:marTop w:val="0"/>
                      <w:marBottom w:val="0"/>
                      <w:divBdr>
                        <w:top w:val="none" w:sz="0" w:space="0" w:color="auto"/>
                        <w:left w:val="none" w:sz="0" w:space="0" w:color="auto"/>
                        <w:bottom w:val="none" w:sz="0" w:space="0" w:color="auto"/>
                        <w:right w:val="none" w:sz="0" w:space="0" w:color="auto"/>
                      </w:divBdr>
                    </w:div>
                  </w:divsChild>
                </w:div>
                <w:div w:id="1749034883">
                  <w:marLeft w:val="0"/>
                  <w:marRight w:val="0"/>
                  <w:marTop w:val="0"/>
                  <w:marBottom w:val="0"/>
                  <w:divBdr>
                    <w:top w:val="none" w:sz="0" w:space="0" w:color="auto"/>
                    <w:left w:val="none" w:sz="0" w:space="0" w:color="auto"/>
                    <w:bottom w:val="none" w:sz="0" w:space="0" w:color="auto"/>
                    <w:right w:val="none" w:sz="0" w:space="0" w:color="auto"/>
                  </w:divBdr>
                  <w:divsChild>
                    <w:div w:id="869495312">
                      <w:marLeft w:val="0"/>
                      <w:marRight w:val="0"/>
                      <w:marTop w:val="0"/>
                      <w:marBottom w:val="0"/>
                      <w:divBdr>
                        <w:top w:val="none" w:sz="0" w:space="0" w:color="auto"/>
                        <w:left w:val="none" w:sz="0" w:space="0" w:color="auto"/>
                        <w:bottom w:val="none" w:sz="0" w:space="0" w:color="auto"/>
                        <w:right w:val="none" w:sz="0" w:space="0" w:color="auto"/>
                      </w:divBdr>
                    </w:div>
                  </w:divsChild>
                </w:div>
                <w:div w:id="1792087536">
                  <w:marLeft w:val="0"/>
                  <w:marRight w:val="0"/>
                  <w:marTop w:val="0"/>
                  <w:marBottom w:val="0"/>
                  <w:divBdr>
                    <w:top w:val="none" w:sz="0" w:space="0" w:color="auto"/>
                    <w:left w:val="none" w:sz="0" w:space="0" w:color="auto"/>
                    <w:bottom w:val="none" w:sz="0" w:space="0" w:color="auto"/>
                    <w:right w:val="none" w:sz="0" w:space="0" w:color="auto"/>
                  </w:divBdr>
                  <w:divsChild>
                    <w:div w:id="1437557509">
                      <w:marLeft w:val="0"/>
                      <w:marRight w:val="0"/>
                      <w:marTop w:val="0"/>
                      <w:marBottom w:val="0"/>
                      <w:divBdr>
                        <w:top w:val="none" w:sz="0" w:space="0" w:color="auto"/>
                        <w:left w:val="none" w:sz="0" w:space="0" w:color="auto"/>
                        <w:bottom w:val="none" w:sz="0" w:space="0" w:color="auto"/>
                        <w:right w:val="none" w:sz="0" w:space="0" w:color="auto"/>
                      </w:divBdr>
                    </w:div>
                    <w:div w:id="1606302567">
                      <w:marLeft w:val="0"/>
                      <w:marRight w:val="0"/>
                      <w:marTop w:val="0"/>
                      <w:marBottom w:val="0"/>
                      <w:divBdr>
                        <w:top w:val="none" w:sz="0" w:space="0" w:color="auto"/>
                        <w:left w:val="none" w:sz="0" w:space="0" w:color="auto"/>
                        <w:bottom w:val="none" w:sz="0" w:space="0" w:color="auto"/>
                        <w:right w:val="none" w:sz="0" w:space="0" w:color="auto"/>
                      </w:divBdr>
                    </w:div>
                  </w:divsChild>
                </w:div>
                <w:div w:id="1794009628">
                  <w:marLeft w:val="0"/>
                  <w:marRight w:val="0"/>
                  <w:marTop w:val="0"/>
                  <w:marBottom w:val="0"/>
                  <w:divBdr>
                    <w:top w:val="none" w:sz="0" w:space="0" w:color="auto"/>
                    <w:left w:val="none" w:sz="0" w:space="0" w:color="auto"/>
                    <w:bottom w:val="none" w:sz="0" w:space="0" w:color="auto"/>
                    <w:right w:val="none" w:sz="0" w:space="0" w:color="auto"/>
                  </w:divBdr>
                  <w:divsChild>
                    <w:div w:id="356394116">
                      <w:marLeft w:val="0"/>
                      <w:marRight w:val="0"/>
                      <w:marTop w:val="0"/>
                      <w:marBottom w:val="0"/>
                      <w:divBdr>
                        <w:top w:val="none" w:sz="0" w:space="0" w:color="auto"/>
                        <w:left w:val="none" w:sz="0" w:space="0" w:color="auto"/>
                        <w:bottom w:val="none" w:sz="0" w:space="0" w:color="auto"/>
                        <w:right w:val="none" w:sz="0" w:space="0" w:color="auto"/>
                      </w:divBdr>
                    </w:div>
                  </w:divsChild>
                </w:div>
                <w:div w:id="1814828108">
                  <w:marLeft w:val="0"/>
                  <w:marRight w:val="0"/>
                  <w:marTop w:val="0"/>
                  <w:marBottom w:val="0"/>
                  <w:divBdr>
                    <w:top w:val="none" w:sz="0" w:space="0" w:color="auto"/>
                    <w:left w:val="none" w:sz="0" w:space="0" w:color="auto"/>
                    <w:bottom w:val="none" w:sz="0" w:space="0" w:color="auto"/>
                    <w:right w:val="none" w:sz="0" w:space="0" w:color="auto"/>
                  </w:divBdr>
                  <w:divsChild>
                    <w:div w:id="477038258">
                      <w:marLeft w:val="0"/>
                      <w:marRight w:val="0"/>
                      <w:marTop w:val="0"/>
                      <w:marBottom w:val="0"/>
                      <w:divBdr>
                        <w:top w:val="none" w:sz="0" w:space="0" w:color="auto"/>
                        <w:left w:val="none" w:sz="0" w:space="0" w:color="auto"/>
                        <w:bottom w:val="none" w:sz="0" w:space="0" w:color="auto"/>
                        <w:right w:val="none" w:sz="0" w:space="0" w:color="auto"/>
                      </w:divBdr>
                    </w:div>
                  </w:divsChild>
                </w:div>
                <w:div w:id="1832332092">
                  <w:marLeft w:val="0"/>
                  <w:marRight w:val="0"/>
                  <w:marTop w:val="0"/>
                  <w:marBottom w:val="0"/>
                  <w:divBdr>
                    <w:top w:val="none" w:sz="0" w:space="0" w:color="auto"/>
                    <w:left w:val="none" w:sz="0" w:space="0" w:color="auto"/>
                    <w:bottom w:val="none" w:sz="0" w:space="0" w:color="auto"/>
                    <w:right w:val="none" w:sz="0" w:space="0" w:color="auto"/>
                  </w:divBdr>
                  <w:divsChild>
                    <w:div w:id="766850244">
                      <w:marLeft w:val="0"/>
                      <w:marRight w:val="0"/>
                      <w:marTop w:val="0"/>
                      <w:marBottom w:val="0"/>
                      <w:divBdr>
                        <w:top w:val="none" w:sz="0" w:space="0" w:color="auto"/>
                        <w:left w:val="none" w:sz="0" w:space="0" w:color="auto"/>
                        <w:bottom w:val="none" w:sz="0" w:space="0" w:color="auto"/>
                        <w:right w:val="none" w:sz="0" w:space="0" w:color="auto"/>
                      </w:divBdr>
                    </w:div>
                  </w:divsChild>
                </w:div>
                <w:div w:id="1867015236">
                  <w:marLeft w:val="0"/>
                  <w:marRight w:val="0"/>
                  <w:marTop w:val="0"/>
                  <w:marBottom w:val="0"/>
                  <w:divBdr>
                    <w:top w:val="none" w:sz="0" w:space="0" w:color="auto"/>
                    <w:left w:val="none" w:sz="0" w:space="0" w:color="auto"/>
                    <w:bottom w:val="none" w:sz="0" w:space="0" w:color="auto"/>
                    <w:right w:val="none" w:sz="0" w:space="0" w:color="auto"/>
                  </w:divBdr>
                  <w:divsChild>
                    <w:div w:id="1261646644">
                      <w:marLeft w:val="0"/>
                      <w:marRight w:val="0"/>
                      <w:marTop w:val="0"/>
                      <w:marBottom w:val="0"/>
                      <w:divBdr>
                        <w:top w:val="none" w:sz="0" w:space="0" w:color="auto"/>
                        <w:left w:val="none" w:sz="0" w:space="0" w:color="auto"/>
                        <w:bottom w:val="none" w:sz="0" w:space="0" w:color="auto"/>
                        <w:right w:val="none" w:sz="0" w:space="0" w:color="auto"/>
                      </w:divBdr>
                    </w:div>
                  </w:divsChild>
                </w:div>
                <w:div w:id="1884556457">
                  <w:marLeft w:val="0"/>
                  <w:marRight w:val="0"/>
                  <w:marTop w:val="0"/>
                  <w:marBottom w:val="0"/>
                  <w:divBdr>
                    <w:top w:val="none" w:sz="0" w:space="0" w:color="auto"/>
                    <w:left w:val="none" w:sz="0" w:space="0" w:color="auto"/>
                    <w:bottom w:val="none" w:sz="0" w:space="0" w:color="auto"/>
                    <w:right w:val="none" w:sz="0" w:space="0" w:color="auto"/>
                  </w:divBdr>
                  <w:divsChild>
                    <w:div w:id="1895769103">
                      <w:marLeft w:val="0"/>
                      <w:marRight w:val="0"/>
                      <w:marTop w:val="0"/>
                      <w:marBottom w:val="0"/>
                      <w:divBdr>
                        <w:top w:val="none" w:sz="0" w:space="0" w:color="auto"/>
                        <w:left w:val="none" w:sz="0" w:space="0" w:color="auto"/>
                        <w:bottom w:val="none" w:sz="0" w:space="0" w:color="auto"/>
                        <w:right w:val="none" w:sz="0" w:space="0" w:color="auto"/>
                      </w:divBdr>
                    </w:div>
                  </w:divsChild>
                </w:div>
                <w:div w:id="1938439338">
                  <w:marLeft w:val="0"/>
                  <w:marRight w:val="0"/>
                  <w:marTop w:val="0"/>
                  <w:marBottom w:val="0"/>
                  <w:divBdr>
                    <w:top w:val="none" w:sz="0" w:space="0" w:color="auto"/>
                    <w:left w:val="none" w:sz="0" w:space="0" w:color="auto"/>
                    <w:bottom w:val="none" w:sz="0" w:space="0" w:color="auto"/>
                    <w:right w:val="none" w:sz="0" w:space="0" w:color="auto"/>
                  </w:divBdr>
                  <w:divsChild>
                    <w:div w:id="1147091265">
                      <w:marLeft w:val="0"/>
                      <w:marRight w:val="0"/>
                      <w:marTop w:val="0"/>
                      <w:marBottom w:val="0"/>
                      <w:divBdr>
                        <w:top w:val="none" w:sz="0" w:space="0" w:color="auto"/>
                        <w:left w:val="none" w:sz="0" w:space="0" w:color="auto"/>
                        <w:bottom w:val="none" w:sz="0" w:space="0" w:color="auto"/>
                        <w:right w:val="none" w:sz="0" w:space="0" w:color="auto"/>
                      </w:divBdr>
                    </w:div>
                    <w:div w:id="2113549185">
                      <w:marLeft w:val="0"/>
                      <w:marRight w:val="0"/>
                      <w:marTop w:val="0"/>
                      <w:marBottom w:val="0"/>
                      <w:divBdr>
                        <w:top w:val="none" w:sz="0" w:space="0" w:color="auto"/>
                        <w:left w:val="none" w:sz="0" w:space="0" w:color="auto"/>
                        <w:bottom w:val="none" w:sz="0" w:space="0" w:color="auto"/>
                        <w:right w:val="none" w:sz="0" w:space="0" w:color="auto"/>
                      </w:divBdr>
                    </w:div>
                  </w:divsChild>
                </w:div>
                <w:div w:id="1939096897">
                  <w:marLeft w:val="0"/>
                  <w:marRight w:val="0"/>
                  <w:marTop w:val="0"/>
                  <w:marBottom w:val="0"/>
                  <w:divBdr>
                    <w:top w:val="none" w:sz="0" w:space="0" w:color="auto"/>
                    <w:left w:val="none" w:sz="0" w:space="0" w:color="auto"/>
                    <w:bottom w:val="none" w:sz="0" w:space="0" w:color="auto"/>
                    <w:right w:val="none" w:sz="0" w:space="0" w:color="auto"/>
                  </w:divBdr>
                  <w:divsChild>
                    <w:div w:id="1153719282">
                      <w:marLeft w:val="0"/>
                      <w:marRight w:val="0"/>
                      <w:marTop w:val="0"/>
                      <w:marBottom w:val="0"/>
                      <w:divBdr>
                        <w:top w:val="none" w:sz="0" w:space="0" w:color="auto"/>
                        <w:left w:val="none" w:sz="0" w:space="0" w:color="auto"/>
                        <w:bottom w:val="none" w:sz="0" w:space="0" w:color="auto"/>
                        <w:right w:val="none" w:sz="0" w:space="0" w:color="auto"/>
                      </w:divBdr>
                    </w:div>
                  </w:divsChild>
                </w:div>
                <w:div w:id="1947887863">
                  <w:marLeft w:val="0"/>
                  <w:marRight w:val="0"/>
                  <w:marTop w:val="0"/>
                  <w:marBottom w:val="0"/>
                  <w:divBdr>
                    <w:top w:val="none" w:sz="0" w:space="0" w:color="auto"/>
                    <w:left w:val="none" w:sz="0" w:space="0" w:color="auto"/>
                    <w:bottom w:val="none" w:sz="0" w:space="0" w:color="auto"/>
                    <w:right w:val="none" w:sz="0" w:space="0" w:color="auto"/>
                  </w:divBdr>
                  <w:divsChild>
                    <w:div w:id="680937153">
                      <w:marLeft w:val="0"/>
                      <w:marRight w:val="0"/>
                      <w:marTop w:val="0"/>
                      <w:marBottom w:val="0"/>
                      <w:divBdr>
                        <w:top w:val="none" w:sz="0" w:space="0" w:color="auto"/>
                        <w:left w:val="none" w:sz="0" w:space="0" w:color="auto"/>
                        <w:bottom w:val="none" w:sz="0" w:space="0" w:color="auto"/>
                        <w:right w:val="none" w:sz="0" w:space="0" w:color="auto"/>
                      </w:divBdr>
                    </w:div>
                  </w:divsChild>
                </w:div>
                <w:div w:id="1949920958">
                  <w:marLeft w:val="0"/>
                  <w:marRight w:val="0"/>
                  <w:marTop w:val="0"/>
                  <w:marBottom w:val="0"/>
                  <w:divBdr>
                    <w:top w:val="none" w:sz="0" w:space="0" w:color="auto"/>
                    <w:left w:val="none" w:sz="0" w:space="0" w:color="auto"/>
                    <w:bottom w:val="none" w:sz="0" w:space="0" w:color="auto"/>
                    <w:right w:val="none" w:sz="0" w:space="0" w:color="auto"/>
                  </w:divBdr>
                  <w:divsChild>
                    <w:div w:id="1312708784">
                      <w:marLeft w:val="0"/>
                      <w:marRight w:val="0"/>
                      <w:marTop w:val="0"/>
                      <w:marBottom w:val="0"/>
                      <w:divBdr>
                        <w:top w:val="none" w:sz="0" w:space="0" w:color="auto"/>
                        <w:left w:val="none" w:sz="0" w:space="0" w:color="auto"/>
                        <w:bottom w:val="none" w:sz="0" w:space="0" w:color="auto"/>
                        <w:right w:val="none" w:sz="0" w:space="0" w:color="auto"/>
                      </w:divBdr>
                    </w:div>
                  </w:divsChild>
                </w:div>
                <w:div w:id="1989967180">
                  <w:marLeft w:val="0"/>
                  <w:marRight w:val="0"/>
                  <w:marTop w:val="0"/>
                  <w:marBottom w:val="0"/>
                  <w:divBdr>
                    <w:top w:val="none" w:sz="0" w:space="0" w:color="auto"/>
                    <w:left w:val="none" w:sz="0" w:space="0" w:color="auto"/>
                    <w:bottom w:val="none" w:sz="0" w:space="0" w:color="auto"/>
                    <w:right w:val="none" w:sz="0" w:space="0" w:color="auto"/>
                  </w:divBdr>
                  <w:divsChild>
                    <w:div w:id="624970312">
                      <w:marLeft w:val="0"/>
                      <w:marRight w:val="0"/>
                      <w:marTop w:val="0"/>
                      <w:marBottom w:val="0"/>
                      <w:divBdr>
                        <w:top w:val="none" w:sz="0" w:space="0" w:color="auto"/>
                        <w:left w:val="none" w:sz="0" w:space="0" w:color="auto"/>
                        <w:bottom w:val="none" w:sz="0" w:space="0" w:color="auto"/>
                        <w:right w:val="none" w:sz="0" w:space="0" w:color="auto"/>
                      </w:divBdr>
                    </w:div>
                    <w:div w:id="1372415016">
                      <w:marLeft w:val="0"/>
                      <w:marRight w:val="0"/>
                      <w:marTop w:val="0"/>
                      <w:marBottom w:val="0"/>
                      <w:divBdr>
                        <w:top w:val="none" w:sz="0" w:space="0" w:color="auto"/>
                        <w:left w:val="none" w:sz="0" w:space="0" w:color="auto"/>
                        <w:bottom w:val="none" w:sz="0" w:space="0" w:color="auto"/>
                        <w:right w:val="none" w:sz="0" w:space="0" w:color="auto"/>
                      </w:divBdr>
                    </w:div>
                  </w:divsChild>
                </w:div>
                <w:div w:id="2001040716">
                  <w:marLeft w:val="0"/>
                  <w:marRight w:val="0"/>
                  <w:marTop w:val="0"/>
                  <w:marBottom w:val="0"/>
                  <w:divBdr>
                    <w:top w:val="none" w:sz="0" w:space="0" w:color="auto"/>
                    <w:left w:val="none" w:sz="0" w:space="0" w:color="auto"/>
                    <w:bottom w:val="none" w:sz="0" w:space="0" w:color="auto"/>
                    <w:right w:val="none" w:sz="0" w:space="0" w:color="auto"/>
                  </w:divBdr>
                  <w:divsChild>
                    <w:div w:id="364864882">
                      <w:marLeft w:val="0"/>
                      <w:marRight w:val="0"/>
                      <w:marTop w:val="0"/>
                      <w:marBottom w:val="0"/>
                      <w:divBdr>
                        <w:top w:val="none" w:sz="0" w:space="0" w:color="auto"/>
                        <w:left w:val="none" w:sz="0" w:space="0" w:color="auto"/>
                        <w:bottom w:val="none" w:sz="0" w:space="0" w:color="auto"/>
                        <w:right w:val="none" w:sz="0" w:space="0" w:color="auto"/>
                      </w:divBdr>
                    </w:div>
                  </w:divsChild>
                </w:div>
                <w:div w:id="2011062941">
                  <w:marLeft w:val="0"/>
                  <w:marRight w:val="0"/>
                  <w:marTop w:val="0"/>
                  <w:marBottom w:val="0"/>
                  <w:divBdr>
                    <w:top w:val="none" w:sz="0" w:space="0" w:color="auto"/>
                    <w:left w:val="none" w:sz="0" w:space="0" w:color="auto"/>
                    <w:bottom w:val="none" w:sz="0" w:space="0" w:color="auto"/>
                    <w:right w:val="none" w:sz="0" w:space="0" w:color="auto"/>
                  </w:divBdr>
                  <w:divsChild>
                    <w:div w:id="670252253">
                      <w:marLeft w:val="0"/>
                      <w:marRight w:val="0"/>
                      <w:marTop w:val="0"/>
                      <w:marBottom w:val="0"/>
                      <w:divBdr>
                        <w:top w:val="none" w:sz="0" w:space="0" w:color="auto"/>
                        <w:left w:val="none" w:sz="0" w:space="0" w:color="auto"/>
                        <w:bottom w:val="none" w:sz="0" w:space="0" w:color="auto"/>
                        <w:right w:val="none" w:sz="0" w:space="0" w:color="auto"/>
                      </w:divBdr>
                    </w:div>
                  </w:divsChild>
                </w:div>
                <w:div w:id="2013946640">
                  <w:marLeft w:val="0"/>
                  <w:marRight w:val="0"/>
                  <w:marTop w:val="0"/>
                  <w:marBottom w:val="0"/>
                  <w:divBdr>
                    <w:top w:val="none" w:sz="0" w:space="0" w:color="auto"/>
                    <w:left w:val="none" w:sz="0" w:space="0" w:color="auto"/>
                    <w:bottom w:val="none" w:sz="0" w:space="0" w:color="auto"/>
                    <w:right w:val="none" w:sz="0" w:space="0" w:color="auto"/>
                  </w:divBdr>
                  <w:divsChild>
                    <w:div w:id="1738362064">
                      <w:marLeft w:val="0"/>
                      <w:marRight w:val="0"/>
                      <w:marTop w:val="0"/>
                      <w:marBottom w:val="0"/>
                      <w:divBdr>
                        <w:top w:val="none" w:sz="0" w:space="0" w:color="auto"/>
                        <w:left w:val="none" w:sz="0" w:space="0" w:color="auto"/>
                        <w:bottom w:val="none" w:sz="0" w:space="0" w:color="auto"/>
                        <w:right w:val="none" w:sz="0" w:space="0" w:color="auto"/>
                      </w:divBdr>
                    </w:div>
                  </w:divsChild>
                </w:div>
                <w:div w:id="2019388053">
                  <w:marLeft w:val="0"/>
                  <w:marRight w:val="0"/>
                  <w:marTop w:val="0"/>
                  <w:marBottom w:val="0"/>
                  <w:divBdr>
                    <w:top w:val="none" w:sz="0" w:space="0" w:color="auto"/>
                    <w:left w:val="none" w:sz="0" w:space="0" w:color="auto"/>
                    <w:bottom w:val="none" w:sz="0" w:space="0" w:color="auto"/>
                    <w:right w:val="none" w:sz="0" w:space="0" w:color="auto"/>
                  </w:divBdr>
                  <w:divsChild>
                    <w:div w:id="653338586">
                      <w:marLeft w:val="0"/>
                      <w:marRight w:val="0"/>
                      <w:marTop w:val="0"/>
                      <w:marBottom w:val="0"/>
                      <w:divBdr>
                        <w:top w:val="none" w:sz="0" w:space="0" w:color="auto"/>
                        <w:left w:val="none" w:sz="0" w:space="0" w:color="auto"/>
                        <w:bottom w:val="none" w:sz="0" w:space="0" w:color="auto"/>
                        <w:right w:val="none" w:sz="0" w:space="0" w:color="auto"/>
                      </w:divBdr>
                    </w:div>
                  </w:divsChild>
                </w:div>
                <w:div w:id="2093238796">
                  <w:marLeft w:val="0"/>
                  <w:marRight w:val="0"/>
                  <w:marTop w:val="0"/>
                  <w:marBottom w:val="0"/>
                  <w:divBdr>
                    <w:top w:val="none" w:sz="0" w:space="0" w:color="auto"/>
                    <w:left w:val="none" w:sz="0" w:space="0" w:color="auto"/>
                    <w:bottom w:val="none" w:sz="0" w:space="0" w:color="auto"/>
                    <w:right w:val="none" w:sz="0" w:space="0" w:color="auto"/>
                  </w:divBdr>
                  <w:divsChild>
                    <w:div w:id="667174543">
                      <w:marLeft w:val="0"/>
                      <w:marRight w:val="0"/>
                      <w:marTop w:val="0"/>
                      <w:marBottom w:val="0"/>
                      <w:divBdr>
                        <w:top w:val="none" w:sz="0" w:space="0" w:color="auto"/>
                        <w:left w:val="none" w:sz="0" w:space="0" w:color="auto"/>
                        <w:bottom w:val="none" w:sz="0" w:space="0" w:color="auto"/>
                        <w:right w:val="none" w:sz="0" w:space="0" w:color="auto"/>
                      </w:divBdr>
                    </w:div>
                  </w:divsChild>
                </w:div>
                <w:div w:id="2109960111">
                  <w:marLeft w:val="0"/>
                  <w:marRight w:val="0"/>
                  <w:marTop w:val="0"/>
                  <w:marBottom w:val="0"/>
                  <w:divBdr>
                    <w:top w:val="none" w:sz="0" w:space="0" w:color="auto"/>
                    <w:left w:val="none" w:sz="0" w:space="0" w:color="auto"/>
                    <w:bottom w:val="none" w:sz="0" w:space="0" w:color="auto"/>
                    <w:right w:val="none" w:sz="0" w:space="0" w:color="auto"/>
                  </w:divBdr>
                  <w:divsChild>
                    <w:div w:id="19650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78833">
          <w:marLeft w:val="0"/>
          <w:marRight w:val="0"/>
          <w:marTop w:val="0"/>
          <w:marBottom w:val="0"/>
          <w:divBdr>
            <w:top w:val="none" w:sz="0" w:space="0" w:color="auto"/>
            <w:left w:val="none" w:sz="0" w:space="0" w:color="auto"/>
            <w:bottom w:val="none" w:sz="0" w:space="0" w:color="auto"/>
            <w:right w:val="none" w:sz="0" w:space="0" w:color="auto"/>
          </w:divBdr>
        </w:div>
      </w:divsChild>
    </w:div>
    <w:div w:id="1867212112">
      <w:bodyDiv w:val="1"/>
      <w:marLeft w:val="0"/>
      <w:marRight w:val="0"/>
      <w:marTop w:val="0"/>
      <w:marBottom w:val="0"/>
      <w:divBdr>
        <w:top w:val="none" w:sz="0" w:space="0" w:color="auto"/>
        <w:left w:val="none" w:sz="0" w:space="0" w:color="auto"/>
        <w:bottom w:val="none" w:sz="0" w:space="0" w:color="auto"/>
        <w:right w:val="none" w:sz="0" w:space="0" w:color="auto"/>
      </w:divBdr>
    </w:div>
    <w:div w:id="1872495646">
      <w:bodyDiv w:val="1"/>
      <w:marLeft w:val="0"/>
      <w:marRight w:val="0"/>
      <w:marTop w:val="0"/>
      <w:marBottom w:val="0"/>
      <w:divBdr>
        <w:top w:val="none" w:sz="0" w:space="0" w:color="auto"/>
        <w:left w:val="none" w:sz="0" w:space="0" w:color="auto"/>
        <w:bottom w:val="none" w:sz="0" w:space="0" w:color="auto"/>
        <w:right w:val="none" w:sz="0" w:space="0" w:color="auto"/>
      </w:divBdr>
      <w:divsChild>
        <w:div w:id="129516215">
          <w:marLeft w:val="0"/>
          <w:marRight w:val="0"/>
          <w:marTop w:val="0"/>
          <w:marBottom w:val="0"/>
          <w:divBdr>
            <w:top w:val="none" w:sz="0" w:space="0" w:color="auto"/>
            <w:left w:val="none" w:sz="0" w:space="0" w:color="auto"/>
            <w:bottom w:val="none" w:sz="0" w:space="0" w:color="auto"/>
            <w:right w:val="none" w:sz="0" w:space="0" w:color="auto"/>
          </w:divBdr>
          <w:divsChild>
            <w:div w:id="2013605247">
              <w:marLeft w:val="0"/>
              <w:marRight w:val="0"/>
              <w:marTop w:val="30"/>
              <w:marBottom w:val="30"/>
              <w:divBdr>
                <w:top w:val="none" w:sz="0" w:space="0" w:color="auto"/>
                <w:left w:val="none" w:sz="0" w:space="0" w:color="auto"/>
                <w:bottom w:val="none" w:sz="0" w:space="0" w:color="auto"/>
                <w:right w:val="none" w:sz="0" w:space="0" w:color="auto"/>
              </w:divBdr>
              <w:divsChild>
                <w:div w:id="34276172">
                  <w:marLeft w:val="0"/>
                  <w:marRight w:val="0"/>
                  <w:marTop w:val="0"/>
                  <w:marBottom w:val="0"/>
                  <w:divBdr>
                    <w:top w:val="none" w:sz="0" w:space="0" w:color="auto"/>
                    <w:left w:val="none" w:sz="0" w:space="0" w:color="auto"/>
                    <w:bottom w:val="none" w:sz="0" w:space="0" w:color="auto"/>
                    <w:right w:val="none" w:sz="0" w:space="0" w:color="auto"/>
                  </w:divBdr>
                  <w:divsChild>
                    <w:div w:id="120270254">
                      <w:marLeft w:val="0"/>
                      <w:marRight w:val="0"/>
                      <w:marTop w:val="0"/>
                      <w:marBottom w:val="0"/>
                      <w:divBdr>
                        <w:top w:val="none" w:sz="0" w:space="0" w:color="auto"/>
                        <w:left w:val="none" w:sz="0" w:space="0" w:color="auto"/>
                        <w:bottom w:val="none" w:sz="0" w:space="0" w:color="auto"/>
                        <w:right w:val="none" w:sz="0" w:space="0" w:color="auto"/>
                      </w:divBdr>
                    </w:div>
                  </w:divsChild>
                </w:div>
                <w:div w:id="133328731">
                  <w:marLeft w:val="0"/>
                  <w:marRight w:val="0"/>
                  <w:marTop w:val="0"/>
                  <w:marBottom w:val="0"/>
                  <w:divBdr>
                    <w:top w:val="none" w:sz="0" w:space="0" w:color="auto"/>
                    <w:left w:val="none" w:sz="0" w:space="0" w:color="auto"/>
                    <w:bottom w:val="none" w:sz="0" w:space="0" w:color="auto"/>
                    <w:right w:val="none" w:sz="0" w:space="0" w:color="auto"/>
                  </w:divBdr>
                  <w:divsChild>
                    <w:div w:id="1551334839">
                      <w:marLeft w:val="0"/>
                      <w:marRight w:val="0"/>
                      <w:marTop w:val="0"/>
                      <w:marBottom w:val="0"/>
                      <w:divBdr>
                        <w:top w:val="none" w:sz="0" w:space="0" w:color="auto"/>
                        <w:left w:val="none" w:sz="0" w:space="0" w:color="auto"/>
                        <w:bottom w:val="none" w:sz="0" w:space="0" w:color="auto"/>
                        <w:right w:val="none" w:sz="0" w:space="0" w:color="auto"/>
                      </w:divBdr>
                    </w:div>
                  </w:divsChild>
                </w:div>
                <w:div w:id="174613580">
                  <w:marLeft w:val="0"/>
                  <w:marRight w:val="0"/>
                  <w:marTop w:val="0"/>
                  <w:marBottom w:val="0"/>
                  <w:divBdr>
                    <w:top w:val="none" w:sz="0" w:space="0" w:color="auto"/>
                    <w:left w:val="none" w:sz="0" w:space="0" w:color="auto"/>
                    <w:bottom w:val="none" w:sz="0" w:space="0" w:color="auto"/>
                    <w:right w:val="none" w:sz="0" w:space="0" w:color="auto"/>
                  </w:divBdr>
                  <w:divsChild>
                    <w:div w:id="1853761599">
                      <w:marLeft w:val="0"/>
                      <w:marRight w:val="0"/>
                      <w:marTop w:val="0"/>
                      <w:marBottom w:val="0"/>
                      <w:divBdr>
                        <w:top w:val="none" w:sz="0" w:space="0" w:color="auto"/>
                        <w:left w:val="none" w:sz="0" w:space="0" w:color="auto"/>
                        <w:bottom w:val="none" w:sz="0" w:space="0" w:color="auto"/>
                        <w:right w:val="none" w:sz="0" w:space="0" w:color="auto"/>
                      </w:divBdr>
                    </w:div>
                  </w:divsChild>
                </w:div>
                <w:div w:id="201599643">
                  <w:marLeft w:val="0"/>
                  <w:marRight w:val="0"/>
                  <w:marTop w:val="0"/>
                  <w:marBottom w:val="0"/>
                  <w:divBdr>
                    <w:top w:val="none" w:sz="0" w:space="0" w:color="auto"/>
                    <w:left w:val="none" w:sz="0" w:space="0" w:color="auto"/>
                    <w:bottom w:val="none" w:sz="0" w:space="0" w:color="auto"/>
                    <w:right w:val="none" w:sz="0" w:space="0" w:color="auto"/>
                  </w:divBdr>
                  <w:divsChild>
                    <w:div w:id="103962490">
                      <w:marLeft w:val="0"/>
                      <w:marRight w:val="0"/>
                      <w:marTop w:val="0"/>
                      <w:marBottom w:val="0"/>
                      <w:divBdr>
                        <w:top w:val="none" w:sz="0" w:space="0" w:color="auto"/>
                        <w:left w:val="none" w:sz="0" w:space="0" w:color="auto"/>
                        <w:bottom w:val="none" w:sz="0" w:space="0" w:color="auto"/>
                        <w:right w:val="none" w:sz="0" w:space="0" w:color="auto"/>
                      </w:divBdr>
                    </w:div>
                  </w:divsChild>
                </w:div>
                <w:div w:id="208227694">
                  <w:marLeft w:val="0"/>
                  <w:marRight w:val="0"/>
                  <w:marTop w:val="0"/>
                  <w:marBottom w:val="0"/>
                  <w:divBdr>
                    <w:top w:val="none" w:sz="0" w:space="0" w:color="auto"/>
                    <w:left w:val="none" w:sz="0" w:space="0" w:color="auto"/>
                    <w:bottom w:val="none" w:sz="0" w:space="0" w:color="auto"/>
                    <w:right w:val="none" w:sz="0" w:space="0" w:color="auto"/>
                  </w:divBdr>
                  <w:divsChild>
                    <w:div w:id="958030852">
                      <w:marLeft w:val="0"/>
                      <w:marRight w:val="0"/>
                      <w:marTop w:val="0"/>
                      <w:marBottom w:val="0"/>
                      <w:divBdr>
                        <w:top w:val="none" w:sz="0" w:space="0" w:color="auto"/>
                        <w:left w:val="none" w:sz="0" w:space="0" w:color="auto"/>
                        <w:bottom w:val="none" w:sz="0" w:space="0" w:color="auto"/>
                        <w:right w:val="none" w:sz="0" w:space="0" w:color="auto"/>
                      </w:divBdr>
                    </w:div>
                  </w:divsChild>
                </w:div>
                <w:div w:id="217975962">
                  <w:marLeft w:val="0"/>
                  <w:marRight w:val="0"/>
                  <w:marTop w:val="0"/>
                  <w:marBottom w:val="0"/>
                  <w:divBdr>
                    <w:top w:val="none" w:sz="0" w:space="0" w:color="auto"/>
                    <w:left w:val="none" w:sz="0" w:space="0" w:color="auto"/>
                    <w:bottom w:val="none" w:sz="0" w:space="0" w:color="auto"/>
                    <w:right w:val="none" w:sz="0" w:space="0" w:color="auto"/>
                  </w:divBdr>
                  <w:divsChild>
                    <w:div w:id="515119867">
                      <w:marLeft w:val="0"/>
                      <w:marRight w:val="0"/>
                      <w:marTop w:val="0"/>
                      <w:marBottom w:val="0"/>
                      <w:divBdr>
                        <w:top w:val="none" w:sz="0" w:space="0" w:color="auto"/>
                        <w:left w:val="none" w:sz="0" w:space="0" w:color="auto"/>
                        <w:bottom w:val="none" w:sz="0" w:space="0" w:color="auto"/>
                        <w:right w:val="none" w:sz="0" w:space="0" w:color="auto"/>
                      </w:divBdr>
                    </w:div>
                  </w:divsChild>
                </w:div>
                <w:div w:id="221447899">
                  <w:marLeft w:val="0"/>
                  <w:marRight w:val="0"/>
                  <w:marTop w:val="0"/>
                  <w:marBottom w:val="0"/>
                  <w:divBdr>
                    <w:top w:val="none" w:sz="0" w:space="0" w:color="auto"/>
                    <w:left w:val="none" w:sz="0" w:space="0" w:color="auto"/>
                    <w:bottom w:val="none" w:sz="0" w:space="0" w:color="auto"/>
                    <w:right w:val="none" w:sz="0" w:space="0" w:color="auto"/>
                  </w:divBdr>
                  <w:divsChild>
                    <w:div w:id="1971935292">
                      <w:marLeft w:val="0"/>
                      <w:marRight w:val="0"/>
                      <w:marTop w:val="0"/>
                      <w:marBottom w:val="0"/>
                      <w:divBdr>
                        <w:top w:val="none" w:sz="0" w:space="0" w:color="auto"/>
                        <w:left w:val="none" w:sz="0" w:space="0" w:color="auto"/>
                        <w:bottom w:val="none" w:sz="0" w:space="0" w:color="auto"/>
                        <w:right w:val="none" w:sz="0" w:space="0" w:color="auto"/>
                      </w:divBdr>
                    </w:div>
                  </w:divsChild>
                </w:div>
                <w:div w:id="232815921">
                  <w:marLeft w:val="0"/>
                  <w:marRight w:val="0"/>
                  <w:marTop w:val="0"/>
                  <w:marBottom w:val="0"/>
                  <w:divBdr>
                    <w:top w:val="none" w:sz="0" w:space="0" w:color="auto"/>
                    <w:left w:val="none" w:sz="0" w:space="0" w:color="auto"/>
                    <w:bottom w:val="none" w:sz="0" w:space="0" w:color="auto"/>
                    <w:right w:val="none" w:sz="0" w:space="0" w:color="auto"/>
                  </w:divBdr>
                  <w:divsChild>
                    <w:div w:id="2043893052">
                      <w:marLeft w:val="0"/>
                      <w:marRight w:val="0"/>
                      <w:marTop w:val="0"/>
                      <w:marBottom w:val="0"/>
                      <w:divBdr>
                        <w:top w:val="none" w:sz="0" w:space="0" w:color="auto"/>
                        <w:left w:val="none" w:sz="0" w:space="0" w:color="auto"/>
                        <w:bottom w:val="none" w:sz="0" w:space="0" w:color="auto"/>
                        <w:right w:val="none" w:sz="0" w:space="0" w:color="auto"/>
                      </w:divBdr>
                    </w:div>
                  </w:divsChild>
                </w:div>
                <w:div w:id="263222140">
                  <w:marLeft w:val="0"/>
                  <w:marRight w:val="0"/>
                  <w:marTop w:val="0"/>
                  <w:marBottom w:val="0"/>
                  <w:divBdr>
                    <w:top w:val="none" w:sz="0" w:space="0" w:color="auto"/>
                    <w:left w:val="none" w:sz="0" w:space="0" w:color="auto"/>
                    <w:bottom w:val="none" w:sz="0" w:space="0" w:color="auto"/>
                    <w:right w:val="none" w:sz="0" w:space="0" w:color="auto"/>
                  </w:divBdr>
                  <w:divsChild>
                    <w:div w:id="1569344855">
                      <w:marLeft w:val="0"/>
                      <w:marRight w:val="0"/>
                      <w:marTop w:val="0"/>
                      <w:marBottom w:val="0"/>
                      <w:divBdr>
                        <w:top w:val="none" w:sz="0" w:space="0" w:color="auto"/>
                        <w:left w:val="none" w:sz="0" w:space="0" w:color="auto"/>
                        <w:bottom w:val="none" w:sz="0" w:space="0" w:color="auto"/>
                        <w:right w:val="none" w:sz="0" w:space="0" w:color="auto"/>
                      </w:divBdr>
                    </w:div>
                  </w:divsChild>
                </w:div>
                <w:div w:id="268050595">
                  <w:marLeft w:val="0"/>
                  <w:marRight w:val="0"/>
                  <w:marTop w:val="0"/>
                  <w:marBottom w:val="0"/>
                  <w:divBdr>
                    <w:top w:val="none" w:sz="0" w:space="0" w:color="auto"/>
                    <w:left w:val="none" w:sz="0" w:space="0" w:color="auto"/>
                    <w:bottom w:val="none" w:sz="0" w:space="0" w:color="auto"/>
                    <w:right w:val="none" w:sz="0" w:space="0" w:color="auto"/>
                  </w:divBdr>
                  <w:divsChild>
                    <w:div w:id="664555336">
                      <w:marLeft w:val="0"/>
                      <w:marRight w:val="0"/>
                      <w:marTop w:val="0"/>
                      <w:marBottom w:val="0"/>
                      <w:divBdr>
                        <w:top w:val="none" w:sz="0" w:space="0" w:color="auto"/>
                        <w:left w:val="none" w:sz="0" w:space="0" w:color="auto"/>
                        <w:bottom w:val="none" w:sz="0" w:space="0" w:color="auto"/>
                        <w:right w:val="none" w:sz="0" w:space="0" w:color="auto"/>
                      </w:divBdr>
                    </w:div>
                  </w:divsChild>
                </w:div>
                <w:div w:id="273827975">
                  <w:marLeft w:val="0"/>
                  <w:marRight w:val="0"/>
                  <w:marTop w:val="0"/>
                  <w:marBottom w:val="0"/>
                  <w:divBdr>
                    <w:top w:val="none" w:sz="0" w:space="0" w:color="auto"/>
                    <w:left w:val="none" w:sz="0" w:space="0" w:color="auto"/>
                    <w:bottom w:val="none" w:sz="0" w:space="0" w:color="auto"/>
                    <w:right w:val="none" w:sz="0" w:space="0" w:color="auto"/>
                  </w:divBdr>
                  <w:divsChild>
                    <w:div w:id="1523089097">
                      <w:marLeft w:val="0"/>
                      <w:marRight w:val="0"/>
                      <w:marTop w:val="0"/>
                      <w:marBottom w:val="0"/>
                      <w:divBdr>
                        <w:top w:val="none" w:sz="0" w:space="0" w:color="auto"/>
                        <w:left w:val="none" w:sz="0" w:space="0" w:color="auto"/>
                        <w:bottom w:val="none" w:sz="0" w:space="0" w:color="auto"/>
                        <w:right w:val="none" w:sz="0" w:space="0" w:color="auto"/>
                      </w:divBdr>
                    </w:div>
                  </w:divsChild>
                </w:div>
                <w:div w:id="291332301">
                  <w:marLeft w:val="0"/>
                  <w:marRight w:val="0"/>
                  <w:marTop w:val="0"/>
                  <w:marBottom w:val="0"/>
                  <w:divBdr>
                    <w:top w:val="none" w:sz="0" w:space="0" w:color="auto"/>
                    <w:left w:val="none" w:sz="0" w:space="0" w:color="auto"/>
                    <w:bottom w:val="none" w:sz="0" w:space="0" w:color="auto"/>
                    <w:right w:val="none" w:sz="0" w:space="0" w:color="auto"/>
                  </w:divBdr>
                  <w:divsChild>
                    <w:div w:id="280429128">
                      <w:marLeft w:val="0"/>
                      <w:marRight w:val="0"/>
                      <w:marTop w:val="0"/>
                      <w:marBottom w:val="0"/>
                      <w:divBdr>
                        <w:top w:val="none" w:sz="0" w:space="0" w:color="auto"/>
                        <w:left w:val="none" w:sz="0" w:space="0" w:color="auto"/>
                        <w:bottom w:val="none" w:sz="0" w:space="0" w:color="auto"/>
                        <w:right w:val="none" w:sz="0" w:space="0" w:color="auto"/>
                      </w:divBdr>
                    </w:div>
                  </w:divsChild>
                </w:div>
                <w:div w:id="293415446">
                  <w:marLeft w:val="0"/>
                  <w:marRight w:val="0"/>
                  <w:marTop w:val="0"/>
                  <w:marBottom w:val="0"/>
                  <w:divBdr>
                    <w:top w:val="none" w:sz="0" w:space="0" w:color="auto"/>
                    <w:left w:val="none" w:sz="0" w:space="0" w:color="auto"/>
                    <w:bottom w:val="none" w:sz="0" w:space="0" w:color="auto"/>
                    <w:right w:val="none" w:sz="0" w:space="0" w:color="auto"/>
                  </w:divBdr>
                  <w:divsChild>
                    <w:div w:id="1613977089">
                      <w:marLeft w:val="0"/>
                      <w:marRight w:val="0"/>
                      <w:marTop w:val="0"/>
                      <w:marBottom w:val="0"/>
                      <w:divBdr>
                        <w:top w:val="none" w:sz="0" w:space="0" w:color="auto"/>
                        <w:left w:val="none" w:sz="0" w:space="0" w:color="auto"/>
                        <w:bottom w:val="none" w:sz="0" w:space="0" w:color="auto"/>
                        <w:right w:val="none" w:sz="0" w:space="0" w:color="auto"/>
                      </w:divBdr>
                    </w:div>
                  </w:divsChild>
                </w:div>
                <w:div w:id="315764575">
                  <w:marLeft w:val="0"/>
                  <w:marRight w:val="0"/>
                  <w:marTop w:val="0"/>
                  <w:marBottom w:val="0"/>
                  <w:divBdr>
                    <w:top w:val="none" w:sz="0" w:space="0" w:color="auto"/>
                    <w:left w:val="none" w:sz="0" w:space="0" w:color="auto"/>
                    <w:bottom w:val="none" w:sz="0" w:space="0" w:color="auto"/>
                    <w:right w:val="none" w:sz="0" w:space="0" w:color="auto"/>
                  </w:divBdr>
                  <w:divsChild>
                    <w:div w:id="148327860">
                      <w:marLeft w:val="0"/>
                      <w:marRight w:val="0"/>
                      <w:marTop w:val="0"/>
                      <w:marBottom w:val="0"/>
                      <w:divBdr>
                        <w:top w:val="none" w:sz="0" w:space="0" w:color="auto"/>
                        <w:left w:val="none" w:sz="0" w:space="0" w:color="auto"/>
                        <w:bottom w:val="none" w:sz="0" w:space="0" w:color="auto"/>
                        <w:right w:val="none" w:sz="0" w:space="0" w:color="auto"/>
                      </w:divBdr>
                    </w:div>
                  </w:divsChild>
                </w:div>
                <w:div w:id="320348688">
                  <w:marLeft w:val="0"/>
                  <w:marRight w:val="0"/>
                  <w:marTop w:val="0"/>
                  <w:marBottom w:val="0"/>
                  <w:divBdr>
                    <w:top w:val="none" w:sz="0" w:space="0" w:color="auto"/>
                    <w:left w:val="none" w:sz="0" w:space="0" w:color="auto"/>
                    <w:bottom w:val="none" w:sz="0" w:space="0" w:color="auto"/>
                    <w:right w:val="none" w:sz="0" w:space="0" w:color="auto"/>
                  </w:divBdr>
                  <w:divsChild>
                    <w:div w:id="1934315913">
                      <w:marLeft w:val="0"/>
                      <w:marRight w:val="0"/>
                      <w:marTop w:val="0"/>
                      <w:marBottom w:val="0"/>
                      <w:divBdr>
                        <w:top w:val="none" w:sz="0" w:space="0" w:color="auto"/>
                        <w:left w:val="none" w:sz="0" w:space="0" w:color="auto"/>
                        <w:bottom w:val="none" w:sz="0" w:space="0" w:color="auto"/>
                        <w:right w:val="none" w:sz="0" w:space="0" w:color="auto"/>
                      </w:divBdr>
                    </w:div>
                  </w:divsChild>
                </w:div>
                <w:div w:id="324672445">
                  <w:marLeft w:val="0"/>
                  <w:marRight w:val="0"/>
                  <w:marTop w:val="0"/>
                  <w:marBottom w:val="0"/>
                  <w:divBdr>
                    <w:top w:val="none" w:sz="0" w:space="0" w:color="auto"/>
                    <w:left w:val="none" w:sz="0" w:space="0" w:color="auto"/>
                    <w:bottom w:val="none" w:sz="0" w:space="0" w:color="auto"/>
                    <w:right w:val="none" w:sz="0" w:space="0" w:color="auto"/>
                  </w:divBdr>
                  <w:divsChild>
                    <w:div w:id="1874924609">
                      <w:marLeft w:val="0"/>
                      <w:marRight w:val="0"/>
                      <w:marTop w:val="0"/>
                      <w:marBottom w:val="0"/>
                      <w:divBdr>
                        <w:top w:val="none" w:sz="0" w:space="0" w:color="auto"/>
                        <w:left w:val="none" w:sz="0" w:space="0" w:color="auto"/>
                        <w:bottom w:val="none" w:sz="0" w:space="0" w:color="auto"/>
                        <w:right w:val="none" w:sz="0" w:space="0" w:color="auto"/>
                      </w:divBdr>
                    </w:div>
                  </w:divsChild>
                </w:div>
                <w:div w:id="336420194">
                  <w:marLeft w:val="0"/>
                  <w:marRight w:val="0"/>
                  <w:marTop w:val="0"/>
                  <w:marBottom w:val="0"/>
                  <w:divBdr>
                    <w:top w:val="none" w:sz="0" w:space="0" w:color="auto"/>
                    <w:left w:val="none" w:sz="0" w:space="0" w:color="auto"/>
                    <w:bottom w:val="none" w:sz="0" w:space="0" w:color="auto"/>
                    <w:right w:val="none" w:sz="0" w:space="0" w:color="auto"/>
                  </w:divBdr>
                  <w:divsChild>
                    <w:div w:id="1882160284">
                      <w:marLeft w:val="0"/>
                      <w:marRight w:val="0"/>
                      <w:marTop w:val="0"/>
                      <w:marBottom w:val="0"/>
                      <w:divBdr>
                        <w:top w:val="none" w:sz="0" w:space="0" w:color="auto"/>
                        <w:left w:val="none" w:sz="0" w:space="0" w:color="auto"/>
                        <w:bottom w:val="none" w:sz="0" w:space="0" w:color="auto"/>
                        <w:right w:val="none" w:sz="0" w:space="0" w:color="auto"/>
                      </w:divBdr>
                    </w:div>
                  </w:divsChild>
                </w:div>
                <w:div w:id="362482639">
                  <w:marLeft w:val="0"/>
                  <w:marRight w:val="0"/>
                  <w:marTop w:val="0"/>
                  <w:marBottom w:val="0"/>
                  <w:divBdr>
                    <w:top w:val="none" w:sz="0" w:space="0" w:color="auto"/>
                    <w:left w:val="none" w:sz="0" w:space="0" w:color="auto"/>
                    <w:bottom w:val="none" w:sz="0" w:space="0" w:color="auto"/>
                    <w:right w:val="none" w:sz="0" w:space="0" w:color="auto"/>
                  </w:divBdr>
                  <w:divsChild>
                    <w:div w:id="192229453">
                      <w:marLeft w:val="0"/>
                      <w:marRight w:val="0"/>
                      <w:marTop w:val="0"/>
                      <w:marBottom w:val="0"/>
                      <w:divBdr>
                        <w:top w:val="none" w:sz="0" w:space="0" w:color="auto"/>
                        <w:left w:val="none" w:sz="0" w:space="0" w:color="auto"/>
                        <w:bottom w:val="none" w:sz="0" w:space="0" w:color="auto"/>
                        <w:right w:val="none" w:sz="0" w:space="0" w:color="auto"/>
                      </w:divBdr>
                    </w:div>
                  </w:divsChild>
                </w:div>
                <w:div w:id="424038082">
                  <w:marLeft w:val="0"/>
                  <w:marRight w:val="0"/>
                  <w:marTop w:val="0"/>
                  <w:marBottom w:val="0"/>
                  <w:divBdr>
                    <w:top w:val="none" w:sz="0" w:space="0" w:color="auto"/>
                    <w:left w:val="none" w:sz="0" w:space="0" w:color="auto"/>
                    <w:bottom w:val="none" w:sz="0" w:space="0" w:color="auto"/>
                    <w:right w:val="none" w:sz="0" w:space="0" w:color="auto"/>
                  </w:divBdr>
                  <w:divsChild>
                    <w:div w:id="312835712">
                      <w:marLeft w:val="0"/>
                      <w:marRight w:val="0"/>
                      <w:marTop w:val="0"/>
                      <w:marBottom w:val="0"/>
                      <w:divBdr>
                        <w:top w:val="none" w:sz="0" w:space="0" w:color="auto"/>
                        <w:left w:val="none" w:sz="0" w:space="0" w:color="auto"/>
                        <w:bottom w:val="none" w:sz="0" w:space="0" w:color="auto"/>
                        <w:right w:val="none" w:sz="0" w:space="0" w:color="auto"/>
                      </w:divBdr>
                    </w:div>
                  </w:divsChild>
                </w:div>
                <w:div w:id="429544647">
                  <w:marLeft w:val="0"/>
                  <w:marRight w:val="0"/>
                  <w:marTop w:val="0"/>
                  <w:marBottom w:val="0"/>
                  <w:divBdr>
                    <w:top w:val="none" w:sz="0" w:space="0" w:color="auto"/>
                    <w:left w:val="none" w:sz="0" w:space="0" w:color="auto"/>
                    <w:bottom w:val="none" w:sz="0" w:space="0" w:color="auto"/>
                    <w:right w:val="none" w:sz="0" w:space="0" w:color="auto"/>
                  </w:divBdr>
                  <w:divsChild>
                    <w:div w:id="1849565437">
                      <w:marLeft w:val="0"/>
                      <w:marRight w:val="0"/>
                      <w:marTop w:val="0"/>
                      <w:marBottom w:val="0"/>
                      <w:divBdr>
                        <w:top w:val="none" w:sz="0" w:space="0" w:color="auto"/>
                        <w:left w:val="none" w:sz="0" w:space="0" w:color="auto"/>
                        <w:bottom w:val="none" w:sz="0" w:space="0" w:color="auto"/>
                        <w:right w:val="none" w:sz="0" w:space="0" w:color="auto"/>
                      </w:divBdr>
                    </w:div>
                  </w:divsChild>
                </w:div>
                <w:div w:id="437721669">
                  <w:marLeft w:val="0"/>
                  <w:marRight w:val="0"/>
                  <w:marTop w:val="0"/>
                  <w:marBottom w:val="0"/>
                  <w:divBdr>
                    <w:top w:val="none" w:sz="0" w:space="0" w:color="auto"/>
                    <w:left w:val="none" w:sz="0" w:space="0" w:color="auto"/>
                    <w:bottom w:val="none" w:sz="0" w:space="0" w:color="auto"/>
                    <w:right w:val="none" w:sz="0" w:space="0" w:color="auto"/>
                  </w:divBdr>
                  <w:divsChild>
                    <w:div w:id="2017268291">
                      <w:marLeft w:val="0"/>
                      <w:marRight w:val="0"/>
                      <w:marTop w:val="0"/>
                      <w:marBottom w:val="0"/>
                      <w:divBdr>
                        <w:top w:val="none" w:sz="0" w:space="0" w:color="auto"/>
                        <w:left w:val="none" w:sz="0" w:space="0" w:color="auto"/>
                        <w:bottom w:val="none" w:sz="0" w:space="0" w:color="auto"/>
                        <w:right w:val="none" w:sz="0" w:space="0" w:color="auto"/>
                      </w:divBdr>
                    </w:div>
                  </w:divsChild>
                </w:div>
                <w:div w:id="452018778">
                  <w:marLeft w:val="0"/>
                  <w:marRight w:val="0"/>
                  <w:marTop w:val="0"/>
                  <w:marBottom w:val="0"/>
                  <w:divBdr>
                    <w:top w:val="none" w:sz="0" w:space="0" w:color="auto"/>
                    <w:left w:val="none" w:sz="0" w:space="0" w:color="auto"/>
                    <w:bottom w:val="none" w:sz="0" w:space="0" w:color="auto"/>
                    <w:right w:val="none" w:sz="0" w:space="0" w:color="auto"/>
                  </w:divBdr>
                  <w:divsChild>
                    <w:div w:id="1401057792">
                      <w:marLeft w:val="0"/>
                      <w:marRight w:val="0"/>
                      <w:marTop w:val="0"/>
                      <w:marBottom w:val="0"/>
                      <w:divBdr>
                        <w:top w:val="none" w:sz="0" w:space="0" w:color="auto"/>
                        <w:left w:val="none" w:sz="0" w:space="0" w:color="auto"/>
                        <w:bottom w:val="none" w:sz="0" w:space="0" w:color="auto"/>
                        <w:right w:val="none" w:sz="0" w:space="0" w:color="auto"/>
                      </w:divBdr>
                    </w:div>
                  </w:divsChild>
                </w:div>
                <w:div w:id="478032751">
                  <w:marLeft w:val="0"/>
                  <w:marRight w:val="0"/>
                  <w:marTop w:val="0"/>
                  <w:marBottom w:val="0"/>
                  <w:divBdr>
                    <w:top w:val="none" w:sz="0" w:space="0" w:color="auto"/>
                    <w:left w:val="none" w:sz="0" w:space="0" w:color="auto"/>
                    <w:bottom w:val="none" w:sz="0" w:space="0" w:color="auto"/>
                    <w:right w:val="none" w:sz="0" w:space="0" w:color="auto"/>
                  </w:divBdr>
                  <w:divsChild>
                    <w:div w:id="1487864416">
                      <w:marLeft w:val="0"/>
                      <w:marRight w:val="0"/>
                      <w:marTop w:val="0"/>
                      <w:marBottom w:val="0"/>
                      <w:divBdr>
                        <w:top w:val="none" w:sz="0" w:space="0" w:color="auto"/>
                        <w:left w:val="none" w:sz="0" w:space="0" w:color="auto"/>
                        <w:bottom w:val="none" w:sz="0" w:space="0" w:color="auto"/>
                        <w:right w:val="none" w:sz="0" w:space="0" w:color="auto"/>
                      </w:divBdr>
                    </w:div>
                  </w:divsChild>
                </w:div>
                <w:div w:id="499004950">
                  <w:marLeft w:val="0"/>
                  <w:marRight w:val="0"/>
                  <w:marTop w:val="0"/>
                  <w:marBottom w:val="0"/>
                  <w:divBdr>
                    <w:top w:val="none" w:sz="0" w:space="0" w:color="auto"/>
                    <w:left w:val="none" w:sz="0" w:space="0" w:color="auto"/>
                    <w:bottom w:val="none" w:sz="0" w:space="0" w:color="auto"/>
                    <w:right w:val="none" w:sz="0" w:space="0" w:color="auto"/>
                  </w:divBdr>
                  <w:divsChild>
                    <w:div w:id="725645825">
                      <w:marLeft w:val="0"/>
                      <w:marRight w:val="0"/>
                      <w:marTop w:val="0"/>
                      <w:marBottom w:val="0"/>
                      <w:divBdr>
                        <w:top w:val="none" w:sz="0" w:space="0" w:color="auto"/>
                        <w:left w:val="none" w:sz="0" w:space="0" w:color="auto"/>
                        <w:bottom w:val="none" w:sz="0" w:space="0" w:color="auto"/>
                        <w:right w:val="none" w:sz="0" w:space="0" w:color="auto"/>
                      </w:divBdr>
                    </w:div>
                  </w:divsChild>
                </w:div>
                <w:div w:id="505293048">
                  <w:marLeft w:val="0"/>
                  <w:marRight w:val="0"/>
                  <w:marTop w:val="0"/>
                  <w:marBottom w:val="0"/>
                  <w:divBdr>
                    <w:top w:val="none" w:sz="0" w:space="0" w:color="auto"/>
                    <w:left w:val="none" w:sz="0" w:space="0" w:color="auto"/>
                    <w:bottom w:val="none" w:sz="0" w:space="0" w:color="auto"/>
                    <w:right w:val="none" w:sz="0" w:space="0" w:color="auto"/>
                  </w:divBdr>
                  <w:divsChild>
                    <w:div w:id="485828004">
                      <w:marLeft w:val="0"/>
                      <w:marRight w:val="0"/>
                      <w:marTop w:val="0"/>
                      <w:marBottom w:val="0"/>
                      <w:divBdr>
                        <w:top w:val="none" w:sz="0" w:space="0" w:color="auto"/>
                        <w:left w:val="none" w:sz="0" w:space="0" w:color="auto"/>
                        <w:bottom w:val="none" w:sz="0" w:space="0" w:color="auto"/>
                        <w:right w:val="none" w:sz="0" w:space="0" w:color="auto"/>
                      </w:divBdr>
                    </w:div>
                  </w:divsChild>
                </w:div>
                <w:div w:id="508370280">
                  <w:marLeft w:val="0"/>
                  <w:marRight w:val="0"/>
                  <w:marTop w:val="0"/>
                  <w:marBottom w:val="0"/>
                  <w:divBdr>
                    <w:top w:val="none" w:sz="0" w:space="0" w:color="auto"/>
                    <w:left w:val="none" w:sz="0" w:space="0" w:color="auto"/>
                    <w:bottom w:val="none" w:sz="0" w:space="0" w:color="auto"/>
                    <w:right w:val="none" w:sz="0" w:space="0" w:color="auto"/>
                  </w:divBdr>
                  <w:divsChild>
                    <w:div w:id="397636463">
                      <w:marLeft w:val="0"/>
                      <w:marRight w:val="0"/>
                      <w:marTop w:val="0"/>
                      <w:marBottom w:val="0"/>
                      <w:divBdr>
                        <w:top w:val="none" w:sz="0" w:space="0" w:color="auto"/>
                        <w:left w:val="none" w:sz="0" w:space="0" w:color="auto"/>
                        <w:bottom w:val="none" w:sz="0" w:space="0" w:color="auto"/>
                        <w:right w:val="none" w:sz="0" w:space="0" w:color="auto"/>
                      </w:divBdr>
                    </w:div>
                    <w:div w:id="714964121">
                      <w:marLeft w:val="0"/>
                      <w:marRight w:val="0"/>
                      <w:marTop w:val="0"/>
                      <w:marBottom w:val="0"/>
                      <w:divBdr>
                        <w:top w:val="none" w:sz="0" w:space="0" w:color="auto"/>
                        <w:left w:val="none" w:sz="0" w:space="0" w:color="auto"/>
                        <w:bottom w:val="none" w:sz="0" w:space="0" w:color="auto"/>
                        <w:right w:val="none" w:sz="0" w:space="0" w:color="auto"/>
                      </w:divBdr>
                    </w:div>
                  </w:divsChild>
                </w:div>
                <w:div w:id="521365016">
                  <w:marLeft w:val="0"/>
                  <w:marRight w:val="0"/>
                  <w:marTop w:val="0"/>
                  <w:marBottom w:val="0"/>
                  <w:divBdr>
                    <w:top w:val="none" w:sz="0" w:space="0" w:color="auto"/>
                    <w:left w:val="none" w:sz="0" w:space="0" w:color="auto"/>
                    <w:bottom w:val="none" w:sz="0" w:space="0" w:color="auto"/>
                    <w:right w:val="none" w:sz="0" w:space="0" w:color="auto"/>
                  </w:divBdr>
                  <w:divsChild>
                    <w:div w:id="756243416">
                      <w:marLeft w:val="0"/>
                      <w:marRight w:val="0"/>
                      <w:marTop w:val="0"/>
                      <w:marBottom w:val="0"/>
                      <w:divBdr>
                        <w:top w:val="none" w:sz="0" w:space="0" w:color="auto"/>
                        <w:left w:val="none" w:sz="0" w:space="0" w:color="auto"/>
                        <w:bottom w:val="none" w:sz="0" w:space="0" w:color="auto"/>
                        <w:right w:val="none" w:sz="0" w:space="0" w:color="auto"/>
                      </w:divBdr>
                    </w:div>
                  </w:divsChild>
                </w:div>
                <w:div w:id="527332820">
                  <w:marLeft w:val="0"/>
                  <w:marRight w:val="0"/>
                  <w:marTop w:val="0"/>
                  <w:marBottom w:val="0"/>
                  <w:divBdr>
                    <w:top w:val="none" w:sz="0" w:space="0" w:color="auto"/>
                    <w:left w:val="none" w:sz="0" w:space="0" w:color="auto"/>
                    <w:bottom w:val="none" w:sz="0" w:space="0" w:color="auto"/>
                    <w:right w:val="none" w:sz="0" w:space="0" w:color="auto"/>
                  </w:divBdr>
                  <w:divsChild>
                    <w:div w:id="31730145">
                      <w:marLeft w:val="0"/>
                      <w:marRight w:val="0"/>
                      <w:marTop w:val="0"/>
                      <w:marBottom w:val="0"/>
                      <w:divBdr>
                        <w:top w:val="none" w:sz="0" w:space="0" w:color="auto"/>
                        <w:left w:val="none" w:sz="0" w:space="0" w:color="auto"/>
                        <w:bottom w:val="none" w:sz="0" w:space="0" w:color="auto"/>
                        <w:right w:val="none" w:sz="0" w:space="0" w:color="auto"/>
                      </w:divBdr>
                    </w:div>
                  </w:divsChild>
                </w:div>
                <w:div w:id="579099193">
                  <w:marLeft w:val="0"/>
                  <w:marRight w:val="0"/>
                  <w:marTop w:val="0"/>
                  <w:marBottom w:val="0"/>
                  <w:divBdr>
                    <w:top w:val="none" w:sz="0" w:space="0" w:color="auto"/>
                    <w:left w:val="none" w:sz="0" w:space="0" w:color="auto"/>
                    <w:bottom w:val="none" w:sz="0" w:space="0" w:color="auto"/>
                    <w:right w:val="none" w:sz="0" w:space="0" w:color="auto"/>
                  </w:divBdr>
                  <w:divsChild>
                    <w:div w:id="67383764">
                      <w:marLeft w:val="0"/>
                      <w:marRight w:val="0"/>
                      <w:marTop w:val="0"/>
                      <w:marBottom w:val="0"/>
                      <w:divBdr>
                        <w:top w:val="none" w:sz="0" w:space="0" w:color="auto"/>
                        <w:left w:val="none" w:sz="0" w:space="0" w:color="auto"/>
                        <w:bottom w:val="none" w:sz="0" w:space="0" w:color="auto"/>
                        <w:right w:val="none" w:sz="0" w:space="0" w:color="auto"/>
                      </w:divBdr>
                    </w:div>
                  </w:divsChild>
                </w:div>
                <w:div w:id="594754121">
                  <w:marLeft w:val="0"/>
                  <w:marRight w:val="0"/>
                  <w:marTop w:val="0"/>
                  <w:marBottom w:val="0"/>
                  <w:divBdr>
                    <w:top w:val="none" w:sz="0" w:space="0" w:color="auto"/>
                    <w:left w:val="none" w:sz="0" w:space="0" w:color="auto"/>
                    <w:bottom w:val="none" w:sz="0" w:space="0" w:color="auto"/>
                    <w:right w:val="none" w:sz="0" w:space="0" w:color="auto"/>
                  </w:divBdr>
                  <w:divsChild>
                    <w:div w:id="949243667">
                      <w:marLeft w:val="0"/>
                      <w:marRight w:val="0"/>
                      <w:marTop w:val="0"/>
                      <w:marBottom w:val="0"/>
                      <w:divBdr>
                        <w:top w:val="none" w:sz="0" w:space="0" w:color="auto"/>
                        <w:left w:val="none" w:sz="0" w:space="0" w:color="auto"/>
                        <w:bottom w:val="none" w:sz="0" w:space="0" w:color="auto"/>
                        <w:right w:val="none" w:sz="0" w:space="0" w:color="auto"/>
                      </w:divBdr>
                    </w:div>
                  </w:divsChild>
                </w:div>
                <w:div w:id="632447422">
                  <w:marLeft w:val="0"/>
                  <w:marRight w:val="0"/>
                  <w:marTop w:val="0"/>
                  <w:marBottom w:val="0"/>
                  <w:divBdr>
                    <w:top w:val="none" w:sz="0" w:space="0" w:color="auto"/>
                    <w:left w:val="none" w:sz="0" w:space="0" w:color="auto"/>
                    <w:bottom w:val="none" w:sz="0" w:space="0" w:color="auto"/>
                    <w:right w:val="none" w:sz="0" w:space="0" w:color="auto"/>
                  </w:divBdr>
                  <w:divsChild>
                    <w:div w:id="1436826302">
                      <w:marLeft w:val="0"/>
                      <w:marRight w:val="0"/>
                      <w:marTop w:val="0"/>
                      <w:marBottom w:val="0"/>
                      <w:divBdr>
                        <w:top w:val="none" w:sz="0" w:space="0" w:color="auto"/>
                        <w:left w:val="none" w:sz="0" w:space="0" w:color="auto"/>
                        <w:bottom w:val="none" w:sz="0" w:space="0" w:color="auto"/>
                        <w:right w:val="none" w:sz="0" w:space="0" w:color="auto"/>
                      </w:divBdr>
                    </w:div>
                  </w:divsChild>
                </w:div>
                <w:div w:id="647247321">
                  <w:marLeft w:val="0"/>
                  <w:marRight w:val="0"/>
                  <w:marTop w:val="0"/>
                  <w:marBottom w:val="0"/>
                  <w:divBdr>
                    <w:top w:val="none" w:sz="0" w:space="0" w:color="auto"/>
                    <w:left w:val="none" w:sz="0" w:space="0" w:color="auto"/>
                    <w:bottom w:val="none" w:sz="0" w:space="0" w:color="auto"/>
                    <w:right w:val="none" w:sz="0" w:space="0" w:color="auto"/>
                  </w:divBdr>
                  <w:divsChild>
                    <w:div w:id="500851323">
                      <w:marLeft w:val="0"/>
                      <w:marRight w:val="0"/>
                      <w:marTop w:val="0"/>
                      <w:marBottom w:val="0"/>
                      <w:divBdr>
                        <w:top w:val="none" w:sz="0" w:space="0" w:color="auto"/>
                        <w:left w:val="none" w:sz="0" w:space="0" w:color="auto"/>
                        <w:bottom w:val="none" w:sz="0" w:space="0" w:color="auto"/>
                        <w:right w:val="none" w:sz="0" w:space="0" w:color="auto"/>
                      </w:divBdr>
                    </w:div>
                    <w:div w:id="2003655620">
                      <w:marLeft w:val="0"/>
                      <w:marRight w:val="0"/>
                      <w:marTop w:val="0"/>
                      <w:marBottom w:val="0"/>
                      <w:divBdr>
                        <w:top w:val="none" w:sz="0" w:space="0" w:color="auto"/>
                        <w:left w:val="none" w:sz="0" w:space="0" w:color="auto"/>
                        <w:bottom w:val="none" w:sz="0" w:space="0" w:color="auto"/>
                        <w:right w:val="none" w:sz="0" w:space="0" w:color="auto"/>
                      </w:divBdr>
                    </w:div>
                  </w:divsChild>
                </w:div>
                <w:div w:id="647712870">
                  <w:marLeft w:val="0"/>
                  <w:marRight w:val="0"/>
                  <w:marTop w:val="0"/>
                  <w:marBottom w:val="0"/>
                  <w:divBdr>
                    <w:top w:val="none" w:sz="0" w:space="0" w:color="auto"/>
                    <w:left w:val="none" w:sz="0" w:space="0" w:color="auto"/>
                    <w:bottom w:val="none" w:sz="0" w:space="0" w:color="auto"/>
                    <w:right w:val="none" w:sz="0" w:space="0" w:color="auto"/>
                  </w:divBdr>
                  <w:divsChild>
                    <w:div w:id="1976982896">
                      <w:marLeft w:val="0"/>
                      <w:marRight w:val="0"/>
                      <w:marTop w:val="0"/>
                      <w:marBottom w:val="0"/>
                      <w:divBdr>
                        <w:top w:val="none" w:sz="0" w:space="0" w:color="auto"/>
                        <w:left w:val="none" w:sz="0" w:space="0" w:color="auto"/>
                        <w:bottom w:val="none" w:sz="0" w:space="0" w:color="auto"/>
                        <w:right w:val="none" w:sz="0" w:space="0" w:color="auto"/>
                      </w:divBdr>
                    </w:div>
                  </w:divsChild>
                </w:div>
                <w:div w:id="661008331">
                  <w:marLeft w:val="0"/>
                  <w:marRight w:val="0"/>
                  <w:marTop w:val="0"/>
                  <w:marBottom w:val="0"/>
                  <w:divBdr>
                    <w:top w:val="none" w:sz="0" w:space="0" w:color="auto"/>
                    <w:left w:val="none" w:sz="0" w:space="0" w:color="auto"/>
                    <w:bottom w:val="none" w:sz="0" w:space="0" w:color="auto"/>
                    <w:right w:val="none" w:sz="0" w:space="0" w:color="auto"/>
                  </w:divBdr>
                  <w:divsChild>
                    <w:div w:id="1942833044">
                      <w:marLeft w:val="0"/>
                      <w:marRight w:val="0"/>
                      <w:marTop w:val="0"/>
                      <w:marBottom w:val="0"/>
                      <w:divBdr>
                        <w:top w:val="none" w:sz="0" w:space="0" w:color="auto"/>
                        <w:left w:val="none" w:sz="0" w:space="0" w:color="auto"/>
                        <w:bottom w:val="none" w:sz="0" w:space="0" w:color="auto"/>
                        <w:right w:val="none" w:sz="0" w:space="0" w:color="auto"/>
                      </w:divBdr>
                    </w:div>
                  </w:divsChild>
                </w:div>
                <w:div w:id="700861146">
                  <w:marLeft w:val="0"/>
                  <w:marRight w:val="0"/>
                  <w:marTop w:val="0"/>
                  <w:marBottom w:val="0"/>
                  <w:divBdr>
                    <w:top w:val="none" w:sz="0" w:space="0" w:color="auto"/>
                    <w:left w:val="none" w:sz="0" w:space="0" w:color="auto"/>
                    <w:bottom w:val="none" w:sz="0" w:space="0" w:color="auto"/>
                    <w:right w:val="none" w:sz="0" w:space="0" w:color="auto"/>
                  </w:divBdr>
                  <w:divsChild>
                    <w:div w:id="830413960">
                      <w:marLeft w:val="0"/>
                      <w:marRight w:val="0"/>
                      <w:marTop w:val="0"/>
                      <w:marBottom w:val="0"/>
                      <w:divBdr>
                        <w:top w:val="none" w:sz="0" w:space="0" w:color="auto"/>
                        <w:left w:val="none" w:sz="0" w:space="0" w:color="auto"/>
                        <w:bottom w:val="none" w:sz="0" w:space="0" w:color="auto"/>
                        <w:right w:val="none" w:sz="0" w:space="0" w:color="auto"/>
                      </w:divBdr>
                    </w:div>
                  </w:divsChild>
                </w:div>
                <w:div w:id="706837448">
                  <w:marLeft w:val="0"/>
                  <w:marRight w:val="0"/>
                  <w:marTop w:val="0"/>
                  <w:marBottom w:val="0"/>
                  <w:divBdr>
                    <w:top w:val="none" w:sz="0" w:space="0" w:color="auto"/>
                    <w:left w:val="none" w:sz="0" w:space="0" w:color="auto"/>
                    <w:bottom w:val="none" w:sz="0" w:space="0" w:color="auto"/>
                    <w:right w:val="none" w:sz="0" w:space="0" w:color="auto"/>
                  </w:divBdr>
                  <w:divsChild>
                    <w:div w:id="320550840">
                      <w:marLeft w:val="0"/>
                      <w:marRight w:val="0"/>
                      <w:marTop w:val="0"/>
                      <w:marBottom w:val="0"/>
                      <w:divBdr>
                        <w:top w:val="none" w:sz="0" w:space="0" w:color="auto"/>
                        <w:left w:val="none" w:sz="0" w:space="0" w:color="auto"/>
                        <w:bottom w:val="none" w:sz="0" w:space="0" w:color="auto"/>
                        <w:right w:val="none" w:sz="0" w:space="0" w:color="auto"/>
                      </w:divBdr>
                    </w:div>
                    <w:div w:id="1588151701">
                      <w:marLeft w:val="0"/>
                      <w:marRight w:val="0"/>
                      <w:marTop w:val="0"/>
                      <w:marBottom w:val="0"/>
                      <w:divBdr>
                        <w:top w:val="none" w:sz="0" w:space="0" w:color="auto"/>
                        <w:left w:val="none" w:sz="0" w:space="0" w:color="auto"/>
                        <w:bottom w:val="none" w:sz="0" w:space="0" w:color="auto"/>
                        <w:right w:val="none" w:sz="0" w:space="0" w:color="auto"/>
                      </w:divBdr>
                    </w:div>
                  </w:divsChild>
                </w:div>
                <w:div w:id="722095988">
                  <w:marLeft w:val="0"/>
                  <w:marRight w:val="0"/>
                  <w:marTop w:val="0"/>
                  <w:marBottom w:val="0"/>
                  <w:divBdr>
                    <w:top w:val="none" w:sz="0" w:space="0" w:color="auto"/>
                    <w:left w:val="none" w:sz="0" w:space="0" w:color="auto"/>
                    <w:bottom w:val="none" w:sz="0" w:space="0" w:color="auto"/>
                    <w:right w:val="none" w:sz="0" w:space="0" w:color="auto"/>
                  </w:divBdr>
                  <w:divsChild>
                    <w:div w:id="120999255">
                      <w:marLeft w:val="0"/>
                      <w:marRight w:val="0"/>
                      <w:marTop w:val="0"/>
                      <w:marBottom w:val="0"/>
                      <w:divBdr>
                        <w:top w:val="none" w:sz="0" w:space="0" w:color="auto"/>
                        <w:left w:val="none" w:sz="0" w:space="0" w:color="auto"/>
                        <w:bottom w:val="none" w:sz="0" w:space="0" w:color="auto"/>
                        <w:right w:val="none" w:sz="0" w:space="0" w:color="auto"/>
                      </w:divBdr>
                    </w:div>
                    <w:div w:id="280456173">
                      <w:marLeft w:val="0"/>
                      <w:marRight w:val="0"/>
                      <w:marTop w:val="0"/>
                      <w:marBottom w:val="0"/>
                      <w:divBdr>
                        <w:top w:val="none" w:sz="0" w:space="0" w:color="auto"/>
                        <w:left w:val="none" w:sz="0" w:space="0" w:color="auto"/>
                        <w:bottom w:val="none" w:sz="0" w:space="0" w:color="auto"/>
                        <w:right w:val="none" w:sz="0" w:space="0" w:color="auto"/>
                      </w:divBdr>
                    </w:div>
                  </w:divsChild>
                </w:div>
                <w:div w:id="725569517">
                  <w:marLeft w:val="0"/>
                  <w:marRight w:val="0"/>
                  <w:marTop w:val="0"/>
                  <w:marBottom w:val="0"/>
                  <w:divBdr>
                    <w:top w:val="none" w:sz="0" w:space="0" w:color="auto"/>
                    <w:left w:val="none" w:sz="0" w:space="0" w:color="auto"/>
                    <w:bottom w:val="none" w:sz="0" w:space="0" w:color="auto"/>
                    <w:right w:val="none" w:sz="0" w:space="0" w:color="auto"/>
                  </w:divBdr>
                  <w:divsChild>
                    <w:div w:id="1774281706">
                      <w:marLeft w:val="0"/>
                      <w:marRight w:val="0"/>
                      <w:marTop w:val="0"/>
                      <w:marBottom w:val="0"/>
                      <w:divBdr>
                        <w:top w:val="none" w:sz="0" w:space="0" w:color="auto"/>
                        <w:left w:val="none" w:sz="0" w:space="0" w:color="auto"/>
                        <w:bottom w:val="none" w:sz="0" w:space="0" w:color="auto"/>
                        <w:right w:val="none" w:sz="0" w:space="0" w:color="auto"/>
                      </w:divBdr>
                    </w:div>
                  </w:divsChild>
                </w:div>
                <w:div w:id="729377651">
                  <w:marLeft w:val="0"/>
                  <w:marRight w:val="0"/>
                  <w:marTop w:val="0"/>
                  <w:marBottom w:val="0"/>
                  <w:divBdr>
                    <w:top w:val="none" w:sz="0" w:space="0" w:color="auto"/>
                    <w:left w:val="none" w:sz="0" w:space="0" w:color="auto"/>
                    <w:bottom w:val="none" w:sz="0" w:space="0" w:color="auto"/>
                    <w:right w:val="none" w:sz="0" w:space="0" w:color="auto"/>
                  </w:divBdr>
                  <w:divsChild>
                    <w:div w:id="1560165855">
                      <w:marLeft w:val="0"/>
                      <w:marRight w:val="0"/>
                      <w:marTop w:val="0"/>
                      <w:marBottom w:val="0"/>
                      <w:divBdr>
                        <w:top w:val="none" w:sz="0" w:space="0" w:color="auto"/>
                        <w:left w:val="none" w:sz="0" w:space="0" w:color="auto"/>
                        <w:bottom w:val="none" w:sz="0" w:space="0" w:color="auto"/>
                        <w:right w:val="none" w:sz="0" w:space="0" w:color="auto"/>
                      </w:divBdr>
                    </w:div>
                  </w:divsChild>
                </w:div>
                <w:div w:id="766190128">
                  <w:marLeft w:val="0"/>
                  <w:marRight w:val="0"/>
                  <w:marTop w:val="0"/>
                  <w:marBottom w:val="0"/>
                  <w:divBdr>
                    <w:top w:val="none" w:sz="0" w:space="0" w:color="auto"/>
                    <w:left w:val="none" w:sz="0" w:space="0" w:color="auto"/>
                    <w:bottom w:val="none" w:sz="0" w:space="0" w:color="auto"/>
                    <w:right w:val="none" w:sz="0" w:space="0" w:color="auto"/>
                  </w:divBdr>
                  <w:divsChild>
                    <w:div w:id="2090105569">
                      <w:marLeft w:val="0"/>
                      <w:marRight w:val="0"/>
                      <w:marTop w:val="0"/>
                      <w:marBottom w:val="0"/>
                      <w:divBdr>
                        <w:top w:val="none" w:sz="0" w:space="0" w:color="auto"/>
                        <w:left w:val="none" w:sz="0" w:space="0" w:color="auto"/>
                        <w:bottom w:val="none" w:sz="0" w:space="0" w:color="auto"/>
                        <w:right w:val="none" w:sz="0" w:space="0" w:color="auto"/>
                      </w:divBdr>
                    </w:div>
                  </w:divsChild>
                </w:div>
                <w:div w:id="779372262">
                  <w:marLeft w:val="0"/>
                  <w:marRight w:val="0"/>
                  <w:marTop w:val="0"/>
                  <w:marBottom w:val="0"/>
                  <w:divBdr>
                    <w:top w:val="none" w:sz="0" w:space="0" w:color="auto"/>
                    <w:left w:val="none" w:sz="0" w:space="0" w:color="auto"/>
                    <w:bottom w:val="none" w:sz="0" w:space="0" w:color="auto"/>
                    <w:right w:val="none" w:sz="0" w:space="0" w:color="auto"/>
                  </w:divBdr>
                  <w:divsChild>
                    <w:div w:id="2017683855">
                      <w:marLeft w:val="0"/>
                      <w:marRight w:val="0"/>
                      <w:marTop w:val="0"/>
                      <w:marBottom w:val="0"/>
                      <w:divBdr>
                        <w:top w:val="none" w:sz="0" w:space="0" w:color="auto"/>
                        <w:left w:val="none" w:sz="0" w:space="0" w:color="auto"/>
                        <w:bottom w:val="none" w:sz="0" w:space="0" w:color="auto"/>
                        <w:right w:val="none" w:sz="0" w:space="0" w:color="auto"/>
                      </w:divBdr>
                    </w:div>
                  </w:divsChild>
                </w:div>
                <w:div w:id="825707976">
                  <w:marLeft w:val="0"/>
                  <w:marRight w:val="0"/>
                  <w:marTop w:val="0"/>
                  <w:marBottom w:val="0"/>
                  <w:divBdr>
                    <w:top w:val="none" w:sz="0" w:space="0" w:color="auto"/>
                    <w:left w:val="none" w:sz="0" w:space="0" w:color="auto"/>
                    <w:bottom w:val="none" w:sz="0" w:space="0" w:color="auto"/>
                    <w:right w:val="none" w:sz="0" w:space="0" w:color="auto"/>
                  </w:divBdr>
                  <w:divsChild>
                    <w:div w:id="1213737344">
                      <w:marLeft w:val="0"/>
                      <w:marRight w:val="0"/>
                      <w:marTop w:val="0"/>
                      <w:marBottom w:val="0"/>
                      <w:divBdr>
                        <w:top w:val="none" w:sz="0" w:space="0" w:color="auto"/>
                        <w:left w:val="none" w:sz="0" w:space="0" w:color="auto"/>
                        <w:bottom w:val="none" w:sz="0" w:space="0" w:color="auto"/>
                        <w:right w:val="none" w:sz="0" w:space="0" w:color="auto"/>
                      </w:divBdr>
                    </w:div>
                  </w:divsChild>
                </w:div>
                <w:div w:id="850097371">
                  <w:marLeft w:val="0"/>
                  <w:marRight w:val="0"/>
                  <w:marTop w:val="0"/>
                  <w:marBottom w:val="0"/>
                  <w:divBdr>
                    <w:top w:val="none" w:sz="0" w:space="0" w:color="auto"/>
                    <w:left w:val="none" w:sz="0" w:space="0" w:color="auto"/>
                    <w:bottom w:val="none" w:sz="0" w:space="0" w:color="auto"/>
                    <w:right w:val="none" w:sz="0" w:space="0" w:color="auto"/>
                  </w:divBdr>
                  <w:divsChild>
                    <w:div w:id="342097991">
                      <w:marLeft w:val="0"/>
                      <w:marRight w:val="0"/>
                      <w:marTop w:val="0"/>
                      <w:marBottom w:val="0"/>
                      <w:divBdr>
                        <w:top w:val="none" w:sz="0" w:space="0" w:color="auto"/>
                        <w:left w:val="none" w:sz="0" w:space="0" w:color="auto"/>
                        <w:bottom w:val="none" w:sz="0" w:space="0" w:color="auto"/>
                        <w:right w:val="none" w:sz="0" w:space="0" w:color="auto"/>
                      </w:divBdr>
                    </w:div>
                  </w:divsChild>
                </w:div>
                <w:div w:id="856039313">
                  <w:marLeft w:val="0"/>
                  <w:marRight w:val="0"/>
                  <w:marTop w:val="0"/>
                  <w:marBottom w:val="0"/>
                  <w:divBdr>
                    <w:top w:val="none" w:sz="0" w:space="0" w:color="auto"/>
                    <w:left w:val="none" w:sz="0" w:space="0" w:color="auto"/>
                    <w:bottom w:val="none" w:sz="0" w:space="0" w:color="auto"/>
                    <w:right w:val="none" w:sz="0" w:space="0" w:color="auto"/>
                  </w:divBdr>
                  <w:divsChild>
                    <w:div w:id="1689746949">
                      <w:marLeft w:val="0"/>
                      <w:marRight w:val="0"/>
                      <w:marTop w:val="0"/>
                      <w:marBottom w:val="0"/>
                      <w:divBdr>
                        <w:top w:val="none" w:sz="0" w:space="0" w:color="auto"/>
                        <w:left w:val="none" w:sz="0" w:space="0" w:color="auto"/>
                        <w:bottom w:val="none" w:sz="0" w:space="0" w:color="auto"/>
                        <w:right w:val="none" w:sz="0" w:space="0" w:color="auto"/>
                      </w:divBdr>
                    </w:div>
                  </w:divsChild>
                </w:div>
                <w:div w:id="874539535">
                  <w:marLeft w:val="0"/>
                  <w:marRight w:val="0"/>
                  <w:marTop w:val="0"/>
                  <w:marBottom w:val="0"/>
                  <w:divBdr>
                    <w:top w:val="none" w:sz="0" w:space="0" w:color="auto"/>
                    <w:left w:val="none" w:sz="0" w:space="0" w:color="auto"/>
                    <w:bottom w:val="none" w:sz="0" w:space="0" w:color="auto"/>
                    <w:right w:val="none" w:sz="0" w:space="0" w:color="auto"/>
                  </w:divBdr>
                  <w:divsChild>
                    <w:div w:id="665480685">
                      <w:marLeft w:val="0"/>
                      <w:marRight w:val="0"/>
                      <w:marTop w:val="0"/>
                      <w:marBottom w:val="0"/>
                      <w:divBdr>
                        <w:top w:val="none" w:sz="0" w:space="0" w:color="auto"/>
                        <w:left w:val="none" w:sz="0" w:space="0" w:color="auto"/>
                        <w:bottom w:val="none" w:sz="0" w:space="0" w:color="auto"/>
                        <w:right w:val="none" w:sz="0" w:space="0" w:color="auto"/>
                      </w:divBdr>
                    </w:div>
                  </w:divsChild>
                </w:div>
                <w:div w:id="883178750">
                  <w:marLeft w:val="0"/>
                  <w:marRight w:val="0"/>
                  <w:marTop w:val="0"/>
                  <w:marBottom w:val="0"/>
                  <w:divBdr>
                    <w:top w:val="none" w:sz="0" w:space="0" w:color="auto"/>
                    <w:left w:val="none" w:sz="0" w:space="0" w:color="auto"/>
                    <w:bottom w:val="none" w:sz="0" w:space="0" w:color="auto"/>
                    <w:right w:val="none" w:sz="0" w:space="0" w:color="auto"/>
                  </w:divBdr>
                  <w:divsChild>
                    <w:div w:id="74985263">
                      <w:marLeft w:val="0"/>
                      <w:marRight w:val="0"/>
                      <w:marTop w:val="0"/>
                      <w:marBottom w:val="0"/>
                      <w:divBdr>
                        <w:top w:val="none" w:sz="0" w:space="0" w:color="auto"/>
                        <w:left w:val="none" w:sz="0" w:space="0" w:color="auto"/>
                        <w:bottom w:val="none" w:sz="0" w:space="0" w:color="auto"/>
                        <w:right w:val="none" w:sz="0" w:space="0" w:color="auto"/>
                      </w:divBdr>
                    </w:div>
                  </w:divsChild>
                </w:div>
                <w:div w:id="957837917">
                  <w:marLeft w:val="0"/>
                  <w:marRight w:val="0"/>
                  <w:marTop w:val="0"/>
                  <w:marBottom w:val="0"/>
                  <w:divBdr>
                    <w:top w:val="none" w:sz="0" w:space="0" w:color="auto"/>
                    <w:left w:val="none" w:sz="0" w:space="0" w:color="auto"/>
                    <w:bottom w:val="none" w:sz="0" w:space="0" w:color="auto"/>
                    <w:right w:val="none" w:sz="0" w:space="0" w:color="auto"/>
                  </w:divBdr>
                  <w:divsChild>
                    <w:div w:id="629240895">
                      <w:marLeft w:val="0"/>
                      <w:marRight w:val="0"/>
                      <w:marTop w:val="0"/>
                      <w:marBottom w:val="0"/>
                      <w:divBdr>
                        <w:top w:val="none" w:sz="0" w:space="0" w:color="auto"/>
                        <w:left w:val="none" w:sz="0" w:space="0" w:color="auto"/>
                        <w:bottom w:val="none" w:sz="0" w:space="0" w:color="auto"/>
                        <w:right w:val="none" w:sz="0" w:space="0" w:color="auto"/>
                      </w:divBdr>
                    </w:div>
                  </w:divsChild>
                </w:div>
                <w:div w:id="957952093">
                  <w:marLeft w:val="0"/>
                  <w:marRight w:val="0"/>
                  <w:marTop w:val="0"/>
                  <w:marBottom w:val="0"/>
                  <w:divBdr>
                    <w:top w:val="none" w:sz="0" w:space="0" w:color="auto"/>
                    <w:left w:val="none" w:sz="0" w:space="0" w:color="auto"/>
                    <w:bottom w:val="none" w:sz="0" w:space="0" w:color="auto"/>
                    <w:right w:val="none" w:sz="0" w:space="0" w:color="auto"/>
                  </w:divBdr>
                  <w:divsChild>
                    <w:div w:id="55982886">
                      <w:marLeft w:val="0"/>
                      <w:marRight w:val="0"/>
                      <w:marTop w:val="0"/>
                      <w:marBottom w:val="0"/>
                      <w:divBdr>
                        <w:top w:val="none" w:sz="0" w:space="0" w:color="auto"/>
                        <w:left w:val="none" w:sz="0" w:space="0" w:color="auto"/>
                        <w:bottom w:val="none" w:sz="0" w:space="0" w:color="auto"/>
                        <w:right w:val="none" w:sz="0" w:space="0" w:color="auto"/>
                      </w:divBdr>
                    </w:div>
                  </w:divsChild>
                </w:div>
                <w:div w:id="960841543">
                  <w:marLeft w:val="0"/>
                  <w:marRight w:val="0"/>
                  <w:marTop w:val="0"/>
                  <w:marBottom w:val="0"/>
                  <w:divBdr>
                    <w:top w:val="none" w:sz="0" w:space="0" w:color="auto"/>
                    <w:left w:val="none" w:sz="0" w:space="0" w:color="auto"/>
                    <w:bottom w:val="none" w:sz="0" w:space="0" w:color="auto"/>
                    <w:right w:val="none" w:sz="0" w:space="0" w:color="auto"/>
                  </w:divBdr>
                  <w:divsChild>
                    <w:div w:id="2007659496">
                      <w:marLeft w:val="0"/>
                      <w:marRight w:val="0"/>
                      <w:marTop w:val="0"/>
                      <w:marBottom w:val="0"/>
                      <w:divBdr>
                        <w:top w:val="none" w:sz="0" w:space="0" w:color="auto"/>
                        <w:left w:val="none" w:sz="0" w:space="0" w:color="auto"/>
                        <w:bottom w:val="none" w:sz="0" w:space="0" w:color="auto"/>
                        <w:right w:val="none" w:sz="0" w:space="0" w:color="auto"/>
                      </w:divBdr>
                    </w:div>
                  </w:divsChild>
                </w:div>
                <w:div w:id="980040467">
                  <w:marLeft w:val="0"/>
                  <w:marRight w:val="0"/>
                  <w:marTop w:val="0"/>
                  <w:marBottom w:val="0"/>
                  <w:divBdr>
                    <w:top w:val="none" w:sz="0" w:space="0" w:color="auto"/>
                    <w:left w:val="none" w:sz="0" w:space="0" w:color="auto"/>
                    <w:bottom w:val="none" w:sz="0" w:space="0" w:color="auto"/>
                    <w:right w:val="none" w:sz="0" w:space="0" w:color="auto"/>
                  </w:divBdr>
                  <w:divsChild>
                    <w:div w:id="353075157">
                      <w:marLeft w:val="0"/>
                      <w:marRight w:val="0"/>
                      <w:marTop w:val="0"/>
                      <w:marBottom w:val="0"/>
                      <w:divBdr>
                        <w:top w:val="none" w:sz="0" w:space="0" w:color="auto"/>
                        <w:left w:val="none" w:sz="0" w:space="0" w:color="auto"/>
                        <w:bottom w:val="none" w:sz="0" w:space="0" w:color="auto"/>
                        <w:right w:val="none" w:sz="0" w:space="0" w:color="auto"/>
                      </w:divBdr>
                    </w:div>
                  </w:divsChild>
                </w:div>
                <w:div w:id="998388082">
                  <w:marLeft w:val="0"/>
                  <w:marRight w:val="0"/>
                  <w:marTop w:val="0"/>
                  <w:marBottom w:val="0"/>
                  <w:divBdr>
                    <w:top w:val="none" w:sz="0" w:space="0" w:color="auto"/>
                    <w:left w:val="none" w:sz="0" w:space="0" w:color="auto"/>
                    <w:bottom w:val="none" w:sz="0" w:space="0" w:color="auto"/>
                    <w:right w:val="none" w:sz="0" w:space="0" w:color="auto"/>
                  </w:divBdr>
                  <w:divsChild>
                    <w:div w:id="957680942">
                      <w:marLeft w:val="0"/>
                      <w:marRight w:val="0"/>
                      <w:marTop w:val="0"/>
                      <w:marBottom w:val="0"/>
                      <w:divBdr>
                        <w:top w:val="none" w:sz="0" w:space="0" w:color="auto"/>
                        <w:left w:val="none" w:sz="0" w:space="0" w:color="auto"/>
                        <w:bottom w:val="none" w:sz="0" w:space="0" w:color="auto"/>
                        <w:right w:val="none" w:sz="0" w:space="0" w:color="auto"/>
                      </w:divBdr>
                    </w:div>
                  </w:divsChild>
                </w:div>
                <w:div w:id="1010446316">
                  <w:marLeft w:val="0"/>
                  <w:marRight w:val="0"/>
                  <w:marTop w:val="0"/>
                  <w:marBottom w:val="0"/>
                  <w:divBdr>
                    <w:top w:val="none" w:sz="0" w:space="0" w:color="auto"/>
                    <w:left w:val="none" w:sz="0" w:space="0" w:color="auto"/>
                    <w:bottom w:val="none" w:sz="0" w:space="0" w:color="auto"/>
                    <w:right w:val="none" w:sz="0" w:space="0" w:color="auto"/>
                  </w:divBdr>
                  <w:divsChild>
                    <w:div w:id="191499463">
                      <w:marLeft w:val="0"/>
                      <w:marRight w:val="0"/>
                      <w:marTop w:val="0"/>
                      <w:marBottom w:val="0"/>
                      <w:divBdr>
                        <w:top w:val="none" w:sz="0" w:space="0" w:color="auto"/>
                        <w:left w:val="none" w:sz="0" w:space="0" w:color="auto"/>
                        <w:bottom w:val="none" w:sz="0" w:space="0" w:color="auto"/>
                        <w:right w:val="none" w:sz="0" w:space="0" w:color="auto"/>
                      </w:divBdr>
                    </w:div>
                  </w:divsChild>
                </w:div>
                <w:div w:id="1040476541">
                  <w:marLeft w:val="0"/>
                  <w:marRight w:val="0"/>
                  <w:marTop w:val="0"/>
                  <w:marBottom w:val="0"/>
                  <w:divBdr>
                    <w:top w:val="none" w:sz="0" w:space="0" w:color="auto"/>
                    <w:left w:val="none" w:sz="0" w:space="0" w:color="auto"/>
                    <w:bottom w:val="none" w:sz="0" w:space="0" w:color="auto"/>
                    <w:right w:val="none" w:sz="0" w:space="0" w:color="auto"/>
                  </w:divBdr>
                  <w:divsChild>
                    <w:div w:id="418480089">
                      <w:marLeft w:val="0"/>
                      <w:marRight w:val="0"/>
                      <w:marTop w:val="0"/>
                      <w:marBottom w:val="0"/>
                      <w:divBdr>
                        <w:top w:val="none" w:sz="0" w:space="0" w:color="auto"/>
                        <w:left w:val="none" w:sz="0" w:space="0" w:color="auto"/>
                        <w:bottom w:val="none" w:sz="0" w:space="0" w:color="auto"/>
                        <w:right w:val="none" w:sz="0" w:space="0" w:color="auto"/>
                      </w:divBdr>
                    </w:div>
                    <w:div w:id="1714036263">
                      <w:marLeft w:val="0"/>
                      <w:marRight w:val="0"/>
                      <w:marTop w:val="0"/>
                      <w:marBottom w:val="0"/>
                      <w:divBdr>
                        <w:top w:val="none" w:sz="0" w:space="0" w:color="auto"/>
                        <w:left w:val="none" w:sz="0" w:space="0" w:color="auto"/>
                        <w:bottom w:val="none" w:sz="0" w:space="0" w:color="auto"/>
                        <w:right w:val="none" w:sz="0" w:space="0" w:color="auto"/>
                      </w:divBdr>
                    </w:div>
                  </w:divsChild>
                </w:div>
                <w:div w:id="1110510190">
                  <w:marLeft w:val="0"/>
                  <w:marRight w:val="0"/>
                  <w:marTop w:val="0"/>
                  <w:marBottom w:val="0"/>
                  <w:divBdr>
                    <w:top w:val="none" w:sz="0" w:space="0" w:color="auto"/>
                    <w:left w:val="none" w:sz="0" w:space="0" w:color="auto"/>
                    <w:bottom w:val="none" w:sz="0" w:space="0" w:color="auto"/>
                    <w:right w:val="none" w:sz="0" w:space="0" w:color="auto"/>
                  </w:divBdr>
                  <w:divsChild>
                    <w:div w:id="450973770">
                      <w:marLeft w:val="0"/>
                      <w:marRight w:val="0"/>
                      <w:marTop w:val="0"/>
                      <w:marBottom w:val="0"/>
                      <w:divBdr>
                        <w:top w:val="none" w:sz="0" w:space="0" w:color="auto"/>
                        <w:left w:val="none" w:sz="0" w:space="0" w:color="auto"/>
                        <w:bottom w:val="none" w:sz="0" w:space="0" w:color="auto"/>
                        <w:right w:val="none" w:sz="0" w:space="0" w:color="auto"/>
                      </w:divBdr>
                    </w:div>
                  </w:divsChild>
                </w:div>
                <w:div w:id="1115363625">
                  <w:marLeft w:val="0"/>
                  <w:marRight w:val="0"/>
                  <w:marTop w:val="0"/>
                  <w:marBottom w:val="0"/>
                  <w:divBdr>
                    <w:top w:val="none" w:sz="0" w:space="0" w:color="auto"/>
                    <w:left w:val="none" w:sz="0" w:space="0" w:color="auto"/>
                    <w:bottom w:val="none" w:sz="0" w:space="0" w:color="auto"/>
                    <w:right w:val="none" w:sz="0" w:space="0" w:color="auto"/>
                  </w:divBdr>
                  <w:divsChild>
                    <w:div w:id="572619636">
                      <w:marLeft w:val="0"/>
                      <w:marRight w:val="0"/>
                      <w:marTop w:val="0"/>
                      <w:marBottom w:val="0"/>
                      <w:divBdr>
                        <w:top w:val="none" w:sz="0" w:space="0" w:color="auto"/>
                        <w:left w:val="none" w:sz="0" w:space="0" w:color="auto"/>
                        <w:bottom w:val="none" w:sz="0" w:space="0" w:color="auto"/>
                        <w:right w:val="none" w:sz="0" w:space="0" w:color="auto"/>
                      </w:divBdr>
                    </w:div>
                  </w:divsChild>
                </w:div>
                <w:div w:id="1135753021">
                  <w:marLeft w:val="0"/>
                  <w:marRight w:val="0"/>
                  <w:marTop w:val="0"/>
                  <w:marBottom w:val="0"/>
                  <w:divBdr>
                    <w:top w:val="none" w:sz="0" w:space="0" w:color="auto"/>
                    <w:left w:val="none" w:sz="0" w:space="0" w:color="auto"/>
                    <w:bottom w:val="none" w:sz="0" w:space="0" w:color="auto"/>
                    <w:right w:val="none" w:sz="0" w:space="0" w:color="auto"/>
                  </w:divBdr>
                  <w:divsChild>
                    <w:div w:id="1904637318">
                      <w:marLeft w:val="0"/>
                      <w:marRight w:val="0"/>
                      <w:marTop w:val="0"/>
                      <w:marBottom w:val="0"/>
                      <w:divBdr>
                        <w:top w:val="none" w:sz="0" w:space="0" w:color="auto"/>
                        <w:left w:val="none" w:sz="0" w:space="0" w:color="auto"/>
                        <w:bottom w:val="none" w:sz="0" w:space="0" w:color="auto"/>
                        <w:right w:val="none" w:sz="0" w:space="0" w:color="auto"/>
                      </w:divBdr>
                    </w:div>
                  </w:divsChild>
                </w:div>
                <w:div w:id="1150630796">
                  <w:marLeft w:val="0"/>
                  <w:marRight w:val="0"/>
                  <w:marTop w:val="0"/>
                  <w:marBottom w:val="0"/>
                  <w:divBdr>
                    <w:top w:val="none" w:sz="0" w:space="0" w:color="auto"/>
                    <w:left w:val="none" w:sz="0" w:space="0" w:color="auto"/>
                    <w:bottom w:val="none" w:sz="0" w:space="0" w:color="auto"/>
                    <w:right w:val="none" w:sz="0" w:space="0" w:color="auto"/>
                  </w:divBdr>
                  <w:divsChild>
                    <w:div w:id="581909019">
                      <w:marLeft w:val="0"/>
                      <w:marRight w:val="0"/>
                      <w:marTop w:val="0"/>
                      <w:marBottom w:val="0"/>
                      <w:divBdr>
                        <w:top w:val="none" w:sz="0" w:space="0" w:color="auto"/>
                        <w:left w:val="none" w:sz="0" w:space="0" w:color="auto"/>
                        <w:bottom w:val="none" w:sz="0" w:space="0" w:color="auto"/>
                        <w:right w:val="none" w:sz="0" w:space="0" w:color="auto"/>
                      </w:divBdr>
                    </w:div>
                  </w:divsChild>
                </w:div>
                <w:div w:id="1152717055">
                  <w:marLeft w:val="0"/>
                  <w:marRight w:val="0"/>
                  <w:marTop w:val="0"/>
                  <w:marBottom w:val="0"/>
                  <w:divBdr>
                    <w:top w:val="none" w:sz="0" w:space="0" w:color="auto"/>
                    <w:left w:val="none" w:sz="0" w:space="0" w:color="auto"/>
                    <w:bottom w:val="none" w:sz="0" w:space="0" w:color="auto"/>
                    <w:right w:val="none" w:sz="0" w:space="0" w:color="auto"/>
                  </w:divBdr>
                  <w:divsChild>
                    <w:div w:id="2043238404">
                      <w:marLeft w:val="0"/>
                      <w:marRight w:val="0"/>
                      <w:marTop w:val="0"/>
                      <w:marBottom w:val="0"/>
                      <w:divBdr>
                        <w:top w:val="none" w:sz="0" w:space="0" w:color="auto"/>
                        <w:left w:val="none" w:sz="0" w:space="0" w:color="auto"/>
                        <w:bottom w:val="none" w:sz="0" w:space="0" w:color="auto"/>
                        <w:right w:val="none" w:sz="0" w:space="0" w:color="auto"/>
                      </w:divBdr>
                    </w:div>
                  </w:divsChild>
                </w:div>
                <w:div w:id="1189636845">
                  <w:marLeft w:val="0"/>
                  <w:marRight w:val="0"/>
                  <w:marTop w:val="0"/>
                  <w:marBottom w:val="0"/>
                  <w:divBdr>
                    <w:top w:val="none" w:sz="0" w:space="0" w:color="auto"/>
                    <w:left w:val="none" w:sz="0" w:space="0" w:color="auto"/>
                    <w:bottom w:val="none" w:sz="0" w:space="0" w:color="auto"/>
                    <w:right w:val="none" w:sz="0" w:space="0" w:color="auto"/>
                  </w:divBdr>
                  <w:divsChild>
                    <w:div w:id="156893993">
                      <w:marLeft w:val="0"/>
                      <w:marRight w:val="0"/>
                      <w:marTop w:val="0"/>
                      <w:marBottom w:val="0"/>
                      <w:divBdr>
                        <w:top w:val="none" w:sz="0" w:space="0" w:color="auto"/>
                        <w:left w:val="none" w:sz="0" w:space="0" w:color="auto"/>
                        <w:bottom w:val="none" w:sz="0" w:space="0" w:color="auto"/>
                        <w:right w:val="none" w:sz="0" w:space="0" w:color="auto"/>
                      </w:divBdr>
                    </w:div>
                  </w:divsChild>
                </w:div>
                <w:div w:id="1208835712">
                  <w:marLeft w:val="0"/>
                  <w:marRight w:val="0"/>
                  <w:marTop w:val="0"/>
                  <w:marBottom w:val="0"/>
                  <w:divBdr>
                    <w:top w:val="none" w:sz="0" w:space="0" w:color="auto"/>
                    <w:left w:val="none" w:sz="0" w:space="0" w:color="auto"/>
                    <w:bottom w:val="none" w:sz="0" w:space="0" w:color="auto"/>
                    <w:right w:val="none" w:sz="0" w:space="0" w:color="auto"/>
                  </w:divBdr>
                  <w:divsChild>
                    <w:div w:id="603612556">
                      <w:marLeft w:val="0"/>
                      <w:marRight w:val="0"/>
                      <w:marTop w:val="0"/>
                      <w:marBottom w:val="0"/>
                      <w:divBdr>
                        <w:top w:val="none" w:sz="0" w:space="0" w:color="auto"/>
                        <w:left w:val="none" w:sz="0" w:space="0" w:color="auto"/>
                        <w:bottom w:val="none" w:sz="0" w:space="0" w:color="auto"/>
                        <w:right w:val="none" w:sz="0" w:space="0" w:color="auto"/>
                      </w:divBdr>
                    </w:div>
                    <w:div w:id="1618609114">
                      <w:marLeft w:val="0"/>
                      <w:marRight w:val="0"/>
                      <w:marTop w:val="0"/>
                      <w:marBottom w:val="0"/>
                      <w:divBdr>
                        <w:top w:val="none" w:sz="0" w:space="0" w:color="auto"/>
                        <w:left w:val="none" w:sz="0" w:space="0" w:color="auto"/>
                        <w:bottom w:val="none" w:sz="0" w:space="0" w:color="auto"/>
                        <w:right w:val="none" w:sz="0" w:space="0" w:color="auto"/>
                      </w:divBdr>
                    </w:div>
                  </w:divsChild>
                </w:div>
                <w:div w:id="1212887183">
                  <w:marLeft w:val="0"/>
                  <w:marRight w:val="0"/>
                  <w:marTop w:val="0"/>
                  <w:marBottom w:val="0"/>
                  <w:divBdr>
                    <w:top w:val="none" w:sz="0" w:space="0" w:color="auto"/>
                    <w:left w:val="none" w:sz="0" w:space="0" w:color="auto"/>
                    <w:bottom w:val="none" w:sz="0" w:space="0" w:color="auto"/>
                    <w:right w:val="none" w:sz="0" w:space="0" w:color="auto"/>
                  </w:divBdr>
                  <w:divsChild>
                    <w:div w:id="296378053">
                      <w:marLeft w:val="0"/>
                      <w:marRight w:val="0"/>
                      <w:marTop w:val="0"/>
                      <w:marBottom w:val="0"/>
                      <w:divBdr>
                        <w:top w:val="none" w:sz="0" w:space="0" w:color="auto"/>
                        <w:left w:val="none" w:sz="0" w:space="0" w:color="auto"/>
                        <w:bottom w:val="none" w:sz="0" w:space="0" w:color="auto"/>
                        <w:right w:val="none" w:sz="0" w:space="0" w:color="auto"/>
                      </w:divBdr>
                    </w:div>
                  </w:divsChild>
                </w:div>
                <w:div w:id="1246961546">
                  <w:marLeft w:val="0"/>
                  <w:marRight w:val="0"/>
                  <w:marTop w:val="0"/>
                  <w:marBottom w:val="0"/>
                  <w:divBdr>
                    <w:top w:val="none" w:sz="0" w:space="0" w:color="auto"/>
                    <w:left w:val="none" w:sz="0" w:space="0" w:color="auto"/>
                    <w:bottom w:val="none" w:sz="0" w:space="0" w:color="auto"/>
                    <w:right w:val="none" w:sz="0" w:space="0" w:color="auto"/>
                  </w:divBdr>
                  <w:divsChild>
                    <w:div w:id="1168862524">
                      <w:marLeft w:val="0"/>
                      <w:marRight w:val="0"/>
                      <w:marTop w:val="0"/>
                      <w:marBottom w:val="0"/>
                      <w:divBdr>
                        <w:top w:val="none" w:sz="0" w:space="0" w:color="auto"/>
                        <w:left w:val="none" w:sz="0" w:space="0" w:color="auto"/>
                        <w:bottom w:val="none" w:sz="0" w:space="0" w:color="auto"/>
                        <w:right w:val="none" w:sz="0" w:space="0" w:color="auto"/>
                      </w:divBdr>
                    </w:div>
                  </w:divsChild>
                </w:div>
                <w:div w:id="1321347058">
                  <w:marLeft w:val="0"/>
                  <w:marRight w:val="0"/>
                  <w:marTop w:val="0"/>
                  <w:marBottom w:val="0"/>
                  <w:divBdr>
                    <w:top w:val="none" w:sz="0" w:space="0" w:color="auto"/>
                    <w:left w:val="none" w:sz="0" w:space="0" w:color="auto"/>
                    <w:bottom w:val="none" w:sz="0" w:space="0" w:color="auto"/>
                    <w:right w:val="none" w:sz="0" w:space="0" w:color="auto"/>
                  </w:divBdr>
                  <w:divsChild>
                    <w:div w:id="1003633083">
                      <w:marLeft w:val="0"/>
                      <w:marRight w:val="0"/>
                      <w:marTop w:val="0"/>
                      <w:marBottom w:val="0"/>
                      <w:divBdr>
                        <w:top w:val="none" w:sz="0" w:space="0" w:color="auto"/>
                        <w:left w:val="none" w:sz="0" w:space="0" w:color="auto"/>
                        <w:bottom w:val="none" w:sz="0" w:space="0" w:color="auto"/>
                        <w:right w:val="none" w:sz="0" w:space="0" w:color="auto"/>
                      </w:divBdr>
                    </w:div>
                  </w:divsChild>
                </w:div>
                <w:div w:id="1322809043">
                  <w:marLeft w:val="0"/>
                  <w:marRight w:val="0"/>
                  <w:marTop w:val="0"/>
                  <w:marBottom w:val="0"/>
                  <w:divBdr>
                    <w:top w:val="none" w:sz="0" w:space="0" w:color="auto"/>
                    <w:left w:val="none" w:sz="0" w:space="0" w:color="auto"/>
                    <w:bottom w:val="none" w:sz="0" w:space="0" w:color="auto"/>
                    <w:right w:val="none" w:sz="0" w:space="0" w:color="auto"/>
                  </w:divBdr>
                  <w:divsChild>
                    <w:div w:id="38555235">
                      <w:marLeft w:val="0"/>
                      <w:marRight w:val="0"/>
                      <w:marTop w:val="0"/>
                      <w:marBottom w:val="0"/>
                      <w:divBdr>
                        <w:top w:val="none" w:sz="0" w:space="0" w:color="auto"/>
                        <w:left w:val="none" w:sz="0" w:space="0" w:color="auto"/>
                        <w:bottom w:val="none" w:sz="0" w:space="0" w:color="auto"/>
                        <w:right w:val="none" w:sz="0" w:space="0" w:color="auto"/>
                      </w:divBdr>
                    </w:div>
                  </w:divsChild>
                </w:div>
                <w:div w:id="1324695817">
                  <w:marLeft w:val="0"/>
                  <w:marRight w:val="0"/>
                  <w:marTop w:val="0"/>
                  <w:marBottom w:val="0"/>
                  <w:divBdr>
                    <w:top w:val="none" w:sz="0" w:space="0" w:color="auto"/>
                    <w:left w:val="none" w:sz="0" w:space="0" w:color="auto"/>
                    <w:bottom w:val="none" w:sz="0" w:space="0" w:color="auto"/>
                    <w:right w:val="none" w:sz="0" w:space="0" w:color="auto"/>
                  </w:divBdr>
                  <w:divsChild>
                    <w:div w:id="605701313">
                      <w:marLeft w:val="0"/>
                      <w:marRight w:val="0"/>
                      <w:marTop w:val="0"/>
                      <w:marBottom w:val="0"/>
                      <w:divBdr>
                        <w:top w:val="none" w:sz="0" w:space="0" w:color="auto"/>
                        <w:left w:val="none" w:sz="0" w:space="0" w:color="auto"/>
                        <w:bottom w:val="none" w:sz="0" w:space="0" w:color="auto"/>
                        <w:right w:val="none" w:sz="0" w:space="0" w:color="auto"/>
                      </w:divBdr>
                    </w:div>
                  </w:divsChild>
                </w:div>
                <w:div w:id="1364670447">
                  <w:marLeft w:val="0"/>
                  <w:marRight w:val="0"/>
                  <w:marTop w:val="0"/>
                  <w:marBottom w:val="0"/>
                  <w:divBdr>
                    <w:top w:val="none" w:sz="0" w:space="0" w:color="auto"/>
                    <w:left w:val="none" w:sz="0" w:space="0" w:color="auto"/>
                    <w:bottom w:val="none" w:sz="0" w:space="0" w:color="auto"/>
                    <w:right w:val="none" w:sz="0" w:space="0" w:color="auto"/>
                  </w:divBdr>
                  <w:divsChild>
                    <w:div w:id="1708021541">
                      <w:marLeft w:val="0"/>
                      <w:marRight w:val="0"/>
                      <w:marTop w:val="0"/>
                      <w:marBottom w:val="0"/>
                      <w:divBdr>
                        <w:top w:val="none" w:sz="0" w:space="0" w:color="auto"/>
                        <w:left w:val="none" w:sz="0" w:space="0" w:color="auto"/>
                        <w:bottom w:val="none" w:sz="0" w:space="0" w:color="auto"/>
                        <w:right w:val="none" w:sz="0" w:space="0" w:color="auto"/>
                      </w:divBdr>
                    </w:div>
                  </w:divsChild>
                </w:div>
                <w:div w:id="1397822453">
                  <w:marLeft w:val="0"/>
                  <w:marRight w:val="0"/>
                  <w:marTop w:val="0"/>
                  <w:marBottom w:val="0"/>
                  <w:divBdr>
                    <w:top w:val="none" w:sz="0" w:space="0" w:color="auto"/>
                    <w:left w:val="none" w:sz="0" w:space="0" w:color="auto"/>
                    <w:bottom w:val="none" w:sz="0" w:space="0" w:color="auto"/>
                    <w:right w:val="none" w:sz="0" w:space="0" w:color="auto"/>
                  </w:divBdr>
                  <w:divsChild>
                    <w:div w:id="1639073849">
                      <w:marLeft w:val="0"/>
                      <w:marRight w:val="0"/>
                      <w:marTop w:val="0"/>
                      <w:marBottom w:val="0"/>
                      <w:divBdr>
                        <w:top w:val="none" w:sz="0" w:space="0" w:color="auto"/>
                        <w:left w:val="none" w:sz="0" w:space="0" w:color="auto"/>
                        <w:bottom w:val="none" w:sz="0" w:space="0" w:color="auto"/>
                        <w:right w:val="none" w:sz="0" w:space="0" w:color="auto"/>
                      </w:divBdr>
                    </w:div>
                  </w:divsChild>
                </w:div>
                <w:div w:id="1398363840">
                  <w:marLeft w:val="0"/>
                  <w:marRight w:val="0"/>
                  <w:marTop w:val="0"/>
                  <w:marBottom w:val="0"/>
                  <w:divBdr>
                    <w:top w:val="none" w:sz="0" w:space="0" w:color="auto"/>
                    <w:left w:val="none" w:sz="0" w:space="0" w:color="auto"/>
                    <w:bottom w:val="none" w:sz="0" w:space="0" w:color="auto"/>
                    <w:right w:val="none" w:sz="0" w:space="0" w:color="auto"/>
                  </w:divBdr>
                  <w:divsChild>
                    <w:div w:id="1472021130">
                      <w:marLeft w:val="0"/>
                      <w:marRight w:val="0"/>
                      <w:marTop w:val="0"/>
                      <w:marBottom w:val="0"/>
                      <w:divBdr>
                        <w:top w:val="none" w:sz="0" w:space="0" w:color="auto"/>
                        <w:left w:val="none" w:sz="0" w:space="0" w:color="auto"/>
                        <w:bottom w:val="none" w:sz="0" w:space="0" w:color="auto"/>
                        <w:right w:val="none" w:sz="0" w:space="0" w:color="auto"/>
                      </w:divBdr>
                    </w:div>
                  </w:divsChild>
                </w:div>
                <w:div w:id="1401251252">
                  <w:marLeft w:val="0"/>
                  <w:marRight w:val="0"/>
                  <w:marTop w:val="0"/>
                  <w:marBottom w:val="0"/>
                  <w:divBdr>
                    <w:top w:val="none" w:sz="0" w:space="0" w:color="auto"/>
                    <w:left w:val="none" w:sz="0" w:space="0" w:color="auto"/>
                    <w:bottom w:val="none" w:sz="0" w:space="0" w:color="auto"/>
                    <w:right w:val="none" w:sz="0" w:space="0" w:color="auto"/>
                  </w:divBdr>
                  <w:divsChild>
                    <w:div w:id="671032194">
                      <w:marLeft w:val="0"/>
                      <w:marRight w:val="0"/>
                      <w:marTop w:val="0"/>
                      <w:marBottom w:val="0"/>
                      <w:divBdr>
                        <w:top w:val="none" w:sz="0" w:space="0" w:color="auto"/>
                        <w:left w:val="none" w:sz="0" w:space="0" w:color="auto"/>
                        <w:bottom w:val="none" w:sz="0" w:space="0" w:color="auto"/>
                        <w:right w:val="none" w:sz="0" w:space="0" w:color="auto"/>
                      </w:divBdr>
                    </w:div>
                  </w:divsChild>
                </w:div>
                <w:div w:id="1418401320">
                  <w:marLeft w:val="0"/>
                  <w:marRight w:val="0"/>
                  <w:marTop w:val="0"/>
                  <w:marBottom w:val="0"/>
                  <w:divBdr>
                    <w:top w:val="none" w:sz="0" w:space="0" w:color="auto"/>
                    <w:left w:val="none" w:sz="0" w:space="0" w:color="auto"/>
                    <w:bottom w:val="none" w:sz="0" w:space="0" w:color="auto"/>
                    <w:right w:val="none" w:sz="0" w:space="0" w:color="auto"/>
                  </w:divBdr>
                  <w:divsChild>
                    <w:div w:id="393817203">
                      <w:marLeft w:val="0"/>
                      <w:marRight w:val="0"/>
                      <w:marTop w:val="0"/>
                      <w:marBottom w:val="0"/>
                      <w:divBdr>
                        <w:top w:val="none" w:sz="0" w:space="0" w:color="auto"/>
                        <w:left w:val="none" w:sz="0" w:space="0" w:color="auto"/>
                        <w:bottom w:val="none" w:sz="0" w:space="0" w:color="auto"/>
                        <w:right w:val="none" w:sz="0" w:space="0" w:color="auto"/>
                      </w:divBdr>
                    </w:div>
                  </w:divsChild>
                </w:div>
                <w:div w:id="1458910081">
                  <w:marLeft w:val="0"/>
                  <w:marRight w:val="0"/>
                  <w:marTop w:val="0"/>
                  <w:marBottom w:val="0"/>
                  <w:divBdr>
                    <w:top w:val="none" w:sz="0" w:space="0" w:color="auto"/>
                    <w:left w:val="none" w:sz="0" w:space="0" w:color="auto"/>
                    <w:bottom w:val="none" w:sz="0" w:space="0" w:color="auto"/>
                    <w:right w:val="none" w:sz="0" w:space="0" w:color="auto"/>
                  </w:divBdr>
                  <w:divsChild>
                    <w:div w:id="540481800">
                      <w:marLeft w:val="0"/>
                      <w:marRight w:val="0"/>
                      <w:marTop w:val="0"/>
                      <w:marBottom w:val="0"/>
                      <w:divBdr>
                        <w:top w:val="none" w:sz="0" w:space="0" w:color="auto"/>
                        <w:left w:val="none" w:sz="0" w:space="0" w:color="auto"/>
                        <w:bottom w:val="none" w:sz="0" w:space="0" w:color="auto"/>
                        <w:right w:val="none" w:sz="0" w:space="0" w:color="auto"/>
                      </w:divBdr>
                    </w:div>
                  </w:divsChild>
                </w:div>
                <w:div w:id="1545291862">
                  <w:marLeft w:val="0"/>
                  <w:marRight w:val="0"/>
                  <w:marTop w:val="0"/>
                  <w:marBottom w:val="0"/>
                  <w:divBdr>
                    <w:top w:val="none" w:sz="0" w:space="0" w:color="auto"/>
                    <w:left w:val="none" w:sz="0" w:space="0" w:color="auto"/>
                    <w:bottom w:val="none" w:sz="0" w:space="0" w:color="auto"/>
                    <w:right w:val="none" w:sz="0" w:space="0" w:color="auto"/>
                  </w:divBdr>
                  <w:divsChild>
                    <w:div w:id="2023626349">
                      <w:marLeft w:val="0"/>
                      <w:marRight w:val="0"/>
                      <w:marTop w:val="0"/>
                      <w:marBottom w:val="0"/>
                      <w:divBdr>
                        <w:top w:val="none" w:sz="0" w:space="0" w:color="auto"/>
                        <w:left w:val="none" w:sz="0" w:space="0" w:color="auto"/>
                        <w:bottom w:val="none" w:sz="0" w:space="0" w:color="auto"/>
                        <w:right w:val="none" w:sz="0" w:space="0" w:color="auto"/>
                      </w:divBdr>
                    </w:div>
                  </w:divsChild>
                </w:div>
                <w:div w:id="1547990746">
                  <w:marLeft w:val="0"/>
                  <w:marRight w:val="0"/>
                  <w:marTop w:val="0"/>
                  <w:marBottom w:val="0"/>
                  <w:divBdr>
                    <w:top w:val="none" w:sz="0" w:space="0" w:color="auto"/>
                    <w:left w:val="none" w:sz="0" w:space="0" w:color="auto"/>
                    <w:bottom w:val="none" w:sz="0" w:space="0" w:color="auto"/>
                    <w:right w:val="none" w:sz="0" w:space="0" w:color="auto"/>
                  </w:divBdr>
                  <w:divsChild>
                    <w:div w:id="959386237">
                      <w:marLeft w:val="0"/>
                      <w:marRight w:val="0"/>
                      <w:marTop w:val="0"/>
                      <w:marBottom w:val="0"/>
                      <w:divBdr>
                        <w:top w:val="none" w:sz="0" w:space="0" w:color="auto"/>
                        <w:left w:val="none" w:sz="0" w:space="0" w:color="auto"/>
                        <w:bottom w:val="none" w:sz="0" w:space="0" w:color="auto"/>
                        <w:right w:val="none" w:sz="0" w:space="0" w:color="auto"/>
                      </w:divBdr>
                    </w:div>
                    <w:div w:id="1621372189">
                      <w:marLeft w:val="0"/>
                      <w:marRight w:val="0"/>
                      <w:marTop w:val="0"/>
                      <w:marBottom w:val="0"/>
                      <w:divBdr>
                        <w:top w:val="none" w:sz="0" w:space="0" w:color="auto"/>
                        <w:left w:val="none" w:sz="0" w:space="0" w:color="auto"/>
                        <w:bottom w:val="none" w:sz="0" w:space="0" w:color="auto"/>
                        <w:right w:val="none" w:sz="0" w:space="0" w:color="auto"/>
                      </w:divBdr>
                    </w:div>
                  </w:divsChild>
                </w:div>
                <w:div w:id="1548644866">
                  <w:marLeft w:val="0"/>
                  <w:marRight w:val="0"/>
                  <w:marTop w:val="0"/>
                  <w:marBottom w:val="0"/>
                  <w:divBdr>
                    <w:top w:val="none" w:sz="0" w:space="0" w:color="auto"/>
                    <w:left w:val="none" w:sz="0" w:space="0" w:color="auto"/>
                    <w:bottom w:val="none" w:sz="0" w:space="0" w:color="auto"/>
                    <w:right w:val="none" w:sz="0" w:space="0" w:color="auto"/>
                  </w:divBdr>
                  <w:divsChild>
                    <w:div w:id="2014064178">
                      <w:marLeft w:val="0"/>
                      <w:marRight w:val="0"/>
                      <w:marTop w:val="0"/>
                      <w:marBottom w:val="0"/>
                      <w:divBdr>
                        <w:top w:val="none" w:sz="0" w:space="0" w:color="auto"/>
                        <w:left w:val="none" w:sz="0" w:space="0" w:color="auto"/>
                        <w:bottom w:val="none" w:sz="0" w:space="0" w:color="auto"/>
                        <w:right w:val="none" w:sz="0" w:space="0" w:color="auto"/>
                      </w:divBdr>
                    </w:div>
                  </w:divsChild>
                </w:div>
                <w:div w:id="1555697224">
                  <w:marLeft w:val="0"/>
                  <w:marRight w:val="0"/>
                  <w:marTop w:val="0"/>
                  <w:marBottom w:val="0"/>
                  <w:divBdr>
                    <w:top w:val="none" w:sz="0" w:space="0" w:color="auto"/>
                    <w:left w:val="none" w:sz="0" w:space="0" w:color="auto"/>
                    <w:bottom w:val="none" w:sz="0" w:space="0" w:color="auto"/>
                    <w:right w:val="none" w:sz="0" w:space="0" w:color="auto"/>
                  </w:divBdr>
                  <w:divsChild>
                    <w:div w:id="692463958">
                      <w:marLeft w:val="0"/>
                      <w:marRight w:val="0"/>
                      <w:marTop w:val="0"/>
                      <w:marBottom w:val="0"/>
                      <w:divBdr>
                        <w:top w:val="none" w:sz="0" w:space="0" w:color="auto"/>
                        <w:left w:val="none" w:sz="0" w:space="0" w:color="auto"/>
                        <w:bottom w:val="none" w:sz="0" w:space="0" w:color="auto"/>
                        <w:right w:val="none" w:sz="0" w:space="0" w:color="auto"/>
                      </w:divBdr>
                    </w:div>
                  </w:divsChild>
                </w:div>
                <w:div w:id="1559124251">
                  <w:marLeft w:val="0"/>
                  <w:marRight w:val="0"/>
                  <w:marTop w:val="0"/>
                  <w:marBottom w:val="0"/>
                  <w:divBdr>
                    <w:top w:val="none" w:sz="0" w:space="0" w:color="auto"/>
                    <w:left w:val="none" w:sz="0" w:space="0" w:color="auto"/>
                    <w:bottom w:val="none" w:sz="0" w:space="0" w:color="auto"/>
                    <w:right w:val="none" w:sz="0" w:space="0" w:color="auto"/>
                  </w:divBdr>
                  <w:divsChild>
                    <w:div w:id="419528675">
                      <w:marLeft w:val="0"/>
                      <w:marRight w:val="0"/>
                      <w:marTop w:val="0"/>
                      <w:marBottom w:val="0"/>
                      <w:divBdr>
                        <w:top w:val="none" w:sz="0" w:space="0" w:color="auto"/>
                        <w:left w:val="none" w:sz="0" w:space="0" w:color="auto"/>
                        <w:bottom w:val="none" w:sz="0" w:space="0" w:color="auto"/>
                        <w:right w:val="none" w:sz="0" w:space="0" w:color="auto"/>
                      </w:divBdr>
                    </w:div>
                  </w:divsChild>
                </w:div>
                <w:div w:id="1559632078">
                  <w:marLeft w:val="0"/>
                  <w:marRight w:val="0"/>
                  <w:marTop w:val="0"/>
                  <w:marBottom w:val="0"/>
                  <w:divBdr>
                    <w:top w:val="none" w:sz="0" w:space="0" w:color="auto"/>
                    <w:left w:val="none" w:sz="0" w:space="0" w:color="auto"/>
                    <w:bottom w:val="none" w:sz="0" w:space="0" w:color="auto"/>
                    <w:right w:val="none" w:sz="0" w:space="0" w:color="auto"/>
                  </w:divBdr>
                  <w:divsChild>
                    <w:div w:id="226183382">
                      <w:marLeft w:val="0"/>
                      <w:marRight w:val="0"/>
                      <w:marTop w:val="0"/>
                      <w:marBottom w:val="0"/>
                      <w:divBdr>
                        <w:top w:val="none" w:sz="0" w:space="0" w:color="auto"/>
                        <w:left w:val="none" w:sz="0" w:space="0" w:color="auto"/>
                        <w:bottom w:val="none" w:sz="0" w:space="0" w:color="auto"/>
                        <w:right w:val="none" w:sz="0" w:space="0" w:color="auto"/>
                      </w:divBdr>
                    </w:div>
                  </w:divsChild>
                </w:div>
                <w:div w:id="1586770167">
                  <w:marLeft w:val="0"/>
                  <w:marRight w:val="0"/>
                  <w:marTop w:val="0"/>
                  <w:marBottom w:val="0"/>
                  <w:divBdr>
                    <w:top w:val="none" w:sz="0" w:space="0" w:color="auto"/>
                    <w:left w:val="none" w:sz="0" w:space="0" w:color="auto"/>
                    <w:bottom w:val="none" w:sz="0" w:space="0" w:color="auto"/>
                    <w:right w:val="none" w:sz="0" w:space="0" w:color="auto"/>
                  </w:divBdr>
                  <w:divsChild>
                    <w:div w:id="1446120208">
                      <w:marLeft w:val="0"/>
                      <w:marRight w:val="0"/>
                      <w:marTop w:val="0"/>
                      <w:marBottom w:val="0"/>
                      <w:divBdr>
                        <w:top w:val="none" w:sz="0" w:space="0" w:color="auto"/>
                        <w:left w:val="none" w:sz="0" w:space="0" w:color="auto"/>
                        <w:bottom w:val="none" w:sz="0" w:space="0" w:color="auto"/>
                        <w:right w:val="none" w:sz="0" w:space="0" w:color="auto"/>
                      </w:divBdr>
                    </w:div>
                  </w:divsChild>
                </w:div>
                <w:div w:id="1618834287">
                  <w:marLeft w:val="0"/>
                  <w:marRight w:val="0"/>
                  <w:marTop w:val="0"/>
                  <w:marBottom w:val="0"/>
                  <w:divBdr>
                    <w:top w:val="none" w:sz="0" w:space="0" w:color="auto"/>
                    <w:left w:val="none" w:sz="0" w:space="0" w:color="auto"/>
                    <w:bottom w:val="none" w:sz="0" w:space="0" w:color="auto"/>
                    <w:right w:val="none" w:sz="0" w:space="0" w:color="auto"/>
                  </w:divBdr>
                  <w:divsChild>
                    <w:div w:id="662052095">
                      <w:marLeft w:val="0"/>
                      <w:marRight w:val="0"/>
                      <w:marTop w:val="0"/>
                      <w:marBottom w:val="0"/>
                      <w:divBdr>
                        <w:top w:val="none" w:sz="0" w:space="0" w:color="auto"/>
                        <w:left w:val="none" w:sz="0" w:space="0" w:color="auto"/>
                        <w:bottom w:val="none" w:sz="0" w:space="0" w:color="auto"/>
                        <w:right w:val="none" w:sz="0" w:space="0" w:color="auto"/>
                      </w:divBdr>
                    </w:div>
                  </w:divsChild>
                </w:div>
                <w:div w:id="1621448538">
                  <w:marLeft w:val="0"/>
                  <w:marRight w:val="0"/>
                  <w:marTop w:val="0"/>
                  <w:marBottom w:val="0"/>
                  <w:divBdr>
                    <w:top w:val="none" w:sz="0" w:space="0" w:color="auto"/>
                    <w:left w:val="none" w:sz="0" w:space="0" w:color="auto"/>
                    <w:bottom w:val="none" w:sz="0" w:space="0" w:color="auto"/>
                    <w:right w:val="none" w:sz="0" w:space="0" w:color="auto"/>
                  </w:divBdr>
                  <w:divsChild>
                    <w:div w:id="1142775507">
                      <w:marLeft w:val="0"/>
                      <w:marRight w:val="0"/>
                      <w:marTop w:val="0"/>
                      <w:marBottom w:val="0"/>
                      <w:divBdr>
                        <w:top w:val="none" w:sz="0" w:space="0" w:color="auto"/>
                        <w:left w:val="none" w:sz="0" w:space="0" w:color="auto"/>
                        <w:bottom w:val="none" w:sz="0" w:space="0" w:color="auto"/>
                        <w:right w:val="none" w:sz="0" w:space="0" w:color="auto"/>
                      </w:divBdr>
                    </w:div>
                  </w:divsChild>
                </w:div>
                <w:div w:id="1621839208">
                  <w:marLeft w:val="0"/>
                  <w:marRight w:val="0"/>
                  <w:marTop w:val="0"/>
                  <w:marBottom w:val="0"/>
                  <w:divBdr>
                    <w:top w:val="none" w:sz="0" w:space="0" w:color="auto"/>
                    <w:left w:val="none" w:sz="0" w:space="0" w:color="auto"/>
                    <w:bottom w:val="none" w:sz="0" w:space="0" w:color="auto"/>
                    <w:right w:val="none" w:sz="0" w:space="0" w:color="auto"/>
                  </w:divBdr>
                  <w:divsChild>
                    <w:div w:id="1828132588">
                      <w:marLeft w:val="0"/>
                      <w:marRight w:val="0"/>
                      <w:marTop w:val="0"/>
                      <w:marBottom w:val="0"/>
                      <w:divBdr>
                        <w:top w:val="none" w:sz="0" w:space="0" w:color="auto"/>
                        <w:left w:val="none" w:sz="0" w:space="0" w:color="auto"/>
                        <w:bottom w:val="none" w:sz="0" w:space="0" w:color="auto"/>
                        <w:right w:val="none" w:sz="0" w:space="0" w:color="auto"/>
                      </w:divBdr>
                    </w:div>
                  </w:divsChild>
                </w:div>
                <w:div w:id="1693804142">
                  <w:marLeft w:val="0"/>
                  <w:marRight w:val="0"/>
                  <w:marTop w:val="0"/>
                  <w:marBottom w:val="0"/>
                  <w:divBdr>
                    <w:top w:val="none" w:sz="0" w:space="0" w:color="auto"/>
                    <w:left w:val="none" w:sz="0" w:space="0" w:color="auto"/>
                    <w:bottom w:val="none" w:sz="0" w:space="0" w:color="auto"/>
                    <w:right w:val="none" w:sz="0" w:space="0" w:color="auto"/>
                  </w:divBdr>
                  <w:divsChild>
                    <w:div w:id="2016883057">
                      <w:marLeft w:val="0"/>
                      <w:marRight w:val="0"/>
                      <w:marTop w:val="0"/>
                      <w:marBottom w:val="0"/>
                      <w:divBdr>
                        <w:top w:val="none" w:sz="0" w:space="0" w:color="auto"/>
                        <w:left w:val="none" w:sz="0" w:space="0" w:color="auto"/>
                        <w:bottom w:val="none" w:sz="0" w:space="0" w:color="auto"/>
                        <w:right w:val="none" w:sz="0" w:space="0" w:color="auto"/>
                      </w:divBdr>
                    </w:div>
                  </w:divsChild>
                </w:div>
                <w:div w:id="1697074961">
                  <w:marLeft w:val="0"/>
                  <w:marRight w:val="0"/>
                  <w:marTop w:val="0"/>
                  <w:marBottom w:val="0"/>
                  <w:divBdr>
                    <w:top w:val="none" w:sz="0" w:space="0" w:color="auto"/>
                    <w:left w:val="none" w:sz="0" w:space="0" w:color="auto"/>
                    <w:bottom w:val="none" w:sz="0" w:space="0" w:color="auto"/>
                    <w:right w:val="none" w:sz="0" w:space="0" w:color="auto"/>
                  </w:divBdr>
                  <w:divsChild>
                    <w:div w:id="427432994">
                      <w:marLeft w:val="0"/>
                      <w:marRight w:val="0"/>
                      <w:marTop w:val="0"/>
                      <w:marBottom w:val="0"/>
                      <w:divBdr>
                        <w:top w:val="none" w:sz="0" w:space="0" w:color="auto"/>
                        <w:left w:val="none" w:sz="0" w:space="0" w:color="auto"/>
                        <w:bottom w:val="none" w:sz="0" w:space="0" w:color="auto"/>
                        <w:right w:val="none" w:sz="0" w:space="0" w:color="auto"/>
                      </w:divBdr>
                    </w:div>
                  </w:divsChild>
                </w:div>
                <w:div w:id="1731078040">
                  <w:marLeft w:val="0"/>
                  <w:marRight w:val="0"/>
                  <w:marTop w:val="0"/>
                  <w:marBottom w:val="0"/>
                  <w:divBdr>
                    <w:top w:val="none" w:sz="0" w:space="0" w:color="auto"/>
                    <w:left w:val="none" w:sz="0" w:space="0" w:color="auto"/>
                    <w:bottom w:val="none" w:sz="0" w:space="0" w:color="auto"/>
                    <w:right w:val="none" w:sz="0" w:space="0" w:color="auto"/>
                  </w:divBdr>
                  <w:divsChild>
                    <w:div w:id="212041176">
                      <w:marLeft w:val="0"/>
                      <w:marRight w:val="0"/>
                      <w:marTop w:val="0"/>
                      <w:marBottom w:val="0"/>
                      <w:divBdr>
                        <w:top w:val="none" w:sz="0" w:space="0" w:color="auto"/>
                        <w:left w:val="none" w:sz="0" w:space="0" w:color="auto"/>
                        <w:bottom w:val="none" w:sz="0" w:space="0" w:color="auto"/>
                        <w:right w:val="none" w:sz="0" w:space="0" w:color="auto"/>
                      </w:divBdr>
                    </w:div>
                  </w:divsChild>
                </w:div>
                <w:div w:id="1744453791">
                  <w:marLeft w:val="0"/>
                  <w:marRight w:val="0"/>
                  <w:marTop w:val="0"/>
                  <w:marBottom w:val="0"/>
                  <w:divBdr>
                    <w:top w:val="none" w:sz="0" w:space="0" w:color="auto"/>
                    <w:left w:val="none" w:sz="0" w:space="0" w:color="auto"/>
                    <w:bottom w:val="none" w:sz="0" w:space="0" w:color="auto"/>
                    <w:right w:val="none" w:sz="0" w:space="0" w:color="auto"/>
                  </w:divBdr>
                  <w:divsChild>
                    <w:div w:id="48580329">
                      <w:marLeft w:val="0"/>
                      <w:marRight w:val="0"/>
                      <w:marTop w:val="0"/>
                      <w:marBottom w:val="0"/>
                      <w:divBdr>
                        <w:top w:val="none" w:sz="0" w:space="0" w:color="auto"/>
                        <w:left w:val="none" w:sz="0" w:space="0" w:color="auto"/>
                        <w:bottom w:val="none" w:sz="0" w:space="0" w:color="auto"/>
                        <w:right w:val="none" w:sz="0" w:space="0" w:color="auto"/>
                      </w:divBdr>
                    </w:div>
                  </w:divsChild>
                </w:div>
                <w:div w:id="1748918112">
                  <w:marLeft w:val="0"/>
                  <w:marRight w:val="0"/>
                  <w:marTop w:val="0"/>
                  <w:marBottom w:val="0"/>
                  <w:divBdr>
                    <w:top w:val="none" w:sz="0" w:space="0" w:color="auto"/>
                    <w:left w:val="none" w:sz="0" w:space="0" w:color="auto"/>
                    <w:bottom w:val="none" w:sz="0" w:space="0" w:color="auto"/>
                    <w:right w:val="none" w:sz="0" w:space="0" w:color="auto"/>
                  </w:divBdr>
                  <w:divsChild>
                    <w:div w:id="574436905">
                      <w:marLeft w:val="0"/>
                      <w:marRight w:val="0"/>
                      <w:marTop w:val="0"/>
                      <w:marBottom w:val="0"/>
                      <w:divBdr>
                        <w:top w:val="none" w:sz="0" w:space="0" w:color="auto"/>
                        <w:left w:val="none" w:sz="0" w:space="0" w:color="auto"/>
                        <w:bottom w:val="none" w:sz="0" w:space="0" w:color="auto"/>
                        <w:right w:val="none" w:sz="0" w:space="0" w:color="auto"/>
                      </w:divBdr>
                    </w:div>
                  </w:divsChild>
                </w:div>
                <w:div w:id="1763258085">
                  <w:marLeft w:val="0"/>
                  <w:marRight w:val="0"/>
                  <w:marTop w:val="0"/>
                  <w:marBottom w:val="0"/>
                  <w:divBdr>
                    <w:top w:val="none" w:sz="0" w:space="0" w:color="auto"/>
                    <w:left w:val="none" w:sz="0" w:space="0" w:color="auto"/>
                    <w:bottom w:val="none" w:sz="0" w:space="0" w:color="auto"/>
                    <w:right w:val="none" w:sz="0" w:space="0" w:color="auto"/>
                  </w:divBdr>
                  <w:divsChild>
                    <w:div w:id="1447583984">
                      <w:marLeft w:val="0"/>
                      <w:marRight w:val="0"/>
                      <w:marTop w:val="0"/>
                      <w:marBottom w:val="0"/>
                      <w:divBdr>
                        <w:top w:val="none" w:sz="0" w:space="0" w:color="auto"/>
                        <w:left w:val="none" w:sz="0" w:space="0" w:color="auto"/>
                        <w:bottom w:val="none" w:sz="0" w:space="0" w:color="auto"/>
                        <w:right w:val="none" w:sz="0" w:space="0" w:color="auto"/>
                      </w:divBdr>
                    </w:div>
                  </w:divsChild>
                </w:div>
                <w:div w:id="1813936960">
                  <w:marLeft w:val="0"/>
                  <w:marRight w:val="0"/>
                  <w:marTop w:val="0"/>
                  <w:marBottom w:val="0"/>
                  <w:divBdr>
                    <w:top w:val="none" w:sz="0" w:space="0" w:color="auto"/>
                    <w:left w:val="none" w:sz="0" w:space="0" w:color="auto"/>
                    <w:bottom w:val="none" w:sz="0" w:space="0" w:color="auto"/>
                    <w:right w:val="none" w:sz="0" w:space="0" w:color="auto"/>
                  </w:divBdr>
                  <w:divsChild>
                    <w:div w:id="388190426">
                      <w:marLeft w:val="0"/>
                      <w:marRight w:val="0"/>
                      <w:marTop w:val="0"/>
                      <w:marBottom w:val="0"/>
                      <w:divBdr>
                        <w:top w:val="none" w:sz="0" w:space="0" w:color="auto"/>
                        <w:left w:val="none" w:sz="0" w:space="0" w:color="auto"/>
                        <w:bottom w:val="none" w:sz="0" w:space="0" w:color="auto"/>
                        <w:right w:val="none" w:sz="0" w:space="0" w:color="auto"/>
                      </w:divBdr>
                    </w:div>
                  </w:divsChild>
                </w:div>
                <w:div w:id="1819107782">
                  <w:marLeft w:val="0"/>
                  <w:marRight w:val="0"/>
                  <w:marTop w:val="0"/>
                  <w:marBottom w:val="0"/>
                  <w:divBdr>
                    <w:top w:val="none" w:sz="0" w:space="0" w:color="auto"/>
                    <w:left w:val="none" w:sz="0" w:space="0" w:color="auto"/>
                    <w:bottom w:val="none" w:sz="0" w:space="0" w:color="auto"/>
                    <w:right w:val="none" w:sz="0" w:space="0" w:color="auto"/>
                  </w:divBdr>
                  <w:divsChild>
                    <w:div w:id="749085297">
                      <w:marLeft w:val="0"/>
                      <w:marRight w:val="0"/>
                      <w:marTop w:val="0"/>
                      <w:marBottom w:val="0"/>
                      <w:divBdr>
                        <w:top w:val="none" w:sz="0" w:space="0" w:color="auto"/>
                        <w:left w:val="none" w:sz="0" w:space="0" w:color="auto"/>
                        <w:bottom w:val="none" w:sz="0" w:space="0" w:color="auto"/>
                        <w:right w:val="none" w:sz="0" w:space="0" w:color="auto"/>
                      </w:divBdr>
                    </w:div>
                  </w:divsChild>
                </w:div>
                <w:div w:id="1876917848">
                  <w:marLeft w:val="0"/>
                  <w:marRight w:val="0"/>
                  <w:marTop w:val="0"/>
                  <w:marBottom w:val="0"/>
                  <w:divBdr>
                    <w:top w:val="none" w:sz="0" w:space="0" w:color="auto"/>
                    <w:left w:val="none" w:sz="0" w:space="0" w:color="auto"/>
                    <w:bottom w:val="none" w:sz="0" w:space="0" w:color="auto"/>
                    <w:right w:val="none" w:sz="0" w:space="0" w:color="auto"/>
                  </w:divBdr>
                  <w:divsChild>
                    <w:div w:id="849562468">
                      <w:marLeft w:val="0"/>
                      <w:marRight w:val="0"/>
                      <w:marTop w:val="0"/>
                      <w:marBottom w:val="0"/>
                      <w:divBdr>
                        <w:top w:val="none" w:sz="0" w:space="0" w:color="auto"/>
                        <w:left w:val="none" w:sz="0" w:space="0" w:color="auto"/>
                        <w:bottom w:val="none" w:sz="0" w:space="0" w:color="auto"/>
                        <w:right w:val="none" w:sz="0" w:space="0" w:color="auto"/>
                      </w:divBdr>
                    </w:div>
                    <w:div w:id="1650137643">
                      <w:marLeft w:val="0"/>
                      <w:marRight w:val="0"/>
                      <w:marTop w:val="0"/>
                      <w:marBottom w:val="0"/>
                      <w:divBdr>
                        <w:top w:val="none" w:sz="0" w:space="0" w:color="auto"/>
                        <w:left w:val="none" w:sz="0" w:space="0" w:color="auto"/>
                        <w:bottom w:val="none" w:sz="0" w:space="0" w:color="auto"/>
                        <w:right w:val="none" w:sz="0" w:space="0" w:color="auto"/>
                      </w:divBdr>
                    </w:div>
                  </w:divsChild>
                </w:div>
                <w:div w:id="1892419784">
                  <w:marLeft w:val="0"/>
                  <w:marRight w:val="0"/>
                  <w:marTop w:val="0"/>
                  <w:marBottom w:val="0"/>
                  <w:divBdr>
                    <w:top w:val="none" w:sz="0" w:space="0" w:color="auto"/>
                    <w:left w:val="none" w:sz="0" w:space="0" w:color="auto"/>
                    <w:bottom w:val="none" w:sz="0" w:space="0" w:color="auto"/>
                    <w:right w:val="none" w:sz="0" w:space="0" w:color="auto"/>
                  </w:divBdr>
                  <w:divsChild>
                    <w:div w:id="248199592">
                      <w:marLeft w:val="0"/>
                      <w:marRight w:val="0"/>
                      <w:marTop w:val="0"/>
                      <w:marBottom w:val="0"/>
                      <w:divBdr>
                        <w:top w:val="none" w:sz="0" w:space="0" w:color="auto"/>
                        <w:left w:val="none" w:sz="0" w:space="0" w:color="auto"/>
                        <w:bottom w:val="none" w:sz="0" w:space="0" w:color="auto"/>
                        <w:right w:val="none" w:sz="0" w:space="0" w:color="auto"/>
                      </w:divBdr>
                    </w:div>
                  </w:divsChild>
                </w:div>
                <w:div w:id="1952392320">
                  <w:marLeft w:val="0"/>
                  <w:marRight w:val="0"/>
                  <w:marTop w:val="0"/>
                  <w:marBottom w:val="0"/>
                  <w:divBdr>
                    <w:top w:val="none" w:sz="0" w:space="0" w:color="auto"/>
                    <w:left w:val="none" w:sz="0" w:space="0" w:color="auto"/>
                    <w:bottom w:val="none" w:sz="0" w:space="0" w:color="auto"/>
                    <w:right w:val="none" w:sz="0" w:space="0" w:color="auto"/>
                  </w:divBdr>
                  <w:divsChild>
                    <w:div w:id="635644550">
                      <w:marLeft w:val="0"/>
                      <w:marRight w:val="0"/>
                      <w:marTop w:val="0"/>
                      <w:marBottom w:val="0"/>
                      <w:divBdr>
                        <w:top w:val="none" w:sz="0" w:space="0" w:color="auto"/>
                        <w:left w:val="none" w:sz="0" w:space="0" w:color="auto"/>
                        <w:bottom w:val="none" w:sz="0" w:space="0" w:color="auto"/>
                        <w:right w:val="none" w:sz="0" w:space="0" w:color="auto"/>
                      </w:divBdr>
                    </w:div>
                  </w:divsChild>
                </w:div>
                <w:div w:id="1964917593">
                  <w:marLeft w:val="0"/>
                  <w:marRight w:val="0"/>
                  <w:marTop w:val="0"/>
                  <w:marBottom w:val="0"/>
                  <w:divBdr>
                    <w:top w:val="none" w:sz="0" w:space="0" w:color="auto"/>
                    <w:left w:val="none" w:sz="0" w:space="0" w:color="auto"/>
                    <w:bottom w:val="none" w:sz="0" w:space="0" w:color="auto"/>
                    <w:right w:val="none" w:sz="0" w:space="0" w:color="auto"/>
                  </w:divBdr>
                  <w:divsChild>
                    <w:div w:id="1229001766">
                      <w:marLeft w:val="0"/>
                      <w:marRight w:val="0"/>
                      <w:marTop w:val="0"/>
                      <w:marBottom w:val="0"/>
                      <w:divBdr>
                        <w:top w:val="none" w:sz="0" w:space="0" w:color="auto"/>
                        <w:left w:val="none" w:sz="0" w:space="0" w:color="auto"/>
                        <w:bottom w:val="none" w:sz="0" w:space="0" w:color="auto"/>
                        <w:right w:val="none" w:sz="0" w:space="0" w:color="auto"/>
                      </w:divBdr>
                    </w:div>
                  </w:divsChild>
                </w:div>
                <w:div w:id="1971283656">
                  <w:marLeft w:val="0"/>
                  <w:marRight w:val="0"/>
                  <w:marTop w:val="0"/>
                  <w:marBottom w:val="0"/>
                  <w:divBdr>
                    <w:top w:val="none" w:sz="0" w:space="0" w:color="auto"/>
                    <w:left w:val="none" w:sz="0" w:space="0" w:color="auto"/>
                    <w:bottom w:val="none" w:sz="0" w:space="0" w:color="auto"/>
                    <w:right w:val="none" w:sz="0" w:space="0" w:color="auto"/>
                  </w:divBdr>
                  <w:divsChild>
                    <w:div w:id="147599207">
                      <w:marLeft w:val="0"/>
                      <w:marRight w:val="0"/>
                      <w:marTop w:val="0"/>
                      <w:marBottom w:val="0"/>
                      <w:divBdr>
                        <w:top w:val="none" w:sz="0" w:space="0" w:color="auto"/>
                        <w:left w:val="none" w:sz="0" w:space="0" w:color="auto"/>
                        <w:bottom w:val="none" w:sz="0" w:space="0" w:color="auto"/>
                        <w:right w:val="none" w:sz="0" w:space="0" w:color="auto"/>
                      </w:divBdr>
                    </w:div>
                    <w:div w:id="218707598">
                      <w:marLeft w:val="0"/>
                      <w:marRight w:val="0"/>
                      <w:marTop w:val="0"/>
                      <w:marBottom w:val="0"/>
                      <w:divBdr>
                        <w:top w:val="none" w:sz="0" w:space="0" w:color="auto"/>
                        <w:left w:val="none" w:sz="0" w:space="0" w:color="auto"/>
                        <w:bottom w:val="none" w:sz="0" w:space="0" w:color="auto"/>
                        <w:right w:val="none" w:sz="0" w:space="0" w:color="auto"/>
                      </w:divBdr>
                    </w:div>
                    <w:div w:id="1776249450">
                      <w:marLeft w:val="0"/>
                      <w:marRight w:val="0"/>
                      <w:marTop w:val="0"/>
                      <w:marBottom w:val="0"/>
                      <w:divBdr>
                        <w:top w:val="none" w:sz="0" w:space="0" w:color="auto"/>
                        <w:left w:val="none" w:sz="0" w:space="0" w:color="auto"/>
                        <w:bottom w:val="none" w:sz="0" w:space="0" w:color="auto"/>
                        <w:right w:val="none" w:sz="0" w:space="0" w:color="auto"/>
                      </w:divBdr>
                    </w:div>
                    <w:div w:id="2085762692">
                      <w:marLeft w:val="0"/>
                      <w:marRight w:val="0"/>
                      <w:marTop w:val="0"/>
                      <w:marBottom w:val="0"/>
                      <w:divBdr>
                        <w:top w:val="none" w:sz="0" w:space="0" w:color="auto"/>
                        <w:left w:val="none" w:sz="0" w:space="0" w:color="auto"/>
                        <w:bottom w:val="none" w:sz="0" w:space="0" w:color="auto"/>
                        <w:right w:val="none" w:sz="0" w:space="0" w:color="auto"/>
                      </w:divBdr>
                    </w:div>
                  </w:divsChild>
                </w:div>
                <w:div w:id="1994480359">
                  <w:marLeft w:val="0"/>
                  <w:marRight w:val="0"/>
                  <w:marTop w:val="0"/>
                  <w:marBottom w:val="0"/>
                  <w:divBdr>
                    <w:top w:val="none" w:sz="0" w:space="0" w:color="auto"/>
                    <w:left w:val="none" w:sz="0" w:space="0" w:color="auto"/>
                    <w:bottom w:val="none" w:sz="0" w:space="0" w:color="auto"/>
                    <w:right w:val="none" w:sz="0" w:space="0" w:color="auto"/>
                  </w:divBdr>
                  <w:divsChild>
                    <w:div w:id="1261110272">
                      <w:marLeft w:val="0"/>
                      <w:marRight w:val="0"/>
                      <w:marTop w:val="0"/>
                      <w:marBottom w:val="0"/>
                      <w:divBdr>
                        <w:top w:val="none" w:sz="0" w:space="0" w:color="auto"/>
                        <w:left w:val="none" w:sz="0" w:space="0" w:color="auto"/>
                        <w:bottom w:val="none" w:sz="0" w:space="0" w:color="auto"/>
                        <w:right w:val="none" w:sz="0" w:space="0" w:color="auto"/>
                      </w:divBdr>
                    </w:div>
                  </w:divsChild>
                </w:div>
                <w:div w:id="2054309031">
                  <w:marLeft w:val="0"/>
                  <w:marRight w:val="0"/>
                  <w:marTop w:val="0"/>
                  <w:marBottom w:val="0"/>
                  <w:divBdr>
                    <w:top w:val="none" w:sz="0" w:space="0" w:color="auto"/>
                    <w:left w:val="none" w:sz="0" w:space="0" w:color="auto"/>
                    <w:bottom w:val="none" w:sz="0" w:space="0" w:color="auto"/>
                    <w:right w:val="none" w:sz="0" w:space="0" w:color="auto"/>
                  </w:divBdr>
                  <w:divsChild>
                    <w:div w:id="1697538975">
                      <w:marLeft w:val="0"/>
                      <w:marRight w:val="0"/>
                      <w:marTop w:val="0"/>
                      <w:marBottom w:val="0"/>
                      <w:divBdr>
                        <w:top w:val="none" w:sz="0" w:space="0" w:color="auto"/>
                        <w:left w:val="none" w:sz="0" w:space="0" w:color="auto"/>
                        <w:bottom w:val="none" w:sz="0" w:space="0" w:color="auto"/>
                        <w:right w:val="none" w:sz="0" w:space="0" w:color="auto"/>
                      </w:divBdr>
                    </w:div>
                  </w:divsChild>
                </w:div>
                <w:div w:id="2072264686">
                  <w:marLeft w:val="0"/>
                  <w:marRight w:val="0"/>
                  <w:marTop w:val="0"/>
                  <w:marBottom w:val="0"/>
                  <w:divBdr>
                    <w:top w:val="none" w:sz="0" w:space="0" w:color="auto"/>
                    <w:left w:val="none" w:sz="0" w:space="0" w:color="auto"/>
                    <w:bottom w:val="none" w:sz="0" w:space="0" w:color="auto"/>
                    <w:right w:val="none" w:sz="0" w:space="0" w:color="auto"/>
                  </w:divBdr>
                  <w:divsChild>
                    <w:div w:id="53818622">
                      <w:marLeft w:val="0"/>
                      <w:marRight w:val="0"/>
                      <w:marTop w:val="0"/>
                      <w:marBottom w:val="0"/>
                      <w:divBdr>
                        <w:top w:val="none" w:sz="0" w:space="0" w:color="auto"/>
                        <w:left w:val="none" w:sz="0" w:space="0" w:color="auto"/>
                        <w:bottom w:val="none" w:sz="0" w:space="0" w:color="auto"/>
                        <w:right w:val="none" w:sz="0" w:space="0" w:color="auto"/>
                      </w:divBdr>
                    </w:div>
                  </w:divsChild>
                </w:div>
                <w:div w:id="2076004478">
                  <w:marLeft w:val="0"/>
                  <w:marRight w:val="0"/>
                  <w:marTop w:val="0"/>
                  <w:marBottom w:val="0"/>
                  <w:divBdr>
                    <w:top w:val="none" w:sz="0" w:space="0" w:color="auto"/>
                    <w:left w:val="none" w:sz="0" w:space="0" w:color="auto"/>
                    <w:bottom w:val="none" w:sz="0" w:space="0" w:color="auto"/>
                    <w:right w:val="none" w:sz="0" w:space="0" w:color="auto"/>
                  </w:divBdr>
                  <w:divsChild>
                    <w:div w:id="968364390">
                      <w:marLeft w:val="0"/>
                      <w:marRight w:val="0"/>
                      <w:marTop w:val="0"/>
                      <w:marBottom w:val="0"/>
                      <w:divBdr>
                        <w:top w:val="none" w:sz="0" w:space="0" w:color="auto"/>
                        <w:left w:val="none" w:sz="0" w:space="0" w:color="auto"/>
                        <w:bottom w:val="none" w:sz="0" w:space="0" w:color="auto"/>
                        <w:right w:val="none" w:sz="0" w:space="0" w:color="auto"/>
                      </w:divBdr>
                    </w:div>
                  </w:divsChild>
                </w:div>
                <w:div w:id="2102873542">
                  <w:marLeft w:val="0"/>
                  <w:marRight w:val="0"/>
                  <w:marTop w:val="0"/>
                  <w:marBottom w:val="0"/>
                  <w:divBdr>
                    <w:top w:val="none" w:sz="0" w:space="0" w:color="auto"/>
                    <w:left w:val="none" w:sz="0" w:space="0" w:color="auto"/>
                    <w:bottom w:val="none" w:sz="0" w:space="0" w:color="auto"/>
                    <w:right w:val="none" w:sz="0" w:space="0" w:color="auto"/>
                  </w:divBdr>
                  <w:divsChild>
                    <w:div w:id="1179731669">
                      <w:marLeft w:val="0"/>
                      <w:marRight w:val="0"/>
                      <w:marTop w:val="0"/>
                      <w:marBottom w:val="0"/>
                      <w:divBdr>
                        <w:top w:val="none" w:sz="0" w:space="0" w:color="auto"/>
                        <w:left w:val="none" w:sz="0" w:space="0" w:color="auto"/>
                        <w:bottom w:val="none" w:sz="0" w:space="0" w:color="auto"/>
                        <w:right w:val="none" w:sz="0" w:space="0" w:color="auto"/>
                      </w:divBdr>
                    </w:div>
                  </w:divsChild>
                </w:div>
                <w:div w:id="2115979263">
                  <w:marLeft w:val="0"/>
                  <w:marRight w:val="0"/>
                  <w:marTop w:val="0"/>
                  <w:marBottom w:val="0"/>
                  <w:divBdr>
                    <w:top w:val="none" w:sz="0" w:space="0" w:color="auto"/>
                    <w:left w:val="none" w:sz="0" w:space="0" w:color="auto"/>
                    <w:bottom w:val="none" w:sz="0" w:space="0" w:color="auto"/>
                    <w:right w:val="none" w:sz="0" w:space="0" w:color="auto"/>
                  </w:divBdr>
                  <w:divsChild>
                    <w:div w:id="207379489">
                      <w:marLeft w:val="0"/>
                      <w:marRight w:val="0"/>
                      <w:marTop w:val="0"/>
                      <w:marBottom w:val="0"/>
                      <w:divBdr>
                        <w:top w:val="none" w:sz="0" w:space="0" w:color="auto"/>
                        <w:left w:val="none" w:sz="0" w:space="0" w:color="auto"/>
                        <w:bottom w:val="none" w:sz="0" w:space="0" w:color="auto"/>
                        <w:right w:val="none" w:sz="0" w:space="0" w:color="auto"/>
                      </w:divBdr>
                    </w:div>
                  </w:divsChild>
                </w:div>
                <w:div w:id="2129467629">
                  <w:marLeft w:val="0"/>
                  <w:marRight w:val="0"/>
                  <w:marTop w:val="0"/>
                  <w:marBottom w:val="0"/>
                  <w:divBdr>
                    <w:top w:val="none" w:sz="0" w:space="0" w:color="auto"/>
                    <w:left w:val="none" w:sz="0" w:space="0" w:color="auto"/>
                    <w:bottom w:val="none" w:sz="0" w:space="0" w:color="auto"/>
                    <w:right w:val="none" w:sz="0" w:space="0" w:color="auto"/>
                  </w:divBdr>
                  <w:divsChild>
                    <w:div w:id="496043118">
                      <w:marLeft w:val="0"/>
                      <w:marRight w:val="0"/>
                      <w:marTop w:val="0"/>
                      <w:marBottom w:val="0"/>
                      <w:divBdr>
                        <w:top w:val="none" w:sz="0" w:space="0" w:color="auto"/>
                        <w:left w:val="none" w:sz="0" w:space="0" w:color="auto"/>
                        <w:bottom w:val="none" w:sz="0" w:space="0" w:color="auto"/>
                        <w:right w:val="none" w:sz="0" w:space="0" w:color="auto"/>
                      </w:divBdr>
                    </w:div>
                  </w:divsChild>
                </w:div>
                <w:div w:id="2129545342">
                  <w:marLeft w:val="0"/>
                  <w:marRight w:val="0"/>
                  <w:marTop w:val="0"/>
                  <w:marBottom w:val="0"/>
                  <w:divBdr>
                    <w:top w:val="none" w:sz="0" w:space="0" w:color="auto"/>
                    <w:left w:val="none" w:sz="0" w:space="0" w:color="auto"/>
                    <w:bottom w:val="none" w:sz="0" w:space="0" w:color="auto"/>
                    <w:right w:val="none" w:sz="0" w:space="0" w:color="auto"/>
                  </w:divBdr>
                  <w:divsChild>
                    <w:div w:id="6965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69342">
          <w:marLeft w:val="0"/>
          <w:marRight w:val="0"/>
          <w:marTop w:val="0"/>
          <w:marBottom w:val="0"/>
          <w:divBdr>
            <w:top w:val="none" w:sz="0" w:space="0" w:color="auto"/>
            <w:left w:val="none" w:sz="0" w:space="0" w:color="auto"/>
            <w:bottom w:val="none" w:sz="0" w:space="0" w:color="auto"/>
            <w:right w:val="none" w:sz="0" w:space="0" w:color="auto"/>
          </w:divBdr>
        </w:div>
        <w:div w:id="2001959848">
          <w:marLeft w:val="0"/>
          <w:marRight w:val="0"/>
          <w:marTop w:val="0"/>
          <w:marBottom w:val="0"/>
          <w:divBdr>
            <w:top w:val="none" w:sz="0" w:space="0" w:color="auto"/>
            <w:left w:val="none" w:sz="0" w:space="0" w:color="auto"/>
            <w:bottom w:val="none" w:sz="0" w:space="0" w:color="auto"/>
            <w:right w:val="none" w:sz="0" w:space="0" w:color="auto"/>
          </w:divBdr>
        </w:div>
        <w:div w:id="2032339030">
          <w:marLeft w:val="0"/>
          <w:marRight w:val="0"/>
          <w:marTop w:val="0"/>
          <w:marBottom w:val="0"/>
          <w:divBdr>
            <w:top w:val="none" w:sz="0" w:space="0" w:color="auto"/>
            <w:left w:val="none" w:sz="0" w:space="0" w:color="auto"/>
            <w:bottom w:val="none" w:sz="0" w:space="0" w:color="auto"/>
            <w:right w:val="none" w:sz="0" w:space="0" w:color="auto"/>
          </w:divBdr>
        </w:div>
      </w:divsChild>
    </w:div>
    <w:div w:id="1906453006">
      <w:bodyDiv w:val="1"/>
      <w:marLeft w:val="0"/>
      <w:marRight w:val="0"/>
      <w:marTop w:val="0"/>
      <w:marBottom w:val="0"/>
      <w:divBdr>
        <w:top w:val="none" w:sz="0" w:space="0" w:color="auto"/>
        <w:left w:val="none" w:sz="0" w:space="0" w:color="auto"/>
        <w:bottom w:val="none" w:sz="0" w:space="0" w:color="auto"/>
        <w:right w:val="none" w:sz="0" w:space="0" w:color="auto"/>
      </w:divBdr>
    </w:div>
    <w:div w:id="1929848284">
      <w:bodyDiv w:val="1"/>
      <w:marLeft w:val="0"/>
      <w:marRight w:val="0"/>
      <w:marTop w:val="0"/>
      <w:marBottom w:val="0"/>
      <w:divBdr>
        <w:top w:val="none" w:sz="0" w:space="0" w:color="auto"/>
        <w:left w:val="none" w:sz="0" w:space="0" w:color="auto"/>
        <w:bottom w:val="none" w:sz="0" w:space="0" w:color="auto"/>
        <w:right w:val="none" w:sz="0" w:space="0" w:color="auto"/>
      </w:divBdr>
    </w:div>
    <w:div w:id="1968243281">
      <w:bodyDiv w:val="1"/>
      <w:marLeft w:val="0"/>
      <w:marRight w:val="0"/>
      <w:marTop w:val="0"/>
      <w:marBottom w:val="0"/>
      <w:divBdr>
        <w:top w:val="none" w:sz="0" w:space="0" w:color="auto"/>
        <w:left w:val="none" w:sz="0" w:space="0" w:color="auto"/>
        <w:bottom w:val="none" w:sz="0" w:space="0" w:color="auto"/>
        <w:right w:val="none" w:sz="0" w:space="0" w:color="auto"/>
      </w:divBdr>
    </w:div>
    <w:div w:id="1999721094">
      <w:bodyDiv w:val="1"/>
      <w:marLeft w:val="0"/>
      <w:marRight w:val="0"/>
      <w:marTop w:val="0"/>
      <w:marBottom w:val="0"/>
      <w:divBdr>
        <w:top w:val="none" w:sz="0" w:space="0" w:color="auto"/>
        <w:left w:val="none" w:sz="0" w:space="0" w:color="auto"/>
        <w:bottom w:val="none" w:sz="0" w:space="0" w:color="auto"/>
        <w:right w:val="none" w:sz="0" w:space="0" w:color="auto"/>
      </w:divBdr>
      <w:divsChild>
        <w:div w:id="1112557509">
          <w:marLeft w:val="0"/>
          <w:marRight w:val="0"/>
          <w:marTop w:val="0"/>
          <w:marBottom w:val="0"/>
          <w:divBdr>
            <w:top w:val="none" w:sz="0" w:space="0" w:color="auto"/>
            <w:left w:val="none" w:sz="0" w:space="0" w:color="auto"/>
            <w:bottom w:val="none" w:sz="0" w:space="0" w:color="auto"/>
            <w:right w:val="none" w:sz="0" w:space="0" w:color="auto"/>
          </w:divBdr>
        </w:div>
        <w:div w:id="2137601699">
          <w:marLeft w:val="0"/>
          <w:marRight w:val="0"/>
          <w:marTop w:val="0"/>
          <w:marBottom w:val="0"/>
          <w:divBdr>
            <w:top w:val="none" w:sz="0" w:space="0" w:color="auto"/>
            <w:left w:val="none" w:sz="0" w:space="0" w:color="auto"/>
            <w:bottom w:val="none" w:sz="0" w:space="0" w:color="auto"/>
            <w:right w:val="none" w:sz="0" w:space="0" w:color="auto"/>
          </w:divBdr>
        </w:div>
      </w:divsChild>
    </w:div>
    <w:div w:id="2017462209">
      <w:bodyDiv w:val="1"/>
      <w:marLeft w:val="0"/>
      <w:marRight w:val="0"/>
      <w:marTop w:val="0"/>
      <w:marBottom w:val="0"/>
      <w:divBdr>
        <w:top w:val="none" w:sz="0" w:space="0" w:color="auto"/>
        <w:left w:val="none" w:sz="0" w:space="0" w:color="auto"/>
        <w:bottom w:val="none" w:sz="0" w:space="0" w:color="auto"/>
        <w:right w:val="none" w:sz="0" w:space="0" w:color="auto"/>
      </w:divBdr>
      <w:divsChild>
        <w:div w:id="75517456">
          <w:marLeft w:val="0"/>
          <w:marRight w:val="0"/>
          <w:marTop w:val="0"/>
          <w:marBottom w:val="0"/>
          <w:divBdr>
            <w:top w:val="none" w:sz="0" w:space="0" w:color="auto"/>
            <w:left w:val="none" w:sz="0" w:space="0" w:color="auto"/>
            <w:bottom w:val="none" w:sz="0" w:space="0" w:color="auto"/>
            <w:right w:val="none" w:sz="0" w:space="0" w:color="auto"/>
          </w:divBdr>
        </w:div>
        <w:div w:id="1207837048">
          <w:marLeft w:val="0"/>
          <w:marRight w:val="0"/>
          <w:marTop w:val="0"/>
          <w:marBottom w:val="0"/>
          <w:divBdr>
            <w:top w:val="none" w:sz="0" w:space="0" w:color="auto"/>
            <w:left w:val="none" w:sz="0" w:space="0" w:color="auto"/>
            <w:bottom w:val="none" w:sz="0" w:space="0" w:color="auto"/>
            <w:right w:val="none" w:sz="0" w:space="0" w:color="auto"/>
          </w:divBdr>
        </w:div>
        <w:div w:id="1957901839">
          <w:marLeft w:val="0"/>
          <w:marRight w:val="0"/>
          <w:marTop w:val="0"/>
          <w:marBottom w:val="0"/>
          <w:divBdr>
            <w:top w:val="none" w:sz="0" w:space="0" w:color="auto"/>
            <w:left w:val="none" w:sz="0" w:space="0" w:color="auto"/>
            <w:bottom w:val="none" w:sz="0" w:space="0" w:color="auto"/>
            <w:right w:val="none" w:sz="0" w:space="0" w:color="auto"/>
          </w:divBdr>
        </w:div>
      </w:divsChild>
    </w:div>
    <w:div w:id="2095515899">
      <w:bodyDiv w:val="1"/>
      <w:marLeft w:val="0"/>
      <w:marRight w:val="0"/>
      <w:marTop w:val="0"/>
      <w:marBottom w:val="0"/>
      <w:divBdr>
        <w:top w:val="none" w:sz="0" w:space="0" w:color="auto"/>
        <w:left w:val="none" w:sz="0" w:space="0" w:color="auto"/>
        <w:bottom w:val="none" w:sz="0" w:space="0" w:color="auto"/>
        <w:right w:val="none" w:sz="0" w:space="0" w:color="auto"/>
      </w:divBdr>
      <w:divsChild>
        <w:div w:id="1426464236">
          <w:marLeft w:val="0"/>
          <w:marRight w:val="0"/>
          <w:marTop w:val="0"/>
          <w:marBottom w:val="0"/>
          <w:divBdr>
            <w:top w:val="none" w:sz="0" w:space="0" w:color="auto"/>
            <w:left w:val="none" w:sz="0" w:space="0" w:color="auto"/>
            <w:bottom w:val="none" w:sz="0" w:space="0" w:color="auto"/>
            <w:right w:val="none" w:sz="0" w:space="0" w:color="auto"/>
          </w:divBdr>
          <w:divsChild>
            <w:div w:id="32854784">
              <w:marLeft w:val="0"/>
              <w:marRight w:val="0"/>
              <w:marTop w:val="0"/>
              <w:marBottom w:val="0"/>
              <w:divBdr>
                <w:top w:val="none" w:sz="0" w:space="0" w:color="auto"/>
                <w:left w:val="none" w:sz="0" w:space="0" w:color="auto"/>
                <w:bottom w:val="none" w:sz="0" w:space="0" w:color="auto"/>
                <w:right w:val="none" w:sz="0" w:space="0" w:color="auto"/>
              </w:divBdr>
              <w:divsChild>
                <w:div w:id="1140922219">
                  <w:marLeft w:val="0"/>
                  <w:marRight w:val="0"/>
                  <w:marTop w:val="0"/>
                  <w:marBottom w:val="0"/>
                  <w:divBdr>
                    <w:top w:val="none" w:sz="0" w:space="0" w:color="auto"/>
                    <w:left w:val="none" w:sz="0" w:space="0" w:color="auto"/>
                    <w:bottom w:val="none" w:sz="0" w:space="0" w:color="auto"/>
                    <w:right w:val="none" w:sz="0" w:space="0" w:color="auto"/>
                  </w:divBdr>
                </w:div>
              </w:divsChild>
            </w:div>
            <w:div w:id="54863966">
              <w:marLeft w:val="0"/>
              <w:marRight w:val="0"/>
              <w:marTop w:val="0"/>
              <w:marBottom w:val="0"/>
              <w:divBdr>
                <w:top w:val="none" w:sz="0" w:space="0" w:color="auto"/>
                <w:left w:val="none" w:sz="0" w:space="0" w:color="auto"/>
                <w:bottom w:val="none" w:sz="0" w:space="0" w:color="auto"/>
                <w:right w:val="none" w:sz="0" w:space="0" w:color="auto"/>
              </w:divBdr>
              <w:divsChild>
                <w:div w:id="2013025683">
                  <w:marLeft w:val="0"/>
                  <w:marRight w:val="0"/>
                  <w:marTop w:val="0"/>
                  <w:marBottom w:val="0"/>
                  <w:divBdr>
                    <w:top w:val="none" w:sz="0" w:space="0" w:color="auto"/>
                    <w:left w:val="none" w:sz="0" w:space="0" w:color="auto"/>
                    <w:bottom w:val="none" w:sz="0" w:space="0" w:color="auto"/>
                    <w:right w:val="none" w:sz="0" w:space="0" w:color="auto"/>
                  </w:divBdr>
                </w:div>
              </w:divsChild>
            </w:div>
            <w:div w:id="160433533">
              <w:marLeft w:val="0"/>
              <w:marRight w:val="0"/>
              <w:marTop w:val="0"/>
              <w:marBottom w:val="0"/>
              <w:divBdr>
                <w:top w:val="none" w:sz="0" w:space="0" w:color="auto"/>
                <w:left w:val="none" w:sz="0" w:space="0" w:color="auto"/>
                <w:bottom w:val="none" w:sz="0" w:space="0" w:color="auto"/>
                <w:right w:val="none" w:sz="0" w:space="0" w:color="auto"/>
              </w:divBdr>
              <w:divsChild>
                <w:div w:id="1245257440">
                  <w:marLeft w:val="0"/>
                  <w:marRight w:val="0"/>
                  <w:marTop w:val="0"/>
                  <w:marBottom w:val="0"/>
                  <w:divBdr>
                    <w:top w:val="none" w:sz="0" w:space="0" w:color="auto"/>
                    <w:left w:val="none" w:sz="0" w:space="0" w:color="auto"/>
                    <w:bottom w:val="none" w:sz="0" w:space="0" w:color="auto"/>
                    <w:right w:val="none" w:sz="0" w:space="0" w:color="auto"/>
                  </w:divBdr>
                </w:div>
              </w:divsChild>
            </w:div>
            <w:div w:id="638387454">
              <w:marLeft w:val="0"/>
              <w:marRight w:val="0"/>
              <w:marTop w:val="0"/>
              <w:marBottom w:val="0"/>
              <w:divBdr>
                <w:top w:val="none" w:sz="0" w:space="0" w:color="auto"/>
                <w:left w:val="none" w:sz="0" w:space="0" w:color="auto"/>
                <w:bottom w:val="none" w:sz="0" w:space="0" w:color="auto"/>
                <w:right w:val="none" w:sz="0" w:space="0" w:color="auto"/>
              </w:divBdr>
              <w:divsChild>
                <w:div w:id="357977054">
                  <w:marLeft w:val="0"/>
                  <w:marRight w:val="0"/>
                  <w:marTop w:val="0"/>
                  <w:marBottom w:val="0"/>
                  <w:divBdr>
                    <w:top w:val="none" w:sz="0" w:space="0" w:color="auto"/>
                    <w:left w:val="none" w:sz="0" w:space="0" w:color="auto"/>
                    <w:bottom w:val="none" w:sz="0" w:space="0" w:color="auto"/>
                    <w:right w:val="none" w:sz="0" w:space="0" w:color="auto"/>
                  </w:divBdr>
                </w:div>
              </w:divsChild>
            </w:div>
            <w:div w:id="673802794">
              <w:marLeft w:val="0"/>
              <w:marRight w:val="0"/>
              <w:marTop w:val="0"/>
              <w:marBottom w:val="0"/>
              <w:divBdr>
                <w:top w:val="none" w:sz="0" w:space="0" w:color="auto"/>
                <w:left w:val="none" w:sz="0" w:space="0" w:color="auto"/>
                <w:bottom w:val="none" w:sz="0" w:space="0" w:color="auto"/>
                <w:right w:val="none" w:sz="0" w:space="0" w:color="auto"/>
              </w:divBdr>
              <w:divsChild>
                <w:div w:id="1792748718">
                  <w:marLeft w:val="0"/>
                  <w:marRight w:val="0"/>
                  <w:marTop w:val="0"/>
                  <w:marBottom w:val="0"/>
                  <w:divBdr>
                    <w:top w:val="none" w:sz="0" w:space="0" w:color="auto"/>
                    <w:left w:val="none" w:sz="0" w:space="0" w:color="auto"/>
                    <w:bottom w:val="none" w:sz="0" w:space="0" w:color="auto"/>
                    <w:right w:val="none" w:sz="0" w:space="0" w:color="auto"/>
                  </w:divBdr>
                </w:div>
              </w:divsChild>
            </w:div>
            <w:div w:id="735517936">
              <w:marLeft w:val="0"/>
              <w:marRight w:val="0"/>
              <w:marTop w:val="0"/>
              <w:marBottom w:val="0"/>
              <w:divBdr>
                <w:top w:val="none" w:sz="0" w:space="0" w:color="auto"/>
                <w:left w:val="none" w:sz="0" w:space="0" w:color="auto"/>
                <w:bottom w:val="none" w:sz="0" w:space="0" w:color="auto"/>
                <w:right w:val="none" w:sz="0" w:space="0" w:color="auto"/>
              </w:divBdr>
              <w:divsChild>
                <w:div w:id="1359045750">
                  <w:marLeft w:val="0"/>
                  <w:marRight w:val="0"/>
                  <w:marTop w:val="0"/>
                  <w:marBottom w:val="0"/>
                  <w:divBdr>
                    <w:top w:val="none" w:sz="0" w:space="0" w:color="auto"/>
                    <w:left w:val="none" w:sz="0" w:space="0" w:color="auto"/>
                    <w:bottom w:val="none" w:sz="0" w:space="0" w:color="auto"/>
                    <w:right w:val="none" w:sz="0" w:space="0" w:color="auto"/>
                  </w:divBdr>
                </w:div>
              </w:divsChild>
            </w:div>
            <w:div w:id="766776357">
              <w:marLeft w:val="0"/>
              <w:marRight w:val="0"/>
              <w:marTop w:val="0"/>
              <w:marBottom w:val="0"/>
              <w:divBdr>
                <w:top w:val="none" w:sz="0" w:space="0" w:color="auto"/>
                <w:left w:val="none" w:sz="0" w:space="0" w:color="auto"/>
                <w:bottom w:val="none" w:sz="0" w:space="0" w:color="auto"/>
                <w:right w:val="none" w:sz="0" w:space="0" w:color="auto"/>
              </w:divBdr>
              <w:divsChild>
                <w:div w:id="322971111">
                  <w:marLeft w:val="0"/>
                  <w:marRight w:val="0"/>
                  <w:marTop w:val="0"/>
                  <w:marBottom w:val="0"/>
                  <w:divBdr>
                    <w:top w:val="none" w:sz="0" w:space="0" w:color="auto"/>
                    <w:left w:val="none" w:sz="0" w:space="0" w:color="auto"/>
                    <w:bottom w:val="none" w:sz="0" w:space="0" w:color="auto"/>
                    <w:right w:val="none" w:sz="0" w:space="0" w:color="auto"/>
                  </w:divBdr>
                </w:div>
              </w:divsChild>
            </w:div>
            <w:div w:id="791629945">
              <w:marLeft w:val="0"/>
              <w:marRight w:val="0"/>
              <w:marTop w:val="0"/>
              <w:marBottom w:val="0"/>
              <w:divBdr>
                <w:top w:val="none" w:sz="0" w:space="0" w:color="auto"/>
                <w:left w:val="none" w:sz="0" w:space="0" w:color="auto"/>
                <w:bottom w:val="none" w:sz="0" w:space="0" w:color="auto"/>
                <w:right w:val="none" w:sz="0" w:space="0" w:color="auto"/>
              </w:divBdr>
              <w:divsChild>
                <w:div w:id="721826374">
                  <w:marLeft w:val="0"/>
                  <w:marRight w:val="0"/>
                  <w:marTop w:val="0"/>
                  <w:marBottom w:val="0"/>
                  <w:divBdr>
                    <w:top w:val="none" w:sz="0" w:space="0" w:color="auto"/>
                    <w:left w:val="none" w:sz="0" w:space="0" w:color="auto"/>
                    <w:bottom w:val="none" w:sz="0" w:space="0" w:color="auto"/>
                    <w:right w:val="none" w:sz="0" w:space="0" w:color="auto"/>
                  </w:divBdr>
                </w:div>
              </w:divsChild>
            </w:div>
            <w:div w:id="980309683">
              <w:marLeft w:val="0"/>
              <w:marRight w:val="0"/>
              <w:marTop w:val="0"/>
              <w:marBottom w:val="0"/>
              <w:divBdr>
                <w:top w:val="none" w:sz="0" w:space="0" w:color="auto"/>
                <w:left w:val="none" w:sz="0" w:space="0" w:color="auto"/>
                <w:bottom w:val="none" w:sz="0" w:space="0" w:color="auto"/>
                <w:right w:val="none" w:sz="0" w:space="0" w:color="auto"/>
              </w:divBdr>
              <w:divsChild>
                <w:div w:id="1771779674">
                  <w:marLeft w:val="0"/>
                  <w:marRight w:val="0"/>
                  <w:marTop w:val="0"/>
                  <w:marBottom w:val="0"/>
                  <w:divBdr>
                    <w:top w:val="none" w:sz="0" w:space="0" w:color="auto"/>
                    <w:left w:val="none" w:sz="0" w:space="0" w:color="auto"/>
                    <w:bottom w:val="none" w:sz="0" w:space="0" w:color="auto"/>
                    <w:right w:val="none" w:sz="0" w:space="0" w:color="auto"/>
                  </w:divBdr>
                </w:div>
              </w:divsChild>
            </w:div>
            <w:div w:id="1009721264">
              <w:marLeft w:val="0"/>
              <w:marRight w:val="0"/>
              <w:marTop w:val="0"/>
              <w:marBottom w:val="0"/>
              <w:divBdr>
                <w:top w:val="none" w:sz="0" w:space="0" w:color="auto"/>
                <w:left w:val="none" w:sz="0" w:space="0" w:color="auto"/>
                <w:bottom w:val="none" w:sz="0" w:space="0" w:color="auto"/>
                <w:right w:val="none" w:sz="0" w:space="0" w:color="auto"/>
              </w:divBdr>
              <w:divsChild>
                <w:div w:id="1393236208">
                  <w:marLeft w:val="0"/>
                  <w:marRight w:val="0"/>
                  <w:marTop w:val="0"/>
                  <w:marBottom w:val="0"/>
                  <w:divBdr>
                    <w:top w:val="none" w:sz="0" w:space="0" w:color="auto"/>
                    <w:left w:val="none" w:sz="0" w:space="0" w:color="auto"/>
                    <w:bottom w:val="none" w:sz="0" w:space="0" w:color="auto"/>
                    <w:right w:val="none" w:sz="0" w:space="0" w:color="auto"/>
                  </w:divBdr>
                </w:div>
              </w:divsChild>
            </w:div>
            <w:div w:id="1027876531">
              <w:marLeft w:val="0"/>
              <w:marRight w:val="0"/>
              <w:marTop w:val="0"/>
              <w:marBottom w:val="0"/>
              <w:divBdr>
                <w:top w:val="none" w:sz="0" w:space="0" w:color="auto"/>
                <w:left w:val="none" w:sz="0" w:space="0" w:color="auto"/>
                <w:bottom w:val="none" w:sz="0" w:space="0" w:color="auto"/>
                <w:right w:val="none" w:sz="0" w:space="0" w:color="auto"/>
              </w:divBdr>
              <w:divsChild>
                <w:div w:id="1423408118">
                  <w:marLeft w:val="0"/>
                  <w:marRight w:val="0"/>
                  <w:marTop w:val="0"/>
                  <w:marBottom w:val="0"/>
                  <w:divBdr>
                    <w:top w:val="none" w:sz="0" w:space="0" w:color="auto"/>
                    <w:left w:val="none" w:sz="0" w:space="0" w:color="auto"/>
                    <w:bottom w:val="none" w:sz="0" w:space="0" w:color="auto"/>
                    <w:right w:val="none" w:sz="0" w:space="0" w:color="auto"/>
                  </w:divBdr>
                </w:div>
              </w:divsChild>
            </w:div>
            <w:div w:id="1088187361">
              <w:marLeft w:val="0"/>
              <w:marRight w:val="0"/>
              <w:marTop w:val="0"/>
              <w:marBottom w:val="0"/>
              <w:divBdr>
                <w:top w:val="none" w:sz="0" w:space="0" w:color="auto"/>
                <w:left w:val="none" w:sz="0" w:space="0" w:color="auto"/>
                <w:bottom w:val="none" w:sz="0" w:space="0" w:color="auto"/>
                <w:right w:val="none" w:sz="0" w:space="0" w:color="auto"/>
              </w:divBdr>
              <w:divsChild>
                <w:div w:id="99423709">
                  <w:marLeft w:val="0"/>
                  <w:marRight w:val="0"/>
                  <w:marTop w:val="0"/>
                  <w:marBottom w:val="0"/>
                  <w:divBdr>
                    <w:top w:val="none" w:sz="0" w:space="0" w:color="auto"/>
                    <w:left w:val="none" w:sz="0" w:space="0" w:color="auto"/>
                    <w:bottom w:val="none" w:sz="0" w:space="0" w:color="auto"/>
                    <w:right w:val="none" w:sz="0" w:space="0" w:color="auto"/>
                  </w:divBdr>
                </w:div>
              </w:divsChild>
            </w:div>
            <w:div w:id="1115444453">
              <w:marLeft w:val="0"/>
              <w:marRight w:val="0"/>
              <w:marTop w:val="0"/>
              <w:marBottom w:val="0"/>
              <w:divBdr>
                <w:top w:val="none" w:sz="0" w:space="0" w:color="auto"/>
                <w:left w:val="none" w:sz="0" w:space="0" w:color="auto"/>
                <w:bottom w:val="none" w:sz="0" w:space="0" w:color="auto"/>
                <w:right w:val="none" w:sz="0" w:space="0" w:color="auto"/>
              </w:divBdr>
              <w:divsChild>
                <w:div w:id="1925262517">
                  <w:marLeft w:val="0"/>
                  <w:marRight w:val="0"/>
                  <w:marTop w:val="0"/>
                  <w:marBottom w:val="0"/>
                  <w:divBdr>
                    <w:top w:val="none" w:sz="0" w:space="0" w:color="auto"/>
                    <w:left w:val="none" w:sz="0" w:space="0" w:color="auto"/>
                    <w:bottom w:val="none" w:sz="0" w:space="0" w:color="auto"/>
                    <w:right w:val="none" w:sz="0" w:space="0" w:color="auto"/>
                  </w:divBdr>
                </w:div>
              </w:divsChild>
            </w:div>
            <w:div w:id="1118568923">
              <w:marLeft w:val="0"/>
              <w:marRight w:val="0"/>
              <w:marTop w:val="0"/>
              <w:marBottom w:val="0"/>
              <w:divBdr>
                <w:top w:val="none" w:sz="0" w:space="0" w:color="auto"/>
                <w:left w:val="none" w:sz="0" w:space="0" w:color="auto"/>
                <w:bottom w:val="none" w:sz="0" w:space="0" w:color="auto"/>
                <w:right w:val="none" w:sz="0" w:space="0" w:color="auto"/>
              </w:divBdr>
              <w:divsChild>
                <w:div w:id="635841257">
                  <w:marLeft w:val="0"/>
                  <w:marRight w:val="0"/>
                  <w:marTop w:val="0"/>
                  <w:marBottom w:val="0"/>
                  <w:divBdr>
                    <w:top w:val="none" w:sz="0" w:space="0" w:color="auto"/>
                    <w:left w:val="none" w:sz="0" w:space="0" w:color="auto"/>
                    <w:bottom w:val="none" w:sz="0" w:space="0" w:color="auto"/>
                    <w:right w:val="none" w:sz="0" w:space="0" w:color="auto"/>
                  </w:divBdr>
                </w:div>
              </w:divsChild>
            </w:div>
            <w:div w:id="1128472547">
              <w:marLeft w:val="0"/>
              <w:marRight w:val="0"/>
              <w:marTop w:val="0"/>
              <w:marBottom w:val="0"/>
              <w:divBdr>
                <w:top w:val="none" w:sz="0" w:space="0" w:color="auto"/>
                <w:left w:val="none" w:sz="0" w:space="0" w:color="auto"/>
                <w:bottom w:val="none" w:sz="0" w:space="0" w:color="auto"/>
                <w:right w:val="none" w:sz="0" w:space="0" w:color="auto"/>
              </w:divBdr>
              <w:divsChild>
                <w:div w:id="1610047219">
                  <w:marLeft w:val="0"/>
                  <w:marRight w:val="0"/>
                  <w:marTop w:val="0"/>
                  <w:marBottom w:val="0"/>
                  <w:divBdr>
                    <w:top w:val="none" w:sz="0" w:space="0" w:color="auto"/>
                    <w:left w:val="none" w:sz="0" w:space="0" w:color="auto"/>
                    <w:bottom w:val="none" w:sz="0" w:space="0" w:color="auto"/>
                    <w:right w:val="none" w:sz="0" w:space="0" w:color="auto"/>
                  </w:divBdr>
                </w:div>
              </w:divsChild>
            </w:div>
            <w:div w:id="1154105909">
              <w:marLeft w:val="0"/>
              <w:marRight w:val="0"/>
              <w:marTop w:val="0"/>
              <w:marBottom w:val="0"/>
              <w:divBdr>
                <w:top w:val="none" w:sz="0" w:space="0" w:color="auto"/>
                <w:left w:val="none" w:sz="0" w:space="0" w:color="auto"/>
                <w:bottom w:val="none" w:sz="0" w:space="0" w:color="auto"/>
                <w:right w:val="none" w:sz="0" w:space="0" w:color="auto"/>
              </w:divBdr>
              <w:divsChild>
                <w:div w:id="1509909209">
                  <w:marLeft w:val="0"/>
                  <w:marRight w:val="0"/>
                  <w:marTop w:val="0"/>
                  <w:marBottom w:val="0"/>
                  <w:divBdr>
                    <w:top w:val="none" w:sz="0" w:space="0" w:color="auto"/>
                    <w:left w:val="none" w:sz="0" w:space="0" w:color="auto"/>
                    <w:bottom w:val="none" w:sz="0" w:space="0" w:color="auto"/>
                    <w:right w:val="none" w:sz="0" w:space="0" w:color="auto"/>
                  </w:divBdr>
                </w:div>
              </w:divsChild>
            </w:div>
            <w:div w:id="1176773286">
              <w:marLeft w:val="0"/>
              <w:marRight w:val="0"/>
              <w:marTop w:val="0"/>
              <w:marBottom w:val="0"/>
              <w:divBdr>
                <w:top w:val="none" w:sz="0" w:space="0" w:color="auto"/>
                <w:left w:val="none" w:sz="0" w:space="0" w:color="auto"/>
                <w:bottom w:val="none" w:sz="0" w:space="0" w:color="auto"/>
                <w:right w:val="none" w:sz="0" w:space="0" w:color="auto"/>
              </w:divBdr>
              <w:divsChild>
                <w:div w:id="1086148402">
                  <w:marLeft w:val="0"/>
                  <w:marRight w:val="0"/>
                  <w:marTop w:val="0"/>
                  <w:marBottom w:val="0"/>
                  <w:divBdr>
                    <w:top w:val="none" w:sz="0" w:space="0" w:color="auto"/>
                    <w:left w:val="none" w:sz="0" w:space="0" w:color="auto"/>
                    <w:bottom w:val="none" w:sz="0" w:space="0" w:color="auto"/>
                    <w:right w:val="none" w:sz="0" w:space="0" w:color="auto"/>
                  </w:divBdr>
                </w:div>
              </w:divsChild>
            </w:div>
            <w:div w:id="1295524632">
              <w:marLeft w:val="0"/>
              <w:marRight w:val="0"/>
              <w:marTop w:val="0"/>
              <w:marBottom w:val="0"/>
              <w:divBdr>
                <w:top w:val="none" w:sz="0" w:space="0" w:color="auto"/>
                <w:left w:val="none" w:sz="0" w:space="0" w:color="auto"/>
                <w:bottom w:val="none" w:sz="0" w:space="0" w:color="auto"/>
                <w:right w:val="none" w:sz="0" w:space="0" w:color="auto"/>
              </w:divBdr>
              <w:divsChild>
                <w:div w:id="961544884">
                  <w:marLeft w:val="0"/>
                  <w:marRight w:val="0"/>
                  <w:marTop w:val="0"/>
                  <w:marBottom w:val="0"/>
                  <w:divBdr>
                    <w:top w:val="none" w:sz="0" w:space="0" w:color="auto"/>
                    <w:left w:val="none" w:sz="0" w:space="0" w:color="auto"/>
                    <w:bottom w:val="none" w:sz="0" w:space="0" w:color="auto"/>
                    <w:right w:val="none" w:sz="0" w:space="0" w:color="auto"/>
                  </w:divBdr>
                </w:div>
              </w:divsChild>
            </w:div>
            <w:div w:id="1380545267">
              <w:marLeft w:val="0"/>
              <w:marRight w:val="0"/>
              <w:marTop w:val="0"/>
              <w:marBottom w:val="0"/>
              <w:divBdr>
                <w:top w:val="none" w:sz="0" w:space="0" w:color="auto"/>
                <w:left w:val="none" w:sz="0" w:space="0" w:color="auto"/>
                <w:bottom w:val="none" w:sz="0" w:space="0" w:color="auto"/>
                <w:right w:val="none" w:sz="0" w:space="0" w:color="auto"/>
              </w:divBdr>
              <w:divsChild>
                <w:div w:id="957830489">
                  <w:marLeft w:val="0"/>
                  <w:marRight w:val="0"/>
                  <w:marTop w:val="0"/>
                  <w:marBottom w:val="0"/>
                  <w:divBdr>
                    <w:top w:val="none" w:sz="0" w:space="0" w:color="auto"/>
                    <w:left w:val="none" w:sz="0" w:space="0" w:color="auto"/>
                    <w:bottom w:val="none" w:sz="0" w:space="0" w:color="auto"/>
                    <w:right w:val="none" w:sz="0" w:space="0" w:color="auto"/>
                  </w:divBdr>
                </w:div>
              </w:divsChild>
            </w:div>
            <w:div w:id="1496411297">
              <w:marLeft w:val="0"/>
              <w:marRight w:val="0"/>
              <w:marTop w:val="0"/>
              <w:marBottom w:val="0"/>
              <w:divBdr>
                <w:top w:val="none" w:sz="0" w:space="0" w:color="auto"/>
                <w:left w:val="none" w:sz="0" w:space="0" w:color="auto"/>
                <w:bottom w:val="none" w:sz="0" w:space="0" w:color="auto"/>
                <w:right w:val="none" w:sz="0" w:space="0" w:color="auto"/>
              </w:divBdr>
              <w:divsChild>
                <w:div w:id="212930770">
                  <w:marLeft w:val="0"/>
                  <w:marRight w:val="0"/>
                  <w:marTop w:val="0"/>
                  <w:marBottom w:val="0"/>
                  <w:divBdr>
                    <w:top w:val="none" w:sz="0" w:space="0" w:color="auto"/>
                    <w:left w:val="none" w:sz="0" w:space="0" w:color="auto"/>
                    <w:bottom w:val="none" w:sz="0" w:space="0" w:color="auto"/>
                    <w:right w:val="none" w:sz="0" w:space="0" w:color="auto"/>
                  </w:divBdr>
                </w:div>
              </w:divsChild>
            </w:div>
            <w:div w:id="1599362177">
              <w:marLeft w:val="0"/>
              <w:marRight w:val="0"/>
              <w:marTop w:val="0"/>
              <w:marBottom w:val="0"/>
              <w:divBdr>
                <w:top w:val="none" w:sz="0" w:space="0" w:color="auto"/>
                <w:left w:val="none" w:sz="0" w:space="0" w:color="auto"/>
                <w:bottom w:val="none" w:sz="0" w:space="0" w:color="auto"/>
                <w:right w:val="none" w:sz="0" w:space="0" w:color="auto"/>
              </w:divBdr>
              <w:divsChild>
                <w:div w:id="1985545696">
                  <w:marLeft w:val="0"/>
                  <w:marRight w:val="0"/>
                  <w:marTop w:val="0"/>
                  <w:marBottom w:val="0"/>
                  <w:divBdr>
                    <w:top w:val="none" w:sz="0" w:space="0" w:color="auto"/>
                    <w:left w:val="none" w:sz="0" w:space="0" w:color="auto"/>
                    <w:bottom w:val="none" w:sz="0" w:space="0" w:color="auto"/>
                    <w:right w:val="none" w:sz="0" w:space="0" w:color="auto"/>
                  </w:divBdr>
                </w:div>
              </w:divsChild>
            </w:div>
            <w:div w:id="1639652097">
              <w:marLeft w:val="0"/>
              <w:marRight w:val="0"/>
              <w:marTop w:val="0"/>
              <w:marBottom w:val="0"/>
              <w:divBdr>
                <w:top w:val="none" w:sz="0" w:space="0" w:color="auto"/>
                <w:left w:val="none" w:sz="0" w:space="0" w:color="auto"/>
                <w:bottom w:val="none" w:sz="0" w:space="0" w:color="auto"/>
                <w:right w:val="none" w:sz="0" w:space="0" w:color="auto"/>
              </w:divBdr>
              <w:divsChild>
                <w:div w:id="792674738">
                  <w:marLeft w:val="0"/>
                  <w:marRight w:val="0"/>
                  <w:marTop w:val="0"/>
                  <w:marBottom w:val="0"/>
                  <w:divBdr>
                    <w:top w:val="none" w:sz="0" w:space="0" w:color="auto"/>
                    <w:left w:val="none" w:sz="0" w:space="0" w:color="auto"/>
                    <w:bottom w:val="none" w:sz="0" w:space="0" w:color="auto"/>
                    <w:right w:val="none" w:sz="0" w:space="0" w:color="auto"/>
                  </w:divBdr>
                </w:div>
              </w:divsChild>
            </w:div>
            <w:div w:id="1786534694">
              <w:marLeft w:val="0"/>
              <w:marRight w:val="0"/>
              <w:marTop w:val="0"/>
              <w:marBottom w:val="0"/>
              <w:divBdr>
                <w:top w:val="none" w:sz="0" w:space="0" w:color="auto"/>
                <w:left w:val="none" w:sz="0" w:space="0" w:color="auto"/>
                <w:bottom w:val="none" w:sz="0" w:space="0" w:color="auto"/>
                <w:right w:val="none" w:sz="0" w:space="0" w:color="auto"/>
              </w:divBdr>
              <w:divsChild>
                <w:div w:id="527641209">
                  <w:marLeft w:val="0"/>
                  <w:marRight w:val="0"/>
                  <w:marTop w:val="0"/>
                  <w:marBottom w:val="0"/>
                  <w:divBdr>
                    <w:top w:val="none" w:sz="0" w:space="0" w:color="auto"/>
                    <w:left w:val="none" w:sz="0" w:space="0" w:color="auto"/>
                    <w:bottom w:val="none" w:sz="0" w:space="0" w:color="auto"/>
                    <w:right w:val="none" w:sz="0" w:space="0" w:color="auto"/>
                  </w:divBdr>
                </w:div>
              </w:divsChild>
            </w:div>
            <w:div w:id="1867939773">
              <w:marLeft w:val="0"/>
              <w:marRight w:val="0"/>
              <w:marTop w:val="0"/>
              <w:marBottom w:val="0"/>
              <w:divBdr>
                <w:top w:val="none" w:sz="0" w:space="0" w:color="auto"/>
                <w:left w:val="none" w:sz="0" w:space="0" w:color="auto"/>
                <w:bottom w:val="none" w:sz="0" w:space="0" w:color="auto"/>
                <w:right w:val="none" w:sz="0" w:space="0" w:color="auto"/>
              </w:divBdr>
              <w:divsChild>
                <w:div w:id="1979531275">
                  <w:marLeft w:val="0"/>
                  <w:marRight w:val="0"/>
                  <w:marTop w:val="0"/>
                  <w:marBottom w:val="0"/>
                  <w:divBdr>
                    <w:top w:val="none" w:sz="0" w:space="0" w:color="auto"/>
                    <w:left w:val="none" w:sz="0" w:space="0" w:color="auto"/>
                    <w:bottom w:val="none" w:sz="0" w:space="0" w:color="auto"/>
                    <w:right w:val="none" w:sz="0" w:space="0" w:color="auto"/>
                  </w:divBdr>
                </w:div>
              </w:divsChild>
            </w:div>
            <w:div w:id="1871140260">
              <w:marLeft w:val="0"/>
              <w:marRight w:val="0"/>
              <w:marTop w:val="0"/>
              <w:marBottom w:val="0"/>
              <w:divBdr>
                <w:top w:val="none" w:sz="0" w:space="0" w:color="auto"/>
                <w:left w:val="none" w:sz="0" w:space="0" w:color="auto"/>
                <w:bottom w:val="none" w:sz="0" w:space="0" w:color="auto"/>
                <w:right w:val="none" w:sz="0" w:space="0" w:color="auto"/>
              </w:divBdr>
              <w:divsChild>
                <w:div w:id="923537185">
                  <w:marLeft w:val="0"/>
                  <w:marRight w:val="0"/>
                  <w:marTop w:val="0"/>
                  <w:marBottom w:val="0"/>
                  <w:divBdr>
                    <w:top w:val="none" w:sz="0" w:space="0" w:color="auto"/>
                    <w:left w:val="none" w:sz="0" w:space="0" w:color="auto"/>
                    <w:bottom w:val="none" w:sz="0" w:space="0" w:color="auto"/>
                    <w:right w:val="none" w:sz="0" w:space="0" w:color="auto"/>
                  </w:divBdr>
                </w:div>
              </w:divsChild>
            </w:div>
            <w:div w:id="1949267462">
              <w:marLeft w:val="0"/>
              <w:marRight w:val="0"/>
              <w:marTop w:val="0"/>
              <w:marBottom w:val="0"/>
              <w:divBdr>
                <w:top w:val="none" w:sz="0" w:space="0" w:color="auto"/>
                <w:left w:val="none" w:sz="0" w:space="0" w:color="auto"/>
                <w:bottom w:val="none" w:sz="0" w:space="0" w:color="auto"/>
                <w:right w:val="none" w:sz="0" w:space="0" w:color="auto"/>
              </w:divBdr>
              <w:divsChild>
                <w:div w:id="84500283">
                  <w:marLeft w:val="0"/>
                  <w:marRight w:val="0"/>
                  <w:marTop w:val="0"/>
                  <w:marBottom w:val="0"/>
                  <w:divBdr>
                    <w:top w:val="none" w:sz="0" w:space="0" w:color="auto"/>
                    <w:left w:val="none" w:sz="0" w:space="0" w:color="auto"/>
                    <w:bottom w:val="none" w:sz="0" w:space="0" w:color="auto"/>
                    <w:right w:val="none" w:sz="0" w:space="0" w:color="auto"/>
                  </w:divBdr>
                </w:div>
              </w:divsChild>
            </w:div>
            <w:div w:id="1965501536">
              <w:marLeft w:val="0"/>
              <w:marRight w:val="0"/>
              <w:marTop w:val="0"/>
              <w:marBottom w:val="0"/>
              <w:divBdr>
                <w:top w:val="none" w:sz="0" w:space="0" w:color="auto"/>
                <w:left w:val="none" w:sz="0" w:space="0" w:color="auto"/>
                <w:bottom w:val="none" w:sz="0" w:space="0" w:color="auto"/>
                <w:right w:val="none" w:sz="0" w:space="0" w:color="auto"/>
              </w:divBdr>
              <w:divsChild>
                <w:div w:id="914240485">
                  <w:marLeft w:val="0"/>
                  <w:marRight w:val="0"/>
                  <w:marTop w:val="0"/>
                  <w:marBottom w:val="0"/>
                  <w:divBdr>
                    <w:top w:val="none" w:sz="0" w:space="0" w:color="auto"/>
                    <w:left w:val="none" w:sz="0" w:space="0" w:color="auto"/>
                    <w:bottom w:val="none" w:sz="0" w:space="0" w:color="auto"/>
                    <w:right w:val="none" w:sz="0" w:space="0" w:color="auto"/>
                  </w:divBdr>
                </w:div>
              </w:divsChild>
            </w:div>
            <w:div w:id="2009402215">
              <w:marLeft w:val="0"/>
              <w:marRight w:val="0"/>
              <w:marTop w:val="0"/>
              <w:marBottom w:val="0"/>
              <w:divBdr>
                <w:top w:val="none" w:sz="0" w:space="0" w:color="auto"/>
                <w:left w:val="none" w:sz="0" w:space="0" w:color="auto"/>
                <w:bottom w:val="none" w:sz="0" w:space="0" w:color="auto"/>
                <w:right w:val="none" w:sz="0" w:space="0" w:color="auto"/>
              </w:divBdr>
              <w:divsChild>
                <w:div w:id="2140298139">
                  <w:marLeft w:val="0"/>
                  <w:marRight w:val="0"/>
                  <w:marTop w:val="0"/>
                  <w:marBottom w:val="0"/>
                  <w:divBdr>
                    <w:top w:val="none" w:sz="0" w:space="0" w:color="auto"/>
                    <w:left w:val="none" w:sz="0" w:space="0" w:color="auto"/>
                    <w:bottom w:val="none" w:sz="0" w:space="0" w:color="auto"/>
                    <w:right w:val="none" w:sz="0" w:space="0" w:color="auto"/>
                  </w:divBdr>
                </w:div>
              </w:divsChild>
            </w:div>
            <w:div w:id="2037390446">
              <w:marLeft w:val="0"/>
              <w:marRight w:val="0"/>
              <w:marTop w:val="0"/>
              <w:marBottom w:val="0"/>
              <w:divBdr>
                <w:top w:val="none" w:sz="0" w:space="0" w:color="auto"/>
                <w:left w:val="none" w:sz="0" w:space="0" w:color="auto"/>
                <w:bottom w:val="none" w:sz="0" w:space="0" w:color="auto"/>
                <w:right w:val="none" w:sz="0" w:space="0" w:color="auto"/>
              </w:divBdr>
              <w:divsChild>
                <w:div w:id="32510767">
                  <w:marLeft w:val="0"/>
                  <w:marRight w:val="0"/>
                  <w:marTop w:val="0"/>
                  <w:marBottom w:val="0"/>
                  <w:divBdr>
                    <w:top w:val="none" w:sz="0" w:space="0" w:color="auto"/>
                    <w:left w:val="none" w:sz="0" w:space="0" w:color="auto"/>
                    <w:bottom w:val="none" w:sz="0" w:space="0" w:color="auto"/>
                    <w:right w:val="none" w:sz="0" w:space="0" w:color="auto"/>
                  </w:divBdr>
                </w:div>
              </w:divsChild>
            </w:div>
            <w:div w:id="2094207211">
              <w:marLeft w:val="0"/>
              <w:marRight w:val="0"/>
              <w:marTop w:val="0"/>
              <w:marBottom w:val="0"/>
              <w:divBdr>
                <w:top w:val="none" w:sz="0" w:space="0" w:color="auto"/>
                <w:left w:val="none" w:sz="0" w:space="0" w:color="auto"/>
                <w:bottom w:val="none" w:sz="0" w:space="0" w:color="auto"/>
                <w:right w:val="none" w:sz="0" w:space="0" w:color="auto"/>
              </w:divBdr>
              <w:divsChild>
                <w:div w:id="685904003">
                  <w:marLeft w:val="0"/>
                  <w:marRight w:val="0"/>
                  <w:marTop w:val="0"/>
                  <w:marBottom w:val="0"/>
                  <w:divBdr>
                    <w:top w:val="none" w:sz="0" w:space="0" w:color="auto"/>
                    <w:left w:val="none" w:sz="0" w:space="0" w:color="auto"/>
                    <w:bottom w:val="none" w:sz="0" w:space="0" w:color="auto"/>
                    <w:right w:val="none" w:sz="0" w:space="0" w:color="auto"/>
                  </w:divBdr>
                </w:div>
              </w:divsChild>
            </w:div>
            <w:div w:id="2131319518">
              <w:marLeft w:val="0"/>
              <w:marRight w:val="0"/>
              <w:marTop w:val="0"/>
              <w:marBottom w:val="0"/>
              <w:divBdr>
                <w:top w:val="none" w:sz="0" w:space="0" w:color="auto"/>
                <w:left w:val="none" w:sz="0" w:space="0" w:color="auto"/>
                <w:bottom w:val="none" w:sz="0" w:space="0" w:color="auto"/>
                <w:right w:val="none" w:sz="0" w:space="0" w:color="auto"/>
              </w:divBdr>
              <w:divsChild>
                <w:div w:id="2723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devtracker.fcdo.gov.uk/projects/GB-GOV-7-BPFOCPP/summary"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tyles" Target="styles.xml" Id="rId7" /><Relationship Type="http://schemas.openxmlformats.org/officeDocument/2006/relationships/hyperlink" Target="https://devtracker.fcdo.gov.uk/projects/GB-GOV-7-BPFOCPP/summary" TargetMode="External" Id="rId12" /><Relationship Type="http://schemas.openxmlformats.org/officeDocument/2006/relationships/header" Target="header2.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glossaryDocument" Target="glossary/document.xml" Id="rId24" /><Relationship Type="http://schemas.openxmlformats.org/officeDocument/2006/relationships/customXml" Target="../customXml/item5.xml" Id="rId5" /><Relationship Type="http://schemas.openxmlformats.org/officeDocument/2006/relationships/chart" Target="charts/chart1.xm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defra.sharepoint.com/:b:/t/Team569/EYKsnu69tPRGn-MDZaT7oTwBubyk9q4_JSeyjlktmKmhhg?e=qALZ5m" TargetMode="External" Id="rId14" /><Relationship Type="http://schemas.openxmlformats.org/officeDocument/2006/relationships/image" Target="/media/image2.jpg" Id="R5ac7293e196947de" /></Relationships>
</file>

<file path=word/_rels/footnotes.xml.rels><?xml version="1.0" encoding="UTF-8" standalone="yes"?>
<Relationships xmlns="http://schemas.openxmlformats.org/package/2006/relationships"><Relationship Id="rId8" Type="http://schemas.openxmlformats.org/officeDocument/2006/relationships/hyperlink" Target="https://doi.org/10.1007/s00267-018-1020-y" TargetMode="External"/><Relationship Id="rId13" Type="http://schemas.openxmlformats.org/officeDocument/2006/relationships/hyperlink" Target="https://agulhas.co.uk/app/uploads/2020/10/OSF-Landscaping-Study-on-TA-final-version-2.pdf" TargetMode="External"/><Relationship Id="rId3" Type="http://schemas.openxmlformats.org/officeDocument/2006/relationships/hyperlink" Target="https://doi.org/10.1371/journal.pone.0228912" TargetMode="External"/><Relationship Id="rId7" Type="http://schemas.openxmlformats.org/officeDocument/2006/relationships/hyperlink" Target="https://assets.publishing.service.gov.uk/media/5ab0e81140f0b62d854a9bc5/Lessons_from_donor_support_to_technical_assistance_programmes.pdf" TargetMode="External"/><Relationship Id="rId12" Type="http://schemas.openxmlformats.org/officeDocument/2006/relationships/hyperlink" Target="https://doi.org/10.1002/aqc.2885" TargetMode="External"/><Relationship Id="rId2" Type="http://schemas.openxmlformats.org/officeDocument/2006/relationships/hyperlink" Target="https://unesdoc.unesco.org/ark:/48223/pf0000249373" TargetMode="External"/><Relationship Id="rId16" Type="http://schemas.openxmlformats.org/officeDocument/2006/relationships/hyperlink" Target="https://doi.org/10.3389/fmars.2021.671837" TargetMode="External"/><Relationship Id="rId1" Type="http://schemas.openxmlformats.org/officeDocument/2006/relationships/hyperlink" Target="https://www.sciencedirect.com/science/article/pii/S0048969723046867?via%3Dihub" TargetMode="External"/><Relationship Id="rId6" Type="http://schemas.openxmlformats.org/officeDocument/2006/relationships/hyperlink" Target="https://www.gov.uk/government/publications/international-women-and-girls-strategy-2023-to-2030/international-women-and-girls-strategy-2023-to-2030" TargetMode="External"/><Relationship Id="rId11" Type="http://schemas.openxmlformats.org/officeDocument/2006/relationships/hyperlink" Target="https://doi.org/10.3389/fmars.2021.671837" TargetMode="External"/><Relationship Id="rId5" Type="http://schemas.openxmlformats.org/officeDocument/2006/relationships/hyperlink" Target="https://doi.org/10.1016/j.gloenvcha.2014.05.006" TargetMode="External"/><Relationship Id="rId15" Type="http://schemas.openxmlformats.org/officeDocument/2006/relationships/hyperlink" Target="https://doi.org/10.1007/s12571-018-0826-z" TargetMode="External"/><Relationship Id="rId10" Type="http://schemas.openxmlformats.org/officeDocument/2006/relationships/hyperlink" Target="https://events.sustainabledevelopmentreform.org/J0vXGTqo4lRGDr" TargetMode="External"/><Relationship Id="rId4" Type="http://schemas.openxmlformats.org/officeDocument/2006/relationships/hyperlink" Target="https://doi.org/10.1371/journal.pone.0210241;" TargetMode="External"/><Relationship Id="rId9" Type="http://schemas.openxmlformats.org/officeDocument/2006/relationships/hyperlink" Target="https://doi.org/10.1111/j.1523-1739.2008.01063.x" TargetMode="External"/><Relationship Id="rId14" Type="http://schemas.openxmlformats.org/officeDocument/2006/relationships/hyperlink" Target="https://doi.org/10.1371/journal.pone.022305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Home</a:t>
            </a:r>
            <a:r>
              <a:rPr lang="en-GB" baseline="0"/>
              <a:t> country of ACU scholars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'[ACU Master Data Template.xlsx]Pivot analysis (2)'!$O$4:$W$4</c:f>
              <c:strCache>
                <c:ptCount val="9"/>
                <c:pt idx="0">
                  <c:v>Bangladesh</c:v>
                </c:pt>
                <c:pt idx="1">
                  <c:v>Belize</c:v>
                </c:pt>
                <c:pt idx="2">
                  <c:v>India</c:v>
                </c:pt>
                <c:pt idx="3">
                  <c:v>Maldives</c:v>
                </c:pt>
                <c:pt idx="4">
                  <c:v>Mozambique</c:v>
                </c:pt>
                <c:pt idx="5">
                  <c:v>Senegal</c:v>
                </c:pt>
                <c:pt idx="6">
                  <c:v>Solomon Islands</c:v>
                </c:pt>
                <c:pt idx="7">
                  <c:v>Sri Lanka</c:v>
                </c:pt>
                <c:pt idx="8">
                  <c:v>Vanuatu</c:v>
                </c:pt>
              </c:strCache>
            </c:strRef>
          </c:cat>
          <c:val>
            <c:numRef>
              <c:f>'[ACU Master Data Template.xlsx]Pivot analysis (2)'!$O$5:$W$5</c:f>
              <c:numCache>
                <c:formatCode>General</c:formatCode>
                <c:ptCount val="9"/>
                <c:pt idx="0">
                  <c:v>16</c:v>
                </c:pt>
                <c:pt idx="1">
                  <c:v>10</c:v>
                </c:pt>
                <c:pt idx="2">
                  <c:v>18</c:v>
                </c:pt>
                <c:pt idx="3">
                  <c:v>5</c:v>
                </c:pt>
                <c:pt idx="4">
                  <c:v>11</c:v>
                </c:pt>
                <c:pt idx="5">
                  <c:v>10</c:v>
                </c:pt>
                <c:pt idx="6">
                  <c:v>5</c:v>
                </c:pt>
                <c:pt idx="7">
                  <c:v>16</c:v>
                </c:pt>
                <c:pt idx="8">
                  <c:v>3</c:v>
                </c:pt>
              </c:numCache>
            </c:numRef>
          </c:val>
          <c:extLst>
            <c:ext xmlns:c16="http://schemas.microsoft.com/office/drawing/2014/chart" uri="{C3380CC4-5D6E-409C-BE32-E72D297353CC}">
              <c16:uniqueId val="{00000000-ADA2-41E5-A532-1339AB9D0E50}"/>
            </c:ext>
          </c:extLst>
        </c:ser>
        <c:dLbls>
          <c:showLegendKey val="0"/>
          <c:showVal val="0"/>
          <c:showCatName val="0"/>
          <c:showSerName val="0"/>
          <c:showPercent val="0"/>
          <c:showBubbleSize val="0"/>
        </c:dLbls>
        <c:gapWidth val="219"/>
        <c:overlap val="-27"/>
        <c:axId val="881252527"/>
        <c:axId val="881217599"/>
      </c:barChart>
      <c:catAx>
        <c:axId val="8812525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217599"/>
        <c:crosses val="autoZero"/>
        <c:auto val="1"/>
        <c:lblAlgn val="ctr"/>
        <c:lblOffset val="100"/>
        <c:noMultiLvlLbl val="0"/>
      </c:catAx>
      <c:valAx>
        <c:axId val="8812175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2525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5EB524B9A594BD88BFAF0EDED5546CE"/>
        <w:category>
          <w:name w:val="General"/>
          <w:gallery w:val="placeholder"/>
        </w:category>
        <w:types>
          <w:type w:val="bbPlcHdr"/>
        </w:types>
        <w:behaviors>
          <w:behavior w:val="content"/>
        </w:behaviors>
        <w:guid w:val="{EF08C1AA-D657-4EE6-95E2-0CC23B6F7A23}"/>
      </w:docPartPr>
      <w:docPartBody>
        <w:p xmlns:wp14="http://schemas.microsoft.com/office/word/2010/wordml" w:rsidR="00B43EDE" w:rsidP="00B43EDE" w:rsidRDefault="00B43EDE" w14:paraId="4C3E277F" wp14:textId="77777777">
          <w:pPr>
            <w:pStyle w:val="D5EB524B9A594BD88BFAF0EDED5546CE"/>
          </w:pPr>
          <w:r w:rsidRPr="00F545C1">
            <w:rPr>
              <w:rStyle w:val="PlaceholderText"/>
            </w:rPr>
            <w:t>Click or tap here to enter text.</w:t>
          </w:r>
        </w:p>
      </w:docPartBody>
    </w:docPart>
    <w:docPart>
      <w:docPartPr>
        <w:name w:val="837B9699BF6647A8ADC6EEB67586A924"/>
        <w:category>
          <w:name w:val="General"/>
          <w:gallery w:val="placeholder"/>
        </w:category>
        <w:types>
          <w:type w:val="bbPlcHdr"/>
        </w:types>
        <w:behaviors>
          <w:behavior w:val="content"/>
        </w:behaviors>
        <w:guid w:val="{91BBD28D-145A-4EE1-B302-006294621ECA}"/>
      </w:docPartPr>
      <w:docPartBody>
        <w:p xmlns:wp14="http://schemas.microsoft.com/office/word/2010/wordml" w:rsidR="00B43EDE" w:rsidP="00B43EDE" w:rsidRDefault="00B43EDE" w14:paraId="0CB0972C" wp14:textId="77777777">
          <w:pPr>
            <w:pStyle w:val="837B9699BF6647A8ADC6EEB67586A924"/>
          </w:pPr>
          <w:r w:rsidRPr="005A2215">
            <w:rPr>
              <w:rStyle w:val="PlaceholderText"/>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Light">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Aptos Narrow">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EDE"/>
    <w:rsid w:val="00004DCE"/>
    <w:rsid w:val="000051A4"/>
    <w:rsid w:val="0001434B"/>
    <w:rsid w:val="00017800"/>
    <w:rsid w:val="00022266"/>
    <w:rsid w:val="00044884"/>
    <w:rsid w:val="000557ED"/>
    <w:rsid w:val="00062176"/>
    <w:rsid w:val="00062498"/>
    <w:rsid w:val="00065F7E"/>
    <w:rsid w:val="000771E8"/>
    <w:rsid w:val="000956B8"/>
    <w:rsid w:val="00095CD0"/>
    <w:rsid w:val="000A074E"/>
    <w:rsid w:val="000B106B"/>
    <w:rsid w:val="000B66A0"/>
    <w:rsid w:val="000C5104"/>
    <w:rsid w:val="000C78F2"/>
    <w:rsid w:val="000E6A3A"/>
    <w:rsid w:val="000F5282"/>
    <w:rsid w:val="0012312E"/>
    <w:rsid w:val="00123C82"/>
    <w:rsid w:val="001243C7"/>
    <w:rsid w:val="00131F9C"/>
    <w:rsid w:val="00140621"/>
    <w:rsid w:val="00157408"/>
    <w:rsid w:val="00166637"/>
    <w:rsid w:val="0016686F"/>
    <w:rsid w:val="0017038A"/>
    <w:rsid w:val="00173993"/>
    <w:rsid w:val="00192DAD"/>
    <w:rsid w:val="00194879"/>
    <w:rsid w:val="001B25EE"/>
    <w:rsid w:val="001B6E03"/>
    <w:rsid w:val="001C4B15"/>
    <w:rsid w:val="001C73CD"/>
    <w:rsid w:val="001D1A31"/>
    <w:rsid w:val="001D2E61"/>
    <w:rsid w:val="001D4F5F"/>
    <w:rsid w:val="001E6581"/>
    <w:rsid w:val="001F6A4C"/>
    <w:rsid w:val="00203158"/>
    <w:rsid w:val="00230B21"/>
    <w:rsid w:val="00236FF6"/>
    <w:rsid w:val="002475AB"/>
    <w:rsid w:val="00247A2A"/>
    <w:rsid w:val="002774EC"/>
    <w:rsid w:val="00280A21"/>
    <w:rsid w:val="00285D1B"/>
    <w:rsid w:val="00286CAF"/>
    <w:rsid w:val="0029469E"/>
    <w:rsid w:val="002B1BF5"/>
    <w:rsid w:val="002B1DFC"/>
    <w:rsid w:val="002B7EEA"/>
    <w:rsid w:val="002C1458"/>
    <w:rsid w:val="002C4F59"/>
    <w:rsid w:val="002E2751"/>
    <w:rsid w:val="002F1292"/>
    <w:rsid w:val="002F2733"/>
    <w:rsid w:val="00307D48"/>
    <w:rsid w:val="0031309F"/>
    <w:rsid w:val="00332E04"/>
    <w:rsid w:val="00337F50"/>
    <w:rsid w:val="00341A0E"/>
    <w:rsid w:val="0035157F"/>
    <w:rsid w:val="003515DB"/>
    <w:rsid w:val="003623E6"/>
    <w:rsid w:val="0037170C"/>
    <w:rsid w:val="003817D8"/>
    <w:rsid w:val="00397A80"/>
    <w:rsid w:val="003B5293"/>
    <w:rsid w:val="003C7A24"/>
    <w:rsid w:val="003D42AD"/>
    <w:rsid w:val="003D6D23"/>
    <w:rsid w:val="00403D22"/>
    <w:rsid w:val="0041766C"/>
    <w:rsid w:val="0042029D"/>
    <w:rsid w:val="0042416C"/>
    <w:rsid w:val="00424B0C"/>
    <w:rsid w:val="00431AB8"/>
    <w:rsid w:val="0046421B"/>
    <w:rsid w:val="00467957"/>
    <w:rsid w:val="00474C1E"/>
    <w:rsid w:val="00483787"/>
    <w:rsid w:val="0049241C"/>
    <w:rsid w:val="004C40D3"/>
    <w:rsid w:val="004D38C7"/>
    <w:rsid w:val="004D5B8D"/>
    <w:rsid w:val="004E0CC6"/>
    <w:rsid w:val="004F2038"/>
    <w:rsid w:val="004F3673"/>
    <w:rsid w:val="00503975"/>
    <w:rsid w:val="00503C3E"/>
    <w:rsid w:val="00531327"/>
    <w:rsid w:val="0054434C"/>
    <w:rsid w:val="00551126"/>
    <w:rsid w:val="0055186F"/>
    <w:rsid w:val="005603E8"/>
    <w:rsid w:val="00562CD0"/>
    <w:rsid w:val="0056689E"/>
    <w:rsid w:val="00570D64"/>
    <w:rsid w:val="00597670"/>
    <w:rsid w:val="005A71E4"/>
    <w:rsid w:val="005B15DC"/>
    <w:rsid w:val="005B500B"/>
    <w:rsid w:val="005D0E6D"/>
    <w:rsid w:val="005D6355"/>
    <w:rsid w:val="00601F97"/>
    <w:rsid w:val="0060227E"/>
    <w:rsid w:val="0060750C"/>
    <w:rsid w:val="00611D00"/>
    <w:rsid w:val="00622194"/>
    <w:rsid w:val="00632734"/>
    <w:rsid w:val="00633D89"/>
    <w:rsid w:val="00635962"/>
    <w:rsid w:val="006405CE"/>
    <w:rsid w:val="006800CF"/>
    <w:rsid w:val="00687B84"/>
    <w:rsid w:val="006A283E"/>
    <w:rsid w:val="006C292F"/>
    <w:rsid w:val="006D1458"/>
    <w:rsid w:val="006D4760"/>
    <w:rsid w:val="006E2B95"/>
    <w:rsid w:val="006E5C71"/>
    <w:rsid w:val="006E5D2C"/>
    <w:rsid w:val="006F7A92"/>
    <w:rsid w:val="007032AB"/>
    <w:rsid w:val="00705E1A"/>
    <w:rsid w:val="00707544"/>
    <w:rsid w:val="00707954"/>
    <w:rsid w:val="00744A79"/>
    <w:rsid w:val="00752DF9"/>
    <w:rsid w:val="00753E33"/>
    <w:rsid w:val="007621BE"/>
    <w:rsid w:val="00774383"/>
    <w:rsid w:val="00776D8C"/>
    <w:rsid w:val="00797618"/>
    <w:rsid w:val="007A1F7E"/>
    <w:rsid w:val="007A67B7"/>
    <w:rsid w:val="007B393A"/>
    <w:rsid w:val="007B78C3"/>
    <w:rsid w:val="007D5A65"/>
    <w:rsid w:val="007E4610"/>
    <w:rsid w:val="008172E7"/>
    <w:rsid w:val="008230F5"/>
    <w:rsid w:val="008378DE"/>
    <w:rsid w:val="008418AD"/>
    <w:rsid w:val="00843615"/>
    <w:rsid w:val="00844084"/>
    <w:rsid w:val="00854DAB"/>
    <w:rsid w:val="00876B0C"/>
    <w:rsid w:val="0088695D"/>
    <w:rsid w:val="008A7D20"/>
    <w:rsid w:val="008B37EB"/>
    <w:rsid w:val="008B6859"/>
    <w:rsid w:val="008E4EA8"/>
    <w:rsid w:val="0090373B"/>
    <w:rsid w:val="00914243"/>
    <w:rsid w:val="00920B1E"/>
    <w:rsid w:val="00925995"/>
    <w:rsid w:val="009305ED"/>
    <w:rsid w:val="009416D6"/>
    <w:rsid w:val="00943596"/>
    <w:rsid w:val="00956711"/>
    <w:rsid w:val="00966250"/>
    <w:rsid w:val="00974AE4"/>
    <w:rsid w:val="009818FD"/>
    <w:rsid w:val="0099430C"/>
    <w:rsid w:val="009A0D87"/>
    <w:rsid w:val="009A2C76"/>
    <w:rsid w:val="009A7CE0"/>
    <w:rsid w:val="009C244B"/>
    <w:rsid w:val="009C6533"/>
    <w:rsid w:val="009D7CD0"/>
    <w:rsid w:val="009F0397"/>
    <w:rsid w:val="009F5EA0"/>
    <w:rsid w:val="00A20DBA"/>
    <w:rsid w:val="00A23CE4"/>
    <w:rsid w:val="00A37BDC"/>
    <w:rsid w:val="00A40F9B"/>
    <w:rsid w:val="00A46B55"/>
    <w:rsid w:val="00A62BD6"/>
    <w:rsid w:val="00A70FCC"/>
    <w:rsid w:val="00A77FC2"/>
    <w:rsid w:val="00A9314E"/>
    <w:rsid w:val="00AB3148"/>
    <w:rsid w:val="00AD4765"/>
    <w:rsid w:val="00B071C9"/>
    <w:rsid w:val="00B17754"/>
    <w:rsid w:val="00B307C1"/>
    <w:rsid w:val="00B40222"/>
    <w:rsid w:val="00B43EDE"/>
    <w:rsid w:val="00B46513"/>
    <w:rsid w:val="00B62875"/>
    <w:rsid w:val="00B77F51"/>
    <w:rsid w:val="00B9022F"/>
    <w:rsid w:val="00BA5F11"/>
    <w:rsid w:val="00BA6AA5"/>
    <w:rsid w:val="00BB602E"/>
    <w:rsid w:val="00BB687E"/>
    <w:rsid w:val="00BC7275"/>
    <w:rsid w:val="00BD38E7"/>
    <w:rsid w:val="00BF1009"/>
    <w:rsid w:val="00BF6AFF"/>
    <w:rsid w:val="00C06A44"/>
    <w:rsid w:val="00C2040D"/>
    <w:rsid w:val="00C3364D"/>
    <w:rsid w:val="00C546ED"/>
    <w:rsid w:val="00C60651"/>
    <w:rsid w:val="00C71F4F"/>
    <w:rsid w:val="00C77EA5"/>
    <w:rsid w:val="00CA23B2"/>
    <w:rsid w:val="00CB41C3"/>
    <w:rsid w:val="00CC4804"/>
    <w:rsid w:val="00CD27CF"/>
    <w:rsid w:val="00CD4704"/>
    <w:rsid w:val="00CE6002"/>
    <w:rsid w:val="00D048B8"/>
    <w:rsid w:val="00D155D4"/>
    <w:rsid w:val="00D15AEF"/>
    <w:rsid w:val="00D2365F"/>
    <w:rsid w:val="00D26EFF"/>
    <w:rsid w:val="00D30623"/>
    <w:rsid w:val="00D4262C"/>
    <w:rsid w:val="00D463B7"/>
    <w:rsid w:val="00D51D64"/>
    <w:rsid w:val="00D5716C"/>
    <w:rsid w:val="00D57A72"/>
    <w:rsid w:val="00D836BF"/>
    <w:rsid w:val="00D8418B"/>
    <w:rsid w:val="00D94C3B"/>
    <w:rsid w:val="00DA7BFB"/>
    <w:rsid w:val="00DB11C9"/>
    <w:rsid w:val="00DD0854"/>
    <w:rsid w:val="00DF3DD4"/>
    <w:rsid w:val="00DF42E8"/>
    <w:rsid w:val="00DF61C4"/>
    <w:rsid w:val="00E202C9"/>
    <w:rsid w:val="00E275E7"/>
    <w:rsid w:val="00E52FA7"/>
    <w:rsid w:val="00E53179"/>
    <w:rsid w:val="00E54813"/>
    <w:rsid w:val="00E556AF"/>
    <w:rsid w:val="00E56451"/>
    <w:rsid w:val="00E747C6"/>
    <w:rsid w:val="00E829B6"/>
    <w:rsid w:val="00E91B20"/>
    <w:rsid w:val="00EA645D"/>
    <w:rsid w:val="00EC2EAB"/>
    <w:rsid w:val="00ED7288"/>
    <w:rsid w:val="00EE0402"/>
    <w:rsid w:val="00EE5CA1"/>
    <w:rsid w:val="00F051A2"/>
    <w:rsid w:val="00F40970"/>
    <w:rsid w:val="00F40AE2"/>
    <w:rsid w:val="00F47824"/>
    <w:rsid w:val="00F6060B"/>
    <w:rsid w:val="00F6374A"/>
    <w:rsid w:val="00F75FD8"/>
    <w:rsid w:val="00F7641E"/>
    <w:rsid w:val="00FA5BB8"/>
    <w:rsid w:val="00FA6C96"/>
    <w:rsid w:val="00FB39BC"/>
    <w:rsid w:val="00FB52DF"/>
    <w:rsid w:val="00FC38EC"/>
    <w:rsid w:val="00FC5123"/>
    <w:rsid w:val="00FE732A"/>
    <w:rsid w:val="00FE799A"/>
    <w:rsid w:val="00FF03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EDE"/>
    <w:rPr>
      <w:color w:val="808080"/>
    </w:rPr>
  </w:style>
  <w:style w:type="paragraph" w:customStyle="1" w:styleId="D5EB524B9A594BD88BFAF0EDED5546CE">
    <w:name w:val="D5EB524B9A594BD88BFAF0EDED5546CE"/>
    <w:rsid w:val="00B43EDE"/>
  </w:style>
  <w:style w:type="paragraph" w:customStyle="1" w:styleId="837B9699BF6647A8ADC6EEB67586A924">
    <w:name w:val="837B9699BF6647A8ADC6EEB67586A924"/>
    <w:rsid w:val="00B43E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058C510DC0EC04B89C7292E1DAEB953" ma:contentTypeVersion="30" ma:contentTypeDescription="Create a new document." ma:contentTypeScope="" ma:versionID="952b82829e22397f476814716a469ac6">
  <xsd:schema xmlns:xsd="http://www.w3.org/2001/XMLSchema" xmlns:xs="http://www.w3.org/2001/XMLSchema" xmlns:p="http://schemas.microsoft.com/office/2006/metadata/properties" xmlns:ns2="662745e8-e224-48e8-a2e3-254862b8c2f5" xmlns:ns3="b13ba871-742c-4918-997e-010f5a8d916a" xmlns:ns4="01f5ea41-7e48-4e68-91b3-675ca7359689" targetNamespace="http://schemas.microsoft.com/office/2006/metadata/properties" ma:root="true" ma:fieldsID="2813b8c6e90828e2288249c63264ef7f" ns2:_="" ns3:_="" ns4:_="">
    <xsd:import namespace="662745e8-e224-48e8-a2e3-254862b8c2f5"/>
    <xsd:import namespace="b13ba871-742c-4918-997e-010f5a8d916a"/>
    <xsd:import namespace="01f5ea41-7e48-4e68-91b3-675ca735968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lcf76f155ced4ddcb4097134ff3c332f" minOccurs="0"/>
                <xsd:element ref="ns3:MediaLengthInSeconds" minOccurs="0"/>
                <xsd:element ref="ns3:MediaServiceLocation" minOccurs="0"/>
                <xsd:element ref="ns3:MediaServiceObjectDetectorVersions" minOccurs="0"/>
                <xsd:element ref="ns3:MediaServiceSearchPropertie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1430912-0a6c-449f-b02c-9cd993c0bbb3}" ma:internalName="TaxCatchAll" ma:showField="CatchAllData" ma:web="01f5ea41-7e48-4e68-91b3-675ca73596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1430912-0a6c-449f-b02c-9cd993c0bbb3}" ma:internalName="TaxCatchAllLabel" ma:readOnly="true" ma:showField="CatchAllDataLabel" ma:web="01f5ea41-7e48-4e68-91b3-675ca735968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ma:internalName="Team" ma:readOnly="false">
      <xsd:simpleType>
        <xsd:restriction base="dms:Text"/>
      </xsd:simpleType>
    </xsd:element>
    <xsd:element name="Topic" ma:index="20" nillable="true" ma:displayName="Topic" ma:default="International_Blue_Finance"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3ba871-742c-4918-997e-010f5a8d916a" elementFormDefault="qualified">
    <xsd:import namespace="http://schemas.microsoft.com/office/2006/documentManagement/types"/>
    <xsd:import namespace="http://schemas.microsoft.com/office/infopath/2007/PartnerControls"/>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f5ea41-7e48-4e68-91b3-675ca7359689"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ODA Evidence Team</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20</Value>
      <Value>16</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ODA and International Biodiversity Funds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lcf76f155ced4ddcb4097134ff3c332f xmlns="b13ba871-742c-4918-997e-010f5a8d91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6F1160-5BED-4C7C-88D5-A9B673487FE9}">
  <ds:schemaRefs>
    <ds:schemaRef ds:uri="http://schemas.openxmlformats.org/officeDocument/2006/bibliography"/>
  </ds:schemaRefs>
</ds:datastoreItem>
</file>

<file path=customXml/itemProps2.xml><?xml version="1.0" encoding="utf-8"?>
<ds:datastoreItem xmlns:ds="http://schemas.openxmlformats.org/officeDocument/2006/customXml" ds:itemID="{D6C31793-AE3E-4B42-9F05-5A619E9D4D7E}">
  <ds:schemaRefs>
    <ds:schemaRef ds:uri="http://schemas.microsoft.com/sharepoint/v3/contenttype/forms"/>
  </ds:schemaRefs>
</ds:datastoreItem>
</file>

<file path=customXml/itemProps3.xml><?xml version="1.0" encoding="utf-8"?>
<ds:datastoreItem xmlns:ds="http://schemas.openxmlformats.org/officeDocument/2006/customXml" ds:itemID="{9B3757A4-EB75-4262-81A5-3377CAA3B860}">
  <ds:schemaRefs>
    <ds:schemaRef ds:uri="Microsoft.SharePoint.Taxonomy.ContentTypeSync"/>
  </ds:schemaRefs>
</ds:datastoreItem>
</file>

<file path=customXml/itemProps4.xml><?xml version="1.0" encoding="utf-8"?>
<ds:datastoreItem xmlns:ds="http://schemas.openxmlformats.org/officeDocument/2006/customXml" ds:itemID="{885820B6-AFBB-4AB3-BE6B-4A59B0DFA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13ba871-742c-4918-997e-010f5a8d916a"/>
    <ds:schemaRef ds:uri="01f5ea41-7e48-4e68-91b3-675ca735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9E4CF3-84AA-4B72-84CD-D888B2E21F4E}">
  <ds:schemaRefs>
    <ds:schemaRef ds:uri="http://schemas.microsoft.com/office/2006/metadata/properties"/>
    <ds:schemaRef ds:uri="http://schemas.microsoft.com/office/infopath/2007/PartnerControls"/>
    <ds:schemaRef ds:uri="662745e8-e224-48e8-a2e3-254862b8c2f5"/>
    <ds:schemaRef ds:uri="b13ba871-742c-4918-997e-010f5a8d916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Manager/>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Review</dc:title>
  <dc:subject/>
  <dc:creator>Pyper, Jamie</dc:creator>
  <cp:keywords/>
  <dc:description/>
  <cp:lastModifiedBy>Pyper, Jamie</cp:lastModifiedBy>
  <cp:revision>118</cp:revision>
  <dcterms:created xsi:type="dcterms:W3CDTF">2024-12-31T23:21:00Z</dcterms:created>
  <dcterms:modified xsi:type="dcterms:W3CDTF">2025-02-06T16:59:39Z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0x010100A5BF1C78D9F64B679A5EBDE1C6598EBC01003058C510DC0EC04B89C7292E1DAEB953</vt:lpwstr>
  </property>
  <property fmtid="{D5CDD505-2E9C-101B-9397-08002B2CF9AE}" pid="3" name="Business Document Type">
    <vt:lpwstr>Annual review</vt:lpwstr>
  </property>
  <property fmtid="{D5CDD505-2E9C-101B-9397-08002B2CF9AE}" pid="4" name="MSIP_Label_e4c996da-17fa-4fc5-8989-2758fb4cf86b_Enabled">
    <vt:lpwstr>true</vt:lpwstr>
  </property>
  <property fmtid="{D5CDD505-2E9C-101B-9397-08002B2CF9AE}" pid="5" name="MSIP_Label_e4c996da-17fa-4fc5-8989-2758fb4cf86b_SetDate">
    <vt:lpwstr>2021-06-16T13:10:56Z</vt:lpwstr>
  </property>
  <property fmtid="{D5CDD505-2E9C-101B-9397-08002B2CF9AE}" pid="6" name="MSIP_Label_e4c996da-17fa-4fc5-8989-2758fb4cf86b_Method">
    <vt:lpwstr>Privileged</vt:lpwstr>
  </property>
  <property fmtid="{D5CDD505-2E9C-101B-9397-08002B2CF9AE}" pid="7" name="MSIP_Label_e4c996da-17fa-4fc5-8989-2758fb4cf86b_Name">
    <vt:lpwstr>OFFICIAL</vt:lpwstr>
  </property>
  <property fmtid="{D5CDD505-2E9C-101B-9397-08002B2CF9AE}" pid="8" name="MSIP_Label_e4c996da-17fa-4fc5-8989-2758fb4cf86b_SiteId">
    <vt:lpwstr>cdf709af-1a18-4c74-bd93-6d14a64d73b3</vt:lpwstr>
  </property>
  <property fmtid="{D5CDD505-2E9C-101B-9397-08002B2CF9AE}" pid="9" name="MSIP_Label_e4c996da-17fa-4fc5-8989-2758fb4cf86b_ActionId">
    <vt:lpwstr>919708a4-416e-499e-8edc-0000a189eb48</vt:lpwstr>
  </property>
  <property fmtid="{D5CDD505-2E9C-101B-9397-08002B2CF9AE}" pid="10" name="MSIP_Label_e4c996da-17fa-4fc5-8989-2758fb4cf86b_ContentBits">
    <vt:lpwstr>1</vt:lpwstr>
  </property>
  <property fmtid="{D5CDD505-2E9C-101B-9397-08002B2CF9AE}" pid="11" name="ClassificationContentMarkingHeaderShapeIds">
    <vt:lpwstr>2,3,4</vt:lpwstr>
  </property>
  <property fmtid="{D5CDD505-2E9C-101B-9397-08002B2CF9AE}" pid="12" name="ClassificationContentMarkingHeaderFontProps">
    <vt:lpwstr>#000000,10,Calibri</vt:lpwstr>
  </property>
  <property fmtid="{D5CDD505-2E9C-101B-9397-08002B2CF9AE}" pid="13" name="ClassificationContentMarkingHeaderText">
    <vt:lpwstr>OFFICIAL</vt:lpwstr>
  </property>
  <property fmtid="{D5CDD505-2E9C-101B-9397-08002B2CF9AE}" pid="14" name="ClassificationContentMarkingFooterShapeIds">
    <vt:lpwstr>5,6,7</vt:lpwstr>
  </property>
  <property fmtid="{D5CDD505-2E9C-101B-9397-08002B2CF9AE}" pid="15" name="ClassificationContentMarkingFooterFontProps">
    <vt:lpwstr>#000000,10,Calibri</vt:lpwstr>
  </property>
  <property fmtid="{D5CDD505-2E9C-101B-9397-08002B2CF9AE}" pid="16" name="ClassificationContentMarkingFooterText">
    <vt:lpwstr>OFFICIAL</vt:lpwstr>
  </property>
  <property fmtid="{D5CDD505-2E9C-101B-9397-08002B2CF9AE}" pid="17" name="MSIP_Label_9e9cc48d-6fba-4c12-9882-137473def580_Enabled">
    <vt:lpwstr>true</vt:lpwstr>
  </property>
  <property fmtid="{D5CDD505-2E9C-101B-9397-08002B2CF9AE}" pid="18" name="MSIP_Label_9e9cc48d-6fba-4c12-9882-137473def580_SetDate">
    <vt:lpwstr>2022-06-19T02:53:36Z</vt:lpwstr>
  </property>
  <property fmtid="{D5CDD505-2E9C-101B-9397-08002B2CF9AE}" pid="19" name="MSIP_Label_9e9cc48d-6fba-4c12-9882-137473def580_Method">
    <vt:lpwstr>Privileged</vt:lpwstr>
  </property>
  <property fmtid="{D5CDD505-2E9C-101B-9397-08002B2CF9AE}" pid="20" name="MSIP_Label_9e9cc48d-6fba-4c12-9882-137473def580_Name">
    <vt:lpwstr>Official</vt:lpwstr>
  </property>
  <property fmtid="{D5CDD505-2E9C-101B-9397-08002B2CF9AE}" pid="21" name="MSIP_Label_9e9cc48d-6fba-4c12-9882-137473def580_SiteId">
    <vt:lpwstr>d3a2d0d3-7cc8-4f52-bbf9-85bd43d94279</vt:lpwstr>
  </property>
  <property fmtid="{D5CDD505-2E9C-101B-9397-08002B2CF9AE}" pid="22" name="MSIP_Label_9e9cc48d-6fba-4c12-9882-137473def580_ActionId">
    <vt:lpwstr>d4919ea7-280d-4e60-8528-17827166ba9a</vt:lpwstr>
  </property>
  <property fmtid="{D5CDD505-2E9C-101B-9397-08002B2CF9AE}" pid="23" name="MSIP_Label_9e9cc48d-6fba-4c12-9882-137473def580_ContentBits">
    <vt:lpwstr>0</vt:lpwstr>
  </property>
  <property fmtid="{D5CDD505-2E9C-101B-9397-08002B2CF9AE}" pid="24" name="InformationType">
    <vt:lpwstr/>
  </property>
  <property fmtid="{D5CDD505-2E9C-101B-9397-08002B2CF9AE}" pid="25" name="Distribution">
    <vt:lpwstr>16;#External|1104eb68-55d8-494f-b6ba-c5473579de73</vt:lpwstr>
  </property>
  <property fmtid="{D5CDD505-2E9C-101B-9397-08002B2CF9AE}" pid="26" name="HOCopyrightLevel">
    <vt:lpwstr>7;#Crown|69589897-2828-4761-976e-717fd8e631c9</vt:lpwstr>
  </property>
  <property fmtid="{D5CDD505-2E9C-101B-9397-08002B2CF9AE}" pid="27" name="SecurityClassification">
    <vt:lpwstr/>
  </property>
  <property fmtid="{D5CDD505-2E9C-101B-9397-08002B2CF9AE}" pid="28" name="HOGovernmentSecurityClassification">
    <vt:lpwstr>6;#Official|14c80daa-741b-422c-9722-f71693c9ede4</vt:lpwstr>
  </property>
  <property fmtid="{D5CDD505-2E9C-101B-9397-08002B2CF9AE}" pid="29" name="OrganisationalUnit">
    <vt:lpwstr>8;#Core Defra|026223dd-2e56-4615-868d-7c5bfd566810</vt:lpwstr>
  </property>
  <property fmtid="{D5CDD505-2E9C-101B-9397-08002B2CF9AE}" pid="30" name="Directorate">
    <vt:lpwstr/>
  </property>
  <property fmtid="{D5CDD505-2E9C-101B-9397-08002B2CF9AE}" pid="31" name="HOSiteType">
    <vt:lpwstr>20;#Work Delivery|388f4f80-46e6-4bcd-8bd1-cea0059da8bd</vt:lpwstr>
  </property>
  <property fmtid="{D5CDD505-2E9C-101B-9397-08002B2CF9AE}" pid="32" name="MediaServiceImageTags">
    <vt:lpwstr/>
  </property>
  <property fmtid="{D5CDD505-2E9C-101B-9397-08002B2CF9AE}" pid="33" name="lcf76f155ced4ddcb4097134ff3c332f">
    <vt:lpwstr/>
  </property>
  <property fmtid="{D5CDD505-2E9C-101B-9397-08002B2CF9AE}" pid="34" name="xd_ProgID">
    <vt:lpwstr/>
  </property>
  <property fmtid="{D5CDD505-2E9C-101B-9397-08002B2CF9AE}" pid="35" name="ComplianceAssetId">
    <vt:lpwstr/>
  </property>
  <property fmtid="{D5CDD505-2E9C-101B-9397-08002B2CF9AE}" pid="36" name="TemplateUrl">
    <vt:lpwstr/>
  </property>
  <property fmtid="{D5CDD505-2E9C-101B-9397-08002B2CF9AE}" pid="37" name="_ExtendedDescription">
    <vt:lpwstr/>
  </property>
  <property fmtid="{D5CDD505-2E9C-101B-9397-08002B2CF9AE}" pid="38" name="TriggerFlowInfo">
    <vt:lpwstr/>
  </property>
  <property fmtid="{D5CDD505-2E9C-101B-9397-08002B2CF9AE}" pid="39" name="xd_Signature">
    <vt:bool>false</vt:bool>
  </property>
  <property fmtid="{D5CDD505-2E9C-101B-9397-08002B2CF9AE}" pid="40" name="MSIP_Label_19006cc7-c70d-4bd8-a78b-fbf04854936c_Enabled">
    <vt:lpwstr>true</vt:lpwstr>
  </property>
  <property fmtid="{D5CDD505-2E9C-101B-9397-08002B2CF9AE}" pid="41" name="MSIP_Label_19006cc7-c70d-4bd8-a78b-fbf04854936c_SetDate">
    <vt:lpwstr>2024-12-11T19:50:24Z</vt:lpwstr>
  </property>
  <property fmtid="{D5CDD505-2E9C-101B-9397-08002B2CF9AE}" pid="42" name="MSIP_Label_19006cc7-c70d-4bd8-a78b-fbf04854936c_Method">
    <vt:lpwstr>Standard</vt:lpwstr>
  </property>
  <property fmtid="{D5CDD505-2E9C-101B-9397-08002B2CF9AE}" pid="43" name="MSIP_Label_19006cc7-c70d-4bd8-a78b-fbf04854936c_Name">
    <vt:lpwstr>19006cc7-c70d-4bd8-a78b-fbf04854936c</vt:lpwstr>
  </property>
  <property fmtid="{D5CDD505-2E9C-101B-9397-08002B2CF9AE}" pid="44" name="MSIP_Label_19006cc7-c70d-4bd8-a78b-fbf04854936c_SiteId">
    <vt:lpwstr>8e321739-7ad8-452b-9db9-5d4406095d62</vt:lpwstr>
  </property>
  <property fmtid="{D5CDD505-2E9C-101B-9397-08002B2CF9AE}" pid="45" name="MSIP_Label_19006cc7-c70d-4bd8-a78b-fbf04854936c_ActionId">
    <vt:lpwstr>8a3c1343-a932-4303-8fa9-c72169db8b96</vt:lpwstr>
  </property>
  <property fmtid="{D5CDD505-2E9C-101B-9397-08002B2CF9AE}" pid="46" name="MSIP_Label_19006cc7-c70d-4bd8-a78b-fbf04854936c_ContentBits">
    <vt:lpwstr>0</vt:lpwstr>
  </property>
</Properties>
</file>