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F0B2" w14:textId="77777777" w:rsidR="00AC5B3D" w:rsidRPr="00BF47CA" w:rsidRDefault="00AC5B3D" w:rsidP="00AC5B3D">
      <w:pPr>
        <w:pBdr>
          <w:bottom w:val="single" w:sz="4" w:space="1" w:color="auto"/>
        </w:pBdr>
        <w:jc w:val="center"/>
        <w:rPr>
          <w:b/>
          <w:bCs/>
          <w:sz w:val="28"/>
          <w:szCs w:val="28"/>
        </w:rPr>
      </w:pPr>
      <w:r w:rsidRPr="00BF47CA">
        <w:rPr>
          <w:b/>
          <w:bCs/>
          <w:sz w:val="28"/>
          <w:szCs w:val="28"/>
        </w:rPr>
        <w:t>Ocean Country Partnership Programme – Annual review 2021/2022</w:t>
      </w:r>
    </w:p>
    <w:tbl>
      <w:tblPr>
        <w:tblStyle w:val="TableGrid"/>
        <w:tblW w:w="0" w:type="auto"/>
        <w:tblLook w:val="04A0" w:firstRow="1" w:lastRow="0" w:firstColumn="1" w:lastColumn="0" w:noHBand="0" w:noVBand="1"/>
      </w:tblPr>
      <w:tblGrid>
        <w:gridCol w:w="3964"/>
        <w:gridCol w:w="2410"/>
        <w:gridCol w:w="2642"/>
      </w:tblGrid>
      <w:tr w:rsidR="00AC5B3D" w:rsidRPr="00374B2A" w14:paraId="5D1FDE0D" w14:textId="77777777" w:rsidTr="00022964">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0357DF58" w14:textId="77777777" w:rsidR="00AC5B3D" w:rsidRPr="00374B2A" w:rsidRDefault="00AC5B3D" w:rsidP="00022964">
            <w:pPr>
              <w:rPr>
                <w:rFonts w:ascii="Arial" w:hAnsi="Arial"/>
                <w:b/>
              </w:rPr>
            </w:pPr>
            <w:r w:rsidRPr="00374B2A">
              <w:rPr>
                <w:rFonts w:ascii="Arial" w:hAnsi="Arial"/>
                <w:b/>
              </w:rPr>
              <w:t xml:space="preserve">Title:  </w:t>
            </w:r>
            <w:r>
              <w:rPr>
                <w:rFonts w:ascii="Arial" w:hAnsi="Arial"/>
                <w:b/>
              </w:rPr>
              <w:t>Ocean Country Partnership Programme</w:t>
            </w:r>
          </w:p>
        </w:tc>
      </w:tr>
      <w:tr w:rsidR="00AC5B3D" w:rsidRPr="00374B2A" w14:paraId="6A68B51D" w14:textId="77777777" w:rsidTr="00022964">
        <w:trPr>
          <w:trHeight w:val="413"/>
        </w:trPr>
        <w:tc>
          <w:tcPr>
            <w:tcW w:w="6374"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2A968392" w14:textId="77777777" w:rsidR="00AC5B3D" w:rsidRPr="00374B2A" w:rsidRDefault="00AC5B3D" w:rsidP="00022964">
            <w:pPr>
              <w:rPr>
                <w:rFonts w:ascii="Arial" w:hAnsi="Arial"/>
                <w:b/>
              </w:rPr>
            </w:pPr>
            <w:r w:rsidRPr="00374B2A">
              <w:rPr>
                <w:rFonts w:ascii="Arial" w:hAnsi="Arial"/>
                <w:b/>
              </w:rPr>
              <w:t xml:space="preserve">Programme Value £ (full life): </w:t>
            </w:r>
            <w:r>
              <w:rPr>
                <w:rFonts w:ascii="Arial" w:hAnsi="Arial"/>
                <w:b/>
              </w:rPr>
              <w:t>£65m</w:t>
            </w:r>
          </w:p>
        </w:tc>
        <w:tc>
          <w:tcPr>
            <w:tcW w:w="2642"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6B4252A0" w14:textId="77777777" w:rsidR="00AC5B3D" w:rsidRPr="00374B2A" w:rsidRDefault="00AC5B3D" w:rsidP="00022964">
            <w:pPr>
              <w:rPr>
                <w:rFonts w:ascii="Arial" w:hAnsi="Arial"/>
                <w:b/>
              </w:rPr>
            </w:pPr>
            <w:r w:rsidRPr="00374B2A">
              <w:rPr>
                <w:rFonts w:ascii="Arial" w:hAnsi="Arial"/>
                <w:b/>
              </w:rPr>
              <w:t xml:space="preserve">Review date: </w:t>
            </w:r>
            <w:r>
              <w:rPr>
                <w:rFonts w:ascii="Arial" w:hAnsi="Arial"/>
                <w:b/>
              </w:rPr>
              <w:t>July 2022</w:t>
            </w:r>
          </w:p>
        </w:tc>
      </w:tr>
      <w:tr w:rsidR="00AC5B3D" w:rsidRPr="00374B2A" w14:paraId="2C8858C4" w14:textId="77777777" w:rsidTr="00022964">
        <w:trPr>
          <w:trHeight w:val="300"/>
        </w:trPr>
        <w:tc>
          <w:tcPr>
            <w:tcW w:w="3964" w:type="dxa"/>
            <w:tcBorders>
              <w:top w:val="dotted" w:sz="2" w:space="0" w:color="000000" w:themeColor="text1"/>
              <w:left w:val="single" w:sz="4" w:space="0" w:color="auto"/>
              <w:bottom w:val="single" w:sz="4" w:space="0" w:color="auto"/>
              <w:right w:val="dotted" w:sz="2" w:space="0" w:color="000000" w:themeColor="text1"/>
            </w:tcBorders>
          </w:tcPr>
          <w:p w14:paraId="4DF91671" w14:textId="16AF32AC" w:rsidR="00AC5B3D" w:rsidRPr="00374B2A" w:rsidRDefault="00B4391A" w:rsidP="00022964">
            <w:pPr>
              <w:rPr>
                <w:rFonts w:ascii="Arial" w:hAnsi="Arial"/>
                <w:b/>
              </w:rPr>
            </w:pPr>
            <w:r w:rsidRPr="00B4391A">
              <w:rPr>
                <w:rFonts w:ascii="Arial" w:hAnsi="Arial"/>
                <w:b/>
              </w:rPr>
              <w:t xml:space="preserve">IATI Identifier: </w:t>
            </w:r>
            <w:r w:rsidRPr="00B4391A">
              <w:rPr>
                <w:rFonts w:ascii="Arial" w:hAnsi="Arial"/>
                <w:bCs/>
              </w:rPr>
              <w:t>GB-GOV-7-BPFOCPP</w:t>
            </w:r>
          </w:p>
          <w:p w14:paraId="67DEBF05" w14:textId="77777777" w:rsidR="00AC5B3D" w:rsidRPr="00374B2A" w:rsidRDefault="00AC5B3D" w:rsidP="00022964">
            <w:pPr>
              <w:rPr>
                <w:rFonts w:ascii="Arial" w:hAnsi="Arial"/>
                <w:b/>
              </w:rPr>
            </w:pP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67531814" w14:textId="77777777" w:rsidR="00AC5B3D" w:rsidRPr="00374B2A" w:rsidRDefault="00AC5B3D" w:rsidP="00022964">
            <w:pPr>
              <w:rPr>
                <w:rFonts w:ascii="Arial" w:hAnsi="Arial"/>
                <w:b/>
              </w:rPr>
            </w:pPr>
            <w:r w:rsidRPr="00374B2A">
              <w:rPr>
                <w:rFonts w:ascii="Arial" w:hAnsi="Arial"/>
                <w:b/>
              </w:rPr>
              <w:t>AMP start date:</w:t>
            </w:r>
            <w:r w:rsidRPr="00374B2A">
              <w:rPr>
                <w:rFonts w:ascii="Arial" w:hAnsi="Arial"/>
                <w:szCs w:val="24"/>
              </w:rPr>
              <w:t xml:space="preserve"> </w:t>
            </w:r>
            <w:r>
              <w:rPr>
                <w:rFonts w:ascii="Arial" w:hAnsi="Arial"/>
                <w:szCs w:val="24"/>
              </w:rPr>
              <w:t>June 2021</w:t>
            </w:r>
          </w:p>
        </w:tc>
        <w:tc>
          <w:tcPr>
            <w:tcW w:w="2642" w:type="dxa"/>
            <w:tcBorders>
              <w:top w:val="dotted" w:sz="2" w:space="0" w:color="000000" w:themeColor="text1"/>
              <w:left w:val="dotted" w:sz="2" w:space="0" w:color="000000" w:themeColor="text1"/>
              <w:bottom w:val="single" w:sz="4" w:space="0" w:color="auto"/>
              <w:right w:val="single" w:sz="4" w:space="0" w:color="auto"/>
            </w:tcBorders>
            <w:hideMark/>
          </w:tcPr>
          <w:p w14:paraId="79CF9B5E" w14:textId="77777777" w:rsidR="00AC5B3D" w:rsidRPr="00374B2A" w:rsidRDefault="00AC5B3D" w:rsidP="00022964">
            <w:pPr>
              <w:rPr>
                <w:rFonts w:ascii="Arial" w:hAnsi="Arial"/>
                <w:b/>
              </w:rPr>
            </w:pPr>
            <w:r w:rsidRPr="00374B2A">
              <w:rPr>
                <w:rFonts w:ascii="Arial" w:hAnsi="Arial"/>
                <w:b/>
              </w:rPr>
              <w:t>AMP end date:</w:t>
            </w:r>
            <w:r w:rsidRPr="00374B2A">
              <w:rPr>
                <w:rFonts w:ascii="Arial" w:hAnsi="Arial"/>
                <w:szCs w:val="24"/>
              </w:rPr>
              <w:t xml:space="preserve"> </w:t>
            </w:r>
            <w:r>
              <w:rPr>
                <w:rFonts w:ascii="Arial" w:hAnsi="Arial"/>
                <w:szCs w:val="24"/>
              </w:rPr>
              <w:t>June 2022</w:t>
            </w:r>
          </w:p>
        </w:tc>
      </w:tr>
    </w:tbl>
    <w:p w14:paraId="05C2152C" w14:textId="77777777" w:rsidR="00AC5B3D" w:rsidRPr="00374B2A" w:rsidRDefault="00AC5B3D" w:rsidP="00AC5B3D">
      <w:pPr>
        <w:spacing w:before="240" w:after="0" w:line="240" w:lineRule="auto"/>
        <w:rPr>
          <w:rFonts w:ascii="Arial" w:eastAsia="Times New Roman" w:hAnsi="Arial" w:cs="Times New Roman"/>
          <w:b/>
        </w:rPr>
      </w:pPr>
      <w:r w:rsidRPr="00374B2A">
        <w:rPr>
          <w:rFonts w:ascii="Arial" w:eastAsia="Times New Roman" w:hAnsi="Arial" w:cs="Times New Roman"/>
          <w:b/>
        </w:rPr>
        <w:t xml:space="preserve">Summary of Programme Performance </w:t>
      </w:r>
    </w:p>
    <w:tbl>
      <w:tblPr>
        <w:tblStyle w:val="TableGrid"/>
        <w:tblW w:w="0" w:type="auto"/>
        <w:tblLook w:val="04A0" w:firstRow="1" w:lastRow="0" w:firstColumn="1" w:lastColumn="0" w:noHBand="0" w:noVBand="1"/>
      </w:tblPr>
      <w:tblGrid>
        <w:gridCol w:w="2518"/>
        <w:gridCol w:w="1106"/>
        <w:gridCol w:w="905"/>
        <w:gridCol w:w="906"/>
        <w:gridCol w:w="905"/>
        <w:gridCol w:w="906"/>
        <w:gridCol w:w="885"/>
        <w:gridCol w:w="885"/>
      </w:tblGrid>
      <w:tr w:rsidR="00AC5B3D" w:rsidRPr="00374B2A" w14:paraId="1775E6E8" w14:textId="77777777" w:rsidTr="00022964">
        <w:trPr>
          <w:trHeight w:val="226"/>
        </w:trPr>
        <w:tc>
          <w:tcPr>
            <w:tcW w:w="259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B2F4C8" w14:textId="77777777" w:rsidR="00AC5B3D" w:rsidRPr="00374B2A" w:rsidRDefault="00AC5B3D" w:rsidP="00022964">
            <w:pPr>
              <w:rPr>
                <w:rFonts w:ascii="Arial" w:hAnsi="Arial"/>
              </w:rPr>
            </w:pPr>
            <w:r w:rsidRPr="00374B2A">
              <w:rPr>
                <w:rFonts w:ascii="Arial" w:hAnsi="Arial"/>
              </w:rPr>
              <w:t>Year</w:t>
            </w:r>
          </w:p>
        </w:tc>
        <w:tc>
          <w:tcPr>
            <w:tcW w:w="913" w:type="dxa"/>
            <w:tcBorders>
              <w:top w:val="single" w:sz="4" w:space="0" w:color="auto"/>
              <w:left w:val="single" w:sz="4" w:space="0" w:color="auto"/>
              <w:bottom w:val="single" w:sz="4" w:space="0" w:color="auto"/>
              <w:right w:val="single" w:sz="4" w:space="0" w:color="auto"/>
            </w:tcBorders>
          </w:tcPr>
          <w:p w14:paraId="49654E2F" w14:textId="77777777" w:rsidR="00AC5B3D" w:rsidRPr="00374B2A" w:rsidRDefault="00AC5B3D" w:rsidP="00022964">
            <w:pPr>
              <w:rPr>
                <w:rFonts w:ascii="Arial" w:hAnsi="Arial"/>
                <w:b/>
              </w:rPr>
            </w:pPr>
            <w:r>
              <w:rPr>
                <w:rFonts w:ascii="Arial" w:hAnsi="Arial"/>
                <w:b/>
              </w:rPr>
              <w:t>21/22</w:t>
            </w:r>
          </w:p>
        </w:tc>
        <w:tc>
          <w:tcPr>
            <w:tcW w:w="914" w:type="dxa"/>
            <w:tcBorders>
              <w:top w:val="single" w:sz="4" w:space="0" w:color="auto"/>
              <w:left w:val="single" w:sz="4" w:space="0" w:color="auto"/>
              <w:bottom w:val="single" w:sz="4" w:space="0" w:color="auto"/>
              <w:right w:val="single" w:sz="4" w:space="0" w:color="auto"/>
            </w:tcBorders>
          </w:tcPr>
          <w:p w14:paraId="4E753D63" w14:textId="77777777" w:rsidR="00AC5B3D" w:rsidRPr="00374B2A" w:rsidRDefault="00AC5B3D" w:rsidP="00022964">
            <w:pPr>
              <w:rPr>
                <w:rFonts w:ascii="Arial" w:hAnsi="Arial"/>
                <w:b/>
              </w:rPr>
            </w:pPr>
            <w:r>
              <w:rPr>
                <w:rFonts w:ascii="Arial" w:hAnsi="Arial"/>
                <w:b/>
              </w:rPr>
              <w:t>22/23</w:t>
            </w:r>
          </w:p>
        </w:tc>
        <w:tc>
          <w:tcPr>
            <w:tcW w:w="914" w:type="dxa"/>
            <w:tcBorders>
              <w:top w:val="single" w:sz="4" w:space="0" w:color="auto"/>
              <w:left w:val="single" w:sz="4" w:space="0" w:color="auto"/>
              <w:bottom w:val="single" w:sz="4" w:space="0" w:color="auto"/>
              <w:right w:val="single" w:sz="4" w:space="0" w:color="auto"/>
            </w:tcBorders>
          </w:tcPr>
          <w:p w14:paraId="02C0E76B" w14:textId="77777777" w:rsidR="00AC5B3D" w:rsidRPr="00374B2A" w:rsidRDefault="00AC5B3D" w:rsidP="00022964">
            <w:pPr>
              <w:rPr>
                <w:rFonts w:ascii="Arial" w:hAnsi="Arial"/>
                <w:b/>
              </w:rPr>
            </w:pPr>
            <w:r>
              <w:rPr>
                <w:rFonts w:ascii="Arial" w:hAnsi="Arial"/>
                <w:b/>
              </w:rPr>
              <w:t>23/24</w:t>
            </w:r>
          </w:p>
        </w:tc>
        <w:tc>
          <w:tcPr>
            <w:tcW w:w="913" w:type="dxa"/>
            <w:tcBorders>
              <w:top w:val="single" w:sz="4" w:space="0" w:color="auto"/>
              <w:left w:val="single" w:sz="4" w:space="0" w:color="auto"/>
              <w:bottom w:val="single" w:sz="4" w:space="0" w:color="auto"/>
              <w:right w:val="single" w:sz="4" w:space="0" w:color="auto"/>
            </w:tcBorders>
          </w:tcPr>
          <w:p w14:paraId="3D7AAF4A" w14:textId="77777777" w:rsidR="00AC5B3D" w:rsidRPr="00374B2A" w:rsidRDefault="00AC5B3D" w:rsidP="00022964">
            <w:pPr>
              <w:rPr>
                <w:rFonts w:ascii="Arial" w:hAnsi="Arial"/>
                <w:b/>
              </w:rPr>
            </w:pPr>
            <w:r>
              <w:rPr>
                <w:rFonts w:ascii="Arial" w:hAnsi="Arial"/>
                <w:b/>
              </w:rPr>
              <w:t>24/25</w:t>
            </w:r>
          </w:p>
        </w:tc>
        <w:tc>
          <w:tcPr>
            <w:tcW w:w="914" w:type="dxa"/>
            <w:tcBorders>
              <w:top w:val="single" w:sz="4" w:space="0" w:color="auto"/>
              <w:left w:val="single" w:sz="4" w:space="0" w:color="auto"/>
              <w:bottom w:val="single" w:sz="4" w:space="0" w:color="auto"/>
              <w:right w:val="single" w:sz="4" w:space="0" w:color="auto"/>
            </w:tcBorders>
          </w:tcPr>
          <w:p w14:paraId="26A3854D" w14:textId="77777777" w:rsidR="00AC5B3D" w:rsidRPr="00374B2A" w:rsidRDefault="00AC5B3D" w:rsidP="00022964">
            <w:pPr>
              <w:rPr>
                <w:rFonts w:ascii="Arial" w:hAnsi="Arial"/>
                <w:b/>
              </w:rPr>
            </w:pPr>
            <w:r>
              <w:rPr>
                <w:rFonts w:ascii="Arial" w:hAnsi="Arial"/>
                <w:b/>
              </w:rPr>
              <w:t>25/26</w:t>
            </w:r>
          </w:p>
        </w:tc>
        <w:tc>
          <w:tcPr>
            <w:tcW w:w="914" w:type="dxa"/>
            <w:tcBorders>
              <w:top w:val="single" w:sz="4" w:space="0" w:color="auto"/>
              <w:left w:val="single" w:sz="4" w:space="0" w:color="auto"/>
              <w:bottom w:val="single" w:sz="4" w:space="0" w:color="auto"/>
              <w:right w:val="single" w:sz="4" w:space="0" w:color="auto"/>
            </w:tcBorders>
          </w:tcPr>
          <w:p w14:paraId="6A3D962A"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57B6B621" w14:textId="77777777" w:rsidR="00AC5B3D" w:rsidRPr="00374B2A" w:rsidRDefault="00AC5B3D" w:rsidP="00022964">
            <w:pPr>
              <w:rPr>
                <w:rFonts w:ascii="Arial" w:hAnsi="Arial"/>
                <w:b/>
              </w:rPr>
            </w:pPr>
          </w:p>
        </w:tc>
      </w:tr>
      <w:tr w:rsidR="00AC5B3D" w:rsidRPr="00374B2A" w14:paraId="4E2A1A85" w14:textId="77777777" w:rsidTr="00022964">
        <w:trPr>
          <w:trHeight w:val="243"/>
        </w:trPr>
        <w:tc>
          <w:tcPr>
            <w:tcW w:w="259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2820BC" w14:textId="77777777" w:rsidR="00AC5B3D" w:rsidRPr="00374B2A" w:rsidRDefault="00AC5B3D" w:rsidP="00022964">
            <w:pPr>
              <w:rPr>
                <w:rFonts w:ascii="Arial" w:hAnsi="Arial"/>
              </w:rPr>
            </w:pPr>
            <w:r w:rsidRPr="00374B2A">
              <w:rPr>
                <w:rFonts w:ascii="Arial" w:hAnsi="Arial"/>
              </w:rPr>
              <w:t>Overall Output Score</w:t>
            </w:r>
          </w:p>
        </w:tc>
        <w:tc>
          <w:tcPr>
            <w:tcW w:w="913" w:type="dxa"/>
            <w:tcBorders>
              <w:top w:val="single" w:sz="4" w:space="0" w:color="auto"/>
              <w:left w:val="single" w:sz="4" w:space="0" w:color="auto"/>
              <w:bottom w:val="single" w:sz="4" w:space="0" w:color="auto"/>
              <w:right w:val="single" w:sz="4" w:space="0" w:color="auto"/>
            </w:tcBorders>
          </w:tcPr>
          <w:p w14:paraId="1B7C8698" w14:textId="0CED7E55" w:rsidR="00AC5B3D" w:rsidRPr="00374B2A" w:rsidRDefault="00256C7F" w:rsidP="00022964">
            <w:pPr>
              <w:rPr>
                <w:rFonts w:ascii="Arial" w:hAnsi="Arial"/>
                <w:b/>
              </w:rPr>
            </w:pPr>
            <w:r>
              <w:rPr>
                <w:rFonts w:ascii="Arial" w:hAnsi="Arial"/>
                <w:b/>
              </w:rPr>
              <w:t>N/A</w:t>
            </w:r>
          </w:p>
        </w:tc>
        <w:tc>
          <w:tcPr>
            <w:tcW w:w="914" w:type="dxa"/>
            <w:tcBorders>
              <w:top w:val="single" w:sz="4" w:space="0" w:color="auto"/>
              <w:left w:val="single" w:sz="4" w:space="0" w:color="auto"/>
              <w:bottom w:val="single" w:sz="4" w:space="0" w:color="auto"/>
              <w:right w:val="single" w:sz="4" w:space="0" w:color="auto"/>
            </w:tcBorders>
          </w:tcPr>
          <w:p w14:paraId="134434D6"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3AABB163" w14:textId="77777777" w:rsidR="00AC5B3D" w:rsidRPr="00374B2A" w:rsidRDefault="00AC5B3D" w:rsidP="00022964">
            <w:pPr>
              <w:rPr>
                <w:rFonts w:ascii="Arial" w:hAnsi="Arial"/>
                <w:b/>
              </w:rPr>
            </w:pPr>
          </w:p>
        </w:tc>
        <w:tc>
          <w:tcPr>
            <w:tcW w:w="913" w:type="dxa"/>
            <w:tcBorders>
              <w:top w:val="single" w:sz="4" w:space="0" w:color="auto"/>
              <w:left w:val="single" w:sz="4" w:space="0" w:color="auto"/>
              <w:bottom w:val="single" w:sz="4" w:space="0" w:color="auto"/>
              <w:right w:val="single" w:sz="4" w:space="0" w:color="auto"/>
            </w:tcBorders>
          </w:tcPr>
          <w:p w14:paraId="67C0ECEB"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6F4DD7EC"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18616FCC"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6D0AB0B6" w14:textId="77777777" w:rsidR="00AC5B3D" w:rsidRPr="00374B2A" w:rsidRDefault="00AC5B3D" w:rsidP="00022964">
            <w:pPr>
              <w:rPr>
                <w:rFonts w:ascii="Arial" w:hAnsi="Arial"/>
                <w:b/>
              </w:rPr>
            </w:pPr>
          </w:p>
        </w:tc>
      </w:tr>
      <w:tr w:rsidR="00AC5B3D" w:rsidRPr="00374B2A" w14:paraId="49C4868A" w14:textId="77777777" w:rsidTr="00022964">
        <w:trPr>
          <w:trHeight w:val="321"/>
        </w:trPr>
        <w:tc>
          <w:tcPr>
            <w:tcW w:w="259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484971" w14:textId="77777777" w:rsidR="00AC5B3D" w:rsidRPr="00374B2A" w:rsidRDefault="00AC5B3D" w:rsidP="00022964">
            <w:pPr>
              <w:rPr>
                <w:rFonts w:ascii="Arial" w:hAnsi="Arial"/>
              </w:rPr>
            </w:pPr>
            <w:r w:rsidRPr="00374B2A">
              <w:rPr>
                <w:rFonts w:ascii="Arial" w:hAnsi="Arial"/>
              </w:rPr>
              <w:t>Risk Rating</w:t>
            </w:r>
            <w:r w:rsidRPr="00374B2A">
              <w:rPr>
                <w:rFonts w:ascii="Arial" w:hAnsi="Arial"/>
                <w:szCs w:val="24"/>
              </w:rPr>
              <w:t xml:space="preserve"> </w:t>
            </w:r>
          </w:p>
        </w:tc>
        <w:tc>
          <w:tcPr>
            <w:tcW w:w="913" w:type="dxa"/>
            <w:tcBorders>
              <w:top w:val="single" w:sz="4" w:space="0" w:color="auto"/>
              <w:left w:val="single" w:sz="4" w:space="0" w:color="auto"/>
              <w:bottom w:val="single" w:sz="4" w:space="0" w:color="auto"/>
              <w:right w:val="single" w:sz="4" w:space="0" w:color="auto"/>
            </w:tcBorders>
          </w:tcPr>
          <w:p w14:paraId="303647D2" w14:textId="153DDFA4" w:rsidR="00AC5B3D" w:rsidRPr="00374B2A" w:rsidRDefault="00207D43" w:rsidP="00022964">
            <w:pPr>
              <w:rPr>
                <w:rFonts w:ascii="Arial" w:hAnsi="Arial"/>
                <w:b/>
              </w:rPr>
            </w:pPr>
            <w:r>
              <w:rPr>
                <w:rFonts w:ascii="Arial" w:hAnsi="Arial"/>
                <w:b/>
              </w:rPr>
              <w:t>Moderate</w:t>
            </w:r>
          </w:p>
        </w:tc>
        <w:tc>
          <w:tcPr>
            <w:tcW w:w="914" w:type="dxa"/>
            <w:tcBorders>
              <w:top w:val="single" w:sz="4" w:space="0" w:color="auto"/>
              <w:left w:val="single" w:sz="4" w:space="0" w:color="auto"/>
              <w:bottom w:val="single" w:sz="4" w:space="0" w:color="auto"/>
              <w:right w:val="single" w:sz="4" w:space="0" w:color="auto"/>
            </w:tcBorders>
          </w:tcPr>
          <w:p w14:paraId="2D6E1FFA"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74CD87BE" w14:textId="77777777" w:rsidR="00AC5B3D" w:rsidRPr="00374B2A" w:rsidRDefault="00AC5B3D" w:rsidP="00022964">
            <w:pPr>
              <w:rPr>
                <w:rFonts w:ascii="Arial" w:hAnsi="Arial"/>
                <w:b/>
              </w:rPr>
            </w:pPr>
          </w:p>
        </w:tc>
        <w:tc>
          <w:tcPr>
            <w:tcW w:w="913" w:type="dxa"/>
            <w:tcBorders>
              <w:top w:val="single" w:sz="4" w:space="0" w:color="auto"/>
              <w:left w:val="single" w:sz="4" w:space="0" w:color="auto"/>
              <w:bottom w:val="single" w:sz="4" w:space="0" w:color="auto"/>
              <w:right w:val="single" w:sz="4" w:space="0" w:color="auto"/>
            </w:tcBorders>
          </w:tcPr>
          <w:p w14:paraId="0BDD80A2"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4B9C7D06"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4D753588" w14:textId="77777777" w:rsidR="00AC5B3D" w:rsidRPr="00374B2A" w:rsidRDefault="00AC5B3D" w:rsidP="00022964">
            <w:pPr>
              <w:rPr>
                <w:rFonts w:ascii="Arial" w:hAnsi="Arial"/>
                <w:b/>
              </w:rPr>
            </w:pPr>
          </w:p>
        </w:tc>
        <w:tc>
          <w:tcPr>
            <w:tcW w:w="914" w:type="dxa"/>
            <w:tcBorders>
              <w:top w:val="single" w:sz="4" w:space="0" w:color="auto"/>
              <w:left w:val="single" w:sz="4" w:space="0" w:color="auto"/>
              <w:bottom w:val="single" w:sz="4" w:space="0" w:color="auto"/>
              <w:right w:val="single" w:sz="4" w:space="0" w:color="auto"/>
            </w:tcBorders>
          </w:tcPr>
          <w:p w14:paraId="249380E5" w14:textId="77777777" w:rsidR="00AC5B3D" w:rsidRPr="00374B2A" w:rsidRDefault="00AC5B3D" w:rsidP="00022964">
            <w:pPr>
              <w:rPr>
                <w:rFonts w:ascii="Arial" w:hAnsi="Arial"/>
                <w:b/>
              </w:rPr>
            </w:pPr>
          </w:p>
        </w:tc>
      </w:tr>
    </w:tbl>
    <w:p w14:paraId="136A4290" w14:textId="77777777" w:rsidR="00AC5B3D" w:rsidRPr="00374B2A" w:rsidRDefault="00AC5B3D" w:rsidP="00AC5B3D">
      <w:pPr>
        <w:spacing w:after="0" w:line="240" w:lineRule="auto"/>
        <w:rPr>
          <w:rFonts w:ascii="Arial" w:eastAsia="Times New Roman" w:hAnsi="Arial" w:cs="Times New Roman"/>
          <w:b/>
        </w:rPr>
      </w:pPr>
    </w:p>
    <w:tbl>
      <w:tblPr>
        <w:tblStyle w:val="TableGrid"/>
        <w:tblW w:w="0" w:type="auto"/>
        <w:tblInd w:w="-5" w:type="dxa"/>
        <w:tblLook w:val="04A0" w:firstRow="1" w:lastRow="0" w:firstColumn="1" w:lastColumn="0" w:noHBand="0" w:noVBand="1"/>
      </w:tblPr>
      <w:tblGrid>
        <w:gridCol w:w="3969"/>
        <w:gridCol w:w="5052"/>
      </w:tblGrid>
      <w:tr w:rsidR="00AC5B3D" w:rsidRPr="00374B2A" w14:paraId="03BA739B" w14:textId="77777777" w:rsidTr="00022964">
        <w:trPr>
          <w:trHeight w:val="355"/>
        </w:trPr>
        <w:tc>
          <w:tcPr>
            <w:tcW w:w="3969" w:type="dxa"/>
            <w:shd w:val="clear" w:color="auto" w:fill="B4C6E7" w:themeFill="accent1" w:themeFillTint="66"/>
            <w:hideMark/>
          </w:tcPr>
          <w:p w14:paraId="6E884D66" w14:textId="77777777" w:rsidR="00AC5B3D" w:rsidRPr="00374B2A" w:rsidRDefault="00AC5B3D" w:rsidP="00022964">
            <w:pPr>
              <w:rPr>
                <w:rFonts w:ascii="Arial" w:hAnsi="Arial" w:cs="Arial"/>
              </w:rPr>
            </w:pPr>
            <w:r w:rsidRPr="00374B2A">
              <w:rPr>
                <w:rFonts w:ascii="Arial" w:hAnsi="Arial" w:cs="Arial"/>
                <w:bCs/>
              </w:rPr>
              <w:t xml:space="preserve">DevTracker Link to Business Case: </w:t>
            </w:r>
          </w:p>
        </w:tc>
        <w:tc>
          <w:tcPr>
            <w:tcW w:w="5052" w:type="dxa"/>
          </w:tcPr>
          <w:p w14:paraId="7E0E4001" w14:textId="4D05C4DC" w:rsidR="00AC5B3D" w:rsidRPr="002C79B0" w:rsidRDefault="00000000" w:rsidP="00022964">
            <w:pPr>
              <w:rPr>
                <w:rFonts w:ascii="Arial" w:hAnsi="Arial" w:cs="Arial"/>
                <w:b/>
              </w:rPr>
            </w:pPr>
            <w:hyperlink r:id="rId11" w:history="1">
              <w:r w:rsidR="002C79B0" w:rsidRPr="002C79B0">
                <w:rPr>
                  <w:rStyle w:val="Hyperlink"/>
                  <w:rFonts w:ascii="Arial" w:eastAsiaTheme="majorEastAsia" w:hAnsi="Arial" w:cs="Arial"/>
                </w:rPr>
                <w:t>DevTracker Programme GB-GOV-7-BPFOCPP (fcdo.gov.uk)</w:t>
              </w:r>
            </w:hyperlink>
          </w:p>
        </w:tc>
      </w:tr>
      <w:tr w:rsidR="00AC5B3D" w:rsidRPr="00374B2A" w14:paraId="0A9A719C" w14:textId="77777777" w:rsidTr="00022964">
        <w:trPr>
          <w:trHeight w:val="403"/>
        </w:trPr>
        <w:tc>
          <w:tcPr>
            <w:tcW w:w="3969" w:type="dxa"/>
            <w:shd w:val="clear" w:color="auto" w:fill="B4C6E7" w:themeFill="accent1" w:themeFillTint="66"/>
            <w:hideMark/>
          </w:tcPr>
          <w:p w14:paraId="22F1C3EC" w14:textId="77777777" w:rsidR="00AC5B3D" w:rsidRPr="00374B2A" w:rsidRDefault="00AC5B3D" w:rsidP="00022964">
            <w:pPr>
              <w:rPr>
                <w:rFonts w:ascii="Arial" w:hAnsi="Arial" w:cs="Arial"/>
                <w:bCs/>
                <w:i/>
              </w:rPr>
            </w:pPr>
            <w:r w:rsidRPr="00374B2A">
              <w:rPr>
                <w:rFonts w:ascii="Arial" w:hAnsi="Arial" w:cs="Arial"/>
                <w:bCs/>
              </w:rPr>
              <w:t xml:space="preserve">DevTracker Link to results framework: </w:t>
            </w:r>
          </w:p>
        </w:tc>
        <w:tc>
          <w:tcPr>
            <w:tcW w:w="5052" w:type="dxa"/>
          </w:tcPr>
          <w:p w14:paraId="2FF5FA92" w14:textId="7A2A8902" w:rsidR="00AC5B3D" w:rsidRPr="00374B2A" w:rsidRDefault="00000000" w:rsidP="00022964">
            <w:pPr>
              <w:rPr>
                <w:rFonts w:ascii="Arial" w:hAnsi="Arial" w:cs="Arial"/>
                <w:b/>
              </w:rPr>
            </w:pPr>
            <w:hyperlink r:id="rId12" w:history="1">
              <w:proofErr w:type="spellStart"/>
              <w:r w:rsidR="00725726" w:rsidRPr="002C79B0">
                <w:rPr>
                  <w:rStyle w:val="Hyperlink"/>
                  <w:rFonts w:ascii="Arial" w:eastAsiaTheme="majorEastAsia" w:hAnsi="Arial" w:cs="Arial"/>
                </w:rPr>
                <w:t>DevTracker</w:t>
              </w:r>
              <w:proofErr w:type="spellEnd"/>
              <w:r w:rsidR="00725726" w:rsidRPr="002C79B0">
                <w:rPr>
                  <w:rStyle w:val="Hyperlink"/>
                  <w:rFonts w:ascii="Arial" w:eastAsiaTheme="majorEastAsia" w:hAnsi="Arial" w:cs="Arial"/>
                </w:rPr>
                <w:t xml:space="preserve"> Programme GB-GOV-7-BPFOCPP (fcdo.gov.uk)</w:t>
              </w:r>
            </w:hyperlink>
          </w:p>
        </w:tc>
      </w:tr>
    </w:tbl>
    <w:p w14:paraId="6205147C" w14:textId="77777777" w:rsidR="00AC5B3D" w:rsidRDefault="00AC5B3D" w:rsidP="00AC5B3D">
      <w:pPr>
        <w:spacing w:before="240"/>
        <w:rPr>
          <w:b/>
          <w:bCs/>
        </w:rPr>
      </w:pPr>
    </w:p>
    <w:p w14:paraId="77EFB654" w14:textId="3BF231B7" w:rsidR="00AC5B3D" w:rsidRPr="00897B94" w:rsidRDefault="000B7DF5" w:rsidP="00AC5B3D">
      <w:pPr>
        <w:rPr>
          <w:rFonts w:ascii="Arial" w:hAnsi="Arial" w:cs="Arial"/>
          <w:b/>
          <w:bCs/>
        </w:rPr>
      </w:pPr>
      <w:r w:rsidRPr="00897B94">
        <w:rPr>
          <w:rFonts w:ascii="Arial" w:hAnsi="Arial" w:cs="Arial"/>
          <w:b/>
          <w:bCs/>
          <w:i/>
          <w:iCs/>
          <w:color w:val="FF0000"/>
          <w:sz w:val="28"/>
          <w:szCs w:val="28"/>
        </w:rPr>
        <w:t xml:space="preserve">"This Annual Review was written in </w:t>
      </w:r>
      <w:r w:rsidRPr="00897B94">
        <w:rPr>
          <w:rFonts w:ascii="Arial" w:hAnsi="Arial" w:cs="Arial"/>
          <w:b/>
          <w:bCs/>
          <w:i/>
          <w:iCs/>
          <w:color w:val="FF0000"/>
          <w:sz w:val="28"/>
          <w:szCs w:val="28"/>
        </w:rPr>
        <w:t>July 2022</w:t>
      </w:r>
      <w:r w:rsidRPr="00897B94">
        <w:rPr>
          <w:rFonts w:ascii="Arial" w:hAnsi="Arial" w:cs="Arial"/>
          <w:b/>
          <w:bCs/>
          <w:i/>
          <w:iCs/>
          <w:color w:val="FF0000"/>
          <w:sz w:val="28"/>
          <w:szCs w:val="28"/>
        </w:rPr>
        <w:t xml:space="preserve"> to reflect the delivery priorities and required compliance standards at the time. At publication [</w:t>
      </w:r>
      <w:r w:rsidR="00F74C6D" w:rsidRPr="00897B94">
        <w:rPr>
          <w:rFonts w:ascii="Arial" w:hAnsi="Arial" w:cs="Arial"/>
          <w:b/>
          <w:bCs/>
          <w:i/>
          <w:iCs/>
          <w:color w:val="FF0000"/>
          <w:sz w:val="28"/>
          <w:szCs w:val="28"/>
        </w:rPr>
        <w:t>December 1</w:t>
      </w:r>
      <w:r w:rsidR="00F74C6D" w:rsidRPr="00897B94">
        <w:rPr>
          <w:rFonts w:ascii="Arial" w:hAnsi="Arial" w:cs="Arial"/>
          <w:b/>
          <w:bCs/>
          <w:i/>
          <w:iCs/>
          <w:color w:val="FF0000"/>
          <w:sz w:val="28"/>
          <w:szCs w:val="28"/>
          <w:vertAlign w:val="superscript"/>
        </w:rPr>
        <w:t>st</w:t>
      </w:r>
      <w:r w:rsidR="00F74C6D" w:rsidRPr="00897B94">
        <w:rPr>
          <w:rFonts w:ascii="Arial" w:hAnsi="Arial" w:cs="Arial"/>
          <w:b/>
          <w:bCs/>
          <w:i/>
          <w:iCs/>
          <w:color w:val="FF0000"/>
          <w:sz w:val="28"/>
          <w:szCs w:val="28"/>
        </w:rPr>
        <w:t>, 2022</w:t>
      </w:r>
      <w:r w:rsidRPr="00897B94">
        <w:rPr>
          <w:rFonts w:ascii="Arial" w:hAnsi="Arial" w:cs="Arial"/>
          <w:b/>
          <w:bCs/>
          <w:i/>
          <w:iCs/>
          <w:color w:val="FF0000"/>
          <w:sz w:val="28"/>
          <w:szCs w:val="28"/>
        </w:rPr>
        <w:t>], some of these priorities and standards have changed. The Annual Review has been published in the form it was approved at the time and should be considered in context."</w:t>
      </w:r>
      <w:r w:rsidR="00AC5B3D" w:rsidRPr="00897B94">
        <w:rPr>
          <w:rFonts w:ascii="Arial" w:hAnsi="Arial" w:cs="Arial"/>
          <w:b/>
          <w:bCs/>
        </w:rPr>
        <w:br w:type="page"/>
      </w:r>
    </w:p>
    <w:sdt>
      <w:sdtPr>
        <w:rPr>
          <w:rFonts w:asciiTheme="minorHAnsi" w:eastAsiaTheme="minorHAnsi" w:hAnsiTheme="minorHAnsi" w:cstheme="minorBidi"/>
          <w:color w:val="auto"/>
          <w:sz w:val="22"/>
          <w:szCs w:val="22"/>
          <w:lang w:val="en-GB" w:eastAsia="en-GB"/>
        </w:rPr>
        <w:id w:val="-391886037"/>
        <w:docPartObj>
          <w:docPartGallery w:val="Table of Contents"/>
          <w:docPartUnique/>
        </w:docPartObj>
      </w:sdtPr>
      <w:sdtEndPr>
        <w:rPr>
          <w:rFonts w:eastAsiaTheme="minorEastAsia"/>
          <w:b/>
          <w:bCs/>
          <w:noProof/>
        </w:rPr>
      </w:sdtEndPr>
      <w:sdtContent>
        <w:p w14:paraId="4232BA30" w14:textId="77777777" w:rsidR="00AC5B3D" w:rsidRDefault="00AC5B3D" w:rsidP="00AC5B3D">
          <w:pPr>
            <w:pStyle w:val="TOCHeading"/>
          </w:pPr>
          <w:r>
            <w:t>Contents</w:t>
          </w:r>
        </w:p>
        <w:p w14:paraId="2F1D9F13" w14:textId="77777777" w:rsidR="00AC5B3D" w:rsidRDefault="00AC5B3D" w:rsidP="00AC5B3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7669025" w:history="1">
            <w:r w:rsidRPr="00D64AC5">
              <w:rPr>
                <w:rStyle w:val="Hyperlink"/>
                <w:noProof/>
              </w:rPr>
              <w:t>Section A – programme summary/overview</w:t>
            </w:r>
            <w:r>
              <w:rPr>
                <w:noProof/>
                <w:webHidden/>
              </w:rPr>
              <w:tab/>
            </w:r>
            <w:r>
              <w:rPr>
                <w:noProof/>
                <w:webHidden/>
              </w:rPr>
              <w:fldChar w:fldCharType="begin"/>
            </w:r>
            <w:r>
              <w:rPr>
                <w:noProof/>
                <w:webHidden/>
              </w:rPr>
              <w:instrText xml:space="preserve"> PAGEREF _Toc117669025 \h </w:instrText>
            </w:r>
            <w:r>
              <w:rPr>
                <w:noProof/>
                <w:webHidden/>
              </w:rPr>
            </w:r>
            <w:r>
              <w:rPr>
                <w:noProof/>
                <w:webHidden/>
              </w:rPr>
              <w:fldChar w:fldCharType="separate"/>
            </w:r>
            <w:r>
              <w:rPr>
                <w:noProof/>
                <w:webHidden/>
              </w:rPr>
              <w:t>3</w:t>
            </w:r>
            <w:r>
              <w:rPr>
                <w:noProof/>
                <w:webHidden/>
              </w:rPr>
              <w:fldChar w:fldCharType="end"/>
            </w:r>
          </w:hyperlink>
        </w:p>
        <w:p w14:paraId="1E6C7B5D" w14:textId="77777777" w:rsidR="00AC5B3D" w:rsidRDefault="00000000" w:rsidP="00AC5B3D">
          <w:pPr>
            <w:pStyle w:val="TOC2"/>
            <w:tabs>
              <w:tab w:val="right" w:leader="dot" w:pos="9016"/>
            </w:tabs>
            <w:rPr>
              <w:rFonts w:eastAsiaTheme="minorEastAsia"/>
              <w:noProof/>
              <w:lang w:eastAsia="en-GB"/>
            </w:rPr>
          </w:pPr>
          <w:hyperlink w:anchor="_Toc117669026" w:history="1">
            <w:r w:rsidR="00AC5B3D" w:rsidRPr="00D64AC5">
              <w:rPr>
                <w:rStyle w:val="Hyperlink"/>
                <w:noProof/>
              </w:rPr>
              <w:t>A1. Programme Description</w:t>
            </w:r>
            <w:r w:rsidR="00AC5B3D">
              <w:rPr>
                <w:noProof/>
                <w:webHidden/>
              </w:rPr>
              <w:tab/>
            </w:r>
            <w:r w:rsidR="00AC5B3D">
              <w:rPr>
                <w:noProof/>
                <w:webHidden/>
              </w:rPr>
              <w:fldChar w:fldCharType="begin"/>
            </w:r>
            <w:r w:rsidR="00AC5B3D">
              <w:rPr>
                <w:noProof/>
                <w:webHidden/>
              </w:rPr>
              <w:instrText xml:space="preserve"> PAGEREF _Toc117669026 \h </w:instrText>
            </w:r>
            <w:r w:rsidR="00AC5B3D">
              <w:rPr>
                <w:noProof/>
                <w:webHidden/>
              </w:rPr>
            </w:r>
            <w:r w:rsidR="00AC5B3D">
              <w:rPr>
                <w:noProof/>
                <w:webHidden/>
              </w:rPr>
              <w:fldChar w:fldCharType="separate"/>
            </w:r>
            <w:r w:rsidR="00AC5B3D">
              <w:rPr>
                <w:noProof/>
                <w:webHidden/>
              </w:rPr>
              <w:t>3</w:t>
            </w:r>
            <w:r w:rsidR="00AC5B3D">
              <w:rPr>
                <w:noProof/>
                <w:webHidden/>
              </w:rPr>
              <w:fldChar w:fldCharType="end"/>
            </w:r>
          </w:hyperlink>
        </w:p>
        <w:p w14:paraId="42C561FF" w14:textId="77777777" w:rsidR="00AC5B3D" w:rsidRDefault="00000000" w:rsidP="00AC5B3D">
          <w:pPr>
            <w:pStyle w:val="TOC2"/>
            <w:tabs>
              <w:tab w:val="right" w:leader="dot" w:pos="9016"/>
            </w:tabs>
            <w:rPr>
              <w:rFonts w:eastAsiaTheme="minorEastAsia"/>
              <w:noProof/>
              <w:lang w:eastAsia="en-GB"/>
            </w:rPr>
          </w:pPr>
          <w:hyperlink w:anchor="_Toc117669027" w:history="1">
            <w:r w:rsidR="00AC5B3D" w:rsidRPr="00D64AC5">
              <w:rPr>
                <w:rStyle w:val="Hyperlink"/>
                <w:noProof/>
              </w:rPr>
              <w:t>A2. Supporting Narrative</w:t>
            </w:r>
            <w:r w:rsidR="00AC5B3D">
              <w:rPr>
                <w:noProof/>
                <w:webHidden/>
              </w:rPr>
              <w:tab/>
            </w:r>
            <w:r w:rsidR="00AC5B3D">
              <w:rPr>
                <w:noProof/>
                <w:webHidden/>
              </w:rPr>
              <w:fldChar w:fldCharType="begin"/>
            </w:r>
            <w:r w:rsidR="00AC5B3D">
              <w:rPr>
                <w:noProof/>
                <w:webHidden/>
              </w:rPr>
              <w:instrText xml:space="preserve"> PAGEREF _Toc117669027 \h </w:instrText>
            </w:r>
            <w:r w:rsidR="00AC5B3D">
              <w:rPr>
                <w:noProof/>
                <w:webHidden/>
              </w:rPr>
            </w:r>
            <w:r w:rsidR="00AC5B3D">
              <w:rPr>
                <w:noProof/>
                <w:webHidden/>
              </w:rPr>
              <w:fldChar w:fldCharType="separate"/>
            </w:r>
            <w:r w:rsidR="00AC5B3D">
              <w:rPr>
                <w:noProof/>
                <w:webHidden/>
              </w:rPr>
              <w:t>3</w:t>
            </w:r>
            <w:r w:rsidR="00AC5B3D">
              <w:rPr>
                <w:noProof/>
                <w:webHidden/>
              </w:rPr>
              <w:fldChar w:fldCharType="end"/>
            </w:r>
          </w:hyperlink>
        </w:p>
        <w:p w14:paraId="294D4ADB" w14:textId="77777777" w:rsidR="00AC5B3D" w:rsidRDefault="00000000" w:rsidP="00AC5B3D">
          <w:pPr>
            <w:pStyle w:val="TOC2"/>
            <w:tabs>
              <w:tab w:val="right" w:leader="dot" w:pos="9016"/>
            </w:tabs>
            <w:rPr>
              <w:rFonts w:eastAsiaTheme="minorEastAsia"/>
              <w:noProof/>
              <w:lang w:eastAsia="en-GB"/>
            </w:rPr>
          </w:pPr>
          <w:hyperlink w:anchor="_Toc117669028" w:history="1">
            <w:r w:rsidR="00AC5B3D" w:rsidRPr="00D64AC5">
              <w:rPr>
                <w:rStyle w:val="Hyperlink"/>
                <w:noProof/>
              </w:rPr>
              <w:t>A3. Lessons learnt and recommendations</w:t>
            </w:r>
            <w:r w:rsidR="00AC5B3D">
              <w:rPr>
                <w:noProof/>
                <w:webHidden/>
              </w:rPr>
              <w:tab/>
            </w:r>
            <w:r w:rsidR="00AC5B3D">
              <w:rPr>
                <w:noProof/>
                <w:webHidden/>
              </w:rPr>
              <w:fldChar w:fldCharType="begin"/>
            </w:r>
            <w:r w:rsidR="00AC5B3D">
              <w:rPr>
                <w:noProof/>
                <w:webHidden/>
              </w:rPr>
              <w:instrText xml:space="preserve"> PAGEREF _Toc117669028 \h </w:instrText>
            </w:r>
            <w:r w:rsidR="00AC5B3D">
              <w:rPr>
                <w:noProof/>
                <w:webHidden/>
              </w:rPr>
            </w:r>
            <w:r w:rsidR="00AC5B3D">
              <w:rPr>
                <w:noProof/>
                <w:webHidden/>
              </w:rPr>
              <w:fldChar w:fldCharType="separate"/>
            </w:r>
            <w:r w:rsidR="00AC5B3D">
              <w:rPr>
                <w:noProof/>
                <w:webHidden/>
              </w:rPr>
              <w:t>4</w:t>
            </w:r>
            <w:r w:rsidR="00AC5B3D">
              <w:rPr>
                <w:noProof/>
                <w:webHidden/>
              </w:rPr>
              <w:fldChar w:fldCharType="end"/>
            </w:r>
          </w:hyperlink>
        </w:p>
        <w:p w14:paraId="153D7786" w14:textId="77777777" w:rsidR="00AC5B3D" w:rsidRDefault="00000000" w:rsidP="00AC5B3D">
          <w:pPr>
            <w:pStyle w:val="TOC3"/>
            <w:tabs>
              <w:tab w:val="right" w:leader="dot" w:pos="9016"/>
            </w:tabs>
            <w:rPr>
              <w:rFonts w:eastAsiaTheme="minorEastAsia"/>
              <w:noProof/>
              <w:lang w:eastAsia="en-GB"/>
            </w:rPr>
          </w:pPr>
          <w:hyperlink w:anchor="_Toc117669029" w:history="1">
            <w:r w:rsidR="00AC5B3D" w:rsidRPr="00D64AC5">
              <w:rPr>
                <w:rStyle w:val="Hyperlink"/>
                <w:noProof/>
              </w:rPr>
              <w:t>Lessons learnt</w:t>
            </w:r>
            <w:r w:rsidR="00AC5B3D">
              <w:rPr>
                <w:noProof/>
                <w:webHidden/>
              </w:rPr>
              <w:tab/>
            </w:r>
            <w:r w:rsidR="00AC5B3D">
              <w:rPr>
                <w:noProof/>
                <w:webHidden/>
              </w:rPr>
              <w:fldChar w:fldCharType="begin"/>
            </w:r>
            <w:r w:rsidR="00AC5B3D">
              <w:rPr>
                <w:noProof/>
                <w:webHidden/>
              </w:rPr>
              <w:instrText xml:space="preserve"> PAGEREF _Toc117669029 \h </w:instrText>
            </w:r>
            <w:r w:rsidR="00AC5B3D">
              <w:rPr>
                <w:noProof/>
                <w:webHidden/>
              </w:rPr>
            </w:r>
            <w:r w:rsidR="00AC5B3D">
              <w:rPr>
                <w:noProof/>
                <w:webHidden/>
              </w:rPr>
              <w:fldChar w:fldCharType="separate"/>
            </w:r>
            <w:r w:rsidR="00AC5B3D">
              <w:rPr>
                <w:noProof/>
                <w:webHidden/>
              </w:rPr>
              <w:t>4</w:t>
            </w:r>
            <w:r w:rsidR="00AC5B3D">
              <w:rPr>
                <w:noProof/>
                <w:webHidden/>
              </w:rPr>
              <w:fldChar w:fldCharType="end"/>
            </w:r>
          </w:hyperlink>
        </w:p>
        <w:p w14:paraId="721EF97D" w14:textId="77777777" w:rsidR="00AC5B3D" w:rsidRDefault="00000000" w:rsidP="00AC5B3D">
          <w:pPr>
            <w:pStyle w:val="TOC3"/>
            <w:tabs>
              <w:tab w:val="right" w:leader="dot" w:pos="9016"/>
            </w:tabs>
            <w:rPr>
              <w:rFonts w:eastAsiaTheme="minorEastAsia"/>
              <w:noProof/>
              <w:lang w:eastAsia="en-GB"/>
            </w:rPr>
          </w:pPr>
          <w:hyperlink w:anchor="_Toc117669030" w:history="1">
            <w:r w:rsidR="00AC5B3D" w:rsidRPr="00D64AC5">
              <w:rPr>
                <w:rStyle w:val="Hyperlink"/>
                <w:noProof/>
              </w:rPr>
              <w:t>Recommendations</w:t>
            </w:r>
            <w:r w:rsidR="00AC5B3D">
              <w:rPr>
                <w:noProof/>
                <w:webHidden/>
              </w:rPr>
              <w:tab/>
            </w:r>
            <w:r w:rsidR="00AC5B3D">
              <w:rPr>
                <w:noProof/>
                <w:webHidden/>
              </w:rPr>
              <w:fldChar w:fldCharType="begin"/>
            </w:r>
            <w:r w:rsidR="00AC5B3D">
              <w:rPr>
                <w:noProof/>
                <w:webHidden/>
              </w:rPr>
              <w:instrText xml:space="preserve"> PAGEREF _Toc117669030 \h </w:instrText>
            </w:r>
            <w:r w:rsidR="00AC5B3D">
              <w:rPr>
                <w:noProof/>
                <w:webHidden/>
              </w:rPr>
            </w:r>
            <w:r w:rsidR="00AC5B3D">
              <w:rPr>
                <w:noProof/>
                <w:webHidden/>
              </w:rPr>
              <w:fldChar w:fldCharType="separate"/>
            </w:r>
            <w:r w:rsidR="00AC5B3D">
              <w:rPr>
                <w:noProof/>
                <w:webHidden/>
              </w:rPr>
              <w:t>6</w:t>
            </w:r>
            <w:r w:rsidR="00AC5B3D">
              <w:rPr>
                <w:noProof/>
                <w:webHidden/>
              </w:rPr>
              <w:fldChar w:fldCharType="end"/>
            </w:r>
          </w:hyperlink>
        </w:p>
        <w:p w14:paraId="295617E3" w14:textId="77777777" w:rsidR="00AC5B3D" w:rsidRDefault="00000000" w:rsidP="00AC5B3D">
          <w:pPr>
            <w:pStyle w:val="TOC1"/>
            <w:tabs>
              <w:tab w:val="right" w:leader="dot" w:pos="9016"/>
            </w:tabs>
            <w:rPr>
              <w:rFonts w:eastAsiaTheme="minorEastAsia"/>
              <w:noProof/>
              <w:lang w:eastAsia="en-GB"/>
            </w:rPr>
          </w:pPr>
          <w:hyperlink w:anchor="_Toc117669031" w:history="1">
            <w:r w:rsidR="00AC5B3D" w:rsidRPr="00D64AC5">
              <w:rPr>
                <w:rStyle w:val="Hyperlink"/>
                <w:noProof/>
              </w:rPr>
              <w:t>Section B – progress review</w:t>
            </w:r>
            <w:r w:rsidR="00AC5B3D">
              <w:rPr>
                <w:noProof/>
                <w:webHidden/>
              </w:rPr>
              <w:tab/>
            </w:r>
            <w:r w:rsidR="00AC5B3D">
              <w:rPr>
                <w:noProof/>
                <w:webHidden/>
              </w:rPr>
              <w:fldChar w:fldCharType="begin"/>
            </w:r>
            <w:r w:rsidR="00AC5B3D">
              <w:rPr>
                <w:noProof/>
                <w:webHidden/>
              </w:rPr>
              <w:instrText xml:space="preserve"> PAGEREF _Toc117669031 \h </w:instrText>
            </w:r>
            <w:r w:rsidR="00AC5B3D">
              <w:rPr>
                <w:noProof/>
                <w:webHidden/>
              </w:rPr>
            </w:r>
            <w:r w:rsidR="00AC5B3D">
              <w:rPr>
                <w:noProof/>
                <w:webHidden/>
              </w:rPr>
              <w:fldChar w:fldCharType="separate"/>
            </w:r>
            <w:r w:rsidR="00AC5B3D">
              <w:rPr>
                <w:noProof/>
                <w:webHidden/>
              </w:rPr>
              <w:t>9</w:t>
            </w:r>
            <w:r w:rsidR="00AC5B3D">
              <w:rPr>
                <w:noProof/>
                <w:webHidden/>
              </w:rPr>
              <w:fldChar w:fldCharType="end"/>
            </w:r>
          </w:hyperlink>
        </w:p>
        <w:p w14:paraId="66DF3375" w14:textId="77777777" w:rsidR="00AC5B3D" w:rsidRDefault="00000000" w:rsidP="00AC5B3D">
          <w:pPr>
            <w:pStyle w:val="TOC2"/>
            <w:tabs>
              <w:tab w:val="right" w:leader="dot" w:pos="9016"/>
            </w:tabs>
            <w:rPr>
              <w:rFonts w:eastAsiaTheme="minorEastAsia"/>
              <w:noProof/>
              <w:lang w:eastAsia="en-GB"/>
            </w:rPr>
          </w:pPr>
          <w:hyperlink w:anchor="_Toc117669032" w:history="1">
            <w:r w:rsidR="00AC5B3D" w:rsidRPr="00D64AC5">
              <w:rPr>
                <w:rStyle w:val="Hyperlink"/>
                <w:noProof/>
              </w:rPr>
              <w:t>B1.1 Summary</w:t>
            </w:r>
            <w:r w:rsidR="00AC5B3D">
              <w:rPr>
                <w:noProof/>
                <w:webHidden/>
              </w:rPr>
              <w:tab/>
            </w:r>
            <w:r w:rsidR="00AC5B3D">
              <w:rPr>
                <w:noProof/>
                <w:webHidden/>
              </w:rPr>
              <w:fldChar w:fldCharType="begin"/>
            </w:r>
            <w:r w:rsidR="00AC5B3D">
              <w:rPr>
                <w:noProof/>
                <w:webHidden/>
              </w:rPr>
              <w:instrText xml:space="preserve"> PAGEREF _Toc117669032 \h </w:instrText>
            </w:r>
            <w:r w:rsidR="00AC5B3D">
              <w:rPr>
                <w:noProof/>
                <w:webHidden/>
              </w:rPr>
            </w:r>
            <w:r w:rsidR="00AC5B3D">
              <w:rPr>
                <w:noProof/>
                <w:webHidden/>
              </w:rPr>
              <w:fldChar w:fldCharType="separate"/>
            </w:r>
            <w:r w:rsidR="00AC5B3D">
              <w:rPr>
                <w:noProof/>
                <w:webHidden/>
              </w:rPr>
              <w:t>9</w:t>
            </w:r>
            <w:r w:rsidR="00AC5B3D">
              <w:rPr>
                <w:noProof/>
                <w:webHidden/>
              </w:rPr>
              <w:fldChar w:fldCharType="end"/>
            </w:r>
          </w:hyperlink>
        </w:p>
        <w:p w14:paraId="1BC60119" w14:textId="77777777" w:rsidR="00AC5B3D" w:rsidRDefault="00000000" w:rsidP="00AC5B3D">
          <w:pPr>
            <w:pStyle w:val="TOC2"/>
            <w:tabs>
              <w:tab w:val="right" w:leader="dot" w:pos="9016"/>
            </w:tabs>
            <w:rPr>
              <w:rFonts w:eastAsiaTheme="minorEastAsia"/>
              <w:noProof/>
              <w:lang w:eastAsia="en-GB"/>
            </w:rPr>
          </w:pPr>
          <w:hyperlink w:anchor="_Toc117669033" w:history="1">
            <w:r w:rsidR="00AC5B3D" w:rsidRPr="00D64AC5">
              <w:rPr>
                <w:rStyle w:val="Hyperlink"/>
                <w:noProof/>
              </w:rPr>
              <w:t>B1.2 Theory of Change</w:t>
            </w:r>
            <w:r w:rsidR="00AC5B3D">
              <w:rPr>
                <w:noProof/>
                <w:webHidden/>
              </w:rPr>
              <w:tab/>
            </w:r>
            <w:r w:rsidR="00AC5B3D">
              <w:rPr>
                <w:noProof/>
                <w:webHidden/>
              </w:rPr>
              <w:fldChar w:fldCharType="begin"/>
            </w:r>
            <w:r w:rsidR="00AC5B3D">
              <w:rPr>
                <w:noProof/>
                <w:webHidden/>
              </w:rPr>
              <w:instrText xml:space="preserve"> PAGEREF _Toc117669033 \h </w:instrText>
            </w:r>
            <w:r w:rsidR="00AC5B3D">
              <w:rPr>
                <w:noProof/>
                <w:webHidden/>
              </w:rPr>
            </w:r>
            <w:r w:rsidR="00AC5B3D">
              <w:rPr>
                <w:noProof/>
                <w:webHidden/>
              </w:rPr>
              <w:fldChar w:fldCharType="separate"/>
            </w:r>
            <w:r w:rsidR="00AC5B3D">
              <w:rPr>
                <w:noProof/>
                <w:webHidden/>
              </w:rPr>
              <w:t>9</w:t>
            </w:r>
            <w:r w:rsidR="00AC5B3D">
              <w:rPr>
                <w:noProof/>
                <w:webHidden/>
              </w:rPr>
              <w:fldChar w:fldCharType="end"/>
            </w:r>
          </w:hyperlink>
        </w:p>
        <w:p w14:paraId="1624DDA6" w14:textId="77777777" w:rsidR="00AC5B3D" w:rsidRDefault="00000000" w:rsidP="00AC5B3D">
          <w:pPr>
            <w:pStyle w:val="TOC2"/>
            <w:tabs>
              <w:tab w:val="right" w:leader="dot" w:pos="9016"/>
            </w:tabs>
            <w:rPr>
              <w:rFonts w:eastAsiaTheme="minorEastAsia"/>
              <w:noProof/>
              <w:lang w:eastAsia="en-GB"/>
            </w:rPr>
          </w:pPr>
          <w:hyperlink w:anchor="_Toc117669034" w:history="1">
            <w:r w:rsidR="00AC5B3D" w:rsidRPr="00D64AC5">
              <w:rPr>
                <w:rStyle w:val="Hyperlink"/>
                <w:noProof/>
              </w:rPr>
              <w:t>B2. Assessment of whether programme is on track</w:t>
            </w:r>
            <w:r w:rsidR="00AC5B3D">
              <w:rPr>
                <w:noProof/>
                <w:webHidden/>
              </w:rPr>
              <w:tab/>
            </w:r>
            <w:r w:rsidR="00AC5B3D">
              <w:rPr>
                <w:noProof/>
                <w:webHidden/>
              </w:rPr>
              <w:fldChar w:fldCharType="begin"/>
            </w:r>
            <w:r w:rsidR="00AC5B3D">
              <w:rPr>
                <w:noProof/>
                <w:webHidden/>
              </w:rPr>
              <w:instrText xml:space="preserve"> PAGEREF _Toc117669034 \h </w:instrText>
            </w:r>
            <w:r w:rsidR="00AC5B3D">
              <w:rPr>
                <w:noProof/>
                <w:webHidden/>
              </w:rPr>
            </w:r>
            <w:r w:rsidR="00AC5B3D">
              <w:rPr>
                <w:noProof/>
                <w:webHidden/>
              </w:rPr>
              <w:fldChar w:fldCharType="separate"/>
            </w:r>
            <w:r w:rsidR="00AC5B3D">
              <w:rPr>
                <w:noProof/>
                <w:webHidden/>
              </w:rPr>
              <w:t>10</w:t>
            </w:r>
            <w:r w:rsidR="00AC5B3D">
              <w:rPr>
                <w:noProof/>
                <w:webHidden/>
              </w:rPr>
              <w:fldChar w:fldCharType="end"/>
            </w:r>
          </w:hyperlink>
        </w:p>
        <w:p w14:paraId="1F57DA4F" w14:textId="77777777" w:rsidR="00AC5B3D" w:rsidRDefault="00000000" w:rsidP="00AC5B3D">
          <w:pPr>
            <w:pStyle w:val="TOC2"/>
            <w:tabs>
              <w:tab w:val="right" w:leader="dot" w:pos="9016"/>
            </w:tabs>
            <w:rPr>
              <w:rFonts w:eastAsiaTheme="minorEastAsia"/>
              <w:noProof/>
              <w:lang w:eastAsia="en-GB"/>
            </w:rPr>
          </w:pPr>
          <w:hyperlink w:anchor="_Toc117669035" w:history="1">
            <w:r w:rsidR="00AC5B3D" w:rsidRPr="00D64AC5">
              <w:rPr>
                <w:rStyle w:val="Hyperlink"/>
                <w:noProof/>
              </w:rPr>
              <w:t>B3. Recommendation on whether programme should continue</w:t>
            </w:r>
            <w:r w:rsidR="00AC5B3D">
              <w:rPr>
                <w:noProof/>
                <w:webHidden/>
              </w:rPr>
              <w:tab/>
            </w:r>
            <w:r w:rsidR="00AC5B3D">
              <w:rPr>
                <w:noProof/>
                <w:webHidden/>
              </w:rPr>
              <w:fldChar w:fldCharType="begin"/>
            </w:r>
            <w:r w:rsidR="00AC5B3D">
              <w:rPr>
                <w:noProof/>
                <w:webHidden/>
              </w:rPr>
              <w:instrText xml:space="preserve"> PAGEREF _Toc117669035 \h </w:instrText>
            </w:r>
            <w:r w:rsidR="00AC5B3D">
              <w:rPr>
                <w:noProof/>
                <w:webHidden/>
              </w:rPr>
            </w:r>
            <w:r w:rsidR="00AC5B3D">
              <w:rPr>
                <w:noProof/>
                <w:webHidden/>
              </w:rPr>
              <w:fldChar w:fldCharType="separate"/>
            </w:r>
            <w:r w:rsidR="00AC5B3D">
              <w:rPr>
                <w:noProof/>
                <w:webHidden/>
              </w:rPr>
              <w:t>11</w:t>
            </w:r>
            <w:r w:rsidR="00AC5B3D">
              <w:rPr>
                <w:noProof/>
                <w:webHidden/>
              </w:rPr>
              <w:fldChar w:fldCharType="end"/>
            </w:r>
          </w:hyperlink>
        </w:p>
        <w:p w14:paraId="085EDA99" w14:textId="77777777" w:rsidR="00AC5B3D" w:rsidRDefault="00000000" w:rsidP="00AC5B3D">
          <w:pPr>
            <w:pStyle w:val="TOC1"/>
            <w:tabs>
              <w:tab w:val="right" w:leader="dot" w:pos="9016"/>
            </w:tabs>
            <w:rPr>
              <w:rFonts w:eastAsiaTheme="minorEastAsia"/>
              <w:noProof/>
              <w:lang w:eastAsia="en-GB"/>
            </w:rPr>
          </w:pPr>
          <w:hyperlink w:anchor="_Toc117669036" w:history="1">
            <w:r w:rsidR="00AC5B3D" w:rsidRPr="00D64AC5">
              <w:rPr>
                <w:rStyle w:val="Hyperlink"/>
                <w:noProof/>
              </w:rPr>
              <w:t>Section C – output assessment</w:t>
            </w:r>
            <w:r w:rsidR="00AC5B3D">
              <w:rPr>
                <w:noProof/>
                <w:webHidden/>
              </w:rPr>
              <w:tab/>
            </w:r>
            <w:r w:rsidR="00AC5B3D">
              <w:rPr>
                <w:noProof/>
                <w:webHidden/>
              </w:rPr>
              <w:fldChar w:fldCharType="begin"/>
            </w:r>
            <w:r w:rsidR="00AC5B3D">
              <w:rPr>
                <w:noProof/>
                <w:webHidden/>
              </w:rPr>
              <w:instrText xml:space="preserve"> PAGEREF _Toc117669036 \h </w:instrText>
            </w:r>
            <w:r w:rsidR="00AC5B3D">
              <w:rPr>
                <w:noProof/>
                <w:webHidden/>
              </w:rPr>
            </w:r>
            <w:r w:rsidR="00AC5B3D">
              <w:rPr>
                <w:noProof/>
                <w:webHidden/>
              </w:rPr>
              <w:fldChar w:fldCharType="separate"/>
            </w:r>
            <w:r w:rsidR="00AC5B3D">
              <w:rPr>
                <w:noProof/>
                <w:webHidden/>
              </w:rPr>
              <w:t>12</w:t>
            </w:r>
            <w:r w:rsidR="00AC5B3D">
              <w:rPr>
                <w:noProof/>
                <w:webHidden/>
              </w:rPr>
              <w:fldChar w:fldCharType="end"/>
            </w:r>
          </w:hyperlink>
        </w:p>
        <w:p w14:paraId="39F4E784" w14:textId="77777777" w:rsidR="00AC5B3D" w:rsidRDefault="00000000" w:rsidP="00AC5B3D">
          <w:pPr>
            <w:pStyle w:val="TOC2"/>
            <w:tabs>
              <w:tab w:val="right" w:leader="dot" w:pos="9016"/>
            </w:tabs>
            <w:rPr>
              <w:rFonts w:eastAsiaTheme="minorEastAsia"/>
              <w:noProof/>
              <w:lang w:eastAsia="en-GB"/>
            </w:rPr>
          </w:pPr>
          <w:hyperlink w:anchor="_Toc117669037" w:history="1">
            <w:r w:rsidR="00AC5B3D" w:rsidRPr="00D64AC5">
              <w:rPr>
                <w:rStyle w:val="Hyperlink"/>
                <w:noProof/>
              </w:rPr>
              <w:t>Outputs</w:t>
            </w:r>
            <w:r w:rsidR="00AC5B3D">
              <w:rPr>
                <w:noProof/>
                <w:webHidden/>
              </w:rPr>
              <w:tab/>
            </w:r>
            <w:r w:rsidR="00AC5B3D">
              <w:rPr>
                <w:noProof/>
                <w:webHidden/>
              </w:rPr>
              <w:fldChar w:fldCharType="begin"/>
            </w:r>
            <w:r w:rsidR="00AC5B3D">
              <w:rPr>
                <w:noProof/>
                <w:webHidden/>
              </w:rPr>
              <w:instrText xml:space="preserve"> PAGEREF _Toc117669037 \h </w:instrText>
            </w:r>
            <w:r w:rsidR="00AC5B3D">
              <w:rPr>
                <w:noProof/>
                <w:webHidden/>
              </w:rPr>
            </w:r>
            <w:r w:rsidR="00AC5B3D">
              <w:rPr>
                <w:noProof/>
                <w:webHidden/>
              </w:rPr>
              <w:fldChar w:fldCharType="separate"/>
            </w:r>
            <w:r w:rsidR="00AC5B3D">
              <w:rPr>
                <w:noProof/>
                <w:webHidden/>
              </w:rPr>
              <w:t>12</w:t>
            </w:r>
            <w:r w:rsidR="00AC5B3D">
              <w:rPr>
                <w:noProof/>
                <w:webHidden/>
              </w:rPr>
              <w:fldChar w:fldCharType="end"/>
            </w:r>
          </w:hyperlink>
        </w:p>
        <w:p w14:paraId="036274D2" w14:textId="77777777" w:rsidR="00AC5B3D" w:rsidRDefault="00000000" w:rsidP="00AC5B3D">
          <w:pPr>
            <w:pStyle w:val="TOC1"/>
            <w:tabs>
              <w:tab w:val="right" w:leader="dot" w:pos="9016"/>
            </w:tabs>
            <w:rPr>
              <w:rFonts w:eastAsiaTheme="minorEastAsia"/>
              <w:noProof/>
              <w:lang w:eastAsia="en-GB"/>
            </w:rPr>
          </w:pPr>
          <w:hyperlink w:anchor="_Toc117669038" w:history="1">
            <w:r w:rsidR="00AC5B3D" w:rsidRPr="00D64AC5">
              <w:rPr>
                <w:rStyle w:val="Hyperlink"/>
                <w:noProof/>
              </w:rPr>
              <w:t>Section D – risks</w:t>
            </w:r>
            <w:r w:rsidR="00AC5B3D">
              <w:rPr>
                <w:noProof/>
                <w:webHidden/>
              </w:rPr>
              <w:tab/>
            </w:r>
            <w:r w:rsidR="00AC5B3D">
              <w:rPr>
                <w:noProof/>
                <w:webHidden/>
              </w:rPr>
              <w:fldChar w:fldCharType="begin"/>
            </w:r>
            <w:r w:rsidR="00AC5B3D">
              <w:rPr>
                <w:noProof/>
                <w:webHidden/>
              </w:rPr>
              <w:instrText xml:space="preserve"> PAGEREF _Toc117669038 \h </w:instrText>
            </w:r>
            <w:r w:rsidR="00AC5B3D">
              <w:rPr>
                <w:noProof/>
                <w:webHidden/>
              </w:rPr>
            </w:r>
            <w:r w:rsidR="00AC5B3D">
              <w:rPr>
                <w:noProof/>
                <w:webHidden/>
              </w:rPr>
              <w:fldChar w:fldCharType="separate"/>
            </w:r>
            <w:r w:rsidR="00AC5B3D">
              <w:rPr>
                <w:noProof/>
                <w:webHidden/>
              </w:rPr>
              <w:t>17</w:t>
            </w:r>
            <w:r w:rsidR="00AC5B3D">
              <w:rPr>
                <w:noProof/>
                <w:webHidden/>
              </w:rPr>
              <w:fldChar w:fldCharType="end"/>
            </w:r>
          </w:hyperlink>
        </w:p>
        <w:p w14:paraId="732842CD" w14:textId="77777777" w:rsidR="00AC5B3D" w:rsidRDefault="00000000" w:rsidP="00AC5B3D">
          <w:pPr>
            <w:pStyle w:val="TOC2"/>
            <w:tabs>
              <w:tab w:val="right" w:leader="dot" w:pos="9016"/>
            </w:tabs>
            <w:rPr>
              <w:rFonts w:eastAsiaTheme="minorEastAsia"/>
              <w:noProof/>
              <w:lang w:eastAsia="en-GB"/>
            </w:rPr>
          </w:pPr>
          <w:hyperlink w:anchor="_Toc117669039" w:history="1">
            <w:r w:rsidR="00AC5B3D" w:rsidRPr="00D64AC5">
              <w:rPr>
                <w:rStyle w:val="Hyperlink"/>
                <w:noProof/>
              </w:rPr>
              <w:t>OCPP risks</w:t>
            </w:r>
            <w:r w:rsidR="00AC5B3D">
              <w:rPr>
                <w:noProof/>
                <w:webHidden/>
              </w:rPr>
              <w:tab/>
            </w:r>
            <w:r w:rsidR="00AC5B3D">
              <w:rPr>
                <w:noProof/>
                <w:webHidden/>
              </w:rPr>
              <w:fldChar w:fldCharType="begin"/>
            </w:r>
            <w:r w:rsidR="00AC5B3D">
              <w:rPr>
                <w:noProof/>
                <w:webHidden/>
              </w:rPr>
              <w:instrText xml:space="preserve"> PAGEREF _Toc117669039 \h </w:instrText>
            </w:r>
            <w:r w:rsidR="00AC5B3D">
              <w:rPr>
                <w:noProof/>
                <w:webHidden/>
              </w:rPr>
            </w:r>
            <w:r w:rsidR="00AC5B3D">
              <w:rPr>
                <w:noProof/>
                <w:webHidden/>
              </w:rPr>
              <w:fldChar w:fldCharType="separate"/>
            </w:r>
            <w:r w:rsidR="00AC5B3D">
              <w:rPr>
                <w:noProof/>
                <w:webHidden/>
              </w:rPr>
              <w:t>17</w:t>
            </w:r>
            <w:r w:rsidR="00AC5B3D">
              <w:rPr>
                <w:noProof/>
                <w:webHidden/>
              </w:rPr>
              <w:fldChar w:fldCharType="end"/>
            </w:r>
          </w:hyperlink>
        </w:p>
        <w:p w14:paraId="6A979A3F" w14:textId="77777777" w:rsidR="00AC5B3D" w:rsidRDefault="00000000" w:rsidP="00AC5B3D">
          <w:pPr>
            <w:pStyle w:val="TOC2"/>
            <w:tabs>
              <w:tab w:val="right" w:leader="dot" w:pos="9016"/>
            </w:tabs>
            <w:rPr>
              <w:rFonts w:eastAsiaTheme="minorEastAsia"/>
              <w:noProof/>
              <w:lang w:eastAsia="en-GB"/>
            </w:rPr>
          </w:pPr>
          <w:hyperlink w:anchor="_Toc117669040" w:history="1">
            <w:r w:rsidR="00AC5B3D" w:rsidRPr="00D64AC5">
              <w:rPr>
                <w:rStyle w:val="Hyperlink"/>
                <w:noProof/>
              </w:rPr>
              <w:t>FOA &amp; GOAP risks</w:t>
            </w:r>
            <w:r w:rsidR="00AC5B3D">
              <w:rPr>
                <w:noProof/>
                <w:webHidden/>
              </w:rPr>
              <w:tab/>
            </w:r>
            <w:r w:rsidR="00AC5B3D">
              <w:rPr>
                <w:noProof/>
                <w:webHidden/>
              </w:rPr>
              <w:fldChar w:fldCharType="begin"/>
            </w:r>
            <w:r w:rsidR="00AC5B3D">
              <w:rPr>
                <w:noProof/>
                <w:webHidden/>
              </w:rPr>
              <w:instrText xml:space="preserve"> PAGEREF _Toc117669040 \h </w:instrText>
            </w:r>
            <w:r w:rsidR="00AC5B3D">
              <w:rPr>
                <w:noProof/>
                <w:webHidden/>
              </w:rPr>
            </w:r>
            <w:r w:rsidR="00AC5B3D">
              <w:rPr>
                <w:noProof/>
                <w:webHidden/>
              </w:rPr>
              <w:fldChar w:fldCharType="separate"/>
            </w:r>
            <w:r w:rsidR="00AC5B3D">
              <w:rPr>
                <w:noProof/>
                <w:webHidden/>
              </w:rPr>
              <w:t>19</w:t>
            </w:r>
            <w:r w:rsidR="00AC5B3D">
              <w:rPr>
                <w:noProof/>
                <w:webHidden/>
              </w:rPr>
              <w:fldChar w:fldCharType="end"/>
            </w:r>
          </w:hyperlink>
        </w:p>
        <w:p w14:paraId="550552C1" w14:textId="77777777" w:rsidR="00AC5B3D" w:rsidRDefault="00000000" w:rsidP="00AC5B3D">
          <w:pPr>
            <w:pStyle w:val="TOC1"/>
            <w:tabs>
              <w:tab w:val="right" w:leader="dot" w:pos="9016"/>
            </w:tabs>
            <w:rPr>
              <w:rFonts w:eastAsiaTheme="minorEastAsia"/>
              <w:noProof/>
              <w:lang w:eastAsia="en-GB"/>
            </w:rPr>
          </w:pPr>
          <w:hyperlink w:anchor="_Toc117669041" w:history="1">
            <w:r w:rsidR="00AC5B3D" w:rsidRPr="00D64AC5">
              <w:rPr>
                <w:rStyle w:val="Hyperlink"/>
                <w:noProof/>
              </w:rPr>
              <w:t>Section E – Programme management</w:t>
            </w:r>
            <w:r w:rsidR="00AC5B3D">
              <w:rPr>
                <w:noProof/>
                <w:webHidden/>
              </w:rPr>
              <w:tab/>
            </w:r>
            <w:r w:rsidR="00AC5B3D">
              <w:rPr>
                <w:noProof/>
                <w:webHidden/>
              </w:rPr>
              <w:fldChar w:fldCharType="begin"/>
            </w:r>
            <w:r w:rsidR="00AC5B3D">
              <w:rPr>
                <w:noProof/>
                <w:webHidden/>
              </w:rPr>
              <w:instrText xml:space="preserve"> PAGEREF _Toc117669041 \h </w:instrText>
            </w:r>
            <w:r w:rsidR="00AC5B3D">
              <w:rPr>
                <w:noProof/>
                <w:webHidden/>
              </w:rPr>
            </w:r>
            <w:r w:rsidR="00AC5B3D">
              <w:rPr>
                <w:noProof/>
                <w:webHidden/>
              </w:rPr>
              <w:fldChar w:fldCharType="separate"/>
            </w:r>
            <w:r w:rsidR="00AC5B3D">
              <w:rPr>
                <w:noProof/>
                <w:webHidden/>
              </w:rPr>
              <w:t>20</w:t>
            </w:r>
            <w:r w:rsidR="00AC5B3D">
              <w:rPr>
                <w:noProof/>
                <w:webHidden/>
              </w:rPr>
              <w:fldChar w:fldCharType="end"/>
            </w:r>
          </w:hyperlink>
        </w:p>
        <w:p w14:paraId="48449738" w14:textId="77777777" w:rsidR="00AC5B3D" w:rsidRDefault="00000000" w:rsidP="00AC5B3D">
          <w:pPr>
            <w:pStyle w:val="TOC2"/>
            <w:tabs>
              <w:tab w:val="right" w:leader="dot" w:pos="9016"/>
            </w:tabs>
            <w:rPr>
              <w:rFonts w:eastAsiaTheme="minorEastAsia"/>
              <w:noProof/>
              <w:lang w:eastAsia="en-GB"/>
            </w:rPr>
          </w:pPr>
          <w:hyperlink w:anchor="_Toc117669042" w:history="1">
            <w:r w:rsidR="00AC5B3D" w:rsidRPr="00D64AC5">
              <w:rPr>
                <w:rStyle w:val="Hyperlink"/>
                <w:noProof/>
              </w:rPr>
              <w:t>E1: Summary of Defra and delivery partner performance</w:t>
            </w:r>
            <w:r w:rsidR="00AC5B3D">
              <w:rPr>
                <w:noProof/>
                <w:webHidden/>
              </w:rPr>
              <w:tab/>
            </w:r>
            <w:r w:rsidR="00AC5B3D">
              <w:rPr>
                <w:noProof/>
                <w:webHidden/>
              </w:rPr>
              <w:fldChar w:fldCharType="begin"/>
            </w:r>
            <w:r w:rsidR="00AC5B3D">
              <w:rPr>
                <w:noProof/>
                <w:webHidden/>
              </w:rPr>
              <w:instrText xml:space="preserve"> PAGEREF _Toc117669042 \h </w:instrText>
            </w:r>
            <w:r w:rsidR="00AC5B3D">
              <w:rPr>
                <w:noProof/>
                <w:webHidden/>
              </w:rPr>
            </w:r>
            <w:r w:rsidR="00AC5B3D">
              <w:rPr>
                <w:noProof/>
                <w:webHidden/>
              </w:rPr>
              <w:fldChar w:fldCharType="separate"/>
            </w:r>
            <w:r w:rsidR="00AC5B3D">
              <w:rPr>
                <w:noProof/>
                <w:webHidden/>
              </w:rPr>
              <w:t>20</w:t>
            </w:r>
            <w:r w:rsidR="00AC5B3D">
              <w:rPr>
                <w:noProof/>
                <w:webHidden/>
              </w:rPr>
              <w:fldChar w:fldCharType="end"/>
            </w:r>
          </w:hyperlink>
        </w:p>
        <w:p w14:paraId="0A6A28C5" w14:textId="77777777" w:rsidR="00AC5B3D" w:rsidRDefault="00000000" w:rsidP="00AC5B3D">
          <w:pPr>
            <w:pStyle w:val="TOC3"/>
            <w:tabs>
              <w:tab w:val="right" w:leader="dot" w:pos="9016"/>
            </w:tabs>
            <w:rPr>
              <w:rFonts w:eastAsiaTheme="minorEastAsia"/>
              <w:noProof/>
              <w:lang w:eastAsia="en-GB"/>
            </w:rPr>
          </w:pPr>
          <w:hyperlink w:anchor="_Toc117669043" w:history="1">
            <w:r w:rsidR="00AC5B3D" w:rsidRPr="00D64AC5">
              <w:rPr>
                <w:rStyle w:val="Hyperlink"/>
                <w:noProof/>
              </w:rPr>
              <w:t>Defra programme team performance</w:t>
            </w:r>
            <w:r w:rsidR="00AC5B3D">
              <w:rPr>
                <w:noProof/>
                <w:webHidden/>
              </w:rPr>
              <w:tab/>
            </w:r>
            <w:r w:rsidR="00AC5B3D">
              <w:rPr>
                <w:noProof/>
                <w:webHidden/>
              </w:rPr>
              <w:fldChar w:fldCharType="begin"/>
            </w:r>
            <w:r w:rsidR="00AC5B3D">
              <w:rPr>
                <w:noProof/>
                <w:webHidden/>
              </w:rPr>
              <w:instrText xml:space="preserve"> PAGEREF _Toc117669043 \h </w:instrText>
            </w:r>
            <w:r w:rsidR="00AC5B3D">
              <w:rPr>
                <w:noProof/>
                <w:webHidden/>
              </w:rPr>
            </w:r>
            <w:r w:rsidR="00AC5B3D">
              <w:rPr>
                <w:noProof/>
                <w:webHidden/>
              </w:rPr>
              <w:fldChar w:fldCharType="separate"/>
            </w:r>
            <w:r w:rsidR="00AC5B3D">
              <w:rPr>
                <w:noProof/>
                <w:webHidden/>
              </w:rPr>
              <w:t>20</w:t>
            </w:r>
            <w:r w:rsidR="00AC5B3D">
              <w:rPr>
                <w:noProof/>
                <w:webHidden/>
              </w:rPr>
              <w:fldChar w:fldCharType="end"/>
            </w:r>
          </w:hyperlink>
        </w:p>
        <w:p w14:paraId="25AAD6D9" w14:textId="77777777" w:rsidR="00AC5B3D" w:rsidRDefault="00000000" w:rsidP="00AC5B3D">
          <w:pPr>
            <w:pStyle w:val="TOC3"/>
            <w:tabs>
              <w:tab w:val="right" w:leader="dot" w:pos="9016"/>
            </w:tabs>
            <w:rPr>
              <w:rFonts w:eastAsiaTheme="minorEastAsia"/>
              <w:noProof/>
              <w:lang w:eastAsia="en-GB"/>
            </w:rPr>
          </w:pPr>
          <w:hyperlink w:anchor="_Toc117669044" w:history="1">
            <w:r w:rsidR="00AC5B3D" w:rsidRPr="00D64AC5">
              <w:rPr>
                <w:rStyle w:val="Hyperlink"/>
                <w:noProof/>
              </w:rPr>
              <w:t>Delivery partner performance</w:t>
            </w:r>
            <w:r w:rsidR="00AC5B3D">
              <w:rPr>
                <w:noProof/>
                <w:webHidden/>
              </w:rPr>
              <w:tab/>
            </w:r>
            <w:r w:rsidR="00AC5B3D">
              <w:rPr>
                <w:noProof/>
                <w:webHidden/>
              </w:rPr>
              <w:fldChar w:fldCharType="begin"/>
            </w:r>
            <w:r w:rsidR="00AC5B3D">
              <w:rPr>
                <w:noProof/>
                <w:webHidden/>
              </w:rPr>
              <w:instrText xml:space="preserve"> PAGEREF _Toc117669044 \h </w:instrText>
            </w:r>
            <w:r w:rsidR="00AC5B3D">
              <w:rPr>
                <w:noProof/>
                <w:webHidden/>
              </w:rPr>
            </w:r>
            <w:r w:rsidR="00AC5B3D">
              <w:rPr>
                <w:noProof/>
                <w:webHidden/>
              </w:rPr>
              <w:fldChar w:fldCharType="separate"/>
            </w:r>
            <w:r w:rsidR="00AC5B3D">
              <w:rPr>
                <w:noProof/>
                <w:webHidden/>
              </w:rPr>
              <w:t>20</w:t>
            </w:r>
            <w:r w:rsidR="00AC5B3D">
              <w:rPr>
                <w:noProof/>
                <w:webHidden/>
              </w:rPr>
              <w:fldChar w:fldCharType="end"/>
            </w:r>
          </w:hyperlink>
        </w:p>
        <w:p w14:paraId="26010F09" w14:textId="77777777" w:rsidR="00AC5B3D" w:rsidRDefault="00000000" w:rsidP="00AC5B3D">
          <w:pPr>
            <w:pStyle w:val="TOC3"/>
            <w:tabs>
              <w:tab w:val="right" w:leader="dot" w:pos="9016"/>
            </w:tabs>
            <w:rPr>
              <w:rFonts w:eastAsiaTheme="minorEastAsia"/>
              <w:noProof/>
              <w:lang w:eastAsia="en-GB"/>
            </w:rPr>
          </w:pPr>
          <w:hyperlink w:anchor="_Toc117669045" w:history="1">
            <w:r w:rsidR="00AC5B3D" w:rsidRPr="00D64AC5">
              <w:rPr>
                <w:rStyle w:val="Hyperlink"/>
                <w:noProof/>
              </w:rPr>
              <w:t>Joint areas for improvement</w:t>
            </w:r>
            <w:r w:rsidR="00AC5B3D">
              <w:rPr>
                <w:noProof/>
                <w:webHidden/>
              </w:rPr>
              <w:tab/>
            </w:r>
            <w:r w:rsidR="00AC5B3D">
              <w:rPr>
                <w:noProof/>
                <w:webHidden/>
              </w:rPr>
              <w:fldChar w:fldCharType="begin"/>
            </w:r>
            <w:r w:rsidR="00AC5B3D">
              <w:rPr>
                <w:noProof/>
                <w:webHidden/>
              </w:rPr>
              <w:instrText xml:space="preserve"> PAGEREF _Toc117669045 \h </w:instrText>
            </w:r>
            <w:r w:rsidR="00AC5B3D">
              <w:rPr>
                <w:noProof/>
                <w:webHidden/>
              </w:rPr>
            </w:r>
            <w:r w:rsidR="00AC5B3D">
              <w:rPr>
                <w:noProof/>
                <w:webHidden/>
              </w:rPr>
              <w:fldChar w:fldCharType="separate"/>
            </w:r>
            <w:r w:rsidR="00AC5B3D">
              <w:rPr>
                <w:noProof/>
                <w:webHidden/>
              </w:rPr>
              <w:t>21</w:t>
            </w:r>
            <w:r w:rsidR="00AC5B3D">
              <w:rPr>
                <w:noProof/>
                <w:webHidden/>
              </w:rPr>
              <w:fldChar w:fldCharType="end"/>
            </w:r>
          </w:hyperlink>
        </w:p>
        <w:p w14:paraId="11AA9BB2" w14:textId="77777777" w:rsidR="00AC5B3D" w:rsidRDefault="00000000" w:rsidP="00AC5B3D">
          <w:pPr>
            <w:pStyle w:val="TOC2"/>
            <w:tabs>
              <w:tab w:val="right" w:leader="dot" w:pos="9016"/>
            </w:tabs>
            <w:rPr>
              <w:rFonts w:eastAsiaTheme="minorEastAsia"/>
              <w:noProof/>
              <w:lang w:eastAsia="en-GB"/>
            </w:rPr>
          </w:pPr>
          <w:hyperlink w:anchor="_Toc117669046" w:history="1">
            <w:r w:rsidR="00AC5B3D" w:rsidRPr="00D64AC5">
              <w:rPr>
                <w:rStyle w:val="Hyperlink"/>
                <w:noProof/>
              </w:rPr>
              <w:t>E2: Value for money overview – led by economist</w:t>
            </w:r>
            <w:r w:rsidR="00AC5B3D">
              <w:rPr>
                <w:noProof/>
                <w:webHidden/>
              </w:rPr>
              <w:tab/>
            </w:r>
            <w:r w:rsidR="00AC5B3D">
              <w:rPr>
                <w:noProof/>
                <w:webHidden/>
              </w:rPr>
              <w:fldChar w:fldCharType="begin"/>
            </w:r>
            <w:r w:rsidR="00AC5B3D">
              <w:rPr>
                <w:noProof/>
                <w:webHidden/>
              </w:rPr>
              <w:instrText xml:space="preserve"> PAGEREF _Toc117669046 \h </w:instrText>
            </w:r>
            <w:r w:rsidR="00AC5B3D">
              <w:rPr>
                <w:noProof/>
                <w:webHidden/>
              </w:rPr>
            </w:r>
            <w:r w:rsidR="00AC5B3D">
              <w:rPr>
                <w:noProof/>
                <w:webHidden/>
              </w:rPr>
              <w:fldChar w:fldCharType="separate"/>
            </w:r>
            <w:r w:rsidR="00AC5B3D">
              <w:rPr>
                <w:noProof/>
                <w:webHidden/>
              </w:rPr>
              <w:t>22</w:t>
            </w:r>
            <w:r w:rsidR="00AC5B3D">
              <w:rPr>
                <w:noProof/>
                <w:webHidden/>
              </w:rPr>
              <w:fldChar w:fldCharType="end"/>
            </w:r>
          </w:hyperlink>
        </w:p>
        <w:p w14:paraId="5923C3D2" w14:textId="77777777" w:rsidR="00AC5B3D" w:rsidRDefault="00000000" w:rsidP="00AC5B3D">
          <w:pPr>
            <w:pStyle w:val="TOC1"/>
            <w:tabs>
              <w:tab w:val="right" w:leader="dot" w:pos="9016"/>
            </w:tabs>
            <w:rPr>
              <w:rFonts w:eastAsiaTheme="minorEastAsia"/>
              <w:noProof/>
              <w:lang w:eastAsia="en-GB"/>
            </w:rPr>
          </w:pPr>
          <w:hyperlink w:anchor="_Toc117669047" w:history="1">
            <w:r w:rsidR="00AC5B3D" w:rsidRPr="00D64AC5">
              <w:rPr>
                <w:rStyle w:val="Hyperlink"/>
                <w:noProof/>
              </w:rPr>
              <w:t>Annex A – Theory of Change</w:t>
            </w:r>
            <w:r w:rsidR="00AC5B3D">
              <w:rPr>
                <w:noProof/>
                <w:webHidden/>
              </w:rPr>
              <w:tab/>
            </w:r>
            <w:r w:rsidR="00AC5B3D">
              <w:rPr>
                <w:noProof/>
                <w:webHidden/>
              </w:rPr>
              <w:fldChar w:fldCharType="begin"/>
            </w:r>
            <w:r w:rsidR="00AC5B3D">
              <w:rPr>
                <w:noProof/>
                <w:webHidden/>
              </w:rPr>
              <w:instrText xml:space="preserve"> PAGEREF _Toc117669047 \h </w:instrText>
            </w:r>
            <w:r w:rsidR="00AC5B3D">
              <w:rPr>
                <w:noProof/>
                <w:webHidden/>
              </w:rPr>
            </w:r>
            <w:r w:rsidR="00AC5B3D">
              <w:rPr>
                <w:noProof/>
                <w:webHidden/>
              </w:rPr>
              <w:fldChar w:fldCharType="separate"/>
            </w:r>
            <w:r w:rsidR="00AC5B3D">
              <w:rPr>
                <w:noProof/>
                <w:webHidden/>
              </w:rPr>
              <w:t>23</w:t>
            </w:r>
            <w:r w:rsidR="00AC5B3D">
              <w:rPr>
                <w:noProof/>
                <w:webHidden/>
              </w:rPr>
              <w:fldChar w:fldCharType="end"/>
            </w:r>
          </w:hyperlink>
        </w:p>
        <w:p w14:paraId="4C1C260E" w14:textId="77777777" w:rsidR="00AC5B3D" w:rsidRDefault="00000000" w:rsidP="00AC5B3D">
          <w:pPr>
            <w:pStyle w:val="TOC1"/>
            <w:tabs>
              <w:tab w:val="right" w:leader="dot" w:pos="9016"/>
            </w:tabs>
            <w:rPr>
              <w:rFonts w:eastAsiaTheme="minorEastAsia"/>
              <w:noProof/>
              <w:lang w:eastAsia="en-GB"/>
            </w:rPr>
          </w:pPr>
          <w:hyperlink w:anchor="_Toc117669048" w:history="1">
            <w:r w:rsidR="00AC5B3D" w:rsidRPr="00D64AC5">
              <w:rPr>
                <w:rStyle w:val="Hyperlink"/>
                <w:noProof/>
              </w:rPr>
              <w:t>Annex B – Risk registers</w:t>
            </w:r>
            <w:r w:rsidR="00AC5B3D">
              <w:rPr>
                <w:noProof/>
                <w:webHidden/>
              </w:rPr>
              <w:tab/>
            </w:r>
            <w:r w:rsidR="00AC5B3D">
              <w:rPr>
                <w:noProof/>
                <w:webHidden/>
              </w:rPr>
              <w:fldChar w:fldCharType="begin"/>
            </w:r>
            <w:r w:rsidR="00AC5B3D">
              <w:rPr>
                <w:noProof/>
                <w:webHidden/>
              </w:rPr>
              <w:instrText xml:space="preserve"> PAGEREF _Toc117669048 \h </w:instrText>
            </w:r>
            <w:r w:rsidR="00AC5B3D">
              <w:rPr>
                <w:noProof/>
                <w:webHidden/>
              </w:rPr>
            </w:r>
            <w:r w:rsidR="00AC5B3D">
              <w:rPr>
                <w:noProof/>
                <w:webHidden/>
              </w:rPr>
              <w:fldChar w:fldCharType="separate"/>
            </w:r>
            <w:r w:rsidR="00AC5B3D">
              <w:rPr>
                <w:noProof/>
                <w:webHidden/>
              </w:rPr>
              <w:t>24</w:t>
            </w:r>
            <w:r w:rsidR="00AC5B3D">
              <w:rPr>
                <w:noProof/>
                <w:webHidden/>
              </w:rPr>
              <w:fldChar w:fldCharType="end"/>
            </w:r>
          </w:hyperlink>
        </w:p>
        <w:p w14:paraId="6EECCDF6" w14:textId="77777777" w:rsidR="00AC5B3D" w:rsidRDefault="00AC5B3D" w:rsidP="00AC5B3D">
          <w:r>
            <w:rPr>
              <w:b/>
              <w:bCs/>
              <w:noProof/>
            </w:rPr>
            <w:fldChar w:fldCharType="end"/>
          </w:r>
        </w:p>
      </w:sdtContent>
    </w:sdt>
    <w:p w14:paraId="0DA63F45" w14:textId="77777777" w:rsidR="00AC5B3D" w:rsidRDefault="00AC5B3D" w:rsidP="00AC5B3D">
      <w:pPr>
        <w:rPr>
          <w:rFonts w:asciiTheme="majorHAnsi" w:eastAsiaTheme="majorEastAsia" w:hAnsiTheme="majorHAnsi" w:cstheme="majorBidi"/>
          <w:color w:val="2F5496" w:themeColor="accent1" w:themeShade="BF"/>
          <w:sz w:val="32"/>
          <w:szCs w:val="32"/>
        </w:rPr>
      </w:pPr>
      <w:r>
        <w:br w:type="page"/>
      </w:r>
    </w:p>
    <w:p w14:paraId="3DD5F8EF" w14:textId="77777777" w:rsidR="00AC5B3D" w:rsidRPr="0085149E" w:rsidRDefault="00AC5B3D" w:rsidP="00AC5B3D">
      <w:pPr>
        <w:pStyle w:val="Heading1"/>
      </w:pPr>
      <w:bookmarkStart w:id="0" w:name="_Toc117669025"/>
      <w:r w:rsidRPr="0085149E">
        <w:lastRenderedPageBreak/>
        <w:t>Section A – programme summary/overview</w:t>
      </w:r>
      <w:bookmarkEnd w:id="0"/>
    </w:p>
    <w:p w14:paraId="54BBAB82" w14:textId="77777777" w:rsidR="00AC5B3D" w:rsidRPr="001E5F56" w:rsidRDefault="00AC5B3D" w:rsidP="00AC5B3D">
      <w:pPr>
        <w:pStyle w:val="Heading2"/>
      </w:pPr>
      <w:bookmarkStart w:id="1" w:name="_Toc117669026"/>
      <w:r w:rsidRPr="001E5F56">
        <w:t>A1. Programme Description</w:t>
      </w:r>
      <w:bookmarkEnd w:id="1"/>
    </w:p>
    <w:p w14:paraId="3EAF8D64" w14:textId="194ACF23" w:rsidR="00AC5B3D" w:rsidRDefault="00AC5B3D" w:rsidP="00AC5B3D">
      <w:pPr>
        <w:spacing w:after="0"/>
        <w:jc w:val="both"/>
        <w:rPr>
          <w:rFonts w:cstheme="minorHAnsi"/>
          <w:color w:val="0B0C0C"/>
        </w:rPr>
      </w:pPr>
      <w:r>
        <w:t>The Ocean Country Partnership Programme (OCPP) is a UK Government-led programme funded through Defra’s share of the £500 million Blue Planet Fund (BPF).</w:t>
      </w:r>
      <w:r w:rsidRPr="00AE55E6">
        <w:rPr>
          <w:rFonts w:ascii="Arial" w:hAnsi="Arial" w:cs="Arial"/>
          <w:color w:val="0B0C0C"/>
          <w:sz w:val="29"/>
          <w:szCs w:val="29"/>
        </w:rPr>
        <w:t xml:space="preserve"> </w:t>
      </w:r>
      <w:r w:rsidRPr="00A45A24">
        <w:rPr>
          <w:rFonts w:cstheme="minorHAnsi"/>
          <w:color w:val="0B0C0C"/>
        </w:rPr>
        <w:t xml:space="preserve">The BPF is financed through the UK Official Development Assistance (ODA) budget and will </w:t>
      </w:r>
      <w:r w:rsidR="00E0431B">
        <w:rPr>
          <w:rFonts w:cstheme="minorHAnsi"/>
          <w:color w:val="0B0C0C"/>
        </w:rPr>
        <w:t>support</w:t>
      </w:r>
      <w:r w:rsidRPr="00A45A24">
        <w:rPr>
          <w:rFonts w:cstheme="minorHAnsi"/>
          <w:color w:val="0B0C0C"/>
        </w:rPr>
        <w:t xml:space="preserve"> eligible countries </w:t>
      </w:r>
      <w:r w:rsidR="00A06FC2">
        <w:rPr>
          <w:rFonts w:cstheme="minorHAnsi"/>
          <w:color w:val="0B0C0C"/>
        </w:rPr>
        <w:t xml:space="preserve">to </w:t>
      </w:r>
      <w:r w:rsidRPr="00A45A24">
        <w:rPr>
          <w:rFonts w:cstheme="minorHAnsi"/>
          <w:color w:val="0B0C0C"/>
        </w:rPr>
        <w:t>reduce poverty</w:t>
      </w:r>
      <w:r w:rsidR="00E0431B">
        <w:rPr>
          <w:rFonts w:cstheme="minorHAnsi"/>
          <w:color w:val="0B0C0C"/>
        </w:rPr>
        <w:t xml:space="preserve"> through</w:t>
      </w:r>
      <w:r w:rsidRPr="00A45A24">
        <w:rPr>
          <w:rFonts w:cstheme="minorHAnsi"/>
          <w:color w:val="0B0C0C"/>
        </w:rPr>
        <w:t xml:space="preserve"> sustainable management of their marine environment</w:t>
      </w:r>
      <w:r>
        <w:rPr>
          <w:rFonts w:cstheme="minorHAnsi"/>
          <w:color w:val="0B0C0C"/>
        </w:rPr>
        <w:t>.</w:t>
      </w:r>
    </w:p>
    <w:p w14:paraId="6FD01622" w14:textId="77777777" w:rsidR="00AC5B3D" w:rsidRDefault="00AC5B3D" w:rsidP="00AC5B3D">
      <w:pPr>
        <w:spacing w:after="0"/>
        <w:jc w:val="both"/>
        <w:rPr>
          <w:rFonts w:cstheme="minorHAnsi"/>
          <w:color w:val="0B0C0C"/>
        </w:rPr>
      </w:pPr>
    </w:p>
    <w:p w14:paraId="1CEE0A45" w14:textId="511A6243" w:rsidR="00AC5B3D" w:rsidRPr="00AE55E6" w:rsidRDefault="00AC5B3D" w:rsidP="00AC5B3D">
      <w:pPr>
        <w:spacing w:after="0"/>
        <w:jc w:val="both"/>
      </w:pPr>
      <w:r>
        <w:t xml:space="preserve">The </w:t>
      </w:r>
      <w:r w:rsidRPr="003B7737">
        <w:t>OCPP is Defra’s primary technical assistance programme under the BPF. The programme provides technical assistance to coastal developing countries</w:t>
      </w:r>
      <w:r>
        <w:t xml:space="preserve">, </w:t>
      </w:r>
      <w:r w:rsidRPr="003B7737">
        <w:t>prioritised according to a suite of poverty and environment indicators of relevance to the BPF</w:t>
      </w:r>
      <w:r w:rsidR="001D1B66">
        <w:t>.</w:t>
      </w:r>
      <w:r w:rsidR="00E0431B">
        <w:t xml:space="preserve"> </w:t>
      </w:r>
      <w:r w:rsidRPr="00AE55E6">
        <w:t xml:space="preserve">The OCPP </w:t>
      </w:r>
      <w:r w:rsidR="00E0431B">
        <w:t>enables</w:t>
      </w:r>
      <w:r w:rsidR="00E0431B" w:rsidRPr="00AE55E6">
        <w:t xml:space="preserve"> </w:t>
      </w:r>
      <w:r w:rsidRPr="00AE55E6">
        <w:t>countries to</w:t>
      </w:r>
      <w:r>
        <w:t xml:space="preserve"> </w:t>
      </w:r>
      <w:r w:rsidRPr="00AE55E6">
        <w:t>strengthen marine science expertise</w:t>
      </w:r>
      <w:r>
        <w:t xml:space="preserve">, </w:t>
      </w:r>
      <w:r w:rsidRPr="00AE55E6">
        <w:t>develop science-based policy and management tools</w:t>
      </w:r>
      <w:r>
        <w:t xml:space="preserve">, and </w:t>
      </w:r>
      <w:r w:rsidRPr="00AE55E6">
        <w:t>create educational resources for coastal communities</w:t>
      </w:r>
      <w:r>
        <w:t>.</w:t>
      </w:r>
      <w:r w:rsidRPr="00AB594A">
        <w:rPr>
          <w:rFonts w:ascii="Arial" w:hAnsi="Arial" w:cs="Arial"/>
          <w:color w:val="0B0C0C"/>
          <w:sz w:val="29"/>
          <w:szCs w:val="29"/>
          <w:shd w:val="clear" w:color="auto" w:fill="FFFFFF"/>
        </w:rPr>
        <w:t xml:space="preserve"> </w:t>
      </w:r>
      <w:r w:rsidRPr="00AB594A">
        <w:t>The</w:t>
      </w:r>
      <w:r>
        <w:t xml:space="preserve"> </w:t>
      </w:r>
      <w:r w:rsidRPr="00AB594A">
        <w:t>OCPP</w:t>
      </w:r>
      <w:r>
        <w:t xml:space="preserve"> </w:t>
      </w:r>
      <w:r w:rsidRPr="00AB594A">
        <w:t xml:space="preserve">is demand-led, </w:t>
      </w:r>
      <w:r>
        <w:t>meaning</w:t>
      </w:r>
      <w:r w:rsidRPr="00AB594A">
        <w:t xml:space="preserve"> delivery partners </w:t>
      </w:r>
      <w:r>
        <w:t>work</w:t>
      </w:r>
      <w:r w:rsidRPr="00AB594A">
        <w:t xml:space="preserve"> in partnership with country governments</w:t>
      </w:r>
      <w:r>
        <w:t xml:space="preserve">: </w:t>
      </w:r>
      <w:r w:rsidRPr="00AB594A">
        <w:t xml:space="preserve">activities </w:t>
      </w:r>
      <w:r>
        <w:t>focus on</w:t>
      </w:r>
      <w:r w:rsidRPr="00AB594A">
        <w:t xml:space="preserve"> capacity building in local institutions, organisations, and communities.</w:t>
      </w:r>
    </w:p>
    <w:p w14:paraId="730CAC8A" w14:textId="77777777" w:rsidR="00AC5B3D" w:rsidRDefault="00AC5B3D" w:rsidP="00AC5B3D">
      <w:pPr>
        <w:spacing w:after="0"/>
        <w:jc w:val="both"/>
      </w:pPr>
    </w:p>
    <w:p w14:paraId="4844222B" w14:textId="317EF98E" w:rsidR="00AC5B3D" w:rsidRDefault="00AC5B3D" w:rsidP="00AC5B3D">
      <w:pPr>
        <w:spacing w:after="0"/>
        <w:jc w:val="both"/>
      </w:pPr>
      <w:r>
        <w:t>The programme’s delivery partners – the Centre for Environment, Fisheries and Aquaculture Science (Cefas), the Joint Nature Conservation Committee (JNCC) and the Marine Management Organisation (MMO), referred to collectively as arms-length bodies (ALBs) – provide bilateral technical assistance</w:t>
      </w:r>
      <w:r w:rsidR="00E0431B">
        <w:t xml:space="preserve"> on</w:t>
      </w:r>
      <w:r>
        <w:t xml:space="preserve"> tackling marine pollution, developing sustainable seafood </w:t>
      </w:r>
      <w:r w:rsidR="00E55CFC">
        <w:t>practices,</w:t>
      </w:r>
      <w:r>
        <w:t xml:space="preserve"> and protecting and enhancing marine biodiversity. The OCPP also funds two multi-donor initiatives, the Global Ocean Accounts Partnership (GOAP) and Friends of Ocean Action (FOA), providing additional support to partner countries and developing global public goods relevant to the programme’s objectives. GOAP is a </w:t>
      </w:r>
      <w:r w:rsidRPr="007D3ED5">
        <w:t>multistakeholder partnership</w:t>
      </w:r>
      <w:r>
        <w:t xml:space="preserve"> hosted by the University of New South Wales that </w:t>
      </w:r>
      <w:r w:rsidRPr="007D3ED5">
        <w:t>supports the development and maintenance of ocean natural capital accounts</w:t>
      </w:r>
      <w:r>
        <w:t xml:space="preserve">. FOA </w:t>
      </w:r>
      <w:r w:rsidRPr="008E29FC">
        <w:t>is a platform hosted by the World Economic Forum in collaboration with the World Resources Institute</w:t>
      </w:r>
      <w:r>
        <w:t xml:space="preserve"> that </w:t>
      </w:r>
      <w:r w:rsidRPr="008E29FC">
        <w:t>brings together ocean leaders to encourage action and investment into sustainable ocean projects</w:t>
      </w:r>
      <w:r>
        <w:t>.</w:t>
      </w:r>
    </w:p>
    <w:p w14:paraId="78DFA528" w14:textId="77777777" w:rsidR="00AC5B3D" w:rsidRDefault="00AC5B3D" w:rsidP="00AC5B3D">
      <w:pPr>
        <w:spacing w:after="0"/>
        <w:jc w:val="both"/>
      </w:pPr>
    </w:p>
    <w:p w14:paraId="36CFF20F" w14:textId="2570B86B" w:rsidR="00AC5B3D" w:rsidRDefault="00AC5B3D" w:rsidP="00AC5B3D">
      <w:pPr>
        <w:spacing w:after="0"/>
        <w:jc w:val="both"/>
      </w:pPr>
      <w:r>
        <w:t xml:space="preserve">The OCPP launched in 2021-22 with a projected lifetime budget of </w:t>
      </w:r>
      <w:r w:rsidRPr="006662E1">
        <w:t>£</w:t>
      </w:r>
      <w:r>
        <w:t>6</w:t>
      </w:r>
      <w:r w:rsidRPr="006662E1">
        <w:t>5m</w:t>
      </w:r>
      <w:r>
        <w:t xml:space="preserve"> over 5 years, covering the five current delivery partners</w:t>
      </w:r>
      <w:r w:rsidR="00E0431B">
        <w:t>, with</w:t>
      </w:r>
      <w:r w:rsidR="009B0151">
        <w:t xml:space="preserve"> </w:t>
      </w:r>
      <w:r>
        <w:t xml:space="preserve">scope to bring in </w:t>
      </w:r>
      <w:r w:rsidR="00E0431B">
        <w:t xml:space="preserve">additional </w:t>
      </w:r>
      <w:r>
        <w:t xml:space="preserve">delivery partners </w:t>
      </w:r>
      <w:r w:rsidR="00E0431B">
        <w:t>to</w:t>
      </w:r>
      <w:r>
        <w:t xml:space="preserve"> increase capacity </w:t>
      </w:r>
      <w:r w:rsidR="00E0431B">
        <w:t xml:space="preserve">in </w:t>
      </w:r>
      <w:r>
        <w:t>meet</w:t>
      </w:r>
      <w:r w:rsidR="00E0431B">
        <w:t>ing</w:t>
      </w:r>
      <w:r>
        <w:t xml:space="preserve"> programme ambitions and partner country needs</w:t>
      </w:r>
      <w:r w:rsidRPr="006662E1">
        <w:t xml:space="preserve">. The </w:t>
      </w:r>
      <w:r w:rsidR="00E0431B">
        <w:t xml:space="preserve">UK has </w:t>
      </w:r>
      <w:r>
        <w:t xml:space="preserve">partnered with seven countries in </w:t>
      </w:r>
      <w:r w:rsidR="00E0431B">
        <w:t xml:space="preserve">the </w:t>
      </w:r>
      <w:r>
        <w:t>first year</w:t>
      </w:r>
      <w:r w:rsidR="00E0431B">
        <w:t xml:space="preserve"> of the OCPP</w:t>
      </w:r>
      <w:r>
        <w:t xml:space="preserve"> and is aiming to scale up to between 10 and 15 full country partnerships over </w:t>
      </w:r>
      <w:r w:rsidR="00E6701A">
        <w:t>the programme’s</w:t>
      </w:r>
      <w:r>
        <w:t xml:space="preserve"> lifetime, as well as continuing to support the production and dissemination of strategic global public goods and smaller-scale pilot projects in additional countries.</w:t>
      </w:r>
    </w:p>
    <w:p w14:paraId="6285ED1C" w14:textId="77777777" w:rsidR="00AC5B3D" w:rsidRDefault="00AC5B3D" w:rsidP="00AC5B3D">
      <w:pPr>
        <w:spacing w:after="0"/>
        <w:jc w:val="both"/>
      </w:pPr>
    </w:p>
    <w:p w14:paraId="46E625D6" w14:textId="77777777" w:rsidR="00AC5B3D" w:rsidRPr="00DA2E5B" w:rsidRDefault="00AC5B3D" w:rsidP="00AC5B3D">
      <w:pPr>
        <w:pStyle w:val="Heading2"/>
      </w:pPr>
      <w:bookmarkStart w:id="2" w:name="_Toc117669027"/>
      <w:r w:rsidRPr="00DA2E5B">
        <w:t>A2. Supporting Narrative</w:t>
      </w:r>
      <w:bookmarkEnd w:id="2"/>
    </w:p>
    <w:p w14:paraId="06465458" w14:textId="77777777" w:rsidR="00AC5B3D" w:rsidRDefault="00AC5B3D" w:rsidP="00AC5B3D">
      <w:pPr>
        <w:spacing w:after="0"/>
      </w:pPr>
    </w:p>
    <w:p w14:paraId="531E6007" w14:textId="77777777" w:rsidR="00AC5B3D" w:rsidRDefault="00AC5B3D" w:rsidP="00AC5B3D">
      <w:pPr>
        <w:spacing w:after="0"/>
        <w:jc w:val="both"/>
      </w:pPr>
      <w:r>
        <w:t>The OCPP delivered £7,383,506.26 of BPF this reporting year. Highlights include:</w:t>
      </w:r>
    </w:p>
    <w:p w14:paraId="4F56BEE3" w14:textId="5CB50DCA" w:rsidR="00AC5B3D" w:rsidRDefault="00AC5B3D" w:rsidP="00AC5B3D">
      <w:pPr>
        <w:pStyle w:val="ListParagraph"/>
        <w:numPr>
          <w:ilvl w:val="0"/>
          <w:numId w:val="30"/>
        </w:numPr>
        <w:spacing w:after="0"/>
        <w:jc w:val="both"/>
      </w:pPr>
      <w:r>
        <w:t xml:space="preserve">The development of seven OCPP partnerships in Bangladesh, Belize, India, Maldives, South Africa, Sri </w:t>
      </w:r>
      <w:r w:rsidR="00E55CFC">
        <w:t>Lanka,</w:t>
      </w:r>
      <w:r>
        <w:t xml:space="preserve"> and Vanuatu.</w:t>
      </w:r>
    </w:p>
    <w:p w14:paraId="4DE5FC35" w14:textId="77777777" w:rsidR="00AC5B3D" w:rsidRDefault="00AC5B3D" w:rsidP="00AC5B3D">
      <w:pPr>
        <w:pStyle w:val="ListParagraph"/>
        <w:numPr>
          <w:ilvl w:val="0"/>
          <w:numId w:val="30"/>
        </w:numPr>
        <w:spacing w:after="0"/>
        <w:jc w:val="both"/>
      </w:pPr>
      <w:r>
        <w:t>Integration of Commonwealth Litter Programme (CLiP) and One Health Aquaculture (OHA) under the OCPP.</w:t>
      </w:r>
    </w:p>
    <w:p w14:paraId="0B094CC2" w14:textId="2FFE7FEA" w:rsidR="00AC5B3D" w:rsidRDefault="00AC5B3D" w:rsidP="00AC5B3D">
      <w:pPr>
        <w:pStyle w:val="ListParagraph"/>
        <w:numPr>
          <w:ilvl w:val="0"/>
          <w:numId w:val="30"/>
        </w:numPr>
        <w:spacing w:after="0"/>
        <w:jc w:val="both"/>
      </w:pPr>
      <w:r>
        <w:t xml:space="preserve">Emergency Response component </w:t>
      </w:r>
      <w:r w:rsidR="00E35F23">
        <w:t xml:space="preserve">developed and </w:t>
      </w:r>
      <w:r>
        <w:t>enacted to provide reactive support to Sri Lanka on the Xpress Pearl incident, by evaluating the impacts on the incident and initiate a long-term monitoring programme.</w:t>
      </w:r>
    </w:p>
    <w:p w14:paraId="7ED2573C" w14:textId="16E3EEBF" w:rsidR="00AC5B3D" w:rsidRDefault="00AC5B3D" w:rsidP="00AC5B3D">
      <w:pPr>
        <w:pStyle w:val="ListParagraph"/>
        <w:numPr>
          <w:ilvl w:val="0"/>
          <w:numId w:val="30"/>
        </w:numPr>
        <w:spacing w:after="0"/>
        <w:jc w:val="both"/>
      </w:pPr>
      <w:r>
        <w:t xml:space="preserve">Rapid scoping and needs assessment provided to Colombia, Costa Rica, </w:t>
      </w:r>
      <w:r w:rsidR="00E55CFC">
        <w:t>Ecuador,</w:t>
      </w:r>
      <w:r>
        <w:t xml:space="preserve"> and Panama to support proposed expansion of the Eastern Tropical Pacific marine protected area.</w:t>
      </w:r>
    </w:p>
    <w:p w14:paraId="666991CE" w14:textId="34ED2EE5" w:rsidR="00AC5B3D" w:rsidRDefault="00AC5B3D" w:rsidP="00AC5B3D">
      <w:pPr>
        <w:pStyle w:val="ListParagraph"/>
        <w:numPr>
          <w:ilvl w:val="0"/>
          <w:numId w:val="30"/>
        </w:numPr>
        <w:spacing w:after="0"/>
        <w:jc w:val="both"/>
      </w:pPr>
      <w:r>
        <w:lastRenderedPageBreak/>
        <w:t xml:space="preserve">Successful OCPP delegation visits to Belize, Sri </w:t>
      </w:r>
      <w:r w:rsidR="00E55CFC">
        <w:t>Lanka,</w:t>
      </w:r>
      <w:r>
        <w:t xml:space="preserve"> and Maldives to formally launch the programme, which built relationships with and generated buy-in from ministers and senior officials from key ministries, and deepened understanding of local context. </w:t>
      </w:r>
    </w:p>
    <w:p w14:paraId="7B0B7329" w14:textId="1AF8CFB9" w:rsidR="00AC5B3D" w:rsidRDefault="00AC5B3D" w:rsidP="00AC5B3D">
      <w:pPr>
        <w:pStyle w:val="ListParagraph"/>
        <w:numPr>
          <w:ilvl w:val="0"/>
          <w:numId w:val="30"/>
        </w:numPr>
        <w:spacing w:after="0"/>
        <w:jc w:val="both"/>
      </w:pPr>
      <w:r>
        <w:t xml:space="preserve">Successful technical visits to Belize, Maldives, Sri Lanka, Bangladesh, India and South Africa to either scope future work or deliver </w:t>
      </w:r>
      <w:r w:rsidR="00E35F23">
        <w:t>technical assistance</w:t>
      </w:r>
      <w:r>
        <w:t xml:space="preserve"> activities e.g. OHA Pan African Workshop and </w:t>
      </w:r>
      <w:r w:rsidRPr="00B22217">
        <w:t xml:space="preserve">Baited Remote Underwater Video systems </w:t>
      </w:r>
      <w:r>
        <w:t xml:space="preserve">(BRUV) training in the Maldives.  </w:t>
      </w:r>
    </w:p>
    <w:p w14:paraId="014DD83F" w14:textId="4028DF60" w:rsidR="00AC5B3D" w:rsidRDefault="00AC5B3D" w:rsidP="00AC5B3D">
      <w:pPr>
        <w:pStyle w:val="ListParagraph"/>
        <w:numPr>
          <w:ilvl w:val="0"/>
          <w:numId w:val="30"/>
        </w:numPr>
        <w:spacing w:after="0"/>
        <w:jc w:val="both"/>
      </w:pPr>
      <w:r>
        <w:t xml:space="preserve">Protected Areas Management Effectiveness (PAME) assessments shared with Maldives and Belize governments (published </w:t>
      </w:r>
      <w:proofErr w:type="gramStart"/>
      <w:r>
        <w:t>at a later date</w:t>
      </w:r>
      <w:proofErr w:type="gramEnd"/>
      <w:r>
        <w:t>) and stakeholder mapping exercise delivered in Maldives.</w:t>
      </w:r>
    </w:p>
    <w:p w14:paraId="226D8F2D" w14:textId="77777777" w:rsidR="00AC5B3D" w:rsidRDefault="00AC5B3D" w:rsidP="00AC5B3D">
      <w:pPr>
        <w:pStyle w:val="ListParagraph"/>
        <w:numPr>
          <w:ilvl w:val="0"/>
          <w:numId w:val="30"/>
        </w:numPr>
        <w:spacing w:after="0"/>
        <w:jc w:val="both"/>
      </w:pPr>
      <w:r>
        <w:t>Progress towards all OCPP logframe outputs.</w:t>
      </w:r>
    </w:p>
    <w:p w14:paraId="601A8438" w14:textId="77777777" w:rsidR="00AC5B3D" w:rsidRDefault="00AC5B3D" w:rsidP="00AC5B3D">
      <w:pPr>
        <w:pStyle w:val="ListParagraph"/>
        <w:numPr>
          <w:ilvl w:val="0"/>
          <w:numId w:val="30"/>
        </w:numPr>
        <w:spacing w:after="0"/>
        <w:jc w:val="both"/>
      </w:pPr>
      <w:r>
        <w:t xml:space="preserve">Trial integration of GOAP and FOA as a joint programme received positively by the </w:t>
      </w:r>
      <w:r w:rsidRPr="003C68F5">
        <w:t>delivery partners, partner countries and the wider BPF team</w:t>
      </w:r>
      <w:r>
        <w:t>.</w:t>
      </w:r>
    </w:p>
    <w:p w14:paraId="744F39A3" w14:textId="77777777" w:rsidR="00AC5B3D" w:rsidRDefault="00AC5B3D" w:rsidP="00AC5B3D">
      <w:pPr>
        <w:pStyle w:val="ListParagraph"/>
        <w:numPr>
          <w:ilvl w:val="0"/>
          <w:numId w:val="30"/>
        </w:numPr>
        <w:spacing w:after="0"/>
        <w:jc w:val="both"/>
      </w:pPr>
      <w:r>
        <w:t xml:space="preserve">GOAP </w:t>
      </w:r>
      <w:r w:rsidRPr="00753F7C">
        <w:t>publication of ocean account</w:t>
      </w:r>
      <w:r>
        <w:t>s and ocean account</w:t>
      </w:r>
      <w:r w:rsidRPr="00753F7C">
        <w:t xml:space="preserve"> development roadmaps for five pilot countries – Fiji, Viet Nam, Indonesia, Mozambique &amp; South Africa</w:t>
      </w:r>
      <w:r>
        <w:t>.</w:t>
      </w:r>
    </w:p>
    <w:p w14:paraId="1E6309EB" w14:textId="77777777" w:rsidR="00AC5B3D" w:rsidRDefault="00AC5B3D" w:rsidP="00AC5B3D">
      <w:pPr>
        <w:pStyle w:val="ListParagraph"/>
        <w:numPr>
          <w:ilvl w:val="0"/>
          <w:numId w:val="30"/>
        </w:numPr>
        <w:spacing w:after="0"/>
        <w:jc w:val="both"/>
      </w:pPr>
      <w:r>
        <w:t>GOAP delivered their 3</w:t>
      </w:r>
      <w:r w:rsidRPr="00A60C6A">
        <w:rPr>
          <w:vertAlign w:val="superscript"/>
        </w:rPr>
        <w:t>rd</w:t>
      </w:r>
      <w:r>
        <w:t xml:space="preserve"> Global Dialogue event on ocean accounting. </w:t>
      </w:r>
    </w:p>
    <w:p w14:paraId="58803ED5" w14:textId="77777777" w:rsidR="00AC5B3D" w:rsidRDefault="00AC5B3D" w:rsidP="00AC5B3D">
      <w:pPr>
        <w:pStyle w:val="ListParagraph"/>
        <w:numPr>
          <w:ilvl w:val="0"/>
          <w:numId w:val="30"/>
        </w:numPr>
        <w:spacing w:after="0"/>
        <w:jc w:val="both"/>
      </w:pPr>
      <w:r>
        <w:rPr>
          <w:rFonts w:eastAsia="Times New Roman" w:cstheme="minorHAnsi"/>
          <w:lang w:eastAsia="en-GB"/>
        </w:rPr>
        <w:t>E</w:t>
      </w:r>
      <w:r w:rsidRPr="004C6CCA">
        <w:rPr>
          <w:rFonts w:eastAsia="Times New Roman" w:cstheme="minorHAnsi"/>
          <w:lang w:eastAsia="en-GB"/>
        </w:rPr>
        <w:t>stablishment of a Blue Recovery Hub</w:t>
      </w:r>
      <w:r>
        <w:rPr>
          <w:rFonts w:eastAsia="Times New Roman" w:cstheme="minorHAnsi"/>
          <w:lang w:eastAsia="en-GB"/>
        </w:rPr>
        <w:t xml:space="preserve"> in Fiji by FOA. </w:t>
      </w:r>
    </w:p>
    <w:p w14:paraId="4AF74FA3" w14:textId="77777777" w:rsidR="00AC5B3D" w:rsidRDefault="00AC5B3D" w:rsidP="00AC5B3D">
      <w:pPr>
        <w:spacing w:after="0"/>
        <w:jc w:val="both"/>
      </w:pPr>
    </w:p>
    <w:p w14:paraId="0CB70D64" w14:textId="366CD020" w:rsidR="00AC5B3D" w:rsidRPr="00272D80" w:rsidRDefault="00AC5B3D" w:rsidP="00AC5B3D">
      <w:pPr>
        <w:spacing w:after="0"/>
        <w:jc w:val="both"/>
      </w:pPr>
      <w:r>
        <w:t xml:space="preserve">The programme has been assessed through output scoring and qualitative assessment of what has </w:t>
      </w:r>
      <w:r w:rsidRPr="00272D80">
        <w:t>been achieved (please refer to section C). There were no milestones or targets defined for Y1 of OCPP due to the demand-led nature of the programming and the need for extensive partnership scoping.</w:t>
      </w:r>
      <w:r w:rsidR="00AF5728" w:rsidRPr="00272D80">
        <w:t xml:space="preserve"> </w:t>
      </w:r>
      <w:r w:rsidR="00AF5728" w:rsidRPr="00A300A7">
        <w:t>Therefore, the programme has not been scored for FY 2021/22</w:t>
      </w:r>
      <w:r w:rsidR="00454236" w:rsidRPr="00A300A7">
        <w:t xml:space="preserve"> but will be scored in all future annual reviews</w:t>
      </w:r>
      <w:r w:rsidR="00AF5728" w:rsidRPr="00A300A7">
        <w:t>.</w:t>
      </w:r>
      <w:r w:rsidR="00AF5728" w:rsidRPr="00272D80">
        <w:t xml:space="preserve"> </w:t>
      </w:r>
    </w:p>
    <w:p w14:paraId="65895B64" w14:textId="77777777" w:rsidR="00AC5B3D" w:rsidRPr="00272D80" w:rsidRDefault="00AC5B3D" w:rsidP="00AC5B3D">
      <w:pPr>
        <w:spacing w:after="0"/>
      </w:pPr>
    </w:p>
    <w:p w14:paraId="6183EFA8" w14:textId="77777777" w:rsidR="00AC5B3D" w:rsidRPr="00272D80" w:rsidRDefault="00AC5B3D" w:rsidP="00AC5B3D">
      <w:pPr>
        <w:pStyle w:val="Heading2"/>
      </w:pPr>
      <w:bookmarkStart w:id="3" w:name="_Toc117669028"/>
      <w:r w:rsidRPr="00272D80">
        <w:t>A3. Lessons learnt and recommendations</w:t>
      </w:r>
      <w:bookmarkEnd w:id="3"/>
    </w:p>
    <w:p w14:paraId="1D8DE231" w14:textId="77777777" w:rsidR="00AC5B3D" w:rsidRPr="00272D80" w:rsidRDefault="00AC5B3D" w:rsidP="00AC5B3D">
      <w:pPr>
        <w:pStyle w:val="Heading3"/>
      </w:pPr>
      <w:bookmarkStart w:id="4" w:name="_Toc117669029"/>
      <w:r w:rsidRPr="00272D80">
        <w:t>Lessons learnt</w:t>
      </w:r>
      <w:bookmarkEnd w:id="4"/>
    </w:p>
    <w:p w14:paraId="191DAFCD" w14:textId="3A30F8C5" w:rsidR="00412AE3" w:rsidRPr="00272D80" w:rsidRDefault="001F5279" w:rsidP="001F5279">
      <w:pPr>
        <w:pStyle w:val="ListParagraph"/>
        <w:numPr>
          <w:ilvl w:val="0"/>
          <w:numId w:val="45"/>
        </w:numPr>
        <w:spacing w:before="240" w:after="0"/>
        <w:jc w:val="both"/>
      </w:pPr>
      <w:r w:rsidRPr="00A300A7">
        <w:rPr>
          <w:b/>
          <w:bCs/>
        </w:rPr>
        <w:t>Bilateral engagement</w:t>
      </w:r>
      <w:r w:rsidRPr="00272D80">
        <w:t xml:space="preserve">: </w:t>
      </w:r>
      <w:r w:rsidR="00903BDF" w:rsidRPr="00272D80">
        <w:t>Engagement with partner countries demonstrated</w:t>
      </w:r>
      <w:r w:rsidR="00412AE3" w:rsidRPr="00272D80">
        <w:t xml:space="preserve"> </w:t>
      </w:r>
      <w:r w:rsidR="6107720D" w:rsidRPr="00272D80">
        <w:t>strong</w:t>
      </w:r>
      <w:r w:rsidR="00412AE3" w:rsidRPr="00272D80">
        <w:t xml:space="preserve"> demand for this programme and despite operational challenges</w:t>
      </w:r>
      <w:r w:rsidR="00903BDF" w:rsidRPr="00272D80">
        <w:t>, for example due to Covid</w:t>
      </w:r>
      <w:r w:rsidR="00412AE3" w:rsidRPr="00272D80">
        <w:t xml:space="preserve">, the programme made significant progress </w:t>
      </w:r>
      <w:r w:rsidR="00903BDF" w:rsidRPr="00272D80">
        <w:t xml:space="preserve">in the first year </w:t>
      </w:r>
      <w:r w:rsidR="00412AE3" w:rsidRPr="00272D80">
        <w:t xml:space="preserve">and </w:t>
      </w:r>
      <w:r w:rsidR="00FA06E7" w:rsidRPr="00272D80">
        <w:t>was</w:t>
      </w:r>
      <w:r w:rsidR="00412AE3" w:rsidRPr="00272D80">
        <w:t xml:space="preserve"> well received</w:t>
      </w:r>
      <w:r w:rsidR="005308BF" w:rsidRPr="00272D80">
        <w:t xml:space="preserve"> across the board by partner countries</w:t>
      </w:r>
      <w:r w:rsidR="00412AE3" w:rsidRPr="00272D80">
        <w:t xml:space="preserve">. </w:t>
      </w:r>
    </w:p>
    <w:p w14:paraId="672B2354" w14:textId="4496D9E6" w:rsidR="00AC5B3D" w:rsidRPr="00272D80" w:rsidRDefault="001F5279" w:rsidP="001F5279">
      <w:pPr>
        <w:pStyle w:val="ListParagraph"/>
        <w:numPr>
          <w:ilvl w:val="0"/>
          <w:numId w:val="45"/>
        </w:numPr>
        <w:spacing w:before="240" w:after="0"/>
        <w:jc w:val="both"/>
      </w:pPr>
      <w:r w:rsidRPr="00A300A7">
        <w:rPr>
          <w:b/>
          <w:bCs/>
        </w:rPr>
        <w:t>The demand-led approach</w:t>
      </w:r>
      <w:r w:rsidRPr="00272D80">
        <w:t xml:space="preserve">: </w:t>
      </w:r>
      <w:r w:rsidR="00AC5B3D" w:rsidRPr="00272D80">
        <w:t>The demand-led nature of the programme has generally been well received by partner country governments, aligning with best practice in this area and demonstrating an intent to form genuine partnerships. But the approach does raise some challenges which have tested several planning assumptions. For example, the cross-agency/ministry engagement required to generate an accurate assessment of in-country demand has often required significant time and resource, often more so than anticipated, with potential knock-on impacts in terms of delivering activities and ability to expand the programme. Whilst it’s been important to get the scoping process correct to ensure partner countries are aware of the nature of the support and capabilities available, and therefore asks are appropriate, there may be opportunities to be more propositional in future.</w:t>
      </w:r>
    </w:p>
    <w:p w14:paraId="7CF729D3" w14:textId="14AE9B71" w:rsidR="00AC5B3D" w:rsidRPr="00272D80" w:rsidRDefault="001F5279" w:rsidP="001F5279">
      <w:pPr>
        <w:pStyle w:val="ListParagraph"/>
        <w:numPr>
          <w:ilvl w:val="0"/>
          <w:numId w:val="45"/>
        </w:numPr>
        <w:spacing w:before="240" w:after="0"/>
        <w:jc w:val="both"/>
      </w:pPr>
      <w:r w:rsidRPr="00A300A7">
        <w:rPr>
          <w:b/>
          <w:bCs/>
        </w:rPr>
        <w:t>Aligning with BPF and UK programming</w:t>
      </w:r>
      <w:r w:rsidRPr="00272D80">
        <w:t xml:space="preserve">: </w:t>
      </w:r>
      <w:r w:rsidR="00AC5B3D" w:rsidRPr="00272D80">
        <w:t>The OCPP has, in most of its partner countries, been the first BPF programme to operate and be introduced on a bilateral level. This has generally been an effective means of raising the profile of the BPF and unlocking traction and buy-in from priority countries. Demands in-country, however, often exceed the OCPP’s remit. Whilst a concerted effort was made to frame the OCPP offer around what is set out in the business case, it has sometimes proved challenging to balance this with the desire to be truly demand-led</w:t>
      </w:r>
      <w:r w:rsidR="008C09D7" w:rsidRPr="00272D80">
        <w:t xml:space="preserve"> and to offer a holistic approach to marine management</w:t>
      </w:r>
      <w:r w:rsidR="00AC5B3D" w:rsidRPr="00272D80">
        <w:t xml:space="preserve">, especially in the absence of other </w:t>
      </w:r>
      <w:r w:rsidR="00AC5B3D" w:rsidRPr="00272D80">
        <w:lastRenderedPageBreak/>
        <w:t>bilateral BPF programmes. As those programmes are established in the next two years this pressure is expected to reduce, however it should continue to be monitored. This should also help ensure the OCPP delivers maximum impact and value for money, by focusing on its core unique selling points (USPs) around marine science and management and their application in policymaking.</w:t>
      </w:r>
    </w:p>
    <w:p w14:paraId="310C7B77" w14:textId="7DCA6986" w:rsidR="00AC5B3D" w:rsidRPr="00272D80" w:rsidRDefault="001F5279" w:rsidP="001F5279">
      <w:pPr>
        <w:pStyle w:val="ListParagraph"/>
        <w:numPr>
          <w:ilvl w:val="0"/>
          <w:numId w:val="45"/>
        </w:numPr>
        <w:spacing w:before="240" w:after="0"/>
        <w:jc w:val="both"/>
      </w:pPr>
      <w:r w:rsidRPr="00A300A7">
        <w:rPr>
          <w:b/>
          <w:bCs/>
        </w:rPr>
        <w:t>Streamlining portfolios</w:t>
      </w:r>
      <w:r w:rsidRPr="00272D80">
        <w:t xml:space="preserve">: </w:t>
      </w:r>
      <w:r w:rsidR="00AC5B3D" w:rsidRPr="00272D80">
        <w:t>As engagement with partner countries and delivery partners has increased, it has become increasingly clear that we should streamline the programme portfolio and themes. Originally the OCPP consisted of a bilateral component (delivered by Cefas, JNCC and MMO), with BPF funding to GOAP and FOA developed as separate business cases. These were then trialled as a joint programme with GOAP and FOA incorporated into OCPP, which has been viewed positively across the board by the delivery partners, partner countries and the wider BPF team. Benefits of the more integrated approach have included a clearer overall BPF offer to recipient countries and reduced internal management costs associated with managing a single, albeit larger, programme.</w:t>
      </w:r>
    </w:p>
    <w:p w14:paraId="46E948CA" w14:textId="02F0D5EC" w:rsidR="00AC5B3D" w:rsidRPr="00272D80" w:rsidRDefault="001F5279" w:rsidP="001F5279">
      <w:pPr>
        <w:pStyle w:val="ListParagraph"/>
        <w:numPr>
          <w:ilvl w:val="0"/>
          <w:numId w:val="45"/>
        </w:numPr>
        <w:spacing w:before="240" w:after="0"/>
        <w:jc w:val="both"/>
      </w:pPr>
      <w:r w:rsidRPr="00A300A7">
        <w:rPr>
          <w:b/>
          <w:bCs/>
        </w:rPr>
        <w:t>Remote engagement</w:t>
      </w:r>
      <w:r w:rsidRPr="00272D80">
        <w:t xml:space="preserve">: </w:t>
      </w:r>
      <w:r w:rsidR="00AC5B3D" w:rsidRPr="00272D80">
        <w:t>Initial engagement with partner country governments was, in many cases, particularly challenging where travel was not possible, largely driven in the first year by Covid-19 related restrictions. As OCPP is both an ODA and environmentally focused programme there is clearly a particular obligation to ensure that travel is proportionate and represents value for money. The experience of seeking to introduce and roll out the programme remotely, however, particularly in the first half of the year when travel was largely impossible, has been that doing so at the outset is often ineffective, driven by logistical challenges, frequent poor internet connectivity in target countries, differing practices and expectations around remote meetings, and cultural expectations amongst partner countries.</w:t>
      </w:r>
    </w:p>
    <w:p w14:paraId="018B1F15" w14:textId="687FFB7A" w:rsidR="00F44BF0" w:rsidRPr="00272D80" w:rsidRDefault="00BE6BCB" w:rsidP="001F5279">
      <w:pPr>
        <w:pStyle w:val="ListParagraph"/>
        <w:numPr>
          <w:ilvl w:val="0"/>
          <w:numId w:val="45"/>
        </w:numPr>
        <w:spacing w:before="240" w:after="0"/>
        <w:jc w:val="both"/>
      </w:pPr>
      <w:r w:rsidRPr="00A300A7">
        <w:rPr>
          <w:b/>
          <w:bCs/>
        </w:rPr>
        <w:t xml:space="preserve">Country </w:t>
      </w:r>
      <w:r w:rsidR="0072746B" w:rsidRPr="00A300A7">
        <w:rPr>
          <w:b/>
          <w:bCs/>
        </w:rPr>
        <w:t>prioritisation</w:t>
      </w:r>
      <w:r w:rsidRPr="00272D80">
        <w:t xml:space="preserve">: </w:t>
      </w:r>
      <w:r w:rsidR="00AC5B3D" w:rsidRPr="00272D80">
        <w:t xml:space="preserve">Target countries were identified using a range of quantitative poverty and environmental indicators and in line with an exercise conducted across the whole of the BPF. But the experience of rolling-out and delivering the programme has demonstrated that other factors, such as the capacity of British Embassies/High Commissions, can also have a substantial impact on the programme’s potential in each country. Whilst the quantitative indicators remain a sound basis for further prioritisation as the OCPP expands, additional qualitative lenses should also be considered and continually assessed </w:t>
      </w:r>
      <w:proofErr w:type="gramStart"/>
      <w:r w:rsidR="00AC5B3D" w:rsidRPr="00272D80">
        <w:t>in light of</w:t>
      </w:r>
      <w:proofErr w:type="gramEnd"/>
      <w:r w:rsidR="00AC5B3D" w:rsidRPr="00272D80">
        <w:t xml:space="preserve"> further learning through delivery. This should include a focus on local political economy.</w:t>
      </w:r>
    </w:p>
    <w:p w14:paraId="62DBB223" w14:textId="5DE9DF7C" w:rsidR="00412AE3" w:rsidRPr="00272D80" w:rsidRDefault="00124145" w:rsidP="001F5279">
      <w:pPr>
        <w:pStyle w:val="ListParagraph"/>
        <w:numPr>
          <w:ilvl w:val="0"/>
          <w:numId w:val="45"/>
        </w:numPr>
        <w:spacing w:before="240" w:after="0"/>
        <w:jc w:val="both"/>
      </w:pPr>
      <w:r w:rsidRPr="00A300A7">
        <w:rPr>
          <w:b/>
          <w:bCs/>
        </w:rPr>
        <w:t xml:space="preserve">Benefits of delivering through </w:t>
      </w:r>
      <w:r w:rsidR="00A05B53" w:rsidRPr="00272D80">
        <w:rPr>
          <w:b/>
          <w:bCs/>
        </w:rPr>
        <w:t>HMG</w:t>
      </w:r>
      <w:r w:rsidRPr="00272D80">
        <w:t xml:space="preserve">: </w:t>
      </w:r>
      <w:r w:rsidR="00412AE3" w:rsidRPr="00272D80">
        <w:t>Using UK government agencies as delivery partners has provided several important benefits</w:t>
      </w:r>
      <w:r w:rsidR="00BA5929" w:rsidRPr="00272D80">
        <w:t xml:space="preserve"> and represented </w:t>
      </w:r>
      <w:r w:rsidR="00453FDE" w:rsidRPr="00272D80">
        <w:t xml:space="preserve">a genuine </w:t>
      </w:r>
      <w:r w:rsidR="00BA5929" w:rsidRPr="00272D80">
        <w:t>cross-government approach to delivery</w:t>
      </w:r>
      <w:r w:rsidR="00412AE3" w:rsidRPr="00272D80">
        <w:t>. Benefits include reinforcing the OCPP’s status as a government-to-government programme through engagement with counterpart agencies in partner countries and maximising the programme’s USP around marine science, management and regulation by drawing on the agencies’ world-class, often unique expertise.</w:t>
      </w:r>
    </w:p>
    <w:p w14:paraId="7AB2CF92" w14:textId="4975A2EB" w:rsidR="00B03926" w:rsidRPr="00272D80" w:rsidRDefault="000877AD" w:rsidP="001F5279">
      <w:pPr>
        <w:pStyle w:val="ListParagraph"/>
        <w:numPr>
          <w:ilvl w:val="0"/>
          <w:numId w:val="45"/>
        </w:numPr>
        <w:spacing w:before="240" w:after="0"/>
        <w:jc w:val="both"/>
      </w:pPr>
      <w:r w:rsidRPr="00272D80">
        <w:rPr>
          <w:b/>
          <w:bCs/>
        </w:rPr>
        <w:t>Programme governance</w:t>
      </w:r>
      <w:r w:rsidR="00124145" w:rsidRPr="00272D80">
        <w:rPr>
          <w:b/>
          <w:bCs/>
        </w:rPr>
        <w:t>:</w:t>
      </w:r>
      <w:r w:rsidR="00124145" w:rsidRPr="00272D80">
        <w:t xml:space="preserve"> </w:t>
      </w:r>
      <w:r w:rsidR="00E112BF" w:rsidRPr="00272D80">
        <w:t>This approach</w:t>
      </w:r>
      <w:r w:rsidR="00412AE3" w:rsidRPr="00272D80">
        <w:t xml:space="preserve"> has, </w:t>
      </w:r>
      <w:r w:rsidR="00E112BF" w:rsidRPr="00272D80">
        <w:t xml:space="preserve">however, </w:t>
      </w:r>
      <w:r w:rsidR="00412AE3" w:rsidRPr="00272D80">
        <w:t>created some presentational, governance and management challenges due to the clearly demarcated donor-delivery partner relationship that would ordinarily be present within a bilateral ODA programme being more ambiguous. For example, partner countries have not always recognised the distinction between Defra and its agencies which has sometimes made communication challenging. We are working to identify solutions though some may just be a case of sustained, proactive management. Addressing management challenges is a priority (see recommendations).</w:t>
      </w:r>
    </w:p>
    <w:p w14:paraId="42672871" w14:textId="40F7FEC4" w:rsidR="00AC5B3D" w:rsidRPr="00272D80" w:rsidRDefault="009E4180" w:rsidP="001F5279">
      <w:pPr>
        <w:pStyle w:val="ListParagraph"/>
        <w:numPr>
          <w:ilvl w:val="0"/>
          <w:numId w:val="45"/>
        </w:numPr>
        <w:spacing w:before="240" w:after="0"/>
        <w:jc w:val="both"/>
        <w:rPr>
          <w:color w:val="7030A0"/>
        </w:rPr>
      </w:pPr>
      <w:r w:rsidRPr="00272D80">
        <w:rPr>
          <w:b/>
          <w:bCs/>
        </w:rPr>
        <w:t>Target setting</w:t>
      </w:r>
      <w:r w:rsidR="00124145" w:rsidRPr="00272D80">
        <w:t xml:space="preserve">: </w:t>
      </w:r>
      <w:r w:rsidR="00AC5B3D" w:rsidRPr="00272D80">
        <w:t xml:space="preserve">This is the first annual review of OCPP, with indicators reported against in the logframe without associated targets. Generating credible targets in the first year proved highly challenging given the stage and nature of the programme. Given the comparative maturity of the programme now an updated logframe that will include targets for the programme is </w:t>
      </w:r>
      <w:r w:rsidR="00AC5B3D" w:rsidRPr="00272D80">
        <w:lastRenderedPageBreak/>
        <w:t>currently under development by the Defra programme team in collaboration with delivery partners, due to be finalised by the end of the calendar year and reported on in future annual reviews. This will include output, outcome and impact level targets. As these elements are missing from the draft logframe here, longer narrative explanations of progress against outputs have been included. Given the demand-led and adaptive nature of OCPP, there is an expectation that logframe targets and indicators will change over time as understanding of in-country demand develops and new evidence and learning through delivery emerges. Such changes will be reported on in annual reviews.</w:t>
      </w:r>
    </w:p>
    <w:p w14:paraId="0A874C79" w14:textId="04F5868A" w:rsidR="00AC5B3D" w:rsidRPr="00272D80" w:rsidRDefault="00124145" w:rsidP="001F5279">
      <w:pPr>
        <w:pStyle w:val="ListParagraph"/>
        <w:numPr>
          <w:ilvl w:val="0"/>
          <w:numId w:val="45"/>
        </w:numPr>
        <w:jc w:val="both"/>
      </w:pPr>
      <w:r w:rsidRPr="00A300A7">
        <w:rPr>
          <w:b/>
          <w:bCs/>
        </w:rPr>
        <w:t>Financial reporting</w:t>
      </w:r>
      <w:r w:rsidRPr="00272D80">
        <w:t xml:space="preserve">: </w:t>
      </w:r>
      <w:r w:rsidR="00AC5B3D" w:rsidRPr="00272D80">
        <w:t xml:space="preserve">Ensuring we have accurate financial reporting from our delivery partners is an important component of effective grant management. During year 1 of delivery with FOA, it became clear that agreed milestones for progress reporting were not aligned with FOA’s internal financial reporting mechanism, this meant that Defra did not always receive final/audited financial information. This made it particularly tricky to understand the full extent of FOA’s financial position and underspend, and to make effective decisions on how to manage this. </w:t>
      </w:r>
    </w:p>
    <w:p w14:paraId="038D7F99" w14:textId="3E19A318" w:rsidR="00AC5B3D" w:rsidRPr="00272D80" w:rsidRDefault="00617412" w:rsidP="001F5279">
      <w:pPr>
        <w:pStyle w:val="ListParagraph"/>
        <w:numPr>
          <w:ilvl w:val="0"/>
          <w:numId w:val="45"/>
        </w:numPr>
        <w:jc w:val="both"/>
      </w:pPr>
      <w:r w:rsidRPr="00A300A7">
        <w:rPr>
          <w:b/>
          <w:bCs/>
        </w:rPr>
        <w:t>E</w:t>
      </w:r>
      <w:r w:rsidR="00124145" w:rsidRPr="00A300A7">
        <w:rPr>
          <w:b/>
          <w:bCs/>
        </w:rPr>
        <w:t>vidence for payments</w:t>
      </w:r>
      <w:r w:rsidR="00124145" w:rsidRPr="00272D80">
        <w:t xml:space="preserve">: </w:t>
      </w:r>
      <w:r w:rsidR="00AC5B3D" w:rsidRPr="00272D80">
        <w:t>During year 1 of delivery with FOA, payments were linked to evidence provided through progress meetings. Though this was an effective method of ensuring progress, an improvement would be to ensure we utilise a more comprehensive range of evidence for payments, for example utilising evidence of individual outputs (e.g. reports sent via email, links to websites, email update on a particular event). We should also work with FOA to ensure that there is an agreed timeline for outputs for each project.</w:t>
      </w:r>
    </w:p>
    <w:p w14:paraId="6664C88D" w14:textId="78929493" w:rsidR="00AC5B3D" w:rsidRPr="00272D80" w:rsidRDefault="00CD4342" w:rsidP="001F5279">
      <w:pPr>
        <w:pStyle w:val="ListParagraph"/>
        <w:numPr>
          <w:ilvl w:val="0"/>
          <w:numId w:val="45"/>
        </w:numPr>
        <w:spacing w:before="240" w:after="0"/>
        <w:jc w:val="both"/>
      </w:pPr>
      <w:r w:rsidRPr="00272D80">
        <w:rPr>
          <w:b/>
          <w:bCs/>
        </w:rPr>
        <w:t>Technical communication</w:t>
      </w:r>
      <w:r w:rsidR="00124145" w:rsidRPr="00272D80">
        <w:t xml:space="preserve">: </w:t>
      </w:r>
      <w:r w:rsidR="00AC5B3D" w:rsidRPr="00272D80">
        <w:t>Effective communication with stakeholders is key to successful programming. Due to the nature of the OCPP and its emphasis on science activities/deliverables are often highly technical. This was particularly the case for GOAP. Whilst GOAP’s deliverables were generally highly regarded by partner country governments, at times the language used when communicating them was relatively inaccessible, making communication to a wider audience challenging.</w:t>
      </w:r>
    </w:p>
    <w:p w14:paraId="436EBD5D" w14:textId="2A5AC8D5" w:rsidR="00AC5B3D" w:rsidRPr="00272D80" w:rsidRDefault="009B5972" w:rsidP="001F5279">
      <w:pPr>
        <w:pStyle w:val="ListParagraph"/>
        <w:numPr>
          <w:ilvl w:val="0"/>
          <w:numId w:val="45"/>
        </w:numPr>
        <w:spacing w:before="240" w:after="0"/>
        <w:jc w:val="both"/>
      </w:pPr>
      <w:r w:rsidRPr="00272D80">
        <w:rPr>
          <w:b/>
          <w:bCs/>
        </w:rPr>
        <w:t>Maximising impact</w:t>
      </w:r>
      <w:r w:rsidR="00124145" w:rsidRPr="00272D80">
        <w:t xml:space="preserve">: </w:t>
      </w:r>
      <w:r w:rsidR="00AC5B3D" w:rsidRPr="00272D80">
        <w:t xml:space="preserve">There was occasionally a tension between overall priority geographies for the BPF/OCPP and specific </w:t>
      </w:r>
      <w:r w:rsidR="00AC5B3D" w:rsidRPr="00272D80">
        <w:rPr>
          <w:i/>
          <w:iCs/>
        </w:rPr>
        <w:t>potential</w:t>
      </w:r>
      <w:r w:rsidR="00AC5B3D" w:rsidRPr="00272D80">
        <w:t xml:space="preserve"> priority geographies for discreet aspects of the programme. For example, GOAP presented Defra with the option of delivering an additional pilot in either Kenya or South Africa. Whilst GOAP’s advice was that South Africa would be preferable from an ocean accounting perspective, the eventual decision was to prioritise Kenya </w:t>
      </w:r>
      <w:proofErr w:type="gramStart"/>
      <w:r w:rsidR="00AC5B3D" w:rsidRPr="00272D80">
        <w:t>in order to</w:t>
      </w:r>
      <w:proofErr w:type="gramEnd"/>
      <w:r w:rsidR="00AC5B3D" w:rsidRPr="00272D80">
        <w:t xml:space="preserve"> align more closely with overall BPF priority geographies. This tension should continue to be monitored to ensure we are maximising impact of all activities whilst delivering on ministerially agreed priority geographies.</w:t>
      </w:r>
    </w:p>
    <w:p w14:paraId="0A636118" w14:textId="77777777" w:rsidR="00AC5B3D" w:rsidRPr="00272D80" w:rsidRDefault="00AC5B3D" w:rsidP="00AC5B3D">
      <w:pPr>
        <w:pStyle w:val="Heading3"/>
      </w:pPr>
      <w:bookmarkStart w:id="5" w:name="_Toc117669030"/>
      <w:r w:rsidRPr="00272D80">
        <w:t>Recommendations</w:t>
      </w:r>
      <w:bookmarkEnd w:id="5"/>
    </w:p>
    <w:p w14:paraId="21909410" w14:textId="0ADCF13A" w:rsidR="00AC5B3D" w:rsidRPr="00272D80" w:rsidRDefault="00FB6509" w:rsidP="00AC5B3D">
      <w:pPr>
        <w:pStyle w:val="ListParagraph"/>
        <w:numPr>
          <w:ilvl w:val="0"/>
          <w:numId w:val="21"/>
        </w:numPr>
        <w:jc w:val="both"/>
      </w:pPr>
      <w:r w:rsidRPr="00A300A7">
        <w:rPr>
          <w:b/>
          <w:bCs/>
        </w:rPr>
        <w:t>Retain demand-led approach but seek opportunities in a more propositional manner</w:t>
      </w:r>
      <w:r w:rsidRPr="00272D80">
        <w:rPr>
          <w:b/>
          <w:bCs/>
        </w:rPr>
        <w:t>:</w:t>
      </w:r>
      <w:r w:rsidRPr="00272D80">
        <w:t xml:space="preserve">​ </w:t>
      </w:r>
      <w:r w:rsidR="00AC5B3D" w:rsidRPr="00272D80">
        <w:t>The OCPP should retain its demand-led approach and continue to emphasise engagement with partner governments and wider in-country stakeholders. Opportunities should be sought, however, to be more propositional in terms of activities and interventions once assessments of demand have been established and can inform those propositions. This should increase efficiency and allow the programme to deliver greater impact by responding to in-country demands more quickly and leveraging the expertise of delivery partners and partner countries to the greatest extent.</w:t>
      </w:r>
    </w:p>
    <w:p w14:paraId="428CE215" w14:textId="552E84BD" w:rsidR="00AC5B3D" w:rsidRPr="00272D80" w:rsidRDefault="00FB6509" w:rsidP="00AC5B3D">
      <w:pPr>
        <w:pStyle w:val="ListParagraph"/>
        <w:numPr>
          <w:ilvl w:val="0"/>
          <w:numId w:val="21"/>
        </w:numPr>
        <w:jc w:val="both"/>
      </w:pPr>
      <w:r w:rsidRPr="00A300A7">
        <w:rPr>
          <w:b/>
          <w:bCs/>
        </w:rPr>
        <w:t>Seek opportunities to support other BPF programme through OCPP bilateral engagements, travel, meetings and connections</w:t>
      </w:r>
      <w:r w:rsidRPr="00272D80">
        <w:t xml:space="preserve">: </w:t>
      </w:r>
      <w:r w:rsidR="00AC5B3D" w:rsidRPr="00272D80">
        <w:t xml:space="preserve">As more BPF programmes come online opportunities should be sought to use OCPP engagements, including travel, remote meetings and connections established through the programme, for the benefit of BPF programmes, as well </w:t>
      </w:r>
      <w:r w:rsidR="00AC5B3D" w:rsidRPr="00272D80">
        <w:lastRenderedPageBreak/>
        <w:t xml:space="preserve">as wider UK initiatives. This should increase the coherence of the UK offer to partner countries, help alleviate issues associated with in-country demand exceeding the OCPP’s scope and have wider efficiency benefits. There is also a need to ensure engagement is timed appropriately with that through wider BPF and other UK programmes, particularly when engaging regionally. </w:t>
      </w:r>
    </w:p>
    <w:p w14:paraId="31CA2947" w14:textId="77D76FEA" w:rsidR="00AC5B3D" w:rsidRPr="00272D80" w:rsidRDefault="00FB6509" w:rsidP="00AC5B3D">
      <w:pPr>
        <w:pStyle w:val="ListParagraph"/>
        <w:numPr>
          <w:ilvl w:val="0"/>
          <w:numId w:val="21"/>
        </w:numPr>
        <w:jc w:val="both"/>
      </w:pPr>
      <w:r w:rsidRPr="00A300A7">
        <w:rPr>
          <w:b/>
          <w:bCs/>
        </w:rPr>
        <w:t xml:space="preserve">Contextual review within the BPF portfolio </w:t>
      </w:r>
      <w:r w:rsidRPr="00272D80">
        <w:t xml:space="preserve">​: </w:t>
      </w:r>
      <w:r w:rsidR="00AC5B3D" w:rsidRPr="00272D80">
        <w:t xml:space="preserve">As more </w:t>
      </w:r>
      <w:r w:rsidR="00B970D9" w:rsidRPr="00272D80">
        <w:t xml:space="preserve">BPF </w:t>
      </w:r>
      <w:r w:rsidR="00AC5B3D" w:rsidRPr="00272D80">
        <w:t>programmes come online the OCPP should be reviewed within the context of the wider BPF portfolio to ensure that there is coherence at the fund level and clear additionality for each programme. This should take place by the end of the 22/23 UK financial year, with recommendations implemented and reported on in the next annual review.</w:t>
      </w:r>
    </w:p>
    <w:p w14:paraId="339E66FB" w14:textId="03D65AC9" w:rsidR="00AC5B3D" w:rsidRPr="00272D80" w:rsidRDefault="00FB6509" w:rsidP="00AC5B3D">
      <w:pPr>
        <w:pStyle w:val="ListParagraph"/>
        <w:numPr>
          <w:ilvl w:val="0"/>
          <w:numId w:val="21"/>
        </w:numPr>
        <w:jc w:val="both"/>
      </w:pPr>
      <w:r w:rsidRPr="00A300A7">
        <w:rPr>
          <w:rFonts w:ascii="Calibri" w:hAnsi="Calibri" w:cs="Calibri"/>
          <w:b/>
          <w:bCs/>
          <w:shd w:val="clear" w:color="auto" w:fill="FFFFFF"/>
        </w:rPr>
        <w:t>Permanent integration of FOA &amp; GOAP</w:t>
      </w:r>
      <w:r w:rsidRPr="00A300A7">
        <w:rPr>
          <w:rFonts w:ascii="Calibri" w:hAnsi="Calibri" w:cs="Calibri"/>
          <w:shd w:val="clear" w:color="auto" w:fill="FFFFFF"/>
        </w:rPr>
        <w:t>​</w:t>
      </w:r>
      <w:r w:rsidRPr="00A300A7">
        <w:t>:</w:t>
      </w:r>
      <w:r w:rsidRPr="00272D80">
        <w:t xml:space="preserve"> </w:t>
      </w:r>
      <w:r w:rsidR="00AC5B3D" w:rsidRPr="00272D80">
        <w:t>The integration of GOAP and FOA into the OCPP should be made permanent and further opportunities to align their approaches with the bilateral component of the programme identified. For example, country prioritisation for pilot projects should be informed by OCPP partnerships and wider geographic priorities, and opportunities should be sought to disseminate knowledge products produced by GOAP and FOA in OCPP partner countries.</w:t>
      </w:r>
    </w:p>
    <w:p w14:paraId="5EE16B05" w14:textId="19D5DCDD" w:rsidR="00AC5B3D" w:rsidRPr="00272D80" w:rsidRDefault="00FB6509" w:rsidP="00AC5B3D">
      <w:pPr>
        <w:pStyle w:val="ListParagraph"/>
        <w:numPr>
          <w:ilvl w:val="0"/>
          <w:numId w:val="21"/>
        </w:numPr>
        <w:jc w:val="both"/>
      </w:pPr>
      <w:r w:rsidRPr="00A300A7">
        <w:rPr>
          <w:b/>
          <w:bCs/>
        </w:rPr>
        <w:t>Dedicated MEL provider to be brought in by start of FY23/24</w:t>
      </w:r>
      <w:r w:rsidRPr="00272D80">
        <w:t xml:space="preserve">​: </w:t>
      </w:r>
      <w:r w:rsidR="00AC5B3D" w:rsidRPr="00272D80">
        <w:t>A dedicated monitoring, evaluation and learning (MEL) provider for the programme should be appointed and managed by Defra. Whilst the Defra programme team and delivery partners have made progress on MEL planning, the number of different delivery partners, country partnerships and components of the programme indicate the need for a dedicated MEL provider with responsibility across the different elements of the programme. This should be in place by the start of the 23/24 UK financial year.</w:t>
      </w:r>
    </w:p>
    <w:p w14:paraId="08D395BB" w14:textId="2D0B3AE3" w:rsidR="00AC5B3D" w:rsidRPr="00272D80" w:rsidRDefault="00FB6509" w:rsidP="00AC5B3D">
      <w:pPr>
        <w:pStyle w:val="ListParagraph"/>
        <w:numPr>
          <w:ilvl w:val="0"/>
          <w:numId w:val="21"/>
        </w:numPr>
        <w:jc w:val="both"/>
      </w:pPr>
      <w:r w:rsidRPr="00A300A7">
        <w:rPr>
          <w:b/>
          <w:bCs/>
        </w:rPr>
        <w:t xml:space="preserve">Clearer </w:t>
      </w:r>
      <w:r w:rsidR="002441C6" w:rsidRPr="00A300A7">
        <w:rPr>
          <w:b/>
          <w:bCs/>
        </w:rPr>
        <w:t xml:space="preserve">governance </w:t>
      </w:r>
      <w:r w:rsidRPr="00A300A7">
        <w:rPr>
          <w:b/>
          <w:bCs/>
        </w:rPr>
        <w:t>between Defra as donor and agencies as delivery partners</w:t>
      </w:r>
      <w:r w:rsidRPr="00272D80">
        <w:t xml:space="preserve">: </w:t>
      </w:r>
      <w:r w:rsidR="00AC5B3D" w:rsidRPr="00272D80">
        <w:t>The bilateral component of the OCPP should continue to include delivery through UK government agencies given their unique expertise in marine science and management and the traction this has already generated with several partner countries, but with a clearer distinction between Defra as the donor and agencies as delivery partners. These include the governance structure and mechanism for providing funding, which should more closely follow the intended approach where funding is closely tied to delivery of pre-agreed milestones. This aim was initially challenging due to the desire of the programme to be genuinely demand-led by partner countries, but should be possible as the programme matures, assessments of demand are conducted and relationships with partner countries established. This should also speed up decision-making by facilitating more delegated authority.</w:t>
      </w:r>
      <w:r w:rsidR="00AC5B3D" w:rsidRPr="00272D80">
        <w:rPr>
          <w:rFonts w:ascii="Calibri" w:eastAsia="Calibri" w:hAnsi="Calibri" w:cs="Calibri"/>
          <w:i/>
          <w:iCs/>
          <w:color w:val="7030A0"/>
        </w:rPr>
        <w:t xml:space="preserve"> </w:t>
      </w:r>
      <w:r w:rsidR="00AC5B3D" w:rsidRPr="00272D80">
        <w:rPr>
          <w:rFonts w:ascii="Calibri" w:eastAsia="Calibri" w:hAnsi="Calibri" w:cs="Calibri"/>
        </w:rPr>
        <w:t>There should also be stronger coordination between the programme’s ALB delivery partners, including a dedicated senior oversight role sitting within a pre-agreed ALB but with responsibility across all 3. This role should be reflected in that ALB’s annual workplan.</w:t>
      </w:r>
    </w:p>
    <w:p w14:paraId="68F2232F" w14:textId="733B2A2F" w:rsidR="0024386A" w:rsidRPr="00272D80" w:rsidRDefault="00FB6509" w:rsidP="0024386A">
      <w:pPr>
        <w:pStyle w:val="ListParagraph"/>
        <w:numPr>
          <w:ilvl w:val="0"/>
          <w:numId w:val="21"/>
        </w:numPr>
        <w:jc w:val="both"/>
      </w:pPr>
      <w:r w:rsidRPr="00A300A7">
        <w:rPr>
          <w:b/>
          <w:bCs/>
        </w:rPr>
        <w:t>Broaden UK science expertise offer</w:t>
      </w:r>
      <w:r w:rsidRPr="00272D80">
        <w:t xml:space="preserve">: </w:t>
      </w:r>
      <w:r w:rsidR="007F227F" w:rsidRPr="00272D80">
        <w:t>Opportunities should be sought to</w:t>
      </w:r>
      <w:r w:rsidR="0024386A" w:rsidRPr="00272D80">
        <w:t xml:space="preserve"> expand the programme to include broader </w:t>
      </w:r>
      <w:r w:rsidR="007F227F" w:rsidRPr="00272D80">
        <w:t>scientific</w:t>
      </w:r>
      <w:r w:rsidR="0024386A" w:rsidRPr="00272D80">
        <w:t xml:space="preserve"> expertise</w:t>
      </w:r>
      <w:r w:rsidR="007F227F" w:rsidRPr="00272D80">
        <w:t xml:space="preserve"> besides that held by the current delivery partners</w:t>
      </w:r>
      <w:r w:rsidR="0024386A" w:rsidRPr="00272D80">
        <w:t xml:space="preserve">, for example </w:t>
      </w:r>
      <w:r w:rsidR="007F227F" w:rsidRPr="00272D80">
        <w:t xml:space="preserve">via </w:t>
      </w:r>
      <w:r w:rsidR="0024386A" w:rsidRPr="00272D80">
        <w:t>academic institutions lead</w:t>
      </w:r>
      <w:r w:rsidR="00491E7C" w:rsidRPr="00272D80">
        <w:t>ing</w:t>
      </w:r>
      <w:r w:rsidR="0024386A" w:rsidRPr="00272D80">
        <w:t xml:space="preserve"> and provid</w:t>
      </w:r>
      <w:r w:rsidR="00491E7C" w:rsidRPr="00272D80">
        <w:t>ing</w:t>
      </w:r>
      <w:r w:rsidR="0024386A" w:rsidRPr="00272D80">
        <w:t xml:space="preserve"> specific expertise</w:t>
      </w:r>
      <w:r w:rsidR="001E24ED" w:rsidRPr="00272D80">
        <w:t xml:space="preserve"> on a demand-driven basis</w:t>
      </w:r>
      <w:r w:rsidR="0024386A" w:rsidRPr="00272D80">
        <w:t>.</w:t>
      </w:r>
      <w:r w:rsidR="002541AE" w:rsidRPr="00272D80">
        <w:t xml:space="preserve"> Expertise from other UK institutions </w:t>
      </w:r>
      <w:r w:rsidR="00EF436E" w:rsidRPr="00272D80">
        <w:t>c</w:t>
      </w:r>
      <w:r w:rsidR="002541AE" w:rsidRPr="00272D80">
        <w:t xml:space="preserve">ould be </w:t>
      </w:r>
      <w:r w:rsidR="00EF436E" w:rsidRPr="00272D80">
        <w:t>utilised</w:t>
      </w:r>
      <w:r w:rsidR="002541AE" w:rsidRPr="00272D80">
        <w:t xml:space="preserve"> to support countr</w:t>
      </w:r>
      <w:r w:rsidR="001B1C8A" w:rsidRPr="00272D80">
        <w:t>y</w:t>
      </w:r>
      <w:r w:rsidR="002541AE" w:rsidRPr="00272D80">
        <w:t xml:space="preserve"> priorities</w:t>
      </w:r>
      <w:r w:rsidR="00633016" w:rsidRPr="00272D80">
        <w:t xml:space="preserve">, in partnership </w:t>
      </w:r>
      <w:r w:rsidR="00E55CFC" w:rsidRPr="00272D80">
        <w:t>with</w:t>
      </w:r>
      <w:r w:rsidR="00633016" w:rsidRPr="00272D80">
        <w:t xml:space="preserve"> local institutions (see below).</w:t>
      </w:r>
    </w:p>
    <w:p w14:paraId="3823E487" w14:textId="16D88611" w:rsidR="00AC5B3D" w:rsidRPr="00272D80" w:rsidRDefault="00FB6509" w:rsidP="00AC5B3D">
      <w:pPr>
        <w:pStyle w:val="ListParagraph"/>
        <w:numPr>
          <w:ilvl w:val="0"/>
          <w:numId w:val="21"/>
        </w:numPr>
        <w:jc w:val="both"/>
        <w:rPr>
          <w:color w:val="C00000"/>
        </w:rPr>
      </w:pPr>
      <w:r w:rsidRPr="00A300A7">
        <w:rPr>
          <w:b/>
          <w:bCs/>
        </w:rPr>
        <w:t>Greater emphasis on local/in-country delivery</w:t>
      </w:r>
      <w:r w:rsidRPr="00272D80">
        <w:t xml:space="preserve">: </w:t>
      </w:r>
      <w:r w:rsidR="00AC5B3D" w:rsidRPr="00272D80">
        <w:t>As the programme expands, more emphasis should be placed on delivery through local/in-country organisations</w:t>
      </w:r>
      <w:r w:rsidR="003214F3" w:rsidRPr="00272D80">
        <w:t>.</w:t>
      </w:r>
      <w:r w:rsidR="00AC5B3D" w:rsidRPr="00272D80">
        <w:t xml:space="preserve"> </w:t>
      </w:r>
      <w:r w:rsidR="001E24ED" w:rsidRPr="00272D80">
        <w:t>In-country institutions should be equal or</w:t>
      </w:r>
      <w:r w:rsidR="000213AC" w:rsidRPr="00272D80">
        <w:t xml:space="preserve"> </w:t>
      </w:r>
      <w:r w:rsidR="001E24ED" w:rsidRPr="00272D80">
        <w:t>lead partner</w:t>
      </w:r>
      <w:r w:rsidR="000213AC" w:rsidRPr="00272D80">
        <w:t>s</w:t>
      </w:r>
      <w:r w:rsidR="001E24ED" w:rsidRPr="00272D80">
        <w:t xml:space="preserve">, </w:t>
      </w:r>
      <w:r w:rsidR="000213AC" w:rsidRPr="00272D80">
        <w:t>to</w:t>
      </w:r>
      <w:r w:rsidR="00AC5B3D" w:rsidRPr="00272D80">
        <w:t xml:space="preserve"> </w:t>
      </w:r>
      <w:r w:rsidR="003214F3" w:rsidRPr="00272D80">
        <w:t xml:space="preserve">help </w:t>
      </w:r>
      <w:r w:rsidR="00427EE4" w:rsidRPr="00272D80">
        <w:t>address</w:t>
      </w:r>
      <w:r w:rsidR="003214F3" w:rsidRPr="00272D80">
        <w:t xml:space="preserve"> power imbalances</w:t>
      </w:r>
      <w:r w:rsidR="000213AC" w:rsidRPr="00272D80">
        <w:t>,</w:t>
      </w:r>
      <w:r w:rsidR="003214F3" w:rsidRPr="00272D80">
        <w:t xml:space="preserve"> drive equitable partnerships </w:t>
      </w:r>
      <w:r w:rsidR="006D08DA" w:rsidRPr="00272D80">
        <w:t>and</w:t>
      </w:r>
      <w:r w:rsidR="003214F3" w:rsidRPr="00272D80">
        <w:t xml:space="preserve"> </w:t>
      </w:r>
      <w:r w:rsidR="00AC5B3D" w:rsidRPr="00272D80">
        <w:t>enhance local ownership of the programme</w:t>
      </w:r>
      <w:r w:rsidR="001F603A" w:rsidRPr="00272D80">
        <w:t xml:space="preserve">. </w:t>
      </w:r>
      <w:r w:rsidR="00AC5B3D" w:rsidRPr="00272D80">
        <w:t xml:space="preserve">Organisations delivering on the bilateral component of the programme including UK government agencies should set a target for </w:t>
      </w:r>
      <w:r w:rsidR="003214F3" w:rsidRPr="00272D80">
        <w:t>local delivery</w:t>
      </w:r>
      <w:r w:rsidR="00AC5B3D" w:rsidRPr="00272D80">
        <w:t xml:space="preserve"> as a proportion of their budget for the programme. This should be developed </w:t>
      </w:r>
      <w:r w:rsidR="00AC5B3D" w:rsidRPr="00272D80">
        <w:lastRenderedPageBreak/>
        <w:t>and agreed by the end of the current UK financial year and reported on in future annual reviews of the programme.</w:t>
      </w:r>
    </w:p>
    <w:p w14:paraId="6E157305" w14:textId="22DEE704" w:rsidR="00663EF9" w:rsidRPr="00272D80" w:rsidRDefault="0061110B" w:rsidP="00663EF9">
      <w:pPr>
        <w:pStyle w:val="ListParagraph"/>
        <w:numPr>
          <w:ilvl w:val="0"/>
          <w:numId w:val="21"/>
        </w:numPr>
        <w:jc w:val="both"/>
      </w:pPr>
      <w:r w:rsidRPr="00A300A7">
        <w:rPr>
          <w:b/>
          <w:bCs/>
        </w:rPr>
        <w:t>Clearer financial reporting, alongside a timeline for output and outcome monitoring</w:t>
      </w:r>
      <w:r w:rsidRPr="00272D80">
        <w:t xml:space="preserve">: </w:t>
      </w:r>
      <w:r w:rsidR="00AC5B3D" w:rsidRPr="00272D80">
        <w:t>To ensure we have a current and approved financial picture for FOA we should align our quarterly reporting schedule with FOA’s financial reporting schedule. This will allow for more effective decision making on underspend (already in place for Y2). FOA should ensure Defra are aware of any financial issues, including underspend, as soon as possible. Defra should also work with FOA to agree a timeline of outputs for each project, outputs should be sent to Defra with an explanation of relevant activities and intended outcomes. Outputs should be utilised by Defra as evidence for scheduled payments.</w:t>
      </w:r>
    </w:p>
    <w:p w14:paraId="0AB3658F" w14:textId="66D98129" w:rsidR="00AC5B3D" w:rsidRDefault="005F0226" w:rsidP="00663EF9">
      <w:pPr>
        <w:pStyle w:val="ListParagraph"/>
        <w:numPr>
          <w:ilvl w:val="0"/>
          <w:numId w:val="21"/>
        </w:numPr>
        <w:jc w:val="both"/>
      </w:pPr>
      <w:r w:rsidRPr="00A300A7">
        <w:rPr>
          <w:b/>
          <w:bCs/>
        </w:rPr>
        <w:t>C</w:t>
      </w:r>
      <w:r w:rsidR="0061110B" w:rsidRPr="00A300A7">
        <w:rPr>
          <w:b/>
          <w:bCs/>
        </w:rPr>
        <w:t>ollaborative country selection</w:t>
      </w:r>
      <w:r w:rsidR="0061110B" w:rsidRPr="00272D80">
        <w:t xml:space="preserve">: </w:t>
      </w:r>
      <w:r w:rsidR="00AC5B3D" w:rsidRPr="00272D80">
        <w:t>To ensure effective communication we encourage GOAP to consider using more accessible language, particularly when communicating technical outputs to a wide audience. Defra and GOAP should</w:t>
      </w:r>
      <w:r w:rsidR="00AC5B3D" w:rsidRPr="2BC8C7EE">
        <w:t xml:space="preserve"> </w:t>
      </w:r>
      <w:r w:rsidR="00AC5B3D">
        <w:t>undertake a robust analysis to carefully</w:t>
      </w:r>
      <w:r w:rsidR="00AC5B3D" w:rsidRPr="2BC8C7EE">
        <w:t xml:space="preserve"> select countries for </w:t>
      </w:r>
      <w:r w:rsidR="00E55CFC" w:rsidRPr="2BC8C7EE">
        <w:t>delivery and</w:t>
      </w:r>
      <w:r w:rsidR="00AC5B3D" w:rsidRPr="2BC8C7EE">
        <w:t xml:space="preserve"> work together to reach an agreed consensus on developing partnerships. </w:t>
      </w:r>
      <w:r w:rsidR="00AC5B3D">
        <w:t xml:space="preserve">The </w:t>
      </w:r>
      <w:r w:rsidR="00AC5B3D" w:rsidRPr="2BC8C7EE">
        <w:t xml:space="preserve">Defra </w:t>
      </w:r>
      <w:r w:rsidR="00AC5B3D">
        <w:t>programme team will</w:t>
      </w:r>
      <w:r w:rsidR="00AC5B3D" w:rsidRPr="2BC8C7EE">
        <w:t xml:space="preserve"> work closely with GOAP and </w:t>
      </w:r>
      <w:r w:rsidR="00AC5B3D">
        <w:t>Defra’s c</w:t>
      </w:r>
      <w:r w:rsidR="00AC5B3D" w:rsidRPr="2BC8C7EE">
        <w:t xml:space="preserve">ommercial team </w:t>
      </w:r>
      <w:r w:rsidR="00AC5B3D">
        <w:t xml:space="preserve">to </w:t>
      </w:r>
      <w:r w:rsidR="00AC5B3D" w:rsidRPr="2BC8C7EE">
        <w:t xml:space="preserve">ensure that deadlines are met and </w:t>
      </w:r>
      <w:r w:rsidR="00AC5B3D">
        <w:t xml:space="preserve">to </w:t>
      </w:r>
      <w:r w:rsidR="00AC5B3D" w:rsidRPr="2BC8C7EE">
        <w:t xml:space="preserve">prevent delays to delivery. </w:t>
      </w:r>
    </w:p>
    <w:p w14:paraId="1F4BD307" w14:textId="77777777" w:rsidR="00AC5B3D" w:rsidRDefault="00AC5B3D" w:rsidP="00AC5B3D">
      <w:pPr>
        <w:rPr>
          <w:rFonts w:asciiTheme="majorHAnsi" w:eastAsiaTheme="majorEastAsia" w:hAnsiTheme="majorHAnsi" w:cstheme="majorBidi"/>
          <w:color w:val="2F5496" w:themeColor="accent1" w:themeShade="BF"/>
          <w:sz w:val="32"/>
          <w:szCs w:val="32"/>
        </w:rPr>
      </w:pPr>
      <w:r>
        <w:br w:type="page"/>
      </w:r>
    </w:p>
    <w:p w14:paraId="3AEB703C" w14:textId="77777777" w:rsidR="00AC5B3D" w:rsidRDefault="00AC5B3D" w:rsidP="00AC5B3D">
      <w:pPr>
        <w:pStyle w:val="Heading1"/>
      </w:pPr>
      <w:bookmarkStart w:id="6" w:name="_Toc117669031"/>
      <w:r w:rsidRPr="00BF148D">
        <w:lastRenderedPageBreak/>
        <w:t>Section B – progress review</w:t>
      </w:r>
      <w:bookmarkEnd w:id="6"/>
    </w:p>
    <w:p w14:paraId="753D8C94" w14:textId="77777777" w:rsidR="00AC5B3D" w:rsidRPr="003B7737" w:rsidRDefault="00AC5B3D" w:rsidP="00AC5B3D">
      <w:pPr>
        <w:pStyle w:val="Heading2"/>
        <w:rPr>
          <w:i/>
          <w:iCs/>
          <w:color w:val="ED7D31" w:themeColor="accent2"/>
        </w:rPr>
      </w:pPr>
      <w:bookmarkStart w:id="7" w:name="_Toc117669032"/>
      <w:r w:rsidRPr="003B7737">
        <w:t>B1.1 Summary</w:t>
      </w:r>
      <w:bookmarkEnd w:id="7"/>
    </w:p>
    <w:p w14:paraId="5547015A" w14:textId="77777777" w:rsidR="00AC5B3D" w:rsidRPr="003B7737" w:rsidRDefault="00AC5B3D" w:rsidP="00AC5B3D">
      <w:pPr>
        <w:spacing w:before="240"/>
        <w:jc w:val="both"/>
      </w:pPr>
      <w:r w:rsidRPr="003B7737">
        <w:t>Over the past year OCPP has been in its inception phase, testing approaches, developing the delivery model for scale up of the programme, and learning from early scoping and delivery of activities in a suite of countries which the programme inherited from one of its predecessors</w:t>
      </w:r>
      <w:r>
        <w:t>,</w:t>
      </w:r>
      <w:r w:rsidRPr="003B7737">
        <w:t xml:space="preserve"> the Commonwealth Litter Programme (CLiP), which worked in partnership with 7 countries across the Commonwealth between 2018 and 2021 to identify solutions to challenges associated with marine litter. </w:t>
      </w:r>
      <w:r>
        <w:t>T</w:t>
      </w:r>
      <w:r w:rsidRPr="003B7737">
        <w:t>he programme has provided additional support to partner countries and funded the development and dissemination of global public goods through GOAP and FOA.</w:t>
      </w:r>
    </w:p>
    <w:p w14:paraId="200BAFA4" w14:textId="77777777" w:rsidR="00AC5B3D" w:rsidRPr="003B7737" w:rsidRDefault="00AC5B3D" w:rsidP="00AC5B3D">
      <w:pPr>
        <w:spacing w:before="240"/>
        <w:jc w:val="both"/>
      </w:pPr>
      <w:r>
        <w:t>P</w:t>
      </w:r>
      <w:r w:rsidRPr="003B7737">
        <w:t xml:space="preserve">rogress has been achieved in establishing the programme and preparing it to scale up over time and meet </w:t>
      </w:r>
      <w:r>
        <w:t>its</w:t>
      </w:r>
      <w:r w:rsidRPr="003B7737">
        <w:t xml:space="preserve"> </w:t>
      </w:r>
      <w:r>
        <w:t>objectives</w:t>
      </w:r>
      <w:r w:rsidRPr="003B7737">
        <w:t>. A</w:t>
      </w:r>
      <w:r>
        <w:t xml:space="preserve">n </w:t>
      </w:r>
      <w:r w:rsidRPr="003B7737">
        <w:t xml:space="preserve">OCPP programme management team has been established, </w:t>
      </w:r>
      <w:r>
        <w:t>consisting</w:t>
      </w:r>
      <w:r w:rsidRPr="003B7737">
        <w:t xml:space="preserve"> of 5 full-time members of staff drawn from the Defra international marine team in London</w:t>
      </w:r>
      <w:r>
        <w:t>. T</w:t>
      </w:r>
      <w:r w:rsidRPr="003B7737">
        <w:t>he wider Defra international marine team, the FCDO BPF team and British Embassies and High Commissions overseas in partner countries</w:t>
      </w:r>
      <w:r>
        <w:t xml:space="preserve"> provide </w:t>
      </w:r>
      <w:r w:rsidRPr="003B7737">
        <w:t>additional support.</w:t>
      </w:r>
    </w:p>
    <w:p w14:paraId="7B5DE72A" w14:textId="0487DC89" w:rsidR="00AC5B3D" w:rsidRDefault="00AC5B3D" w:rsidP="00AC5B3D">
      <w:pPr>
        <w:spacing w:before="240"/>
        <w:jc w:val="both"/>
      </w:pPr>
      <w:r>
        <w:t>S</w:t>
      </w:r>
      <w:r w:rsidRPr="003B7737">
        <w:t>coping for the bilateral component delivered by Cefas, JNCC and MMO took place in Bangladesh, Belize, India, Maldives, South Africa, Sri Lanka and Vanuatu, with additional smaller-scale pilot projects delivered through GOAP and/or FOA in Fiji, Indonesia, Kenya, Mozambique, Namibia, South Africa, and Vietnam.</w:t>
      </w:r>
      <w:r>
        <w:t xml:space="preserve"> </w:t>
      </w:r>
      <w:r w:rsidRPr="003B7737">
        <w:t xml:space="preserve">Scoping varied </w:t>
      </w:r>
      <w:r>
        <w:t xml:space="preserve">by </w:t>
      </w:r>
      <w:r w:rsidRPr="003B7737">
        <w:t xml:space="preserve">country, largely </w:t>
      </w:r>
      <w:r>
        <w:t>due to</w:t>
      </w:r>
      <w:r w:rsidRPr="003B7737">
        <w:t xml:space="preserve"> differing capacities to meet or engage virtually, often exacerbated by Covid-19 related travel restrictions which changed substantially during the year, as well as the impact this had on partner governments’ priorities and ability to engage. In 3 countries – Belize,</w:t>
      </w:r>
      <w:r w:rsidR="00E55CFC">
        <w:t xml:space="preserve"> </w:t>
      </w:r>
      <w:r w:rsidRPr="003B7737">
        <w:t xml:space="preserve">Maldives and Sri Lanka – Defra and delivery partners were able to visit towards the </w:t>
      </w:r>
      <w:r>
        <w:t>end</w:t>
      </w:r>
      <w:r w:rsidRPr="003B7737">
        <w:t xml:space="preserve"> of the year</w:t>
      </w:r>
      <w:r>
        <w:t xml:space="preserve">, </w:t>
      </w:r>
      <w:r w:rsidRPr="003B7737">
        <w:t>undertak</w:t>
      </w:r>
      <w:r>
        <w:t>ing</w:t>
      </w:r>
      <w:r w:rsidRPr="003B7737">
        <w:t xml:space="preserve"> in-person introductory meetings with ministries and stakeholders, generating buy-in </w:t>
      </w:r>
      <w:r>
        <w:t>and increasing the effectiveness of</w:t>
      </w:r>
      <w:r w:rsidRPr="003B7737">
        <w:t xml:space="preserve"> subsequent virtual engagement and scoping. In Bangladesh, India, South Africa and Vanuatu</w:t>
      </w:r>
      <w:r>
        <w:t>,</w:t>
      </w:r>
      <w:r w:rsidRPr="003B7737">
        <w:t xml:space="preserve"> engagement and scoping </w:t>
      </w:r>
      <w:r w:rsidR="00E55CFC" w:rsidRPr="003B7737">
        <w:t>were</w:t>
      </w:r>
      <w:r w:rsidRPr="003B7737">
        <w:t xml:space="preserve"> entirely remote.</w:t>
      </w:r>
    </w:p>
    <w:p w14:paraId="5C7A2620" w14:textId="30BA9EA9" w:rsidR="00AC5B3D" w:rsidRPr="003B7737" w:rsidRDefault="00AC5B3D" w:rsidP="00AC5B3D">
      <w:pPr>
        <w:spacing w:before="240"/>
        <w:jc w:val="both"/>
      </w:pPr>
      <w:r w:rsidRPr="003B7737">
        <w:t xml:space="preserve">In all partner countries scoping </w:t>
      </w:r>
      <w:r>
        <w:t>focussed on</w:t>
      </w:r>
      <w:r w:rsidRPr="003B7737">
        <w:t xml:space="preserve"> the development of a country workplan</w:t>
      </w:r>
      <w:r>
        <w:t xml:space="preserve">, </w:t>
      </w:r>
      <w:r w:rsidRPr="003B7737">
        <w:t xml:space="preserve">agreed between Defra and the partner government, </w:t>
      </w:r>
      <w:r>
        <w:t>and</w:t>
      </w:r>
      <w:r w:rsidRPr="003B7737">
        <w:t xml:space="preserve"> a higher-level </w:t>
      </w:r>
      <w:r w:rsidR="00B02D58" w:rsidRPr="003B7737">
        <w:t>M</w:t>
      </w:r>
      <w:r w:rsidR="00B02D58">
        <w:t xml:space="preserve">emorandum </w:t>
      </w:r>
      <w:r w:rsidRPr="003B7737">
        <w:t>o</w:t>
      </w:r>
      <w:r w:rsidR="00B02D58">
        <w:t xml:space="preserve">f </w:t>
      </w:r>
      <w:r w:rsidRPr="003B7737">
        <w:t>U</w:t>
      </w:r>
      <w:r w:rsidR="00B02D58">
        <w:t>nderstanding (MoU)</w:t>
      </w:r>
      <w:r w:rsidRPr="003B7737">
        <w:t xml:space="preserve"> to be formally signed between the UK and the partner government.</w:t>
      </w:r>
    </w:p>
    <w:p w14:paraId="55157ACE" w14:textId="77777777" w:rsidR="00AC5B3D" w:rsidRPr="00EC3AEE" w:rsidRDefault="00AC5B3D" w:rsidP="00AC5B3D">
      <w:pPr>
        <w:pStyle w:val="Heading2"/>
      </w:pPr>
      <w:bookmarkStart w:id="8" w:name="_Toc117669033"/>
      <w:r w:rsidRPr="00EC3AEE">
        <w:t>B1.2 Theory of Change</w:t>
      </w:r>
      <w:bookmarkEnd w:id="8"/>
    </w:p>
    <w:p w14:paraId="6D1CA472" w14:textId="0F5159B4" w:rsidR="00325BC1" w:rsidRPr="00A300A7" w:rsidRDefault="00AC5B3D" w:rsidP="00454D99">
      <w:pPr>
        <w:spacing w:before="240" w:after="0"/>
        <w:jc w:val="both"/>
      </w:pPr>
      <w:r>
        <w:t xml:space="preserve">The OCPP Theory of Change (ToC) underwent a refresh in June 2022 (Figure 1, below) to reflect the </w:t>
      </w:r>
      <w:r w:rsidRPr="00C047C1">
        <w:t xml:space="preserve">developments in programme delivery during the first year. </w:t>
      </w:r>
      <w:r w:rsidR="00454D99" w:rsidRPr="00A300A7">
        <w:t xml:space="preserve">The refresh was undertaken in collaboration with </w:t>
      </w:r>
      <w:r w:rsidR="003C7F84" w:rsidRPr="00A300A7">
        <w:t xml:space="preserve">delivery partners </w:t>
      </w:r>
      <w:r w:rsidR="00325BC1" w:rsidRPr="00A300A7">
        <w:t>to strengthen the MEL component of the OCPP</w:t>
      </w:r>
      <w:r w:rsidR="003C7F84" w:rsidRPr="00A300A7">
        <w:t>. Key changes</w:t>
      </w:r>
      <w:r w:rsidR="00454D99" w:rsidRPr="00A300A7">
        <w:t xml:space="preserve"> included</w:t>
      </w:r>
      <w:r w:rsidR="00325BC1" w:rsidRPr="00A300A7">
        <w:t>:</w:t>
      </w:r>
    </w:p>
    <w:p w14:paraId="561E5C91" w14:textId="3EEB1845" w:rsidR="00325BC1" w:rsidRPr="00A300A7" w:rsidRDefault="00325BC1" w:rsidP="00325BC1">
      <w:pPr>
        <w:pStyle w:val="ListParagraph"/>
        <w:numPr>
          <w:ilvl w:val="0"/>
          <w:numId w:val="44"/>
        </w:numPr>
        <w:spacing w:before="240" w:after="0"/>
        <w:jc w:val="both"/>
      </w:pPr>
      <w:r w:rsidRPr="00A300A7">
        <w:t xml:space="preserve">Intermediate outcomes added to </w:t>
      </w:r>
      <w:r w:rsidR="00D32FB6" w:rsidRPr="00A300A7">
        <w:t xml:space="preserve">better </w:t>
      </w:r>
      <w:r w:rsidRPr="00A300A7">
        <w:t xml:space="preserve">reflect </w:t>
      </w:r>
      <w:r w:rsidR="00D32FB6" w:rsidRPr="00A300A7">
        <w:t xml:space="preserve">the length of time required to </w:t>
      </w:r>
      <w:r w:rsidR="009965D4" w:rsidRPr="00A300A7">
        <w:t>observe change</w:t>
      </w:r>
    </w:p>
    <w:p w14:paraId="7EA86B6E" w14:textId="6594E9DA" w:rsidR="00325BC1" w:rsidRPr="00A300A7" w:rsidRDefault="00325BC1" w:rsidP="00325BC1">
      <w:pPr>
        <w:pStyle w:val="ListParagraph"/>
        <w:numPr>
          <w:ilvl w:val="0"/>
          <w:numId w:val="44"/>
        </w:numPr>
        <w:spacing w:before="240" w:after="0"/>
        <w:jc w:val="both"/>
      </w:pPr>
      <w:r w:rsidRPr="00A300A7">
        <w:t>More detailed context and challenges section to reflect learnings from delivery and changing political context in certain countries</w:t>
      </w:r>
      <w:r w:rsidR="005D6CF3" w:rsidRPr="00A300A7">
        <w:t xml:space="preserve"> (summarised in Figure 1 below)</w:t>
      </w:r>
    </w:p>
    <w:p w14:paraId="256159C4" w14:textId="163D3DE7" w:rsidR="00325BC1" w:rsidRPr="00A300A7" w:rsidRDefault="00E83ACB" w:rsidP="00325BC1">
      <w:pPr>
        <w:pStyle w:val="ListParagraph"/>
        <w:numPr>
          <w:ilvl w:val="0"/>
          <w:numId w:val="44"/>
        </w:numPr>
        <w:spacing w:before="240" w:after="0"/>
        <w:jc w:val="both"/>
      </w:pPr>
      <w:r w:rsidRPr="00A300A7">
        <w:t>Impact statement simplified and improved to align with the ambition and timescale of the programme</w:t>
      </w:r>
    </w:p>
    <w:p w14:paraId="307D0261" w14:textId="77777777" w:rsidR="00454D99" w:rsidRDefault="00454D99" w:rsidP="00AC5B3D">
      <w:pPr>
        <w:spacing w:before="240"/>
        <w:jc w:val="both"/>
      </w:pPr>
    </w:p>
    <w:p w14:paraId="3415213B" w14:textId="479EC1C8" w:rsidR="00AC5B3D" w:rsidRDefault="00AC5B3D" w:rsidP="00AC5B3D">
      <w:pPr>
        <w:spacing w:before="240"/>
        <w:jc w:val="both"/>
      </w:pPr>
      <w:r>
        <w:lastRenderedPageBreak/>
        <w:t>The ToC will continue to be updated and refined throughout the life of the programme, to reflect continued learning from delivery.</w:t>
      </w:r>
    </w:p>
    <w:p w14:paraId="79D491A1" w14:textId="76EDBEC3" w:rsidR="00AC5B3D" w:rsidRDefault="00AC5B3D" w:rsidP="00A300A7">
      <w:pPr>
        <w:spacing w:before="240"/>
        <w:jc w:val="both"/>
        <w:rPr>
          <w:b/>
          <w:bCs/>
        </w:rPr>
      </w:pPr>
      <w:r>
        <w:t xml:space="preserve">Full size ToC in annex A. </w:t>
      </w:r>
    </w:p>
    <w:p w14:paraId="6AE3C273" w14:textId="77777777" w:rsidR="00AC5B3D" w:rsidRDefault="00AC5B3D" w:rsidP="00AC5B3D">
      <w:pPr>
        <w:rPr>
          <w:b/>
          <w:bCs/>
        </w:rPr>
      </w:pPr>
    </w:p>
    <w:p w14:paraId="3EA7A472" w14:textId="77777777" w:rsidR="00AC5B3D" w:rsidRDefault="00AC5B3D" w:rsidP="00AC5B3D">
      <w:pPr>
        <w:rPr>
          <w:b/>
          <w:bCs/>
        </w:rPr>
      </w:pPr>
      <w:r>
        <w:rPr>
          <w:noProof/>
        </w:rPr>
        <w:drawing>
          <wp:anchor distT="0" distB="0" distL="114300" distR="114300" simplePos="0" relativeHeight="251658240" behindDoc="0" locked="0" layoutInCell="1" allowOverlap="1" wp14:anchorId="3E40688A" wp14:editId="47F75DD5">
            <wp:simplePos x="0" y="0"/>
            <wp:positionH relativeFrom="margin">
              <wp:posOffset>-604299</wp:posOffset>
            </wp:positionH>
            <wp:positionV relativeFrom="paragraph">
              <wp:posOffset>-222637</wp:posOffset>
            </wp:positionV>
            <wp:extent cx="6992692" cy="389569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406"/>
                    <a:stretch/>
                  </pic:blipFill>
                  <pic:spPr bwMode="auto">
                    <a:xfrm>
                      <a:off x="0" y="0"/>
                      <a:ext cx="7008786" cy="3904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C8E31" w14:textId="77777777" w:rsidR="00AC5B3D" w:rsidRDefault="00AC5B3D" w:rsidP="00AC5B3D">
      <w:pPr>
        <w:rPr>
          <w:b/>
          <w:bCs/>
        </w:rPr>
      </w:pPr>
    </w:p>
    <w:p w14:paraId="39C7D367" w14:textId="77777777" w:rsidR="00AC5B3D" w:rsidRDefault="00AC5B3D" w:rsidP="00AC5B3D">
      <w:pPr>
        <w:rPr>
          <w:b/>
          <w:bCs/>
        </w:rPr>
      </w:pPr>
    </w:p>
    <w:p w14:paraId="4205FBF2" w14:textId="77777777" w:rsidR="00AC5B3D" w:rsidRDefault="00AC5B3D" w:rsidP="00AC5B3D">
      <w:pPr>
        <w:rPr>
          <w:b/>
          <w:bCs/>
        </w:rPr>
      </w:pPr>
    </w:p>
    <w:p w14:paraId="7A9F5178" w14:textId="77777777" w:rsidR="00AC5B3D" w:rsidRDefault="00AC5B3D" w:rsidP="00AC5B3D">
      <w:pPr>
        <w:rPr>
          <w:b/>
          <w:bCs/>
        </w:rPr>
      </w:pPr>
    </w:p>
    <w:p w14:paraId="4D0571A3" w14:textId="77777777" w:rsidR="00AC5B3D" w:rsidRDefault="00AC5B3D" w:rsidP="00AC5B3D">
      <w:pPr>
        <w:rPr>
          <w:b/>
          <w:bCs/>
        </w:rPr>
      </w:pPr>
    </w:p>
    <w:p w14:paraId="64E55C98" w14:textId="77777777" w:rsidR="00AC5B3D" w:rsidRDefault="00AC5B3D" w:rsidP="00AC5B3D">
      <w:pPr>
        <w:rPr>
          <w:b/>
          <w:bCs/>
        </w:rPr>
      </w:pPr>
    </w:p>
    <w:p w14:paraId="4E1E2004" w14:textId="77777777" w:rsidR="00AC5B3D" w:rsidRDefault="00AC5B3D" w:rsidP="00AC5B3D">
      <w:pPr>
        <w:rPr>
          <w:b/>
          <w:bCs/>
        </w:rPr>
      </w:pPr>
    </w:p>
    <w:p w14:paraId="74BF0966" w14:textId="77777777" w:rsidR="00AC5B3D" w:rsidRDefault="00AC5B3D" w:rsidP="00AC5B3D">
      <w:pPr>
        <w:rPr>
          <w:b/>
          <w:bCs/>
        </w:rPr>
      </w:pPr>
    </w:p>
    <w:p w14:paraId="5FD886FD" w14:textId="77777777" w:rsidR="00AC5B3D" w:rsidRDefault="00AC5B3D" w:rsidP="00AC5B3D">
      <w:pPr>
        <w:rPr>
          <w:b/>
          <w:bCs/>
        </w:rPr>
      </w:pPr>
    </w:p>
    <w:p w14:paraId="10BF7859" w14:textId="77777777" w:rsidR="00AC5B3D" w:rsidRDefault="00AC5B3D" w:rsidP="00AC5B3D">
      <w:pPr>
        <w:rPr>
          <w:b/>
          <w:bCs/>
        </w:rPr>
      </w:pPr>
    </w:p>
    <w:p w14:paraId="1C78990B" w14:textId="77777777" w:rsidR="00AC5B3D" w:rsidRDefault="00AC5B3D" w:rsidP="00AC5B3D">
      <w:pPr>
        <w:rPr>
          <w:b/>
          <w:bCs/>
        </w:rPr>
      </w:pPr>
    </w:p>
    <w:p w14:paraId="59940300" w14:textId="77777777" w:rsidR="00AC5B3D" w:rsidRDefault="00AC5B3D" w:rsidP="00AC5B3D">
      <w:pPr>
        <w:rPr>
          <w:b/>
          <w:bCs/>
        </w:rPr>
      </w:pPr>
    </w:p>
    <w:p w14:paraId="1E440632" w14:textId="77777777" w:rsidR="00AC5B3D" w:rsidRPr="00213259" w:rsidRDefault="00AC5B3D" w:rsidP="00AC5B3D">
      <w:pPr>
        <w:rPr>
          <w:b/>
          <w:bCs/>
        </w:rPr>
      </w:pPr>
      <w:r w:rsidRPr="00213259">
        <w:rPr>
          <w:b/>
          <w:bCs/>
        </w:rPr>
        <w:t>Figure 1 –</w:t>
      </w:r>
      <w:r>
        <w:rPr>
          <w:b/>
          <w:bCs/>
        </w:rPr>
        <w:t xml:space="preserve"> </w:t>
      </w:r>
      <w:r w:rsidRPr="00213259">
        <w:rPr>
          <w:b/>
          <w:bCs/>
        </w:rPr>
        <w:t>OCPP theory of change (June 2022)</w:t>
      </w:r>
    </w:p>
    <w:p w14:paraId="32AE74EC" w14:textId="77777777" w:rsidR="00AC5B3D" w:rsidRPr="001C0BB8" w:rsidRDefault="00AC5B3D" w:rsidP="00AC5B3D">
      <w:pPr>
        <w:pStyle w:val="Heading2"/>
      </w:pPr>
      <w:bookmarkStart w:id="9" w:name="_Toc117669034"/>
      <w:r w:rsidRPr="001C0BB8">
        <w:t>B2. Assessment of whether programme is on track</w:t>
      </w:r>
      <w:bookmarkEnd w:id="9"/>
    </w:p>
    <w:p w14:paraId="69C84385" w14:textId="77777777" w:rsidR="00AC5B3D" w:rsidRPr="00E66392" w:rsidRDefault="00AC5B3D" w:rsidP="00AC5B3D">
      <w:pPr>
        <w:spacing w:before="240"/>
        <w:jc w:val="both"/>
      </w:pPr>
      <w:r>
        <w:t>Year 1 of the OCPP focused on establishing country partnerships, with a strong emphasis on being demand-led. This meant that in the first year when relationships were established with priority countries and scoping assessments of demand were conducted it was highly challenging to set targets for delivery of activities, as doing so would’ve required the programme to be more prescriptive than the model set out in the business case. A recommendation of this annual review is that opportunities should be sought to be more propositional in terms of delivery, which should help mitigate this, as should maturity of the programme over time. Therefore, targets should be set in the logframe for outputs and outcomes and reported on in all future annual reviews.</w:t>
      </w:r>
    </w:p>
    <w:p w14:paraId="42D33197" w14:textId="77777777" w:rsidR="00AC5B3D" w:rsidRPr="00E66392" w:rsidRDefault="00AC5B3D" w:rsidP="00AC5B3D">
      <w:pPr>
        <w:spacing w:before="240"/>
        <w:jc w:val="both"/>
      </w:pPr>
      <w:r>
        <w:t>There are still some higher-level aspects on which assessments of whether the programme is on track can be made:</w:t>
      </w:r>
    </w:p>
    <w:p w14:paraId="3B223364" w14:textId="2C51A27C" w:rsidR="00AC5B3D" w:rsidRPr="00E66392" w:rsidRDefault="00AC5B3D" w:rsidP="00AC5B3D">
      <w:pPr>
        <w:pStyle w:val="ListParagraph"/>
        <w:numPr>
          <w:ilvl w:val="0"/>
          <w:numId w:val="26"/>
        </w:numPr>
        <w:spacing w:before="240"/>
        <w:jc w:val="both"/>
      </w:pPr>
      <w:r>
        <w:t xml:space="preserve">Transition of all Commonwealth Litter Programme (CLiP) </w:t>
      </w:r>
      <w:r w:rsidRPr="00C047C1">
        <w:t>programmes into OCPP</w:t>
      </w:r>
      <w:r w:rsidR="003D4FE5" w:rsidRPr="00C047C1">
        <w:t xml:space="preserve">, </w:t>
      </w:r>
      <w:r w:rsidR="003D4FE5" w:rsidRPr="00A300A7">
        <w:t xml:space="preserve">which </w:t>
      </w:r>
      <w:r w:rsidR="00704CD2" w:rsidRPr="00A300A7">
        <w:t xml:space="preserve">should help </w:t>
      </w:r>
      <w:r w:rsidR="00032B2E" w:rsidRPr="00A300A7">
        <w:t xml:space="preserve">ensure sustainability of previous UK programming under </w:t>
      </w:r>
      <w:proofErr w:type="gramStart"/>
      <w:r w:rsidR="00032B2E" w:rsidRPr="00A300A7">
        <w:t>CLiP</w:t>
      </w:r>
      <w:r w:rsidRPr="00C047C1">
        <w:t>;</w:t>
      </w:r>
      <w:proofErr w:type="gramEnd"/>
    </w:p>
    <w:p w14:paraId="2A1A4C63" w14:textId="63EBC277" w:rsidR="00AC5B3D" w:rsidRDefault="00AC5B3D" w:rsidP="00AC5B3D">
      <w:pPr>
        <w:pStyle w:val="ListParagraph"/>
        <w:numPr>
          <w:ilvl w:val="0"/>
          <w:numId w:val="26"/>
        </w:numPr>
        <w:spacing w:before="240"/>
        <w:jc w:val="both"/>
      </w:pPr>
      <w:r>
        <w:t xml:space="preserve">Important bilateral relationships and stakeholder networks strengthened in Bangladesh, Belize, India, Maldives, Sri Lanka and </w:t>
      </w:r>
      <w:proofErr w:type="gramStart"/>
      <w:r>
        <w:t>Vanuatu</w:t>
      </w:r>
      <w:r w:rsidR="009A0542">
        <w:t>;</w:t>
      </w:r>
      <w:proofErr w:type="gramEnd"/>
    </w:p>
    <w:p w14:paraId="4DF12943" w14:textId="77777777" w:rsidR="00AC5B3D" w:rsidRDefault="00AC5B3D" w:rsidP="00AC5B3D">
      <w:pPr>
        <w:pStyle w:val="ListParagraph"/>
        <w:numPr>
          <w:ilvl w:val="0"/>
          <w:numId w:val="26"/>
        </w:numPr>
        <w:spacing w:before="240"/>
        <w:jc w:val="both"/>
      </w:pPr>
      <w:r>
        <w:t>Comprehensive country work plans tailored to host government priorities developed for Belize, Maldives and Sri Lanka (countries which the programme was able to visit</w:t>
      </w:r>
      <w:proofErr w:type="gramStart"/>
      <w:r>
        <w:t>);</w:t>
      </w:r>
      <w:proofErr w:type="gramEnd"/>
    </w:p>
    <w:p w14:paraId="37C8CB21" w14:textId="77777777" w:rsidR="00AC5B3D" w:rsidRDefault="00AC5B3D" w:rsidP="00AC5B3D">
      <w:pPr>
        <w:pStyle w:val="ListParagraph"/>
        <w:numPr>
          <w:ilvl w:val="0"/>
          <w:numId w:val="26"/>
        </w:numPr>
        <w:spacing w:before="240"/>
        <w:jc w:val="both"/>
      </w:pPr>
      <w:r>
        <w:lastRenderedPageBreak/>
        <w:t xml:space="preserve">Portfolio of activities proposed for delivery in line with host government priorities identified for all countries, with remote delivery taking place in </w:t>
      </w:r>
      <w:proofErr w:type="gramStart"/>
      <w:r>
        <w:t>most;</w:t>
      </w:r>
      <w:proofErr w:type="gramEnd"/>
    </w:p>
    <w:p w14:paraId="2D257806" w14:textId="77777777" w:rsidR="00AC5B3D" w:rsidRDefault="00AC5B3D" w:rsidP="00AC5B3D">
      <w:pPr>
        <w:pStyle w:val="ListParagraph"/>
        <w:numPr>
          <w:ilvl w:val="0"/>
          <w:numId w:val="26"/>
        </w:numPr>
        <w:spacing w:before="240"/>
        <w:jc w:val="both"/>
      </w:pPr>
      <w:r>
        <w:t>Country prioritization exercise completed to allow the programme to expand to meet its ambition of 10-15 full country partnerships over its lifetime, with early priorities identified for Year 2 (Ghana, Mozambique and Senegal</w:t>
      </w:r>
      <w:proofErr w:type="gramStart"/>
      <w:r>
        <w:t>);</w:t>
      </w:r>
      <w:proofErr w:type="gramEnd"/>
    </w:p>
    <w:p w14:paraId="117A3927" w14:textId="77777777" w:rsidR="00AC5B3D" w:rsidRDefault="00AC5B3D" w:rsidP="00AC5B3D">
      <w:pPr>
        <w:pStyle w:val="ListParagraph"/>
        <w:numPr>
          <w:ilvl w:val="0"/>
          <w:numId w:val="26"/>
        </w:numPr>
        <w:spacing w:before="240"/>
        <w:jc w:val="both"/>
      </w:pPr>
      <w:r>
        <w:t>Implementation of exit strategy for South Africa, a CLiP legacy country through which OCPP initially funded remote delivery of some continuing activities.</w:t>
      </w:r>
    </w:p>
    <w:p w14:paraId="18EF3EC6" w14:textId="77777777" w:rsidR="00AC5B3D" w:rsidRPr="004451BC" w:rsidRDefault="00AC5B3D" w:rsidP="00AC5B3D">
      <w:pPr>
        <w:spacing w:before="240"/>
        <w:jc w:val="both"/>
      </w:pPr>
      <w:r>
        <w:t xml:space="preserve">FOA and GOAP were initially set up as separate work-streams before being integrated into OCPP. </w:t>
      </w:r>
      <w:r w:rsidRPr="004451BC">
        <w:t xml:space="preserve">As part of the integration GOAP and FOA provided information against the OCPP logframe outputs and indicators. In Y1 GOAP and FOA also </w:t>
      </w:r>
      <w:r>
        <w:t xml:space="preserve">each </w:t>
      </w:r>
      <w:r w:rsidRPr="004451BC">
        <w:t xml:space="preserve">had an agreed set of milestones to </w:t>
      </w:r>
      <w:r>
        <w:t xml:space="preserve">be </w:t>
      </w:r>
      <w:r w:rsidRPr="004451BC">
        <w:t xml:space="preserve">delivered which </w:t>
      </w:r>
      <w:r>
        <w:t>were</w:t>
      </w:r>
      <w:r w:rsidRPr="004451BC">
        <w:t xml:space="preserve"> monitored through a separate management process. </w:t>
      </w:r>
      <w:r>
        <w:t>Both FOA and GOAP generally delivered all pre-agreed milestones on time, within budget and to a good standard (see Section C)</w:t>
      </w:r>
      <w:r w:rsidRPr="004451BC">
        <w:t>.</w:t>
      </w:r>
    </w:p>
    <w:p w14:paraId="2D47EED9" w14:textId="77777777" w:rsidR="00AC5B3D" w:rsidRPr="001D63CE" w:rsidRDefault="00AC5B3D" w:rsidP="00AC5B3D">
      <w:pPr>
        <w:pStyle w:val="Heading2"/>
        <w:rPr>
          <w:i/>
          <w:iCs/>
          <w:color w:val="C00000"/>
        </w:rPr>
      </w:pPr>
      <w:bookmarkStart w:id="10" w:name="_Toc117669035"/>
      <w:r w:rsidRPr="001D63CE">
        <w:t>B3. Recommendation on whether programme should continue</w:t>
      </w:r>
      <w:bookmarkEnd w:id="10"/>
    </w:p>
    <w:p w14:paraId="3BA2C829" w14:textId="07B453DB" w:rsidR="00AC5B3D" w:rsidRPr="00032B2E" w:rsidRDefault="00AC5B3D" w:rsidP="00AC5B3D">
      <w:pPr>
        <w:spacing w:before="240"/>
        <w:jc w:val="both"/>
      </w:pPr>
      <w:r w:rsidRPr="006D3C82">
        <w:t xml:space="preserve">Overall, our assessment of progress against outputs during the first year of implementation of </w:t>
      </w:r>
      <w:r>
        <w:t xml:space="preserve">OCPP </w:t>
      </w:r>
      <w:r w:rsidRPr="006D3C82">
        <w:t>is positiv</w:t>
      </w:r>
      <w:r>
        <w:t>e</w:t>
      </w:r>
      <w:r w:rsidR="009813B9">
        <w:t>.</w:t>
      </w:r>
      <w:r>
        <w:t xml:space="preserve"> </w:t>
      </w:r>
      <w:r w:rsidR="009813B9">
        <w:t>A</w:t>
      </w:r>
      <w:r>
        <w:t>ll outputs have been reported against, progress has been made under every indicator and important progress has been made in setting up the programme and establishing a platform for future delivery.</w:t>
      </w:r>
      <w:r w:rsidRPr="006D3C82">
        <w:t xml:space="preserve"> </w:t>
      </w:r>
      <w:r>
        <w:t xml:space="preserve">As the business case did not define specific targets for year 1 </w:t>
      </w:r>
      <w:r w:rsidRPr="006D3C82">
        <w:t>it is not possible to provide ratings against individual outputs</w:t>
      </w:r>
      <w:r w:rsidR="00F4284B">
        <w:t xml:space="preserve">, </w:t>
      </w:r>
      <w:r w:rsidR="00F4284B" w:rsidRPr="00A300A7">
        <w:t xml:space="preserve">and therefore we have not been able to score the programme </w:t>
      </w:r>
      <w:r w:rsidR="00564366" w:rsidRPr="00A300A7">
        <w:t xml:space="preserve">overall </w:t>
      </w:r>
      <w:r w:rsidR="00F4284B" w:rsidRPr="00A300A7">
        <w:t>this year</w:t>
      </w:r>
      <w:r w:rsidRPr="00AA593C">
        <w:t>. Instead, we have included a qualitative description</w:t>
      </w:r>
      <w:r w:rsidRPr="006D3C82">
        <w:t xml:space="preserve"> of progress against each output</w:t>
      </w:r>
      <w:r w:rsidR="00F4284B">
        <w:t>.</w:t>
      </w:r>
      <w:r w:rsidR="0020798C" w:rsidRPr="0020798C">
        <w:rPr>
          <w:rFonts w:ascii="Helvetica Neue Light" w:hAnsi="Helvetica Neue Light" w:cs="Calibri"/>
          <w:color w:val="000000"/>
          <w:sz w:val="20"/>
          <w:szCs w:val="20"/>
        </w:rPr>
        <w:t xml:space="preserve"> </w:t>
      </w:r>
      <w:r w:rsidR="0020798C">
        <w:t>W</w:t>
      </w:r>
      <w:r w:rsidR="0020798C" w:rsidRPr="0020798C">
        <w:t xml:space="preserve">e remain confident that </w:t>
      </w:r>
      <w:r w:rsidR="0020798C">
        <w:t>OCPP</w:t>
      </w:r>
      <w:r w:rsidR="0020798C" w:rsidRPr="0020798C">
        <w:t xml:space="preserve"> is on track to deliver against its intended outcomes</w:t>
      </w:r>
      <w:r w:rsidR="0020798C">
        <w:t xml:space="preserve"> over its lifetime</w:t>
      </w:r>
      <w:r w:rsidR="0020798C" w:rsidRPr="0020798C">
        <w:t>, given</w:t>
      </w:r>
      <w:r w:rsidR="0020798C">
        <w:t xml:space="preserve"> the</w:t>
      </w:r>
      <w:r w:rsidR="0020798C" w:rsidRPr="0020798C">
        <w:t xml:space="preserve"> strong </w:t>
      </w:r>
      <w:r w:rsidR="0020798C">
        <w:t>foundations</w:t>
      </w:r>
      <w:r w:rsidR="0020798C" w:rsidRPr="0020798C">
        <w:t xml:space="preserve"> that have been </w:t>
      </w:r>
      <w:r w:rsidR="0020798C">
        <w:t>laid</w:t>
      </w:r>
      <w:r w:rsidR="0020798C" w:rsidRPr="0020798C">
        <w:t xml:space="preserve"> through </w:t>
      </w:r>
      <w:r w:rsidR="0020798C">
        <w:t>our early partnerships</w:t>
      </w:r>
      <w:r w:rsidR="0020798C" w:rsidRPr="0020798C">
        <w:t>.</w:t>
      </w:r>
      <w:r w:rsidRPr="00032B2E">
        <w:br w:type="page"/>
      </w:r>
    </w:p>
    <w:p w14:paraId="6EE591C0" w14:textId="77777777" w:rsidR="00AC5B3D" w:rsidRPr="00B822A3" w:rsidRDefault="00AC5B3D" w:rsidP="00AC5B3D">
      <w:pPr>
        <w:pStyle w:val="Heading1"/>
      </w:pPr>
      <w:bookmarkStart w:id="11" w:name="_Toc117669036"/>
      <w:r w:rsidRPr="00B822A3">
        <w:lastRenderedPageBreak/>
        <w:t>Section C – output assessment</w:t>
      </w:r>
      <w:bookmarkEnd w:id="11"/>
    </w:p>
    <w:p w14:paraId="7815702D" w14:textId="77777777" w:rsidR="00AC5B3D" w:rsidRDefault="00AC5B3D" w:rsidP="00AC5B3D">
      <w:pPr>
        <w:pStyle w:val="Heading2"/>
      </w:pPr>
      <w:bookmarkStart w:id="12" w:name="_Toc117669037"/>
      <w:r>
        <w:t>Outputs</w:t>
      </w:r>
      <w:bookmarkEnd w:id="12"/>
    </w:p>
    <w:p w14:paraId="697D713F" w14:textId="77777777" w:rsidR="00AC5B3D" w:rsidRDefault="00AC5B3D" w:rsidP="00AC5B3D">
      <w:pPr>
        <w:pStyle w:val="ListParagraph"/>
        <w:numPr>
          <w:ilvl w:val="0"/>
          <w:numId w:val="11"/>
        </w:numPr>
        <w:jc w:val="both"/>
      </w:pPr>
      <w:r w:rsidRPr="000E615B">
        <w:t>Increased marine scientific and/or technical capacity in partner countries</w:t>
      </w:r>
    </w:p>
    <w:p w14:paraId="0C6E6451" w14:textId="77777777" w:rsidR="00AC5B3D" w:rsidRDefault="00AC5B3D" w:rsidP="00AC5B3D">
      <w:pPr>
        <w:pStyle w:val="ListParagraph"/>
        <w:numPr>
          <w:ilvl w:val="0"/>
          <w:numId w:val="11"/>
        </w:numPr>
        <w:jc w:val="both"/>
      </w:pPr>
      <w:r w:rsidRPr="000E615B">
        <w:t>Improved regulation and/or governance of the marine environment in partner countries</w:t>
      </w:r>
    </w:p>
    <w:p w14:paraId="020B3685" w14:textId="77777777" w:rsidR="00AC5B3D" w:rsidRDefault="00AC5B3D" w:rsidP="00AC5B3D">
      <w:pPr>
        <w:pStyle w:val="ListParagraph"/>
        <w:numPr>
          <w:ilvl w:val="0"/>
          <w:numId w:val="11"/>
        </w:numPr>
        <w:jc w:val="both"/>
      </w:pPr>
      <w:r w:rsidRPr="000E615B">
        <w:t>Enhanced education and exchange of knowledge in relation to marine management in partner countries</w:t>
      </w:r>
    </w:p>
    <w:p w14:paraId="03373D8C" w14:textId="77777777" w:rsidR="00AC5B3D" w:rsidRDefault="00AC5B3D" w:rsidP="00AC5B3D">
      <w:pPr>
        <w:pStyle w:val="ListParagraph"/>
        <w:numPr>
          <w:ilvl w:val="0"/>
          <w:numId w:val="11"/>
        </w:numPr>
        <w:jc w:val="both"/>
      </w:pPr>
      <w:r w:rsidRPr="000E615B">
        <w:t>Productive partnerships between the UK and priority coastal developing countries</w:t>
      </w:r>
    </w:p>
    <w:p w14:paraId="7940E44C" w14:textId="77777777" w:rsidR="00AC5B3D" w:rsidRDefault="00AC5B3D" w:rsidP="00AC5B3D">
      <w:pPr>
        <w:pStyle w:val="ListParagraph"/>
        <w:numPr>
          <w:ilvl w:val="0"/>
          <w:numId w:val="11"/>
        </w:numPr>
        <w:jc w:val="both"/>
      </w:pPr>
      <w:r w:rsidRPr="000E615B">
        <w:t>Marine ecosystems more effectively valued, through increased knowledge of global public goods</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885"/>
        <w:gridCol w:w="1275"/>
        <w:gridCol w:w="3960"/>
        <w:gridCol w:w="1350"/>
      </w:tblGrid>
      <w:tr w:rsidR="00AC5B3D" w:rsidRPr="004C6CCA" w14:paraId="52B29EF0" w14:textId="77777777" w:rsidTr="00022964">
        <w:trPr>
          <w:trHeight w:val="480"/>
        </w:trPr>
        <w:tc>
          <w:tcPr>
            <w:tcW w:w="1665" w:type="dxa"/>
            <w:tcBorders>
              <w:top w:val="single" w:sz="6" w:space="0" w:color="auto"/>
              <w:left w:val="single" w:sz="6" w:space="0" w:color="auto"/>
              <w:bottom w:val="single" w:sz="6" w:space="0" w:color="auto"/>
              <w:right w:val="single" w:sz="6" w:space="0" w:color="auto"/>
            </w:tcBorders>
            <w:shd w:val="clear" w:color="auto" w:fill="D9E2F3"/>
            <w:hideMark/>
          </w:tcPr>
          <w:p w14:paraId="4983308A"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Output Title </w:t>
            </w:r>
            <w:r w:rsidRPr="004C6CCA">
              <w:rPr>
                <w:rFonts w:eastAsia="Times New Roman" w:cstheme="minorHAnsi"/>
              </w:rPr>
              <w:t>  </w:t>
            </w:r>
          </w:p>
        </w:tc>
        <w:tc>
          <w:tcPr>
            <w:tcW w:w="747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8E9F6EC"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Increased marine scientific and/or technical capacity in partner countries</w:t>
            </w:r>
          </w:p>
        </w:tc>
      </w:tr>
      <w:tr w:rsidR="00AC5B3D" w:rsidRPr="004C6CCA" w14:paraId="6963ED45" w14:textId="77777777" w:rsidTr="00022964">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298849E9"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Output number: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C88389F"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1</w:t>
            </w:r>
          </w:p>
        </w:tc>
        <w:tc>
          <w:tcPr>
            <w:tcW w:w="3960" w:type="dxa"/>
            <w:tcBorders>
              <w:top w:val="single" w:sz="6" w:space="0" w:color="auto"/>
              <w:left w:val="single" w:sz="6" w:space="0" w:color="auto"/>
              <w:bottom w:val="single" w:sz="6" w:space="0" w:color="auto"/>
              <w:right w:val="single" w:sz="6" w:space="0" w:color="auto"/>
            </w:tcBorders>
            <w:shd w:val="clear" w:color="auto" w:fill="D9E2F3"/>
            <w:hideMark/>
          </w:tcPr>
          <w:p w14:paraId="40F128D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Output Score: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EB7B9E8"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color w:val="FF0000"/>
              </w:rPr>
              <w:t> </w:t>
            </w:r>
            <w:r w:rsidRPr="004C6CCA">
              <w:rPr>
                <w:rFonts w:eastAsia="Times New Roman" w:cstheme="minorHAnsi"/>
              </w:rPr>
              <w:t xml:space="preserve"> N/A</w:t>
            </w:r>
          </w:p>
        </w:tc>
      </w:tr>
      <w:tr w:rsidR="00AC5B3D" w:rsidRPr="004C6CCA" w14:paraId="4F4C630D" w14:textId="77777777" w:rsidTr="00022964">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99250C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Impact weighting (%):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D328F0E"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22.5%</w:t>
            </w:r>
          </w:p>
        </w:tc>
        <w:tc>
          <w:tcPr>
            <w:tcW w:w="3960" w:type="dxa"/>
            <w:tcBorders>
              <w:top w:val="single" w:sz="6" w:space="0" w:color="auto"/>
              <w:left w:val="single" w:sz="6" w:space="0" w:color="auto"/>
              <w:bottom w:val="single" w:sz="6" w:space="0" w:color="auto"/>
              <w:right w:val="single" w:sz="6" w:space="0" w:color="auto"/>
            </w:tcBorders>
            <w:shd w:val="clear" w:color="auto" w:fill="D9E2F3"/>
            <w:hideMark/>
          </w:tcPr>
          <w:p w14:paraId="57A6E9F8" w14:textId="6043505F"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Weighting revised since last AR</w:t>
            </w:r>
            <w:r w:rsidR="00E55CFC">
              <w:rPr>
                <w:rFonts w:eastAsia="Times New Roman" w:cstheme="minorHAnsi"/>
              </w:rPr>
              <w:t>:</w:t>
            </w:r>
            <w:r w:rsidRPr="004C6CCA">
              <w:rPr>
                <w:rFonts w:eastAsia="Times New Roman" w:cstheme="minorHAnsi"/>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6ABFC9"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r>
    </w:tbl>
    <w:p w14:paraId="4080CC2E" w14:textId="77777777" w:rsidR="00AC5B3D" w:rsidRPr="004C6CCA" w:rsidRDefault="00AC5B3D" w:rsidP="00AC5B3D">
      <w:pPr>
        <w:spacing w:after="0" w:line="240" w:lineRule="auto"/>
        <w:jc w:val="both"/>
        <w:textAlignment w:val="baseline"/>
        <w:rPr>
          <w:rFonts w:ascii="Segoe UI" w:eastAsia="Times New Roman" w:hAnsi="Segoe UI" w:cs="Segoe UI"/>
        </w:rPr>
      </w:pPr>
      <w:r w:rsidRPr="004C6CCA">
        <w:rPr>
          <w:rFonts w:ascii="Calibri" w:eastAsia="Times New Roman" w:hAnsi="Calibri" w:cs="Calibri"/>
        </w:rPr>
        <w:t>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
        <w:gridCol w:w="4320"/>
        <w:gridCol w:w="1043"/>
        <w:gridCol w:w="793"/>
        <w:gridCol w:w="2188"/>
      </w:tblGrid>
      <w:tr w:rsidR="00AC5B3D" w:rsidRPr="004C6CCA" w14:paraId="25FECF8F" w14:textId="77777777" w:rsidTr="00022964">
        <w:trPr>
          <w:trHeight w:val="270"/>
        </w:trPr>
        <w:tc>
          <w:tcPr>
            <w:tcW w:w="5245"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2825CE1D" w14:textId="77777777" w:rsidR="00AC5B3D" w:rsidRPr="004C6CCA" w:rsidRDefault="00AC5B3D" w:rsidP="00022964">
            <w:pPr>
              <w:spacing w:after="0" w:line="240" w:lineRule="auto"/>
              <w:textAlignment w:val="baseline"/>
              <w:rPr>
                <w:rFonts w:ascii="Times New Roman" w:eastAsia="Times New Roman" w:hAnsi="Times New Roman" w:cs="Times New Roman"/>
              </w:rPr>
            </w:pPr>
            <w:r w:rsidRPr="004C6CCA">
              <w:rPr>
                <w:rFonts w:ascii="Arial" w:eastAsia="Times New Roman" w:hAnsi="Arial" w:cs="Arial"/>
                <w:b/>
                <w:bCs/>
              </w:rPr>
              <w:t>Indicator(s)</w:t>
            </w:r>
            <w:r w:rsidRPr="004C6CCA">
              <w:rPr>
                <w:rFonts w:ascii="Arial" w:eastAsia="Times New Roman" w:hAnsi="Arial" w:cs="Arial"/>
              </w:rPr>
              <w:t>  </w:t>
            </w: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4D60FA5D" w14:textId="77777777" w:rsidR="00AC5B3D" w:rsidRPr="004C6CCA" w:rsidRDefault="00AC5B3D" w:rsidP="00022964">
            <w:pPr>
              <w:spacing w:after="0" w:line="240" w:lineRule="auto"/>
              <w:textAlignment w:val="baseline"/>
              <w:rPr>
                <w:rFonts w:ascii="Times New Roman" w:eastAsia="Times New Roman" w:hAnsi="Times New Roman" w:cs="Times New Roman"/>
              </w:rPr>
            </w:pPr>
            <w:r w:rsidRPr="004C6CCA">
              <w:rPr>
                <w:rFonts w:ascii="Arial" w:eastAsia="Times New Roman" w:hAnsi="Arial" w:cs="Arial"/>
                <w:b/>
                <w:bCs/>
              </w:rPr>
              <w:t>Baseline </w:t>
            </w:r>
            <w:r w:rsidRPr="004C6CCA">
              <w:rPr>
                <w:rFonts w:ascii="Arial" w:eastAsia="Times New Roman" w:hAnsi="Arial" w:cs="Arial"/>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1C7194BC" w14:textId="77777777" w:rsidR="00AC5B3D" w:rsidRPr="004C6CCA" w:rsidRDefault="00AC5B3D" w:rsidP="00022964">
            <w:pPr>
              <w:spacing w:after="0" w:line="240" w:lineRule="auto"/>
              <w:textAlignment w:val="baseline"/>
              <w:rPr>
                <w:rFonts w:ascii="Times New Roman" w:eastAsia="Times New Roman" w:hAnsi="Times New Roman" w:cs="Times New Roman"/>
              </w:rPr>
            </w:pPr>
            <w:r w:rsidRPr="004C6CCA">
              <w:rPr>
                <w:rFonts w:ascii="Arial" w:eastAsia="Times New Roman" w:hAnsi="Arial" w:cs="Arial"/>
                <w:b/>
                <w:bCs/>
              </w:rPr>
              <w:t>Target</w:t>
            </w:r>
            <w:r w:rsidRPr="004C6CCA">
              <w:rPr>
                <w:rFonts w:ascii="Arial" w:eastAsia="Times New Roman" w:hAnsi="Arial" w:cs="Arial"/>
              </w:rPr>
              <w:t>  </w:t>
            </w:r>
          </w:p>
        </w:tc>
        <w:tc>
          <w:tcPr>
            <w:tcW w:w="2214" w:type="dxa"/>
            <w:tcBorders>
              <w:top w:val="single" w:sz="6" w:space="0" w:color="auto"/>
              <w:left w:val="single" w:sz="6" w:space="0" w:color="auto"/>
              <w:bottom w:val="single" w:sz="6" w:space="0" w:color="auto"/>
              <w:right w:val="single" w:sz="6" w:space="0" w:color="auto"/>
            </w:tcBorders>
            <w:shd w:val="clear" w:color="auto" w:fill="D9E2F3"/>
            <w:hideMark/>
          </w:tcPr>
          <w:p w14:paraId="4C63A6B2" w14:textId="77777777" w:rsidR="00AC5B3D" w:rsidRPr="004C6CCA" w:rsidRDefault="00AC5B3D" w:rsidP="00022964">
            <w:pPr>
              <w:spacing w:after="0" w:line="240" w:lineRule="auto"/>
              <w:textAlignment w:val="baseline"/>
              <w:rPr>
                <w:rFonts w:ascii="Times New Roman" w:eastAsia="Times New Roman" w:hAnsi="Times New Roman" w:cs="Times New Roman"/>
              </w:rPr>
            </w:pPr>
            <w:r w:rsidRPr="004C6CCA">
              <w:rPr>
                <w:rFonts w:ascii="Arial" w:eastAsia="Times New Roman" w:hAnsi="Arial" w:cs="Arial"/>
                <w:b/>
                <w:bCs/>
              </w:rPr>
              <w:t>Actual </w:t>
            </w:r>
            <w:r w:rsidRPr="004C6CCA">
              <w:rPr>
                <w:rFonts w:ascii="Arial" w:eastAsia="Times New Roman" w:hAnsi="Arial" w:cs="Arial"/>
              </w:rPr>
              <w:t> </w:t>
            </w:r>
          </w:p>
        </w:tc>
      </w:tr>
      <w:tr w:rsidR="00AC5B3D" w:rsidRPr="004C6CCA" w14:paraId="0BA9AC5A" w14:textId="77777777" w:rsidTr="00022964">
        <w:tc>
          <w:tcPr>
            <w:tcW w:w="832" w:type="dxa"/>
            <w:tcBorders>
              <w:top w:val="single" w:sz="6" w:space="0" w:color="auto"/>
              <w:left w:val="single" w:sz="6" w:space="0" w:color="auto"/>
              <w:bottom w:val="single" w:sz="6" w:space="0" w:color="auto"/>
              <w:right w:val="single" w:sz="6" w:space="0" w:color="auto"/>
            </w:tcBorders>
            <w:shd w:val="clear" w:color="auto" w:fill="auto"/>
          </w:tcPr>
          <w:p w14:paraId="3B6D7312"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1.1</w:t>
            </w:r>
          </w:p>
        </w:tc>
        <w:tc>
          <w:tcPr>
            <w:tcW w:w="4413" w:type="dxa"/>
            <w:tcBorders>
              <w:top w:val="single" w:sz="6" w:space="0" w:color="auto"/>
              <w:left w:val="single" w:sz="6" w:space="0" w:color="auto"/>
              <w:bottom w:val="single" w:sz="6" w:space="0" w:color="auto"/>
              <w:right w:val="single" w:sz="6" w:space="0" w:color="auto"/>
            </w:tcBorders>
            <w:shd w:val="clear" w:color="auto" w:fill="auto"/>
          </w:tcPr>
          <w:p w14:paraId="70E4565F"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Key individuals in partner countries trained in marine and fisheries science, marine management and/or monitoring, disaggregated by gender</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2D27CBE"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0082CCF"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4" w:type="dxa"/>
            <w:tcBorders>
              <w:top w:val="single" w:sz="6" w:space="0" w:color="auto"/>
              <w:left w:val="single" w:sz="6" w:space="0" w:color="auto"/>
              <w:bottom w:val="single" w:sz="6" w:space="0" w:color="auto"/>
              <w:right w:val="single" w:sz="6" w:space="0" w:color="auto"/>
            </w:tcBorders>
            <w:shd w:val="clear" w:color="auto" w:fill="auto"/>
          </w:tcPr>
          <w:p w14:paraId="34ABEC5A"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68 (39M/29F, 43% female) - ALBs</w:t>
            </w:r>
          </w:p>
          <w:p w14:paraId="4296F96F"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14 (10M/4F, 29% female) - GOAP</w:t>
            </w:r>
          </w:p>
          <w:p w14:paraId="34EBEEC4"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5A33AE11"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82 (40% female) - TOTAL</w:t>
            </w:r>
          </w:p>
        </w:tc>
      </w:tr>
      <w:tr w:rsidR="00AC5B3D" w:rsidRPr="004C6CCA" w14:paraId="27306C29" w14:textId="77777777" w:rsidTr="00022964">
        <w:tc>
          <w:tcPr>
            <w:tcW w:w="832" w:type="dxa"/>
            <w:tcBorders>
              <w:top w:val="single" w:sz="6" w:space="0" w:color="auto"/>
              <w:left w:val="single" w:sz="6" w:space="0" w:color="auto"/>
              <w:bottom w:val="single" w:sz="6" w:space="0" w:color="auto"/>
              <w:right w:val="single" w:sz="6" w:space="0" w:color="auto"/>
            </w:tcBorders>
            <w:shd w:val="clear" w:color="auto" w:fill="auto"/>
          </w:tcPr>
          <w:p w14:paraId="0745BAF0"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1.2</w:t>
            </w:r>
          </w:p>
        </w:tc>
        <w:tc>
          <w:tcPr>
            <w:tcW w:w="4413" w:type="dxa"/>
            <w:tcBorders>
              <w:top w:val="single" w:sz="6" w:space="0" w:color="auto"/>
              <w:left w:val="single" w:sz="6" w:space="0" w:color="auto"/>
              <w:bottom w:val="single" w:sz="6" w:space="0" w:color="auto"/>
              <w:right w:val="single" w:sz="6" w:space="0" w:color="auto"/>
            </w:tcBorders>
            <w:shd w:val="clear" w:color="auto" w:fill="auto"/>
          </w:tcPr>
          <w:p w14:paraId="19212C2F"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Key institutions in partner countries provided with increased access to and/or trained in the use of marine scientific equipment, infrastructure and/or data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8A8B3E2"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09B06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4" w:type="dxa"/>
            <w:tcBorders>
              <w:top w:val="single" w:sz="6" w:space="0" w:color="auto"/>
              <w:left w:val="single" w:sz="6" w:space="0" w:color="auto"/>
              <w:bottom w:val="single" w:sz="6" w:space="0" w:color="auto"/>
              <w:right w:val="single" w:sz="6" w:space="0" w:color="auto"/>
            </w:tcBorders>
            <w:shd w:val="clear" w:color="auto" w:fill="auto"/>
          </w:tcPr>
          <w:p w14:paraId="6DC14E4F"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14 - ALBs</w:t>
            </w:r>
          </w:p>
          <w:p w14:paraId="2BE6264F"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12 - GOAP</w:t>
            </w:r>
          </w:p>
          <w:p w14:paraId="3758770C"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57DBD2BC"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26 - TOTAL</w:t>
            </w:r>
          </w:p>
        </w:tc>
      </w:tr>
      <w:tr w:rsidR="00AC5B3D" w:rsidRPr="004C6CCA" w14:paraId="3A27F792" w14:textId="77777777" w:rsidTr="00022964">
        <w:tc>
          <w:tcPr>
            <w:tcW w:w="832" w:type="dxa"/>
            <w:tcBorders>
              <w:top w:val="single" w:sz="6" w:space="0" w:color="auto"/>
              <w:left w:val="single" w:sz="6" w:space="0" w:color="auto"/>
              <w:bottom w:val="single" w:sz="6" w:space="0" w:color="auto"/>
              <w:right w:val="single" w:sz="6" w:space="0" w:color="auto"/>
            </w:tcBorders>
            <w:shd w:val="clear" w:color="auto" w:fill="auto"/>
          </w:tcPr>
          <w:p w14:paraId="07B23006"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1.3</w:t>
            </w:r>
          </w:p>
        </w:tc>
        <w:tc>
          <w:tcPr>
            <w:tcW w:w="4413" w:type="dxa"/>
            <w:tcBorders>
              <w:top w:val="single" w:sz="6" w:space="0" w:color="auto"/>
              <w:left w:val="single" w:sz="6" w:space="0" w:color="auto"/>
              <w:bottom w:val="single" w:sz="6" w:space="0" w:color="auto"/>
              <w:right w:val="single" w:sz="6" w:space="0" w:color="auto"/>
            </w:tcBorders>
            <w:shd w:val="clear" w:color="auto" w:fill="auto"/>
          </w:tcPr>
          <w:p w14:paraId="59E90276"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Scientific papers, reports, and/or databases developed and/or published by partner countries with support from the OCPP. (% of papers, reports etc. with female collaborators)</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B10501E"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BDE744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4" w:type="dxa"/>
            <w:tcBorders>
              <w:top w:val="single" w:sz="6" w:space="0" w:color="auto"/>
              <w:left w:val="single" w:sz="6" w:space="0" w:color="auto"/>
              <w:bottom w:val="single" w:sz="6" w:space="0" w:color="auto"/>
              <w:right w:val="single" w:sz="6" w:space="0" w:color="auto"/>
            </w:tcBorders>
            <w:shd w:val="clear" w:color="auto" w:fill="auto"/>
          </w:tcPr>
          <w:p w14:paraId="401F986B"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17 (30% female) - ALBs</w:t>
            </w:r>
          </w:p>
          <w:p w14:paraId="1727056F"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6(100% female) - GOAP</w:t>
            </w:r>
          </w:p>
          <w:p w14:paraId="4F082E84"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07ED6AD4"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23 - TOTAL</w:t>
            </w:r>
          </w:p>
        </w:tc>
      </w:tr>
    </w:tbl>
    <w:p w14:paraId="2A516A7E" w14:textId="77777777" w:rsidR="00AC5B3D" w:rsidRPr="004C6CCA" w:rsidRDefault="00AC5B3D" w:rsidP="00AC5B3D">
      <w:pPr>
        <w:spacing w:after="0" w:line="240" w:lineRule="auto"/>
        <w:jc w:val="both"/>
        <w:textAlignment w:val="baseline"/>
        <w:rPr>
          <w:rFonts w:ascii="Calibri" w:eastAsia="Times New Roman" w:hAnsi="Calibri" w:cs="Calibri"/>
        </w:rPr>
      </w:pPr>
    </w:p>
    <w:p w14:paraId="106F1E12" w14:textId="77777777" w:rsidR="00AC5B3D" w:rsidRPr="004C6CCA" w:rsidRDefault="00AC5B3D" w:rsidP="00AC5B3D">
      <w:pPr>
        <w:spacing w:after="0" w:line="240" w:lineRule="auto"/>
        <w:jc w:val="both"/>
        <w:textAlignment w:val="baseline"/>
        <w:rPr>
          <w:rFonts w:ascii="Calibri" w:eastAsia="Times New Roman" w:hAnsi="Calibri" w:cs="Calibri"/>
        </w:rPr>
      </w:pPr>
      <w:r w:rsidRPr="004C6CCA">
        <w:rPr>
          <w:rFonts w:ascii="Calibri" w:eastAsia="Times New Roman" w:hAnsi="Calibri" w:cs="Calibri"/>
        </w:rPr>
        <w:t>Key points:</w:t>
      </w:r>
    </w:p>
    <w:p w14:paraId="11E15828" w14:textId="77777777" w:rsidR="00AC5B3D" w:rsidRPr="004C6CCA" w:rsidRDefault="00AC5B3D" w:rsidP="00AC5B3D">
      <w:pPr>
        <w:pStyle w:val="ListParagraph"/>
        <w:numPr>
          <w:ilvl w:val="0"/>
          <w:numId w:val="25"/>
        </w:numPr>
        <w:spacing w:after="0" w:line="240" w:lineRule="auto"/>
        <w:jc w:val="both"/>
        <w:textAlignment w:val="baseline"/>
        <w:rPr>
          <w:rFonts w:ascii="Calibri" w:eastAsia="Times New Roman" w:hAnsi="Calibri" w:cs="Calibri"/>
          <w:lang w:eastAsia="en-GB"/>
        </w:rPr>
      </w:pPr>
      <w:r w:rsidRPr="004C6CCA">
        <w:rPr>
          <w:rFonts w:ascii="Calibri" w:eastAsia="Times New Roman" w:hAnsi="Calibri" w:cs="Calibri"/>
          <w:lang w:eastAsia="en-GB"/>
        </w:rPr>
        <w:t xml:space="preserve">ALBs and GOAP provided results against output 1, progress has been made towards increasing marine scientific and/or technical skills in OCPP countries. FOA were not expected to report results here as it is not their expertise, therefore this is not a negative. </w:t>
      </w:r>
    </w:p>
    <w:p w14:paraId="0CFFB22D" w14:textId="77777777" w:rsidR="00AC5B3D" w:rsidRPr="004C6CCA" w:rsidRDefault="00AC5B3D" w:rsidP="00AC5B3D">
      <w:pPr>
        <w:pStyle w:val="ListParagraph"/>
        <w:numPr>
          <w:ilvl w:val="0"/>
          <w:numId w:val="25"/>
        </w:numPr>
        <w:spacing w:after="0" w:line="240" w:lineRule="auto"/>
        <w:jc w:val="both"/>
        <w:textAlignment w:val="baseline"/>
        <w:rPr>
          <w:rFonts w:ascii="Calibri" w:eastAsia="Times New Roman" w:hAnsi="Calibri" w:cs="Calibri"/>
          <w:lang w:eastAsia="en-GB"/>
        </w:rPr>
      </w:pPr>
      <w:r w:rsidRPr="004C6CCA">
        <w:rPr>
          <w:rFonts w:ascii="Calibri" w:eastAsia="Times New Roman" w:hAnsi="Calibri" w:cs="Calibri"/>
          <w:lang w:eastAsia="en-GB"/>
        </w:rPr>
        <w:t xml:space="preserve">Types of activities undertaken to reach this output included water quality workshops in </w:t>
      </w:r>
      <w:r w:rsidRPr="004C6CCA">
        <w:rPr>
          <w:rFonts w:ascii="Calibri" w:eastAsia="Times New Roman" w:hAnsi="Calibri" w:cs="Calibri"/>
          <w:b/>
          <w:bCs/>
          <w:lang w:eastAsia="en-GB"/>
        </w:rPr>
        <w:t>India</w:t>
      </w:r>
      <w:r w:rsidRPr="004C6CCA">
        <w:rPr>
          <w:rFonts w:ascii="Calibri" w:eastAsia="Times New Roman" w:hAnsi="Calibri" w:cs="Calibri"/>
          <w:lang w:eastAsia="en-GB"/>
        </w:rPr>
        <w:t xml:space="preserve">, beach litter monitoring training in </w:t>
      </w:r>
      <w:r w:rsidRPr="004C6CCA">
        <w:rPr>
          <w:rFonts w:ascii="Calibri" w:eastAsia="Times New Roman" w:hAnsi="Calibri" w:cs="Calibri"/>
          <w:b/>
          <w:bCs/>
          <w:lang w:eastAsia="en-GB"/>
        </w:rPr>
        <w:t>Sri Lanka</w:t>
      </w:r>
      <w:r w:rsidRPr="004C6CCA">
        <w:rPr>
          <w:rFonts w:ascii="Calibri" w:eastAsia="Times New Roman" w:hAnsi="Calibri" w:cs="Calibri"/>
          <w:lang w:eastAsia="en-GB"/>
        </w:rPr>
        <w:t xml:space="preserve"> and quality control training for bivalve molluscs given in </w:t>
      </w:r>
      <w:r w:rsidRPr="004C6CCA">
        <w:rPr>
          <w:rFonts w:ascii="Calibri" w:eastAsia="Times New Roman" w:hAnsi="Calibri" w:cs="Calibri"/>
          <w:b/>
          <w:bCs/>
          <w:lang w:eastAsia="en-GB"/>
        </w:rPr>
        <w:t>Bangladesh</w:t>
      </w:r>
      <w:r w:rsidRPr="004C6CCA">
        <w:rPr>
          <w:rFonts w:ascii="Calibri" w:eastAsia="Times New Roman" w:hAnsi="Calibri" w:cs="Calibri"/>
          <w:lang w:eastAsia="en-GB"/>
        </w:rPr>
        <w:t xml:space="preserve">. </w:t>
      </w:r>
    </w:p>
    <w:p w14:paraId="4863324D" w14:textId="2EDD5495" w:rsidR="00AC5B3D" w:rsidRDefault="00AC5B3D" w:rsidP="00AC5B3D">
      <w:pPr>
        <w:pStyle w:val="ListParagraph"/>
        <w:numPr>
          <w:ilvl w:val="0"/>
          <w:numId w:val="25"/>
        </w:numPr>
        <w:spacing w:after="0" w:line="240" w:lineRule="auto"/>
        <w:jc w:val="both"/>
        <w:textAlignment w:val="baseline"/>
        <w:rPr>
          <w:rFonts w:ascii="Calibri" w:eastAsia="Times New Roman" w:hAnsi="Calibri" w:cs="Calibri"/>
          <w:lang w:eastAsia="en-GB"/>
        </w:rPr>
      </w:pPr>
      <w:r w:rsidRPr="004C6CCA">
        <w:rPr>
          <w:rFonts w:ascii="Calibri" w:eastAsia="Times New Roman" w:hAnsi="Calibri" w:cs="Calibri"/>
          <w:lang w:eastAsia="en-GB"/>
        </w:rPr>
        <w:t xml:space="preserve">Gender disaggregation was good, however more women could have been targeted as part of the activities. This is something we </w:t>
      </w:r>
      <w:r>
        <w:rPr>
          <w:rFonts w:ascii="Calibri" w:eastAsia="Times New Roman" w:hAnsi="Calibri" w:cs="Calibri"/>
          <w:lang w:eastAsia="en-GB"/>
        </w:rPr>
        <w:t>will</w:t>
      </w:r>
      <w:r w:rsidRPr="004C6CCA">
        <w:rPr>
          <w:rFonts w:ascii="Calibri" w:eastAsia="Times New Roman" w:hAnsi="Calibri" w:cs="Calibri"/>
          <w:lang w:eastAsia="en-GB"/>
        </w:rPr>
        <w:t xml:space="preserve"> build into milestones for future years. </w:t>
      </w:r>
    </w:p>
    <w:p w14:paraId="7C0295DE" w14:textId="49C346E9" w:rsidR="00CD53AE" w:rsidRDefault="00CD53AE" w:rsidP="00CD53AE">
      <w:pPr>
        <w:spacing w:after="0" w:line="240" w:lineRule="auto"/>
        <w:jc w:val="both"/>
        <w:textAlignment w:val="baseline"/>
        <w:rPr>
          <w:rFonts w:ascii="Calibri" w:eastAsia="Times New Roman" w:hAnsi="Calibri" w:cs="Calibri"/>
        </w:rPr>
      </w:pPr>
    </w:p>
    <w:p w14:paraId="641E135C" w14:textId="77777777" w:rsidR="00CD53AE" w:rsidRPr="00DD463B" w:rsidRDefault="00CD53AE" w:rsidP="00CD53AE">
      <w:pPr>
        <w:spacing w:after="0" w:line="240" w:lineRule="auto"/>
        <w:jc w:val="both"/>
        <w:textAlignment w:val="baseline"/>
        <w:rPr>
          <w:rFonts w:eastAsia="Times New Roman" w:cstheme="minorHAnsi"/>
        </w:rPr>
      </w:pPr>
      <w:r w:rsidRPr="00DD463B">
        <w:rPr>
          <w:rFonts w:eastAsia="Times New Roman" w:cstheme="minorHAnsi"/>
        </w:rPr>
        <w:t xml:space="preserve">Recommendations for improvement: </w:t>
      </w:r>
    </w:p>
    <w:p w14:paraId="70D9A169" w14:textId="77777777" w:rsidR="00CD53AE" w:rsidRPr="00DD463B" w:rsidRDefault="00CD53AE" w:rsidP="00CD53AE">
      <w:pPr>
        <w:pStyle w:val="ListParagraph"/>
        <w:numPr>
          <w:ilvl w:val="0"/>
          <w:numId w:val="39"/>
        </w:numPr>
        <w:spacing w:after="0" w:line="240" w:lineRule="auto"/>
        <w:jc w:val="both"/>
        <w:textAlignment w:val="baseline"/>
        <w:rPr>
          <w:rFonts w:eastAsia="Times New Roman" w:cstheme="minorHAnsi"/>
        </w:rPr>
      </w:pPr>
      <w:r w:rsidRPr="00DD463B">
        <w:rPr>
          <w:rFonts w:eastAsia="Times New Roman" w:cstheme="minorHAnsi"/>
        </w:rPr>
        <w:lastRenderedPageBreak/>
        <w:t xml:space="preserve">Recommendation 6 will support the improvement of gender targets, which will be embedded into some milestones. </w:t>
      </w:r>
    </w:p>
    <w:p w14:paraId="6812360C" w14:textId="54313CCC" w:rsidR="00CD53AE" w:rsidRPr="00DD463B" w:rsidRDefault="00CD53AE" w:rsidP="00CD53AE">
      <w:pPr>
        <w:pStyle w:val="ListParagraph"/>
        <w:numPr>
          <w:ilvl w:val="0"/>
          <w:numId w:val="39"/>
        </w:numPr>
        <w:spacing w:after="0" w:line="240" w:lineRule="auto"/>
        <w:jc w:val="both"/>
        <w:textAlignment w:val="baseline"/>
        <w:rPr>
          <w:rFonts w:eastAsia="Times New Roman" w:cstheme="minorHAnsi"/>
        </w:rPr>
      </w:pPr>
      <w:r w:rsidRPr="00DD463B">
        <w:rPr>
          <w:rFonts w:eastAsia="Times New Roman" w:cstheme="minorHAnsi"/>
        </w:rPr>
        <w:t xml:space="preserve">Recommendation </w:t>
      </w:r>
      <w:r w:rsidR="00D21073" w:rsidRPr="00DD463B">
        <w:rPr>
          <w:rFonts w:eastAsia="Times New Roman" w:cstheme="minorHAnsi"/>
        </w:rPr>
        <w:t>1</w:t>
      </w:r>
      <w:r w:rsidRPr="00DD463B">
        <w:rPr>
          <w:rFonts w:eastAsia="Times New Roman" w:cstheme="minorHAnsi"/>
        </w:rPr>
        <w:t xml:space="preserve"> will help increase the opportunities for increased marine science and technical capacity outputs, by being more propositional in the approach </w:t>
      </w:r>
      <w:r w:rsidR="00DD1CFC" w:rsidRPr="00DD463B">
        <w:rPr>
          <w:rFonts w:eastAsia="Times New Roman" w:cstheme="minorHAnsi"/>
        </w:rPr>
        <w:t xml:space="preserve">should </w:t>
      </w:r>
      <w:r w:rsidRPr="00DD463B">
        <w:rPr>
          <w:rFonts w:eastAsia="Times New Roman" w:cstheme="minorHAnsi"/>
        </w:rPr>
        <w:t xml:space="preserve">reduce the amount of time taken to achieve all three indicators. </w:t>
      </w:r>
    </w:p>
    <w:p w14:paraId="6384437E" w14:textId="77777777" w:rsidR="00CD53AE" w:rsidRPr="00CD53AE" w:rsidRDefault="00CD53AE" w:rsidP="00CD53AE">
      <w:pPr>
        <w:spacing w:after="0" w:line="240" w:lineRule="auto"/>
        <w:jc w:val="both"/>
        <w:textAlignment w:val="baseline"/>
        <w:rPr>
          <w:rFonts w:ascii="Calibri" w:eastAsia="Times New Roman" w:hAnsi="Calibri" w:cs="Calibri"/>
        </w:rPr>
      </w:pPr>
    </w:p>
    <w:p w14:paraId="208D9887" w14:textId="77777777" w:rsidR="00AC5B3D" w:rsidRPr="004C6CCA" w:rsidRDefault="00AC5B3D" w:rsidP="00AC5B3D">
      <w:pPr>
        <w:spacing w:after="0" w:line="240" w:lineRule="auto"/>
        <w:jc w:val="both"/>
        <w:textAlignment w:val="baseline"/>
        <w:rPr>
          <w:rFonts w:ascii="Segoe UI" w:eastAsia="Times New Roman" w:hAnsi="Segoe UI" w:cs="Segoe UI"/>
        </w:rPr>
      </w:pP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885"/>
        <w:gridCol w:w="1275"/>
        <w:gridCol w:w="3960"/>
        <w:gridCol w:w="1350"/>
      </w:tblGrid>
      <w:tr w:rsidR="00AC5B3D" w:rsidRPr="004C6CCA" w14:paraId="09CC4DA9" w14:textId="77777777" w:rsidTr="00022964">
        <w:trPr>
          <w:trHeight w:val="480"/>
        </w:trPr>
        <w:tc>
          <w:tcPr>
            <w:tcW w:w="1665" w:type="dxa"/>
            <w:tcBorders>
              <w:top w:val="single" w:sz="6" w:space="0" w:color="auto"/>
              <w:left w:val="single" w:sz="6" w:space="0" w:color="auto"/>
              <w:bottom w:val="single" w:sz="6" w:space="0" w:color="auto"/>
              <w:right w:val="single" w:sz="6" w:space="0" w:color="auto"/>
            </w:tcBorders>
            <w:shd w:val="clear" w:color="auto" w:fill="D9E2F3"/>
            <w:hideMark/>
          </w:tcPr>
          <w:p w14:paraId="732143B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Output Title </w:t>
            </w:r>
            <w:r w:rsidRPr="004C6CCA">
              <w:rPr>
                <w:rFonts w:eastAsia="Times New Roman" w:cstheme="minorHAnsi"/>
              </w:rPr>
              <w:t>  </w:t>
            </w:r>
          </w:p>
        </w:tc>
        <w:tc>
          <w:tcPr>
            <w:tcW w:w="747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E309B8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Improved regulation and/or governance of the marine environment in partner countries</w:t>
            </w:r>
          </w:p>
        </w:tc>
      </w:tr>
      <w:tr w:rsidR="00AC5B3D" w:rsidRPr="004C6CCA" w14:paraId="5E333B37" w14:textId="77777777" w:rsidTr="00022964">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7DCC1346"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Output number: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90C5E3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2</w:t>
            </w:r>
          </w:p>
        </w:tc>
        <w:tc>
          <w:tcPr>
            <w:tcW w:w="3960" w:type="dxa"/>
            <w:tcBorders>
              <w:top w:val="single" w:sz="6" w:space="0" w:color="auto"/>
              <w:left w:val="single" w:sz="6" w:space="0" w:color="auto"/>
              <w:bottom w:val="single" w:sz="6" w:space="0" w:color="auto"/>
              <w:right w:val="single" w:sz="6" w:space="0" w:color="auto"/>
            </w:tcBorders>
            <w:shd w:val="clear" w:color="auto" w:fill="D9E2F3"/>
            <w:hideMark/>
          </w:tcPr>
          <w:p w14:paraId="0A8637B9"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Output Score: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14775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color w:val="FF0000"/>
              </w:rPr>
              <w:t> </w:t>
            </w:r>
            <w:r w:rsidRPr="004C6CCA">
              <w:rPr>
                <w:rFonts w:eastAsia="Times New Roman" w:cstheme="minorHAnsi"/>
              </w:rPr>
              <w:t xml:space="preserve"> N/A</w:t>
            </w:r>
          </w:p>
        </w:tc>
      </w:tr>
      <w:tr w:rsidR="00AC5B3D" w:rsidRPr="004C6CCA" w14:paraId="4831A282" w14:textId="77777777" w:rsidTr="00022964">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6E739B6C"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Impact weighting (%):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41E7465"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22.5%</w:t>
            </w:r>
          </w:p>
        </w:tc>
        <w:tc>
          <w:tcPr>
            <w:tcW w:w="3960" w:type="dxa"/>
            <w:tcBorders>
              <w:top w:val="single" w:sz="6" w:space="0" w:color="auto"/>
              <w:left w:val="single" w:sz="6" w:space="0" w:color="auto"/>
              <w:bottom w:val="single" w:sz="6" w:space="0" w:color="auto"/>
              <w:right w:val="single" w:sz="6" w:space="0" w:color="auto"/>
            </w:tcBorders>
            <w:shd w:val="clear" w:color="auto" w:fill="D9E2F3"/>
            <w:hideMark/>
          </w:tcPr>
          <w:p w14:paraId="7F6431C3" w14:textId="7433EDD5"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Weighting revised since last AR</w:t>
            </w:r>
            <w:r w:rsidR="00E55CFC">
              <w:rPr>
                <w:rFonts w:eastAsia="Times New Roman" w:cstheme="minorHAnsi"/>
              </w:rPr>
              <w:t>:</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1D5F555"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r>
    </w:tbl>
    <w:p w14:paraId="33342CE5"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
        <w:gridCol w:w="4403"/>
        <w:gridCol w:w="993"/>
        <w:gridCol w:w="722"/>
        <w:gridCol w:w="2211"/>
      </w:tblGrid>
      <w:tr w:rsidR="00AC5B3D" w:rsidRPr="004C6CCA" w14:paraId="32346F75" w14:textId="77777777" w:rsidTr="00022964">
        <w:trPr>
          <w:trHeight w:val="270"/>
        </w:trPr>
        <w:tc>
          <w:tcPr>
            <w:tcW w:w="5234"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73AB1498"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Indicator(s)</w:t>
            </w:r>
            <w:r w:rsidRPr="004C6CCA">
              <w:rPr>
                <w:rFonts w:eastAsia="Times New Roman" w:cstheme="minorHAnsi"/>
              </w:rPr>
              <w:t>  </w:t>
            </w: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05420F65"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Baseline </w:t>
            </w:r>
            <w:r w:rsidRPr="004C6CCA">
              <w:rPr>
                <w:rFonts w:eastAsia="Times New Roman" w:cstheme="minorHAnsi"/>
              </w:rPr>
              <w:t> </w:t>
            </w:r>
          </w:p>
        </w:tc>
        <w:tc>
          <w:tcPr>
            <w:tcW w:w="722" w:type="dxa"/>
            <w:tcBorders>
              <w:top w:val="single" w:sz="6" w:space="0" w:color="auto"/>
              <w:left w:val="single" w:sz="6" w:space="0" w:color="auto"/>
              <w:bottom w:val="single" w:sz="6" w:space="0" w:color="auto"/>
              <w:right w:val="single" w:sz="6" w:space="0" w:color="auto"/>
            </w:tcBorders>
            <w:shd w:val="clear" w:color="auto" w:fill="D9E2F3"/>
            <w:hideMark/>
          </w:tcPr>
          <w:p w14:paraId="5255590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Target</w:t>
            </w:r>
            <w:r w:rsidRPr="004C6CCA">
              <w:rPr>
                <w:rFonts w:eastAsia="Times New Roman" w:cstheme="minorHAnsi"/>
              </w:rPr>
              <w:t>  </w:t>
            </w:r>
          </w:p>
        </w:tc>
        <w:tc>
          <w:tcPr>
            <w:tcW w:w="2211" w:type="dxa"/>
            <w:tcBorders>
              <w:top w:val="single" w:sz="6" w:space="0" w:color="auto"/>
              <w:left w:val="single" w:sz="6" w:space="0" w:color="auto"/>
              <w:bottom w:val="single" w:sz="6" w:space="0" w:color="auto"/>
              <w:right w:val="single" w:sz="6" w:space="0" w:color="auto"/>
            </w:tcBorders>
            <w:shd w:val="clear" w:color="auto" w:fill="D9E2F3"/>
            <w:hideMark/>
          </w:tcPr>
          <w:p w14:paraId="2F462CE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Actual </w:t>
            </w:r>
            <w:r w:rsidRPr="004C6CCA">
              <w:rPr>
                <w:rFonts w:eastAsia="Times New Roman" w:cstheme="minorHAnsi"/>
              </w:rPr>
              <w:t> </w:t>
            </w:r>
          </w:p>
        </w:tc>
      </w:tr>
      <w:tr w:rsidR="00AC5B3D" w:rsidRPr="004C6CCA" w14:paraId="4F11FE91"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20A4AC6E"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2.1</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6877B20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xml:space="preserve">New or strengthened policies, strategies and/or regulations, in place </w:t>
            </w:r>
            <w:proofErr w:type="gramStart"/>
            <w:r w:rsidRPr="004C6CCA">
              <w:rPr>
                <w:rFonts w:eastAsia="Times New Roman" w:cstheme="minorHAnsi"/>
              </w:rPr>
              <w:t>as a result of</w:t>
            </w:r>
            <w:proofErr w:type="gramEnd"/>
            <w:r w:rsidRPr="004C6CCA">
              <w:rPr>
                <w:rFonts w:eastAsia="Times New Roman" w:cstheme="minorHAnsi"/>
              </w:rPr>
              <w:t xml:space="preserve"> OCPP activities that contribute to sustainable management of the marine environment</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2F5ADFA"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36203E3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0DFEA6A2"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0 - ALBs</w:t>
            </w:r>
          </w:p>
          <w:p w14:paraId="7D4B5D9B"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3 - GOAP</w:t>
            </w:r>
          </w:p>
          <w:p w14:paraId="4F52EB75"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3B1FD3ED"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3 - TOTAL</w:t>
            </w:r>
          </w:p>
        </w:tc>
      </w:tr>
      <w:tr w:rsidR="00AC5B3D" w:rsidRPr="004C6CCA" w14:paraId="0446CA67"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005FE7DB"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2.2</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7A4E749A"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Key institutions in partner countries provided with training in control, enforcement and/or monitoring of marine policies and/or regulations</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EDC330E"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509F72BB"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10015730"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0 - ALBs</w:t>
            </w:r>
          </w:p>
          <w:p w14:paraId="1E7A8B74"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12 - GOAP</w:t>
            </w:r>
          </w:p>
          <w:p w14:paraId="5E44B1C3"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0C6470C4"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12- TOTAL</w:t>
            </w:r>
          </w:p>
        </w:tc>
      </w:tr>
      <w:tr w:rsidR="00AC5B3D" w:rsidRPr="004C6CCA" w14:paraId="0A58A568"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2ACF7190"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2.3</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7344783A"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Projects, planning and/or governance processes established due to OCPP with inclusion of local people and knowledge in decision making to sustainably manage the marine environment</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4C53DE3"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3DE3E7D6"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6B41C353"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0 - ALBs</w:t>
            </w:r>
          </w:p>
          <w:p w14:paraId="54EF2509"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5 - GOAP</w:t>
            </w:r>
          </w:p>
          <w:p w14:paraId="756CBB09"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1 - FOA</w:t>
            </w:r>
          </w:p>
          <w:p w14:paraId="67503045"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6 - TOTALS</w:t>
            </w:r>
          </w:p>
        </w:tc>
      </w:tr>
    </w:tbl>
    <w:p w14:paraId="05CE2E33"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 </w:t>
      </w:r>
    </w:p>
    <w:p w14:paraId="51CEFC78"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Key points:</w:t>
      </w:r>
    </w:p>
    <w:p w14:paraId="0CB86C4D" w14:textId="77777777" w:rsidR="00AC5B3D" w:rsidRPr="004C6CCA" w:rsidRDefault="00AC5B3D" w:rsidP="00AC5B3D">
      <w:pPr>
        <w:pStyle w:val="ListParagraph"/>
        <w:numPr>
          <w:ilvl w:val="0"/>
          <w:numId w:val="27"/>
        </w:numPr>
        <w:spacing w:after="0" w:line="240" w:lineRule="auto"/>
        <w:jc w:val="both"/>
        <w:textAlignment w:val="baseline"/>
        <w:rPr>
          <w:rFonts w:eastAsia="Times New Roman" w:cstheme="minorHAnsi"/>
          <w:lang w:eastAsia="en-GB"/>
        </w:rPr>
      </w:pPr>
      <w:r w:rsidRPr="004C6CCA">
        <w:rPr>
          <w:rFonts w:eastAsia="Times New Roman" w:cstheme="minorHAnsi"/>
          <w:lang w:eastAsia="en-GB"/>
        </w:rPr>
        <w:t xml:space="preserve">ALBs reported no results for this output, which shows a gap. The time required for implementation is likely to be a contributing factor, we would expect to see an improvement in these results as the programme develops. </w:t>
      </w:r>
    </w:p>
    <w:p w14:paraId="1A1F7E3F" w14:textId="77777777" w:rsidR="00AC5B3D" w:rsidRPr="004C6CCA" w:rsidRDefault="00AC5B3D" w:rsidP="00AC5B3D">
      <w:pPr>
        <w:pStyle w:val="ListParagraph"/>
        <w:numPr>
          <w:ilvl w:val="0"/>
          <w:numId w:val="27"/>
        </w:numPr>
        <w:spacing w:after="0" w:line="240" w:lineRule="auto"/>
        <w:jc w:val="both"/>
        <w:textAlignment w:val="baseline"/>
        <w:rPr>
          <w:rFonts w:eastAsia="Times New Roman" w:cstheme="minorHAnsi"/>
          <w:lang w:eastAsia="en-GB"/>
        </w:rPr>
      </w:pPr>
      <w:r w:rsidRPr="004C6CCA">
        <w:rPr>
          <w:rFonts w:eastAsia="Times New Roman" w:cstheme="minorHAnsi"/>
          <w:lang w:eastAsia="en-GB"/>
        </w:rPr>
        <w:t>GOAP had success and report</w:t>
      </w:r>
      <w:r>
        <w:rPr>
          <w:rFonts w:eastAsia="Times New Roman" w:cstheme="minorHAnsi"/>
          <w:lang w:eastAsia="en-GB"/>
        </w:rPr>
        <w:t>ed</w:t>
      </w:r>
      <w:r w:rsidRPr="004C6CCA">
        <w:rPr>
          <w:rFonts w:eastAsia="Times New Roman" w:cstheme="minorHAnsi"/>
          <w:lang w:eastAsia="en-GB"/>
        </w:rPr>
        <w:t xml:space="preserve"> results for all three indicators. GOAP have been able to have influence through ocean accounting, for example in </w:t>
      </w:r>
      <w:r w:rsidRPr="004C6CCA">
        <w:rPr>
          <w:rFonts w:eastAsia="Times New Roman" w:cstheme="minorHAnsi"/>
          <w:b/>
          <w:bCs/>
          <w:lang w:eastAsia="en-GB"/>
        </w:rPr>
        <w:t>Fiji</w:t>
      </w:r>
      <w:r w:rsidRPr="004C6CCA">
        <w:rPr>
          <w:rFonts w:eastAsia="Times New Roman" w:cstheme="minorHAnsi"/>
          <w:lang w:eastAsia="en-GB"/>
        </w:rPr>
        <w:t xml:space="preserve"> the National Ocean Policy considers the value of the ocean resources and in </w:t>
      </w:r>
      <w:r w:rsidRPr="004C6CCA">
        <w:rPr>
          <w:rFonts w:eastAsia="Times New Roman" w:cstheme="minorHAnsi"/>
          <w:b/>
          <w:bCs/>
          <w:lang w:eastAsia="en-GB"/>
        </w:rPr>
        <w:t>Indonesia</w:t>
      </w:r>
      <w:r w:rsidRPr="004C6CCA">
        <w:rPr>
          <w:rFonts w:eastAsia="Times New Roman" w:cstheme="minorHAnsi"/>
          <w:lang w:eastAsia="en-GB"/>
        </w:rPr>
        <w:t xml:space="preserve"> the Vision and Direction of the 2005-2025 National Long-Term Development Plan (RPJP) has seen the government emphasise the importance of natural resources for the country’s economy. </w:t>
      </w:r>
    </w:p>
    <w:p w14:paraId="453AFA2C" w14:textId="77777777" w:rsidR="00AC5B3D" w:rsidRPr="00FD3957" w:rsidRDefault="00AC5B3D" w:rsidP="00AC5B3D">
      <w:pPr>
        <w:pStyle w:val="ListParagraph"/>
        <w:numPr>
          <w:ilvl w:val="0"/>
          <w:numId w:val="27"/>
        </w:numPr>
        <w:spacing w:after="0" w:line="240" w:lineRule="auto"/>
        <w:jc w:val="both"/>
        <w:textAlignment w:val="baseline"/>
        <w:rPr>
          <w:rFonts w:eastAsia="Times New Roman" w:cstheme="minorHAnsi"/>
          <w:lang w:eastAsia="en-GB"/>
        </w:rPr>
      </w:pPr>
      <w:r w:rsidRPr="00FD3957">
        <w:rPr>
          <w:rFonts w:eastAsia="Times New Roman" w:cstheme="minorHAnsi"/>
          <w:lang w:eastAsia="en-GB"/>
        </w:rPr>
        <w:t xml:space="preserve">FOA had minimal input for this output, </w:t>
      </w:r>
      <w:proofErr w:type="gramStart"/>
      <w:r w:rsidRPr="00FD3957">
        <w:rPr>
          <w:rFonts w:eastAsia="Times New Roman" w:cstheme="minorHAnsi"/>
          <w:lang w:eastAsia="en-GB"/>
        </w:rPr>
        <w:t>however</w:t>
      </w:r>
      <w:proofErr w:type="gramEnd"/>
      <w:r w:rsidRPr="00FD3957">
        <w:rPr>
          <w:rFonts w:eastAsia="Times New Roman" w:cstheme="minorHAnsi"/>
          <w:lang w:eastAsia="en-GB"/>
        </w:rPr>
        <w:t xml:space="preserve"> did contribute through their process of engagement with government and stakeholders in </w:t>
      </w:r>
      <w:r w:rsidRPr="00FD3957">
        <w:rPr>
          <w:rFonts w:eastAsia="Times New Roman" w:cstheme="minorHAnsi"/>
          <w:b/>
          <w:bCs/>
          <w:lang w:eastAsia="en-GB"/>
        </w:rPr>
        <w:t>Fiji</w:t>
      </w:r>
      <w:r w:rsidRPr="00FD3957">
        <w:rPr>
          <w:rFonts w:eastAsia="Times New Roman" w:cstheme="minorHAnsi"/>
          <w:lang w:eastAsia="en-GB"/>
        </w:rPr>
        <w:t xml:space="preserve"> in the establishment of a Blue Recovery Hub. </w:t>
      </w:r>
    </w:p>
    <w:p w14:paraId="029C482C" w14:textId="27FB1FEF" w:rsidR="00AC5B3D" w:rsidRPr="00FD3957" w:rsidRDefault="00AC5B3D" w:rsidP="00CD53AE">
      <w:pPr>
        <w:spacing w:after="0" w:line="240" w:lineRule="auto"/>
        <w:jc w:val="both"/>
        <w:textAlignment w:val="baseline"/>
        <w:rPr>
          <w:rFonts w:eastAsia="Times New Roman" w:cstheme="minorHAnsi"/>
        </w:rPr>
      </w:pPr>
    </w:p>
    <w:p w14:paraId="1C52DBA5" w14:textId="77777777" w:rsidR="00CD53AE" w:rsidRPr="00A300A7" w:rsidRDefault="00CD53AE" w:rsidP="00CD53AE">
      <w:pPr>
        <w:spacing w:after="0" w:line="240" w:lineRule="auto"/>
        <w:jc w:val="both"/>
        <w:textAlignment w:val="baseline"/>
        <w:rPr>
          <w:rFonts w:eastAsia="Times New Roman" w:cstheme="minorHAnsi"/>
        </w:rPr>
      </w:pPr>
      <w:r w:rsidRPr="00A300A7">
        <w:rPr>
          <w:rFonts w:eastAsia="Times New Roman" w:cstheme="minorHAnsi"/>
        </w:rPr>
        <w:t xml:space="preserve">Recommendations for improvement: </w:t>
      </w:r>
    </w:p>
    <w:p w14:paraId="31C1166B" w14:textId="77777777" w:rsidR="00CD53AE" w:rsidRPr="00A300A7" w:rsidRDefault="00CD53AE" w:rsidP="00CD53AE">
      <w:pPr>
        <w:pStyle w:val="ListParagraph"/>
        <w:numPr>
          <w:ilvl w:val="0"/>
          <w:numId w:val="40"/>
        </w:numPr>
        <w:spacing w:after="0" w:line="240" w:lineRule="auto"/>
        <w:jc w:val="both"/>
        <w:textAlignment w:val="baseline"/>
        <w:rPr>
          <w:rFonts w:eastAsia="Times New Roman" w:cstheme="minorHAnsi"/>
        </w:rPr>
      </w:pPr>
      <w:r w:rsidRPr="00A300A7">
        <w:rPr>
          <w:rFonts w:eastAsia="Times New Roman" w:cstheme="minorHAnsi"/>
        </w:rPr>
        <w:t xml:space="preserve">Recommendation 8 will support indicator 2.3, by targeting delivery through </w:t>
      </w:r>
      <w:r w:rsidRPr="00A300A7">
        <w:t xml:space="preserve">local/in-country organisations. </w:t>
      </w:r>
    </w:p>
    <w:p w14:paraId="5785D9AA" w14:textId="7FF64C53" w:rsidR="00CD53AE" w:rsidRPr="00A300A7" w:rsidRDefault="00CD53AE" w:rsidP="00CD53AE">
      <w:pPr>
        <w:pStyle w:val="ListParagraph"/>
        <w:numPr>
          <w:ilvl w:val="0"/>
          <w:numId w:val="40"/>
        </w:numPr>
        <w:spacing w:after="0" w:line="240" w:lineRule="auto"/>
        <w:jc w:val="both"/>
        <w:textAlignment w:val="baseline"/>
        <w:rPr>
          <w:rFonts w:eastAsia="Times New Roman" w:cstheme="minorHAnsi"/>
        </w:rPr>
      </w:pPr>
      <w:r w:rsidRPr="00A300A7">
        <w:rPr>
          <w:rFonts w:eastAsia="Times New Roman" w:cstheme="minorHAnsi"/>
        </w:rPr>
        <w:t xml:space="preserve">Lesson 5 is likely to be directly related to the lack of data from the ALB reporting. Lesson 5 will be addressed through the development of a partnership scoping framework, which will formalise the way we scope in any new partnership and ensure efficient and timely intervention. </w:t>
      </w:r>
    </w:p>
    <w:p w14:paraId="44FC43F2" w14:textId="3416223E" w:rsidR="00CD53AE" w:rsidRPr="00A300A7" w:rsidRDefault="00CD53AE" w:rsidP="00CD53AE">
      <w:pPr>
        <w:pStyle w:val="ListParagraph"/>
        <w:numPr>
          <w:ilvl w:val="0"/>
          <w:numId w:val="40"/>
        </w:numPr>
        <w:spacing w:after="0" w:line="240" w:lineRule="auto"/>
        <w:jc w:val="both"/>
        <w:textAlignment w:val="baseline"/>
        <w:rPr>
          <w:rFonts w:eastAsia="Times New Roman" w:cstheme="minorHAnsi"/>
        </w:rPr>
      </w:pPr>
      <w:r w:rsidRPr="00A300A7">
        <w:rPr>
          <w:rFonts w:eastAsia="Times New Roman" w:cstheme="minorHAnsi"/>
        </w:rPr>
        <w:lastRenderedPageBreak/>
        <w:t xml:space="preserve">In some partner countries lesson 6 is likely to be linked to the lack of </w:t>
      </w:r>
      <w:r w:rsidR="00CC2D39" w:rsidRPr="00A300A7">
        <w:rPr>
          <w:rFonts w:eastAsia="Times New Roman" w:cstheme="minorHAnsi"/>
        </w:rPr>
        <w:t>progress on</w:t>
      </w:r>
      <w:r w:rsidRPr="00A300A7">
        <w:rPr>
          <w:rFonts w:eastAsia="Times New Roman" w:cstheme="minorHAnsi"/>
        </w:rPr>
        <w:t xml:space="preserve"> output 2. This will be addressed through exploring an in-country resourcing mechanism to support OCPP partnerships and in-country coordination, these could be placed in high commissions or embassies to </w:t>
      </w:r>
      <w:r w:rsidR="000B4DEC" w:rsidRPr="00A300A7">
        <w:rPr>
          <w:rFonts w:eastAsia="Times New Roman" w:cstheme="minorHAnsi"/>
        </w:rPr>
        <w:t>reduce</w:t>
      </w:r>
      <w:r w:rsidRPr="00A300A7">
        <w:rPr>
          <w:rFonts w:eastAsia="Times New Roman" w:cstheme="minorHAnsi"/>
        </w:rPr>
        <w:t xml:space="preserve"> pressure o</w:t>
      </w:r>
      <w:r w:rsidR="000B4DEC" w:rsidRPr="00A300A7">
        <w:rPr>
          <w:rFonts w:eastAsia="Times New Roman" w:cstheme="minorHAnsi"/>
        </w:rPr>
        <w:t>n</w:t>
      </w:r>
      <w:r w:rsidRPr="00A300A7">
        <w:rPr>
          <w:rFonts w:eastAsia="Times New Roman" w:cstheme="minorHAnsi"/>
        </w:rPr>
        <w:t xml:space="preserve"> post.</w:t>
      </w:r>
    </w:p>
    <w:p w14:paraId="6804D456" w14:textId="77777777" w:rsidR="00CD53AE" w:rsidRPr="00CD53AE" w:rsidRDefault="00CD53AE" w:rsidP="00CD53AE">
      <w:pPr>
        <w:spacing w:after="0" w:line="240" w:lineRule="auto"/>
        <w:jc w:val="both"/>
        <w:textAlignment w:val="baseline"/>
        <w:rPr>
          <w:rFonts w:eastAsia="Times New Roman" w:cstheme="minorHAnsi"/>
        </w:rPr>
      </w:pPr>
    </w:p>
    <w:p w14:paraId="40897FD3"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885"/>
        <w:gridCol w:w="1275"/>
        <w:gridCol w:w="3960"/>
        <w:gridCol w:w="1350"/>
      </w:tblGrid>
      <w:tr w:rsidR="00AC5B3D" w:rsidRPr="004C6CCA" w14:paraId="50F4D6BC" w14:textId="77777777" w:rsidTr="00022964">
        <w:trPr>
          <w:trHeight w:val="480"/>
        </w:trPr>
        <w:tc>
          <w:tcPr>
            <w:tcW w:w="1665" w:type="dxa"/>
            <w:tcBorders>
              <w:top w:val="single" w:sz="6" w:space="0" w:color="auto"/>
              <w:left w:val="single" w:sz="6" w:space="0" w:color="auto"/>
              <w:bottom w:val="single" w:sz="6" w:space="0" w:color="auto"/>
              <w:right w:val="single" w:sz="6" w:space="0" w:color="auto"/>
            </w:tcBorders>
            <w:shd w:val="clear" w:color="auto" w:fill="D9E2F3"/>
            <w:hideMark/>
          </w:tcPr>
          <w:p w14:paraId="75F99233"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Output Title </w:t>
            </w:r>
            <w:r w:rsidRPr="004C6CCA">
              <w:rPr>
                <w:rFonts w:eastAsia="Times New Roman" w:cstheme="minorHAnsi"/>
              </w:rPr>
              <w:t>  </w:t>
            </w:r>
          </w:p>
        </w:tc>
        <w:tc>
          <w:tcPr>
            <w:tcW w:w="747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26AA97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Enhanced education and exchange of knowledge in relation to marine management in partner countries</w:t>
            </w:r>
          </w:p>
        </w:tc>
      </w:tr>
      <w:tr w:rsidR="00AC5B3D" w:rsidRPr="004C6CCA" w14:paraId="769AEED9" w14:textId="77777777" w:rsidTr="00022964">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5BDEB839"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Output number: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A4E4FF5"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3</w:t>
            </w:r>
          </w:p>
        </w:tc>
        <w:tc>
          <w:tcPr>
            <w:tcW w:w="3960" w:type="dxa"/>
            <w:tcBorders>
              <w:top w:val="single" w:sz="6" w:space="0" w:color="auto"/>
              <w:left w:val="single" w:sz="6" w:space="0" w:color="auto"/>
              <w:bottom w:val="single" w:sz="6" w:space="0" w:color="auto"/>
              <w:right w:val="single" w:sz="6" w:space="0" w:color="auto"/>
            </w:tcBorders>
            <w:shd w:val="clear" w:color="auto" w:fill="D9E2F3"/>
            <w:hideMark/>
          </w:tcPr>
          <w:p w14:paraId="795E1708"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Output Score: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9A6947B"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color w:val="FF0000"/>
              </w:rPr>
              <w:t> </w:t>
            </w:r>
            <w:r w:rsidRPr="004C6CCA">
              <w:rPr>
                <w:rFonts w:eastAsia="Times New Roman" w:cstheme="minorHAnsi"/>
              </w:rPr>
              <w:t xml:space="preserve"> N/A</w:t>
            </w:r>
          </w:p>
        </w:tc>
      </w:tr>
      <w:tr w:rsidR="00AC5B3D" w:rsidRPr="004C6CCA" w14:paraId="19961684" w14:textId="77777777" w:rsidTr="00022964">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0C9F59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Impact weighting (%):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EDE8388"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22.5%</w:t>
            </w:r>
          </w:p>
        </w:tc>
        <w:tc>
          <w:tcPr>
            <w:tcW w:w="3960" w:type="dxa"/>
            <w:tcBorders>
              <w:top w:val="single" w:sz="6" w:space="0" w:color="auto"/>
              <w:left w:val="single" w:sz="6" w:space="0" w:color="auto"/>
              <w:bottom w:val="single" w:sz="6" w:space="0" w:color="auto"/>
              <w:right w:val="single" w:sz="6" w:space="0" w:color="auto"/>
            </w:tcBorders>
            <w:shd w:val="clear" w:color="auto" w:fill="D9E2F3"/>
            <w:hideMark/>
          </w:tcPr>
          <w:p w14:paraId="4968D9AA" w14:textId="7495FE48"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Weighting revised since last AR</w:t>
            </w:r>
            <w:r w:rsidR="00E55CFC">
              <w:rPr>
                <w:rFonts w:eastAsia="Times New Roman" w:cstheme="minorHAnsi"/>
              </w:rPr>
              <w:t>:</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6731FC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r>
    </w:tbl>
    <w:p w14:paraId="2DEA92E8"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
        <w:gridCol w:w="4403"/>
        <w:gridCol w:w="993"/>
        <w:gridCol w:w="722"/>
        <w:gridCol w:w="2211"/>
      </w:tblGrid>
      <w:tr w:rsidR="00AC5B3D" w:rsidRPr="004C6CCA" w14:paraId="2F300408" w14:textId="77777777" w:rsidTr="00022964">
        <w:trPr>
          <w:trHeight w:val="270"/>
        </w:trPr>
        <w:tc>
          <w:tcPr>
            <w:tcW w:w="5234"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1B1296AA"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Indicator(s)</w:t>
            </w:r>
            <w:r w:rsidRPr="004C6CCA">
              <w:rPr>
                <w:rFonts w:eastAsia="Times New Roman" w:cstheme="minorHAnsi"/>
              </w:rPr>
              <w:t>  </w:t>
            </w: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332ABD1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Baseline </w:t>
            </w:r>
            <w:r w:rsidRPr="004C6CCA">
              <w:rPr>
                <w:rFonts w:eastAsia="Times New Roman" w:cstheme="minorHAnsi"/>
              </w:rPr>
              <w:t> </w:t>
            </w:r>
          </w:p>
        </w:tc>
        <w:tc>
          <w:tcPr>
            <w:tcW w:w="722" w:type="dxa"/>
            <w:tcBorders>
              <w:top w:val="single" w:sz="6" w:space="0" w:color="auto"/>
              <w:left w:val="single" w:sz="6" w:space="0" w:color="auto"/>
              <w:bottom w:val="single" w:sz="6" w:space="0" w:color="auto"/>
              <w:right w:val="single" w:sz="6" w:space="0" w:color="auto"/>
            </w:tcBorders>
            <w:shd w:val="clear" w:color="auto" w:fill="D9E2F3"/>
            <w:hideMark/>
          </w:tcPr>
          <w:p w14:paraId="09A40FB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Target</w:t>
            </w:r>
            <w:r w:rsidRPr="004C6CCA">
              <w:rPr>
                <w:rFonts w:eastAsia="Times New Roman" w:cstheme="minorHAnsi"/>
              </w:rPr>
              <w:t>  </w:t>
            </w:r>
          </w:p>
        </w:tc>
        <w:tc>
          <w:tcPr>
            <w:tcW w:w="2211" w:type="dxa"/>
            <w:tcBorders>
              <w:top w:val="single" w:sz="6" w:space="0" w:color="auto"/>
              <w:left w:val="single" w:sz="6" w:space="0" w:color="auto"/>
              <w:bottom w:val="single" w:sz="6" w:space="0" w:color="auto"/>
              <w:right w:val="single" w:sz="6" w:space="0" w:color="auto"/>
            </w:tcBorders>
            <w:shd w:val="clear" w:color="auto" w:fill="D9E2F3"/>
            <w:hideMark/>
          </w:tcPr>
          <w:p w14:paraId="75FABCF5"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Actual </w:t>
            </w:r>
            <w:r w:rsidRPr="004C6CCA">
              <w:rPr>
                <w:rFonts w:eastAsia="Times New Roman" w:cstheme="minorHAnsi"/>
              </w:rPr>
              <w:t> </w:t>
            </w:r>
          </w:p>
        </w:tc>
      </w:tr>
      <w:tr w:rsidR="00AC5B3D" w:rsidRPr="004C6CCA" w14:paraId="57E326D7"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601778A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3.1</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7F7C7F06"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Ocean science-related networks between two or more individuals and/or organisations are established or strengthened.</w:t>
            </w:r>
          </w:p>
          <w:p w14:paraId="6621F9A5"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within partner countries</w:t>
            </w:r>
          </w:p>
          <w:p w14:paraId="40732182"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between partner countries</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BD947A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799E99D2"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54800A6B"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1 - ALBs</w:t>
            </w:r>
          </w:p>
          <w:p w14:paraId="4F1C91E6"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8 - GOAP</w:t>
            </w:r>
          </w:p>
          <w:p w14:paraId="1615F508"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3 - FOA</w:t>
            </w:r>
          </w:p>
          <w:p w14:paraId="6365EA87"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12 -TOTAL</w:t>
            </w:r>
          </w:p>
        </w:tc>
      </w:tr>
      <w:tr w:rsidR="00AC5B3D" w:rsidRPr="004C6CCA" w14:paraId="3AADD24A"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4055F23A"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3.2</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3C3A7908"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Number of local people engaged in community events in sustainable management of the marine environment (e.g. beach cleans, citizen science activities, community exhibitions). [disaggregated by gender]</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A41F935"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40021CC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2C17C74E"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4826 (4633M/193F, 4% female) - ALBs</w:t>
            </w:r>
          </w:p>
          <w:p w14:paraId="2745C538"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250 (135M/115F, 46% female) - GOAP</w:t>
            </w:r>
          </w:p>
          <w:p w14:paraId="3AABAC91"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67080B7E"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5076 (6% female) - TOTAL</w:t>
            </w:r>
          </w:p>
        </w:tc>
      </w:tr>
      <w:tr w:rsidR="00AC5B3D" w:rsidRPr="004C6CCA" w14:paraId="387C3923"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396941D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3.3</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160FB099"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Number of sustainable marine management educational resources and/or communication products disseminated</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2F688B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76E8AC79"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572D9ADD"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1 - ALBs</w:t>
            </w:r>
          </w:p>
          <w:p w14:paraId="0B9AE256"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GOAP</w:t>
            </w:r>
          </w:p>
          <w:p w14:paraId="4FE9ACBF"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11 - FOA</w:t>
            </w:r>
          </w:p>
          <w:p w14:paraId="5294FB5E"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12 - TOTAL</w:t>
            </w:r>
          </w:p>
        </w:tc>
      </w:tr>
      <w:tr w:rsidR="00AC5B3D" w:rsidRPr="004C6CCA" w14:paraId="3F647021"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10A8D473"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3.4</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37EB065C"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Number of scholars trained to achieve a qualification in topics relevant to sustainable management of the marine environment, disaggregated by country, qualification type (Masters, PhD), gender</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E5FD54E"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4D87020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4F65A793"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5 (4M/1F, 20% female) - ALBs</w:t>
            </w:r>
          </w:p>
          <w:p w14:paraId="09DA94DD"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15 (9M/6F, 40% female) - GOAP</w:t>
            </w:r>
          </w:p>
          <w:p w14:paraId="218D8953"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4DDA00FB" w14:textId="77777777" w:rsidR="00AC5B3D" w:rsidRPr="004C6CCA" w:rsidRDefault="00AC5B3D" w:rsidP="00022964">
            <w:pPr>
              <w:pStyle w:val="ListParagraph"/>
              <w:numPr>
                <w:ilvl w:val="0"/>
                <w:numId w:val="24"/>
              </w:numPr>
              <w:spacing w:after="0" w:line="240" w:lineRule="auto"/>
              <w:textAlignment w:val="baseline"/>
              <w:rPr>
                <w:rFonts w:eastAsia="Times New Roman" w:cstheme="minorHAnsi"/>
                <w:lang w:eastAsia="en-GB"/>
              </w:rPr>
            </w:pPr>
            <w:r w:rsidRPr="004C6CCA">
              <w:rPr>
                <w:rFonts w:eastAsia="Times New Roman" w:cstheme="minorHAnsi"/>
                <w:lang w:eastAsia="en-GB"/>
              </w:rPr>
              <w:t>20 (35% female) - TOTAL</w:t>
            </w:r>
          </w:p>
        </w:tc>
      </w:tr>
    </w:tbl>
    <w:p w14:paraId="0B2E7EC1"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 </w:t>
      </w:r>
    </w:p>
    <w:p w14:paraId="11C160A6"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Key points:</w:t>
      </w:r>
    </w:p>
    <w:p w14:paraId="42A56C10" w14:textId="77777777" w:rsidR="00AC5B3D" w:rsidRPr="004C6CCA" w:rsidRDefault="00AC5B3D" w:rsidP="00AC5B3D">
      <w:pPr>
        <w:pStyle w:val="ListParagraph"/>
        <w:numPr>
          <w:ilvl w:val="0"/>
          <w:numId w:val="28"/>
        </w:numPr>
        <w:spacing w:after="0" w:line="240" w:lineRule="auto"/>
        <w:jc w:val="both"/>
        <w:textAlignment w:val="baseline"/>
        <w:rPr>
          <w:rFonts w:eastAsia="Times New Roman" w:cstheme="minorHAnsi"/>
          <w:lang w:eastAsia="en-GB"/>
        </w:rPr>
      </w:pPr>
      <w:r w:rsidRPr="004C6CCA">
        <w:rPr>
          <w:rFonts w:eastAsia="Times New Roman" w:cstheme="minorHAnsi"/>
          <w:lang w:eastAsia="en-GB"/>
        </w:rPr>
        <w:t xml:space="preserve">Education and knowledge exchange is a key component of the OCPP enabling pathways, the results show good success towards reaching outputs in this area. The OCPP has been designed to emphasise </w:t>
      </w:r>
      <w:r>
        <w:rPr>
          <w:rFonts w:eastAsia="Times New Roman" w:cstheme="minorHAnsi"/>
          <w:lang w:eastAsia="en-GB"/>
        </w:rPr>
        <w:t>an</w:t>
      </w:r>
      <w:r w:rsidRPr="004C6CCA">
        <w:rPr>
          <w:rFonts w:eastAsia="Times New Roman" w:cstheme="minorHAnsi"/>
          <w:lang w:eastAsia="en-GB"/>
        </w:rPr>
        <w:t xml:space="preserve"> exchange in knowledge, not just a transfer of UK scientific knowledge but also learning from the partner country. </w:t>
      </w:r>
    </w:p>
    <w:p w14:paraId="5F2F7EA6" w14:textId="77777777" w:rsidR="00AC5B3D" w:rsidRPr="004C6CCA" w:rsidRDefault="00AC5B3D" w:rsidP="00AC5B3D">
      <w:pPr>
        <w:pStyle w:val="ListParagraph"/>
        <w:numPr>
          <w:ilvl w:val="0"/>
          <w:numId w:val="28"/>
        </w:numPr>
        <w:spacing w:after="0" w:line="240" w:lineRule="auto"/>
        <w:jc w:val="both"/>
        <w:textAlignment w:val="baseline"/>
        <w:rPr>
          <w:rFonts w:eastAsia="Times New Roman" w:cstheme="minorHAnsi"/>
          <w:lang w:eastAsia="en-GB"/>
        </w:rPr>
      </w:pPr>
      <w:r w:rsidRPr="004C6CCA">
        <w:rPr>
          <w:rFonts w:eastAsia="Times New Roman" w:cstheme="minorHAnsi"/>
          <w:lang w:eastAsia="en-GB"/>
        </w:rPr>
        <w:t xml:space="preserve">ALBs were able sub-contract to in country delivery partners </w:t>
      </w:r>
      <w:r>
        <w:rPr>
          <w:rFonts w:eastAsia="Times New Roman" w:cstheme="minorHAnsi"/>
          <w:lang w:eastAsia="en-GB"/>
        </w:rPr>
        <w:t xml:space="preserve">to </w:t>
      </w:r>
      <w:r w:rsidRPr="004C6CCA">
        <w:rPr>
          <w:rFonts w:eastAsia="Times New Roman" w:cstheme="minorHAnsi"/>
          <w:lang w:eastAsia="en-GB"/>
        </w:rPr>
        <w:t xml:space="preserve">reach </w:t>
      </w:r>
      <w:proofErr w:type="gramStart"/>
      <w:r w:rsidRPr="004C6CCA">
        <w:rPr>
          <w:rFonts w:eastAsia="Times New Roman" w:cstheme="minorHAnsi"/>
          <w:lang w:eastAsia="en-GB"/>
        </w:rPr>
        <w:t>a large number of</w:t>
      </w:r>
      <w:proofErr w:type="gramEnd"/>
      <w:r w:rsidRPr="004C6CCA">
        <w:rPr>
          <w:rFonts w:eastAsia="Times New Roman" w:cstheme="minorHAnsi"/>
          <w:lang w:eastAsia="en-GB"/>
        </w:rPr>
        <w:t xml:space="preserve"> the local community, for example in </w:t>
      </w:r>
      <w:r w:rsidRPr="004C6CCA">
        <w:rPr>
          <w:rFonts w:eastAsia="Times New Roman" w:cstheme="minorHAnsi"/>
          <w:b/>
          <w:bCs/>
          <w:lang w:eastAsia="en-GB"/>
        </w:rPr>
        <w:t>Sri Lanka</w:t>
      </w:r>
      <w:r w:rsidRPr="004C6CCA">
        <w:rPr>
          <w:rFonts w:eastAsia="Times New Roman" w:cstheme="minorHAnsi"/>
          <w:lang w:eastAsia="en-GB"/>
        </w:rPr>
        <w:t xml:space="preserve"> Zindhu Maritime Services delivered Abandoned, Lost and otherwise Disregarded Fishing Gear (ALDFG) workshops to approximately 3000 people in the fishing community.    </w:t>
      </w:r>
    </w:p>
    <w:p w14:paraId="3C1A822B" w14:textId="18ED7173" w:rsidR="00AC5B3D" w:rsidRDefault="00AC5B3D" w:rsidP="00AC5B3D">
      <w:pPr>
        <w:pStyle w:val="ListParagraph"/>
        <w:numPr>
          <w:ilvl w:val="0"/>
          <w:numId w:val="28"/>
        </w:numPr>
        <w:spacing w:after="0" w:line="240" w:lineRule="auto"/>
        <w:jc w:val="both"/>
        <w:textAlignment w:val="baseline"/>
        <w:rPr>
          <w:rFonts w:eastAsia="Times New Roman" w:cstheme="minorHAnsi"/>
          <w:lang w:eastAsia="en-GB"/>
        </w:rPr>
      </w:pPr>
      <w:r w:rsidRPr="004C6CCA">
        <w:rPr>
          <w:rFonts w:eastAsia="Times New Roman" w:cstheme="minorHAnsi"/>
          <w:lang w:eastAsia="en-GB"/>
        </w:rPr>
        <w:t xml:space="preserve">GOAP were able to utilise a global partner to work across two regions, working with UN ESCAP to organise an Ocean Accounts training for the </w:t>
      </w:r>
      <w:r w:rsidRPr="004C6CCA">
        <w:rPr>
          <w:rFonts w:eastAsia="Times New Roman" w:cstheme="minorHAnsi"/>
          <w:b/>
          <w:bCs/>
          <w:lang w:eastAsia="en-GB"/>
        </w:rPr>
        <w:t>Asia-Pacific</w:t>
      </w:r>
      <w:r w:rsidRPr="004C6CCA">
        <w:rPr>
          <w:rFonts w:eastAsia="Times New Roman" w:cstheme="minorHAnsi"/>
          <w:lang w:eastAsia="en-GB"/>
        </w:rPr>
        <w:t xml:space="preserve"> and organised an Ocean Accounts </w:t>
      </w:r>
      <w:r w:rsidRPr="004C6CCA">
        <w:rPr>
          <w:rFonts w:eastAsia="Times New Roman" w:cstheme="minorHAnsi"/>
          <w:lang w:eastAsia="en-GB"/>
        </w:rPr>
        <w:lastRenderedPageBreak/>
        <w:t xml:space="preserve">Seminar with Madras School of Economics and the Australian Government as part of the programme ‘Building an Australia-India (and Indo-Pacific) community of practice on ocean accounting. </w:t>
      </w:r>
    </w:p>
    <w:p w14:paraId="6826083D" w14:textId="7B3A934E" w:rsidR="00CD53AE" w:rsidRDefault="00CD53AE" w:rsidP="00CD53AE">
      <w:pPr>
        <w:spacing w:after="0" w:line="240" w:lineRule="auto"/>
        <w:ind w:left="360"/>
        <w:jc w:val="both"/>
        <w:textAlignment w:val="baseline"/>
        <w:rPr>
          <w:rFonts w:eastAsia="Times New Roman" w:cstheme="minorHAnsi"/>
        </w:rPr>
      </w:pPr>
    </w:p>
    <w:p w14:paraId="466DE0F5" w14:textId="77777777" w:rsidR="00CD53AE" w:rsidRPr="00A300A7" w:rsidRDefault="00CD53AE" w:rsidP="00CD53AE">
      <w:pPr>
        <w:spacing w:after="0" w:line="240" w:lineRule="auto"/>
        <w:jc w:val="both"/>
        <w:textAlignment w:val="baseline"/>
        <w:rPr>
          <w:rFonts w:eastAsia="Times New Roman" w:cstheme="minorHAnsi"/>
        </w:rPr>
      </w:pPr>
      <w:r w:rsidRPr="00A300A7">
        <w:rPr>
          <w:rFonts w:eastAsia="Times New Roman" w:cstheme="minorHAnsi"/>
        </w:rPr>
        <w:t xml:space="preserve">Recommendations for improvement: </w:t>
      </w:r>
    </w:p>
    <w:p w14:paraId="005BE47C" w14:textId="502C693B" w:rsidR="00CD53AE" w:rsidRPr="00A300A7" w:rsidRDefault="00CD53AE" w:rsidP="00CD53AE">
      <w:pPr>
        <w:pStyle w:val="ListParagraph"/>
        <w:numPr>
          <w:ilvl w:val="0"/>
          <w:numId w:val="41"/>
        </w:numPr>
        <w:spacing w:after="0" w:line="240" w:lineRule="auto"/>
        <w:jc w:val="both"/>
        <w:textAlignment w:val="baseline"/>
        <w:rPr>
          <w:rFonts w:eastAsia="Times New Roman" w:cstheme="minorHAnsi"/>
        </w:rPr>
      </w:pPr>
      <w:r w:rsidRPr="00A300A7">
        <w:rPr>
          <w:rFonts w:eastAsia="Times New Roman" w:cstheme="minorHAnsi"/>
        </w:rPr>
        <w:t xml:space="preserve">The MoU signed between </w:t>
      </w:r>
      <w:proofErr w:type="gramStart"/>
      <w:r w:rsidRPr="00A300A7">
        <w:rPr>
          <w:rFonts w:eastAsia="Times New Roman" w:cstheme="minorHAnsi"/>
        </w:rPr>
        <w:t>Cefas</w:t>
      </w:r>
      <w:proofErr w:type="gramEnd"/>
      <w:r w:rsidRPr="00A300A7">
        <w:rPr>
          <w:rFonts w:eastAsia="Times New Roman" w:cstheme="minorHAnsi"/>
        </w:rPr>
        <w:t xml:space="preserve"> and the Association of Commonwealth Universities (ACU) will directly contribute to indicator 3.4. The MoU provides the mechanism for sub-contracting ACU to develop and administer OCPP specific </w:t>
      </w:r>
      <w:r w:rsidR="00230E50" w:rsidRPr="00A300A7">
        <w:rPr>
          <w:rFonts w:eastAsia="Times New Roman" w:cstheme="minorHAnsi"/>
        </w:rPr>
        <w:t>m</w:t>
      </w:r>
      <w:r w:rsidRPr="00A300A7">
        <w:rPr>
          <w:rFonts w:eastAsia="Times New Roman" w:cstheme="minorHAnsi"/>
        </w:rPr>
        <w:t xml:space="preserve">asters and PhD qualifications with national universities in our partner countries. </w:t>
      </w:r>
    </w:p>
    <w:p w14:paraId="6059157A" w14:textId="77777777" w:rsidR="00CD53AE" w:rsidRPr="00A300A7" w:rsidRDefault="00CD53AE" w:rsidP="00CD53AE">
      <w:pPr>
        <w:pStyle w:val="ListParagraph"/>
        <w:numPr>
          <w:ilvl w:val="0"/>
          <w:numId w:val="41"/>
        </w:numPr>
        <w:spacing w:after="0" w:line="240" w:lineRule="auto"/>
        <w:jc w:val="both"/>
        <w:textAlignment w:val="baseline"/>
        <w:rPr>
          <w:rFonts w:eastAsia="Times New Roman" w:cstheme="minorHAnsi"/>
        </w:rPr>
      </w:pPr>
      <w:r w:rsidRPr="00A300A7">
        <w:rPr>
          <w:rFonts w:eastAsia="Times New Roman" w:cstheme="minorHAnsi"/>
        </w:rPr>
        <w:t>Lesson 9 will support increased ambition of output 3 (as well as others), this will be addressed through output, outcome and impact targets in the logframe for reporting from Y2 of the programme.</w:t>
      </w:r>
    </w:p>
    <w:p w14:paraId="11320170" w14:textId="77777777" w:rsidR="00CD53AE" w:rsidRPr="00CD53AE" w:rsidRDefault="00CD53AE" w:rsidP="00CD53AE">
      <w:pPr>
        <w:spacing w:after="0" w:line="240" w:lineRule="auto"/>
        <w:ind w:left="360"/>
        <w:jc w:val="both"/>
        <w:textAlignment w:val="baseline"/>
        <w:rPr>
          <w:rFonts w:eastAsia="Times New Roman" w:cstheme="minorHAnsi"/>
        </w:rPr>
      </w:pPr>
    </w:p>
    <w:p w14:paraId="6000799F" w14:textId="77777777" w:rsidR="00AC5B3D" w:rsidRPr="004C6CCA" w:rsidRDefault="00AC5B3D" w:rsidP="00AC5B3D">
      <w:pPr>
        <w:spacing w:after="0" w:line="240" w:lineRule="auto"/>
        <w:jc w:val="both"/>
        <w:textAlignment w:val="baseline"/>
        <w:rPr>
          <w:rFonts w:eastAsia="Times New Roman" w:cstheme="minorHAnsi"/>
        </w:rPr>
      </w:pP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885"/>
        <w:gridCol w:w="1275"/>
        <w:gridCol w:w="3960"/>
        <w:gridCol w:w="1350"/>
      </w:tblGrid>
      <w:tr w:rsidR="00AC5B3D" w:rsidRPr="004C6CCA" w14:paraId="1D9C86DF" w14:textId="77777777" w:rsidTr="00022964">
        <w:trPr>
          <w:trHeight w:val="480"/>
        </w:trPr>
        <w:tc>
          <w:tcPr>
            <w:tcW w:w="1665" w:type="dxa"/>
            <w:tcBorders>
              <w:top w:val="single" w:sz="6" w:space="0" w:color="auto"/>
              <w:left w:val="single" w:sz="6" w:space="0" w:color="auto"/>
              <w:bottom w:val="single" w:sz="6" w:space="0" w:color="auto"/>
              <w:right w:val="single" w:sz="6" w:space="0" w:color="auto"/>
            </w:tcBorders>
            <w:shd w:val="clear" w:color="auto" w:fill="D9E2F3"/>
            <w:hideMark/>
          </w:tcPr>
          <w:p w14:paraId="0D46A5FA"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Output Title </w:t>
            </w:r>
            <w:r w:rsidRPr="004C6CCA">
              <w:rPr>
                <w:rFonts w:eastAsia="Times New Roman" w:cstheme="minorHAnsi"/>
              </w:rPr>
              <w:t>  </w:t>
            </w:r>
          </w:p>
        </w:tc>
        <w:tc>
          <w:tcPr>
            <w:tcW w:w="747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6A5A19CC"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Productive partnerships between the UK and priority coastal developing countries</w:t>
            </w:r>
          </w:p>
        </w:tc>
      </w:tr>
      <w:tr w:rsidR="00AC5B3D" w:rsidRPr="004C6CCA" w14:paraId="65AA6F94" w14:textId="77777777" w:rsidTr="00022964">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18EED1BC"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Output number: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CF0E008"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4</w:t>
            </w:r>
          </w:p>
        </w:tc>
        <w:tc>
          <w:tcPr>
            <w:tcW w:w="3960" w:type="dxa"/>
            <w:tcBorders>
              <w:top w:val="single" w:sz="6" w:space="0" w:color="auto"/>
              <w:left w:val="single" w:sz="6" w:space="0" w:color="auto"/>
              <w:bottom w:val="single" w:sz="6" w:space="0" w:color="auto"/>
              <w:right w:val="single" w:sz="6" w:space="0" w:color="auto"/>
            </w:tcBorders>
            <w:shd w:val="clear" w:color="auto" w:fill="D9E2F3"/>
            <w:hideMark/>
          </w:tcPr>
          <w:p w14:paraId="5FCF585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Output Score: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07DD03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color w:val="FF0000"/>
              </w:rPr>
              <w:t> </w:t>
            </w:r>
            <w:r w:rsidRPr="004C6CCA">
              <w:rPr>
                <w:rFonts w:eastAsia="Times New Roman" w:cstheme="minorHAnsi"/>
              </w:rPr>
              <w:t xml:space="preserve"> N/A</w:t>
            </w:r>
          </w:p>
        </w:tc>
      </w:tr>
      <w:tr w:rsidR="00AC5B3D" w:rsidRPr="004C6CCA" w14:paraId="6E5B4EFD" w14:textId="77777777" w:rsidTr="00022964">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56875C2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Impact weighting (%):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1E81B44"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 10%</w:t>
            </w:r>
          </w:p>
        </w:tc>
        <w:tc>
          <w:tcPr>
            <w:tcW w:w="3960" w:type="dxa"/>
            <w:tcBorders>
              <w:top w:val="single" w:sz="6" w:space="0" w:color="auto"/>
              <w:left w:val="single" w:sz="6" w:space="0" w:color="auto"/>
              <w:bottom w:val="single" w:sz="6" w:space="0" w:color="auto"/>
              <w:right w:val="single" w:sz="6" w:space="0" w:color="auto"/>
            </w:tcBorders>
            <w:shd w:val="clear" w:color="auto" w:fill="D9E2F3"/>
            <w:hideMark/>
          </w:tcPr>
          <w:p w14:paraId="606ACF46" w14:textId="05DA088E"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Weighting revised since last AR</w:t>
            </w:r>
            <w:r w:rsidR="00DD463B">
              <w:rPr>
                <w:rFonts w:eastAsia="Times New Roman" w:cstheme="minorHAnsi"/>
              </w:rPr>
              <w:t>:</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9EACE2"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r>
    </w:tbl>
    <w:p w14:paraId="3FF22789"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
        <w:gridCol w:w="4403"/>
        <w:gridCol w:w="993"/>
        <w:gridCol w:w="722"/>
        <w:gridCol w:w="2211"/>
      </w:tblGrid>
      <w:tr w:rsidR="00AC5B3D" w:rsidRPr="004C6CCA" w14:paraId="2C07C560" w14:textId="77777777" w:rsidTr="00022964">
        <w:trPr>
          <w:trHeight w:val="270"/>
        </w:trPr>
        <w:tc>
          <w:tcPr>
            <w:tcW w:w="5234"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47E394B3"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Indicator(s)</w:t>
            </w:r>
            <w:r w:rsidRPr="004C6CCA">
              <w:rPr>
                <w:rFonts w:eastAsia="Times New Roman" w:cstheme="minorHAnsi"/>
              </w:rPr>
              <w:t>  </w:t>
            </w:r>
          </w:p>
        </w:tc>
        <w:tc>
          <w:tcPr>
            <w:tcW w:w="993" w:type="dxa"/>
            <w:tcBorders>
              <w:top w:val="single" w:sz="6" w:space="0" w:color="auto"/>
              <w:left w:val="single" w:sz="6" w:space="0" w:color="auto"/>
              <w:bottom w:val="single" w:sz="6" w:space="0" w:color="auto"/>
              <w:right w:val="single" w:sz="6" w:space="0" w:color="auto"/>
            </w:tcBorders>
            <w:shd w:val="clear" w:color="auto" w:fill="D9E2F3"/>
            <w:hideMark/>
          </w:tcPr>
          <w:p w14:paraId="00CC8061"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Baseline </w:t>
            </w:r>
            <w:r w:rsidRPr="004C6CCA">
              <w:rPr>
                <w:rFonts w:eastAsia="Times New Roman" w:cstheme="minorHAnsi"/>
              </w:rPr>
              <w:t> </w:t>
            </w:r>
          </w:p>
        </w:tc>
        <w:tc>
          <w:tcPr>
            <w:tcW w:w="722" w:type="dxa"/>
            <w:tcBorders>
              <w:top w:val="single" w:sz="6" w:space="0" w:color="auto"/>
              <w:left w:val="single" w:sz="6" w:space="0" w:color="auto"/>
              <w:bottom w:val="single" w:sz="6" w:space="0" w:color="auto"/>
              <w:right w:val="single" w:sz="6" w:space="0" w:color="auto"/>
            </w:tcBorders>
            <w:shd w:val="clear" w:color="auto" w:fill="D9E2F3"/>
            <w:hideMark/>
          </w:tcPr>
          <w:p w14:paraId="4065CB8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Target</w:t>
            </w:r>
            <w:r w:rsidRPr="004C6CCA">
              <w:rPr>
                <w:rFonts w:eastAsia="Times New Roman" w:cstheme="minorHAnsi"/>
              </w:rPr>
              <w:t>  </w:t>
            </w:r>
          </w:p>
        </w:tc>
        <w:tc>
          <w:tcPr>
            <w:tcW w:w="2211" w:type="dxa"/>
            <w:tcBorders>
              <w:top w:val="single" w:sz="6" w:space="0" w:color="auto"/>
              <w:left w:val="single" w:sz="6" w:space="0" w:color="auto"/>
              <w:bottom w:val="single" w:sz="6" w:space="0" w:color="auto"/>
              <w:right w:val="single" w:sz="6" w:space="0" w:color="auto"/>
            </w:tcBorders>
            <w:shd w:val="clear" w:color="auto" w:fill="D9E2F3"/>
            <w:hideMark/>
          </w:tcPr>
          <w:p w14:paraId="1C3EB08D"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b/>
                <w:bCs/>
              </w:rPr>
              <w:t>Actual </w:t>
            </w:r>
            <w:r w:rsidRPr="004C6CCA">
              <w:rPr>
                <w:rFonts w:eastAsia="Times New Roman" w:cstheme="minorHAnsi"/>
              </w:rPr>
              <w:t> </w:t>
            </w:r>
          </w:p>
        </w:tc>
      </w:tr>
      <w:tr w:rsidR="00AC5B3D" w:rsidRPr="004C6CCA" w14:paraId="6261B83A"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412BB789"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4.1</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452CDD6F"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OCPP MoUs or similar agreement between the UK government and partner country governments signed</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537BCEB"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26577C28"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0542DCE2"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0 - ALBs</w:t>
            </w:r>
          </w:p>
          <w:p w14:paraId="71206F1D"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 xml:space="preserve">N/A - GOAP </w:t>
            </w:r>
          </w:p>
          <w:p w14:paraId="0453A167"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17639542" w14:textId="77777777" w:rsidR="00AC5B3D" w:rsidRPr="004C6CCA" w:rsidRDefault="00AC5B3D" w:rsidP="00022964">
            <w:pPr>
              <w:pStyle w:val="ListParagraph"/>
              <w:numPr>
                <w:ilvl w:val="0"/>
                <w:numId w:val="22"/>
              </w:numPr>
              <w:spacing w:after="0" w:line="240" w:lineRule="auto"/>
              <w:textAlignment w:val="baseline"/>
              <w:rPr>
                <w:rFonts w:eastAsia="Times New Roman" w:cstheme="minorHAnsi"/>
                <w:lang w:eastAsia="en-GB"/>
              </w:rPr>
            </w:pPr>
            <w:r w:rsidRPr="004C6CCA">
              <w:rPr>
                <w:rFonts w:eastAsia="Times New Roman" w:cstheme="minorHAnsi"/>
                <w:lang w:eastAsia="en-GB"/>
              </w:rPr>
              <w:t>0 - TOTAL</w:t>
            </w:r>
          </w:p>
        </w:tc>
      </w:tr>
      <w:tr w:rsidR="00AC5B3D" w:rsidRPr="004C6CCA" w14:paraId="69C2EE43" w14:textId="77777777" w:rsidTr="00022964">
        <w:tc>
          <w:tcPr>
            <w:tcW w:w="831" w:type="dxa"/>
            <w:tcBorders>
              <w:top w:val="single" w:sz="6" w:space="0" w:color="auto"/>
              <w:left w:val="single" w:sz="6" w:space="0" w:color="auto"/>
              <w:bottom w:val="single" w:sz="6" w:space="0" w:color="auto"/>
              <w:right w:val="single" w:sz="6" w:space="0" w:color="auto"/>
            </w:tcBorders>
            <w:shd w:val="clear" w:color="auto" w:fill="auto"/>
          </w:tcPr>
          <w:p w14:paraId="59E56C33"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4.2</w:t>
            </w:r>
          </w:p>
        </w:tc>
        <w:tc>
          <w:tcPr>
            <w:tcW w:w="4403" w:type="dxa"/>
            <w:tcBorders>
              <w:top w:val="single" w:sz="6" w:space="0" w:color="auto"/>
              <w:left w:val="single" w:sz="6" w:space="0" w:color="auto"/>
              <w:bottom w:val="single" w:sz="6" w:space="0" w:color="auto"/>
              <w:right w:val="single" w:sz="6" w:space="0" w:color="auto"/>
            </w:tcBorders>
            <w:shd w:val="clear" w:color="auto" w:fill="auto"/>
          </w:tcPr>
          <w:p w14:paraId="5174C647"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Number of OCPP workplans active and agreed by partner country governments or local institutions</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7E78543"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57F00B4B" w14:textId="77777777" w:rsidR="00AC5B3D" w:rsidRPr="004C6CCA" w:rsidRDefault="00AC5B3D" w:rsidP="00022964">
            <w:pPr>
              <w:spacing w:after="0" w:line="240" w:lineRule="auto"/>
              <w:textAlignment w:val="baseline"/>
              <w:rPr>
                <w:rFonts w:eastAsia="Times New Roman" w:cstheme="minorHAnsi"/>
              </w:rPr>
            </w:pPr>
            <w:r w:rsidRPr="004C6CCA">
              <w:rPr>
                <w:rFonts w:eastAsia="Times New Roman" w:cstheme="minorHAnsi"/>
              </w:rPr>
              <w:t>N/A</w:t>
            </w:r>
          </w:p>
        </w:tc>
        <w:tc>
          <w:tcPr>
            <w:tcW w:w="2211" w:type="dxa"/>
            <w:tcBorders>
              <w:top w:val="single" w:sz="6" w:space="0" w:color="auto"/>
              <w:left w:val="single" w:sz="6" w:space="0" w:color="auto"/>
              <w:bottom w:val="single" w:sz="6" w:space="0" w:color="auto"/>
              <w:right w:val="single" w:sz="6" w:space="0" w:color="auto"/>
            </w:tcBorders>
            <w:shd w:val="clear" w:color="auto" w:fill="auto"/>
          </w:tcPr>
          <w:p w14:paraId="2EEE1FAD"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6 - ALBs</w:t>
            </w:r>
          </w:p>
          <w:p w14:paraId="00420B1D"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5 - GOAP</w:t>
            </w:r>
          </w:p>
          <w:p w14:paraId="00B11428"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No data reported by FOA</w:t>
            </w:r>
          </w:p>
          <w:p w14:paraId="245EF3FD" w14:textId="77777777" w:rsidR="00AC5B3D" w:rsidRPr="004C6CCA" w:rsidRDefault="00AC5B3D" w:rsidP="00022964">
            <w:pPr>
              <w:pStyle w:val="ListParagraph"/>
              <w:numPr>
                <w:ilvl w:val="0"/>
                <w:numId w:val="23"/>
              </w:numPr>
              <w:spacing w:after="0" w:line="240" w:lineRule="auto"/>
              <w:textAlignment w:val="baseline"/>
              <w:rPr>
                <w:rFonts w:eastAsia="Times New Roman" w:cstheme="minorHAnsi"/>
                <w:lang w:eastAsia="en-GB"/>
              </w:rPr>
            </w:pPr>
            <w:r w:rsidRPr="004C6CCA">
              <w:rPr>
                <w:rFonts w:eastAsia="Times New Roman" w:cstheme="minorHAnsi"/>
                <w:lang w:eastAsia="en-GB"/>
              </w:rPr>
              <w:t>11 - TOTAL</w:t>
            </w:r>
          </w:p>
        </w:tc>
      </w:tr>
    </w:tbl>
    <w:p w14:paraId="763B6C15"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 </w:t>
      </w:r>
    </w:p>
    <w:p w14:paraId="60AE6979" w14:textId="77777777" w:rsidR="00AC5B3D" w:rsidRPr="004C6CCA" w:rsidRDefault="00AC5B3D" w:rsidP="00AC5B3D">
      <w:pPr>
        <w:spacing w:after="0" w:line="240" w:lineRule="auto"/>
        <w:jc w:val="both"/>
        <w:textAlignment w:val="baseline"/>
        <w:rPr>
          <w:rFonts w:eastAsia="Times New Roman" w:cstheme="minorHAnsi"/>
        </w:rPr>
      </w:pPr>
      <w:r w:rsidRPr="004C6CCA">
        <w:rPr>
          <w:rFonts w:eastAsia="Times New Roman" w:cstheme="minorHAnsi"/>
        </w:rPr>
        <w:t>Key points:</w:t>
      </w:r>
    </w:p>
    <w:p w14:paraId="1E112CF0" w14:textId="77777777" w:rsidR="00AC5B3D" w:rsidRPr="004C6CCA" w:rsidRDefault="00AC5B3D" w:rsidP="00AC5B3D">
      <w:pPr>
        <w:pStyle w:val="ListParagraph"/>
        <w:numPr>
          <w:ilvl w:val="0"/>
          <w:numId w:val="29"/>
        </w:numPr>
        <w:spacing w:after="0" w:line="240" w:lineRule="auto"/>
        <w:jc w:val="both"/>
        <w:textAlignment w:val="baseline"/>
        <w:rPr>
          <w:rFonts w:eastAsia="Times New Roman" w:cstheme="minorHAnsi"/>
          <w:lang w:eastAsia="en-GB"/>
        </w:rPr>
      </w:pPr>
      <w:r w:rsidRPr="004C6CCA">
        <w:rPr>
          <w:rFonts w:eastAsia="Times New Roman" w:cstheme="minorHAnsi"/>
          <w:lang w:eastAsia="en-GB"/>
        </w:rPr>
        <w:t xml:space="preserve">Buy-in from governments is instrumental to how we work with OCPP partner countries through a demand-led process. It is positive ALBs have engaged with a high proportion of partner governments through the OCPP workplans. The focus moving into Y2 needs to be on formalising the MoUs or similar agreements with partner governments, in many countries the absence of an agreement can limit delivery or even restrict it all together. </w:t>
      </w:r>
    </w:p>
    <w:p w14:paraId="13F5AED5" w14:textId="1886F652" w:rsidR="00AC5B3D" w:rsidRPr="004C6CCA" w:rsidRDefault="00AC5B3D" w:rsidP="00AC5B3D">
      <w:pPr>
        <w:pStyle w:val="ListParagraph"/>
        <w:numPr>
          <w:ilvl w:val="0"/>
          <w:numId w:val="29"/>
        </w:numPr>
        <w:spacing w:after="0" w:line="240" w:lineRule="auto"/>
        <w:jc w:val="both"/>
        <w:textAlignment w:val="baseline"/>
        <w:rPr>
          <w:rFonts w:eastAsia="Times New Roman" w:cstheme="minorHAnsi"/>
          <w:lang w:eastAsia="en-GB"/>
        </w:rPr>
      </w:pPr>
      <w:r w:rsidRPr="004C6CCA">
        <w:rPr>
          <w:rFonts w:eastAsia="Times New Roman" w:cstheme="minorHAnsi"/>
          <w:lang w:eastAsia="en-GB"/>
        </w:rPr>
        <w:t xml:space="preserve">FOA and GOAP </w:t>
      </w:r>
      <w:r>
        <w:rPr>
          <w:rFonts w:eastAsia="Times New Roman" w:cstheme="minorHAnsi"/>
          <w:lang w:eastAsia="en-GB"/>
        </w:rPr>
        <w:t>did not</w:t>
      </w:r>
      <w:r w:rsidRPr="004C6CCA">
        <w:rPr>
          <w:rFonts w:eastAsia="Times New Roman" w:cstheme="minorHAnsi"/>
          <w:lang w:eastAsia="en-GB"/>
        </w:rPr>
        <w:t xml:space="preserve"> report into 4.1 </w:t>
      </w:r>
      <w:r>
        <w:rPr>
          <w:rFonts w:eastAsia="Times New Roman" w:cstheme="minorHAnsi"/>
          <w:lang w:eastAsia="en-GB"/>
        </w:rPr>
        <w:t xml:space="preserve">during the first year </w:t>
      </w:r>
      <w:r w:rsidRPr="004C6CCA">
        <w:rPr>
          <w:rFonts w:eastAsia="Times New Roman" w:cstheme="minorHAnsi"/>
          <w:lang w:eastAsia="en-GB"/>
        </w:rPr>
        <w:t xml:space="preserve">as </w:t>
      </w:r>
      <w:r>
        <w:rPr>
          <w:rFonts w:eastAsia="Times New Roman" w:cstheme="minorHAnsi"/>
          <w:lang w:eastAsia="en-GB"/>
        </w:rPr>
        <w:t xml:space="preserve">they were initially developed as separate projects, </w:t>
      </w:r>
      <w:proofErr w:type="gramStart"/>
      <w:r>
        <w:rPr>
          <w:rFonts w:eastAsia="Times New Roman" w:cstheme="minorHAnsi"/>
          <w:lang w:eastAsia="en-GB"/>
        </w:rPr>
        <w:t>however</w:t>
      </w:r>
      <w:proofErr w:type="gramEnd"/>
      <w:r>
        <w:rPr>
          <w:rFonts w:eastAsia="Times New Roman" w:cstheme="minorHAnsi"/>
          <w:lang w:eastAsia="en-GB"/>
        </w:rPr>
        <w:t xml:space="preserve"> will report into this in future</w:t>
      </w:r>
      <w:r w:rsidRPr="004C6CCA">
        <w:rPr>
          <w:rFonts w:eastAsia="Times New Roman" w:cstheme="minorHAnsi"/>
          <w:lang w:eastAsia="en-GB"/>
        </w:rPr>
        <w:t>.</w:t>
      </w:r>
    </w:p>
    <w:p w14:paraId="5340EB55" w14:textId="2A288BB4" w:rsidR="00AC5B3D" w:rsidRDefault="00AC5B3D" w:rsidP="00AC5B3D">
      <w:pPr>
        <w:pStyle w:val="ListParagraph"/>
        <w:numPr>
          <w:ilvl w:val="0"/>
          <w:numId w:val="29"/>
        </w:numPr>
        <w:spacing w:after="0" w:line="240" w:lineRule="auto"/>
        <w:jc w:val="both"/>
        <w:textAlignment w:val="baseline"/>
        <w:rPr>
          <w:rFonts w:eastAsia="Times New Roman" w:cstheme="minorHAnsi"/>
          <w:lang w:eastAsia="en-GB"/>
        </w:rPr>
      </w:pPr>
      <w:r w:rsidRPr="004C6CCA">
        <w:rPr>
          <w:rFonts w:eastAsia="Times New Roman" w:cstheme="minorHAnsi"/>
          <w:lang w:eastAsia="en-GB"/>
        </w:rPr>
        <w:t xml:space="preserve">GOAP have supported this output through the publication of ocean account development roadmaps for five pilot countries – </w:t>
      </w:r>
      <w:r w:rsidRPr="004C6CCA">
        <w:rPr>
          <w:rFonts w:eastAsia="Times New Roman" w:cstheme="minorHAnsi"/>
          <w:b/>
          <w:bCs/>
          <w:lang w:eastAsia="en-GB"/>
        </w:rPr>
        <w:t>Fiji, Viet Nam, Indonesia, Mozambique</w:t>
      </w:r>
      <w:r w:rsidRPr="004C6CCA">
        <w:rPr>
          <w:rFonts w:eastAsia="Times New Roman" w:cstheme="minorHAnsi"/>
          <w:lang w:eastAsia="en-GB"/>
        </w:rPr>
        <w:t xml:space="preserve"> &amp; </w:t>
      </w:r>
      <w:r w:rsidRPr="004C6CCA">
        <w:rPr>
          <w:rFonts w:eastAsia="Times New Roman" w:cstheme="minorHAnsi"/>
          <w:b/>
          <w:bCs/>
          <w:lang w:eastAsia="en-GB"/>
        </w:rPr>
        <w:t>South Africa</w:t>
      </w:r>
      <w:r w:rsidRPr="004C6CCA">
        <w:rPr>
          <w:rFonts w:eastAsia="Times New Roman" w:cstheme="minorHAnsi"/>
          <w:lang w:eastAsia="en-GB"/>
        </w:rPr>
        <w:t xml:space="preserve">. </w:t>
      </w:r>
    </w:p>
    <w:p w14:paraId="70844677" w14:textId="731FDEFF" w:rsidR="00CD53AE" w:rsidRDefault="00CD53AE" w:rsidP="00CD53AE">
      <w:pPr>
        <w:spacing w:after="0" w:line="240" w:lineRule="auto"/>
        <w:jc w:val="both"/>
        <w:textAlignment w:val="baseline"/>
        <w:rPr>
          <w:rFonts w:eastAsia="Times New Roman" w:cstheme="minorHAnsi"/>
        </w:rPr>
      </w:pPr>
    </w:p>
    <w:p w14:paraId="1F8F65B5" w14:textId="77777777" w:rsidR="00CD53AE" w:rsidRPr="00A300A7" w:rsidRDefault="00CD53AE" w:rsidP="00CD53AE">
      <w:pPr>
        <w:spacing w:after="0" w:line="240" w:lineRule="auto"/>
        <w:jc w:val="both"/>
        <w:textAlignment w:val="baseline"/>
        <w:rPr>
          <w:rFonts w:eastAsia="Times New Roman" w:cstheme="minorHAnsi"/>
        </w:rPr>
      </w:pPr>
      <w:r w:rsidRPr="00A300A7">
        <w:rPr>
          <w:rFonts w:eastAsia="Times New Roman" w:cstheme="minorHAnsi"/>
        </w:rPr>
        <w:t xml:space="preserve">Recommendations for improvement: </w:t>
      </w:r>
    </w:p>
    <w:p w14:paraId="28BAC11E" w14:textId="0A5B023D" w:rsidR="00CD53AE" w:rsidRPr="005C659E" w:rsidRDefault="00CD53AE" w:rsidP="00A300A7">
      <w:pPr>
        <w:pStyle w:val="ListParagraph"/>
        <w:numPr>
          <w:ilvl w:val="0"/>
          <w:numId w:val="42"/>
        </w:numPr>
        <w:spacing w:after="0" w:line="240" w:lineRule="auto"/>
        <w:jc w:val="both"/>
        <w:textAlignment w:val="baseline"/>
        <w:rPr>
          <w:rFonts w:eastAsia="Times New Roman" w:cstheme="minorHAnsi"/>
        </w:rPr>
      </w:pPr>
      <w:r w:rsidRPr="00A300A7">
        <w:rPr>
          <w:rFonts w:eastAsia="Times New Roman" w:cstheme="minorHAnsi"/>
        </w:rPr>
        <w:t xml:space="preserve">Will continue to prioritise country MoUs, working closely with FCDO in post and partner governments. </w:t>
      </w:r>
    </w:p>
    <w:p w14:paraId="7C91006E" w14:textId="77777777" w:rsidR="00AC5B3D" w:rsidRPr="00FD3957" w:rsidRDefault="00AC5B3D" w:rsidP="00AC5B3D">
      <w:pPr>
        <w:spacing w:before="240"/>
        <w:rPr>
          <w:b/>
        </w:rPr>
      </w:pPr>
      <w:r w:rsidRPr="00FD3957">
        <w:rPr>
          <w:b/>
        </w:rPr>
        <w:t xml:space="preserve">Additional FOA and GOAP assessment </w:t>
      </w:r>
    </w:p>
    <w:p w14:paraId="1E3339A9" w14:textId="0B7AAABF" w:rsidR="00CD53AE" w:rsidRDefault="00AC5B3D" w:rsidP="00AC5B3D">
      <w:pPr>
        <w:jc w:val="both"/>
      </w:pPr>
      <w:r w:rsidRPr="00FD3957">
        <w:t xml:space="preserve">As part of the trial integration GOAP and FOA provided information against the OCPP logframe outputs and indicators, which has all been captured in the above. </w:t>
      </w:r>
      <w:r w:rsidR="00CD53AE" w:rsidRPr="00A300A7">
        <w:t xml:space="preserve">The OCPP logframe was updated to support </w:t>
      </w:r>
      <w:r w:rsidR="00CD53AE" w:rsidRPr="00A300A7">
        <w:lastRenderedPageBreak/>
        <w:t xml:space="preserve">reporting </w:t>
      </w:r>
      <w:r w:rsidR="00472798" w:rsidRPr="00A300A7">
        <w:t>by</w:t>
      </w:r>
      <w:r w:rsidR="00CD53AE" w:rsidRPr="00A300A7">
        <w:t xml:space="preserve"> FOA and GOAP, however the logframe represents the programme as a whole and therefore </w:t>
      </w:r>
      <w:r w:rsidR="00472798" w:rsidRPr="00A300A7">
        <w:t xml:space="preserve">does </w:t>
      </w:r>
      <w:r w:rsidR="00CD53AE" w:rsidRPr="00A300A7">
        <w:t xml:space="preserve">not </w:t>
      </w:r>
      <w:r w:rsidR="00472798" w:rsidRPr="00A300A7">
        <w:t xml:space="preserve">fully </w:t>
      </w:r>
      <w:r w:rsidR="00CD53AE" w:rsidRPr="00A300A7">
        <w:t xml:space="preserve">detail each component of delivery. There are </w:t>
      </w:r>
      <w:r w:rsidR="00472798" w:rsidRPr="00A300A7">
        <w:t xml:space="preserve">some </w:t>
      </w:r>
      <w:r w:rsidR="00CD53AE" w:rsidRPr="00A300A7">
        <w:t xml:space="preserve">indicators which have </w:t>
      </w:r>
      <w:r w:rsidR="00472798" w:rsidRPr="00A300A7">
        <w:t xml:space="preserve">limited </w:t>
      </w:r>
      <w:r w:rsidR="00CD53AE" w:rsidRPr="00A300A7">
        <w:t xml:space="preserve">relevance to FOA and GOAP, </w:t>
      </w:r>
      <w:r w:rsidR="0060554E" w:rsidRPr="00A300A7">
        <w:t>which are therefore not expected to score highly against them.</w:t>
      </w:r>
    </w:p>
    <w:p w14:paraId="61CA7305" w14:textId="2E37CE74" w:rsidR="00AC5B3D" w:rsidRPr="00C4532F" w:rsidRDefault="00AC5B3D" w:rsidP="00AC5B3D">
      <w:pPr>
        <w:jc w:val="both"/>
      </w:pPr>
      <w:r w:rsidRPr="00C4532F">
        <w:t xml:space="preserve">In Y1 GOAP and FOA also had an agreed set of </w:t>
      </w:r>
      <w:r>
        <w:t xml:space="preserve">BPF </w:t>
      </w:r>
      <w:r w:rsidRPr="00C4532F">
        <w:t>milestones to delivered against</w:t>
      </w:r>
      <w:r>
        <w:t xml:space="preserve">, </w:t>
      </w:r>
      <w:r w:rsidRPr="00C4532F">
        <w:t xml:space="preserve">monitored and summarised through a separate management process. </w:t>
      </w:r>
      <w:r>
        <w:t>P</w:t>
      </w:r>
      <w:r w:rsidRPr="00C4532F">
        <w:t xml:space="preserve">rovided below is an insight into how both delivery partners have performed against their previously agreed BPF milestones. </w:t>
      </w:r>
    </w:p>
    <w:p w14:paraId="2EAB78C9" w14:textId="77777777" w:rsidR="00AC5B3D" w:rsidRPr="00C4532F" w:rsidRDefault="00AC5B3D" w:rsidP="00AC5B3D">
      <w:pPr>
        <w:jc w:val="both"/>
      </w:pPr>
      <w:r w:rsidRPr="00C4532F">
        <w:t>GOAP</w:t>
      </w:r>
    </w:p>
    <w:p w14:paraId="03457510" w14:textId="77777777" w:rsidR="00AC5B3D" w:rsidRDefault="00AC5B3D" w:rsidP="00AC5B3D">
      <w:pPr>
        <w:numPr>
          <w:ilvl w:val="0"/>
          <w:numId w:val="6"/>
        </w:numPr>
        <w:spacing w:after="0"/>
        <w:jc w:val="both"/>
      </w:pPr>
      <w:r w:rsidRPr="00C4532F">
        <w:t>GOAP have delivered the milestones on time and on budget, had positive country feedback, commitments from other donors and successfully disbursed an expanded budget. All of that suggest that GOAP are a partner offering efficient delivery and value for money</w:t>
      </w:r>
    </w:p>
    <w:p w14:paraId="1AA8A994" w14:textId="77777777" w:rsidR="00AC5B3D" w:rsidRPr="00C4532F" w:rsidRDefault="00AC5B3D" w:rsidP="00AC5B3D">
      <w:pPr>
        <w:numPr>
          <w:ilvl w:val="0"/>
          <w:numId w:val="6"/>
        </w:numPr>
        <w:spacing w:after="0"/>
        <w:jc w:val="both"/>
      </w:pPr>
      <w:r w:rsidRPr="00C4532F">
        <w:t>GOAP have received positive feedback from pilot countries and ocean accounting has had impacts beyond governments and provided stakeholders with key information on the importance of marine habitats and ecosystems</w:t>
      </w:r>
    </w:p>
    <w:p w14:paraId="537E402C" w14:textId="77777777" w:rsidR="00AC5B3D" w:rsidRPr="00011018" w:rsidRDefault="00AC5B3D" w:rsidP="00AC5B3D">
      <w:pPr>
        <w:numPr>
          <w:ilvl w:val="0"/>
          <w:numId w:val="6"/>
        </w:numPr>
        <w:spacing w:after="0"/>
        <w:jc w:val="both"/>
      </w:pPr>
      <w:r w:rsidRPr="00C4532F">
        <w:t>GOAP have overdelivered on two activities; they were successful in implementing ocean accounting activities in five pilot countries, working flexibly and at pace to add Kenya as the sixth at no additional cost to Defra and publishing seven, instead of six, technical papers</w:t>
      </w:r>
    </w:p>
    <w:p w14:paraId="2D70CBAD" w14:textId="77777777" w:rsidR="00AC5B3D" w:rsidRDefault="00AC5B3D" w:rsidP="00AC5B3D">
      <w:pPr>
        <w:jc w:val="both"/>
        <w:rPr>
          <w:sz w:val="24"/>
          <w:szCs w:val="24"/>
        </w:rPr>
      </w:pPr>
      <w:r>
        <w:rPr>
          <w:sz w:val="24"/>
          <w:szCs w:val="24"/>
        </w:rPr>
        <w:t>FOA</w:t>
      </w:r>
    </w:p>
    <w:p w14:paraId="5B4270B5" w14:textId="77777777" w:rsidR="00AC5B3D" w:rsidRPr="0030422E" w:rsidRDefault="00AC5B3D" w:rsidP="00AC5B3D">
      <w:pPr>
        <w:numPr>
          <w:ilvl w:val="0"/>
          <w:numId w:val="9"/>
        </w:numPr>
        <w:spacing w:after="0"/>
        <w:jc w:val="both"/>
      </w:pPr>
      <w:r w:rsidRPr="0030422E">
        <w:t xml:space="preserve">FOA successfully delivered agreed Year 1 </w:t>
      </w:r>
      <w:r>
        <w:t>projects</w:t>
      </w:r>
      <w:r w:rsidRPr="0030422E">
        <w:t xml:space="preserve"> and have leveraged this progress into future proposals</w:t>
      </w:r>
    </w:p>
    <w:p w14:paraId="1EEAA6D3" w14:textId="77777777" w:rsidR="00AC5B3D" w:rsidRPr="0070371F" w:rsidRDefault="00AC5B3D" w:rsidP="00AC5B3D">
      <w:pPr>
        <w:pStyle w:val="ListParagraph"/>
        <w:numPr>
          <w:ilvl w:val="0"/>
          <w:numId w:val="9"/>
        </w:numPr>
        <w:jc w:val="both"/>
        <w:rPr>
          <w:sz w:val="24"/>
          <w:szCs w:val="24"/>
        </w:rPr>
      </w:pPr>
      <w:r w:rsidRPr="0030422E">
        <w:t>FOA provided clear and informative updates during our informal and formal progress meetings, proving opportunities to ask questions and provide feedback</w:t>
      </w:r>
    </w:p>
    <w:p w14:paraId="2B0EA2AD" w14:textId="3C704E27" w:rsidR="00AC5B3D" w:rsidRPr="00FE7D0B" w:rsidRDefault="00AC5B3D" w:rsidP="00AC5B3D">
      <w:pPr>
        <w:rPr>
          <w:b/>
          <w:bCs/>
        </w:rPr>
      </w:pPr>
      <w:r w:rsidRPr="00FE7D0B">
        <w:rPr>
          <w:b/>
          <w:bCs/>
        </w:rPr>
        <w:t>Overall scoring</w:t>
      </w:r>
    </w:p>
    <w:p w14:paraId="6B839F43" w14:textId="77777777" w:rsidR="00AC5B3D" w:rsidRPr="00FE7D0B" w:rsidRDefault="00AC5B3D" w:rsidP="00AC5B3D">
      <w:pPr>
        <w:spacing w:after="0" w:line="240" w:lineRule="auto"/>
        <w:jc w:val="both"/>
        <w:textAlignment w:val="baseline"/>
        <w:rPr>
          <w:rFonts w:ascii="Calibri" w:eastAsia="Times New Roman" w:hAnsi="Calibri" w:cs="Calibri"/>
        </w:rPr>
      </w:pPr>
      <w:r w:rsidRPr="00FE7D0B">
        <w:rPr>
          <w:rFonts w:ascii="Calibri" w:eastAsia="Times New Roman" w:hAnsi="Calibri" w:cs="Calibri"/>
        </w:rPr>
        <w:t xml:space="preserve">Through the output level assessment, </w:t>
      </w:r>
      <w:proofErr w:type="gramStart"/>
      <w:r w:rsidRPr="00FE7D0B">
        <w:rPr>
          <w:rFonts w:ascii="Calibri" w:eastAsia="Times New Roman" w:hAnsi="Calibri" w:cs="Calibri"/>
        </w:rPr>
        <w:t>it is clear that some</w:t>
      </w:r>
      <w:proofErr w:type="gramEnd"/>
      <w:r w:rsidRPr="00FE7D0B">
        <w:rPr>
          <w:rFonts w:ascii="Calibri" w:eastAsia="Times New Roman" w:hAnsi="Calibri" w:cs="Calibri"/>
        </w:rPr>
        <w:t xml:space="preserve"> improvements will be required to fully achieve the logframe outcomes within the timeframe of the programme. The recommendations of this annual review should help to ensure this. In its first year the programme has, however, made good progress towards its outputs, particularly outputs 1 and 3. Recognising that year 1 was an inception phase for the programme, in which some key improvements have already been implemented such as the integration of FOA and GOAP, it is unsurprising that progress towards some outputs and outcomes has been limited. Additionally, </w:t>
      </w:r>
      <w:proofErr w:type="gramStart"/>
      <w:r w:rsidRPr="00FE7D0B">
        <w:rPr>
          <w:rFonts w:ascii="Calibri" w:eastAsia="Times New Roman" w:hAnsi="Calibri" w:cs="Calibri"/>
        </w:rPr>
        <w:t>a number of</w:t>
      </w:r>
      <w:proofErr w:type="gramEnd"/>
      <w:r w:rsidRPr="00FE7D0B">
        <w:rPr>
          <w:rFonts w:ascii="Calibri" w:eastAsia="Times New Roman" w:hAnsi="Calibri" w:cs="Calibri"/>
        </w:rPr>
        <w:t xml:space="preserve"> important developments for the programme linked to its inception are not captured by the logframe outputs but will be integral to the OCPP’s success. In particular:</w:t>
      </w:r>
    </w:p>
    <w:p w14:paraId="3381B411" w14:textId="77777777" w:rsidR="00AC5B3D" w:rsidRPr="00FE7D0B" w:rsidRDefault="00AC5B3D" w:rsidP="00AC5B3D">
      <w:pPr>
        <w:spacing w:after="0" w:line="240" w:lineRule="auto"/>
        <w:jc w:val="both"/>
        <w:textAlignment w:val="baseline"/>
        <w:rPr>
          <w:rFonts w:ascii="Calibri" w:eastAsia="Times New Roman" w:hAnsi="Calibri" w:cs="Calibri"/>
        </w:rPr>
      </w:pPr>
    </w:p>
    <w:p w14:paraId="11E5CB37" w14:textId="77777777" w:rsidR="00AC5B3D" w:rsidRPr="00FE7D0B" w:rsidRDefault="00AC5B3D" w:rsidP="00AC5B3D">
      <w:pPr>
        <w:pStyle w:val="ListParagraph"/>
        <w:numPr>
          <w:ilvl w:val="0"/>
          <w:numId w:val="38"/>
        </w:numPr>
        <w:spacing w:after="0" w:line="240" w:lineRule="auto"/>
        <w:jc w:val="both"/>
        <w:textAlignment w:val="baseline"/>
        <w:rPr>
          <w:rFonts w:ascii="Calibri" w:eastAsia="Times New Roman" w:hAnsi="Calibri" w:cs="Calibri"/>
          <w:lang w:eastAsia="en-GB"/>
        </w:rPr>
      </w:pPr>
      <w:r w:rsidRPr="00FE7D0B">
        <w:rPr>
          <w:rFonts w:ascii="Calibri" w:eastAsia="Times New Roman" w:hAnsi="Calibri" w:cs="Calibri"/>
          <w:lang w:eastAsia="en-GB"/>
        </w:rPr>
        <w:t>Establishment of strong bilateral relationships with 7 partner country governments, and numerous wider in-country stakeholders</w:t>
      </w:r>
    </w:p>
    <w:p w14:paraId="37B1CB0E" w14:textId="77777777" w:rsidR="00AC5B3D" w:rsidRPr="00FE7D0B" w:rsidRDefault="00AC5B3D" w:rsidP="00AC5B3D">
      <w:pPr>
        <w:pStyle w:val="ListParagraph"/>
        <w:numPr>
          <w:ilvl w:val="0"/>
          <w:numId w:val="38"/>
        </w:numPr>
        <w:spacing w:after="0" w:line="240" w:lineRule="auto"/>
        <w:jc w:val="both"/>
        <w:textAlignment w:val="baseline"/>
        <w:rPr>
          <w:rFonts w:ascii="Calibri" w:eastAsia="Times New Roman" w:hAnsi="Calibri" w:cs="Calibri"/>
          <w:lang w:eastAsia="en-GB"/>
        </w:rPr>
      </w:pPr>
      <w:r w:rsidRPr="00FE7D0B">
        <w:rPr>
          <w:rFonts w:ascii="Calibri" w:eastAsia="Times New Roman" w:hAnsi="Calibri" w:cs="Calibri"/>
          <w:lang w:eastAsia="en-GB"/>
        </w:rPr>
        <w:t>Agreements between Defra and five delivery partners for the programme</w:t>
      </w:r>
    </w:p>
    <w:p w14:paraId="3AC7BC44" w14:textId="77777777" w:rsidR="00AC5B3D" w:rsidRPr="00FE7D0B" w:rsidRDefault="00AC5B3D" w:rsidP="00AC5B3D">
      <w:pPr>
        <w:pStyle w:val="ListParagraph"/>
        <w:numPr>
          <w:ilvl w:val="0"/>
          <w:numId w:val="38"/>
        </w:numPr>
        <w:rPr>
          <w:rFonts w:ascii="Calibri" w:eastAsia="Times New Roman" w:hAnsi="Calibri" w:cs="Calibri"/>
          <w:lang w:eastAsia="en-GB"/>
        </w:rPr>
      </w:pPr>
      <w:r w:rsidRPr="00FE7D0B">
        <w:rPr>
          <w:rFonts w:ascii="Calibri" w:eastAsia="Times New Roman" w:hAnsi="Calibri" w:cs="Calibri"/>
          <w:lang w:eastAsia="en-GB"/>
        </w:rPr>
        <w:t>Development of an OCPP governance structure, including a Programme Management Board and Senior Management Board</w:t>
      </w:r>
      <w:r w:rsidRPr="00FE7D0B">
        <w:t xml:space="preserve"> </w:t>
      </w:r>
    </w:p>
    <w:p w14:paraId="1B8E50ED" w14:textId="77777777" w:rsidR="00AC5B3D" w:rsidRPr="00FE7D0B" w:rsidRDefault="00AC5B3D" w:rsidP="00AC5B3D">
      <w:pPr>
        <w:pStyle w:val="ListParagraph"/>
        <w:numPr>
          <w:ilvl w:val="0"/>
          <w:numId w:val="38"/>
        </w:numPr>
        <w:rPr>
          <w:rFonts w:ascii="Calibri" w:eastAsia="Times New Roman" w:hAnsi="Calibri" w:cs="Calibri"/>
          <w:lang w:eastAsia="en-GB"/>
        </w:rPr>
      </w:pPr>
      <w:r w:rsidRPr="00FE7D0B">
        <w:rPr>
          <w:rFonts w:ascii="Calibri" w:eastAsia="Times New Roman" w:hAnsi="Calibri" w:cs="Calibri"/>
          <w:lang w:eastAsia="en-GB"/>
        </w:rPr>
        <w:t>The creation of a collaborative programme management team, from across five delivery partners and Defra.</w:t>
      </w:r>
    </w:p>
    <w:p w14:paraId="3DC34DDE" w14:textId="77777777" w:rsidR="00AC5B3D" w:rsidRPr="00474453" w:rsidRDefault="00AC5B3D" w:rsidP="00AC5B3D">
      <w:pPr>
        <w:pStyle w:val="ListParagraph"/>
        <w:spacing w:after="0" w:line="240" w:lineRule="auto"/>
        <w:jc w:val="both"/>
        <w:textAlignment w:val="baseline"/>
        <w:rPr>
          <w:rFonts w:ascii="Calibri" w:eastAsia="Times New Roman" w:hAnsi="Calibri" w:cs="Calibri"/>
          <w:lang w:eastAsia="en-GB"/>
        </w:rPr>
      </w:pPr>
    </w:p>
    <w:p w14:paraId="088F1937" w14:textId="53E10229" w:rsidR="00AC5B3D" w:rsidRPr="00DF67BE" w:rsidRDefault="00AC5B3D" w:rsidP="00AC5B3D">
      <w:pPr>
        <w:spacing w:after="0" w:line="240" w:lineRule="auto"/>
        <w:jc w:val="both"/>
        <w:textAlignment w:val="baseline"/>
        <w:rPr>
          <w:rFonts w:ascii="Calibri" w:eastAsia="Times New Roman" w:hAnsi="Calibri" w:cs="Calibri"/>
        </w:rPr>
      </w:pPr>
      <w:r w:rsidRPr="00474453">
        <w:rPr>
          <w:rFonts w:ascii="Calibri" w:eastAsia="Times New Roman" w:hAnsi="Calibri" w:cs="Calibri"/>
        </w:rPr>
        <w:t>These should be factored into the overall assessment of the programme alongside the initial logframe outputs and wider progress achieved across all delivery partners.</w:t>
      </w:r>
      <w:r w:rsidR="00294287">
        <w:rPr>
          <w:rFonts w:ascii="Calibri" w:eastAsia="Times New Roman" w:hAnsi="Calibri" w:cs="Calibri"/>
        </w:rPr>
        <w:t xml:space="preserve"> </w:t>
      </w:r>
      <w:r w:rsidR="007D08C7">
        <w:rPr>
          <w:rFonts w:ascii="Calibri" w:eastAsia="Times New Roman" w:hAnsi="Calibri" w:cs="Calibri"/>
        </w:rPr>
        <w:t>Despite this, however, the lack of quantitative logframe targets for year 1, a product of the early stage of the programme and its demand-led nature, means it is not scored in this review</w:t>
      </w:r>
      <w:r w:rsidR="00294287">
        <w:rPr>
          <w:rStyle w:val="normaltextrun"/>
          <w:rFonts w:ascii="Calibri" w:hAnsi="Calibri" w:cs="Calibri"/>
          <w:color w:val="000000"/>
          <w:shd w:val="clear" w:color="auto" w:fill="FFFFFF"/>
        </w:rPr>
        <w:t xml:space="preserve">. </w:t>
      </w:r>
      <w:r w:rsidRPr="00474453">
        <w:rPr>
          <w:rFonts w:ascii="Calibri" w:eastAsia="Times New Roman" w:hAnsi="Calibri" w:cs="Calibri"/>
        </w:rPr>
        <w:t xml:space="preserve">Scoring </w:t>
      </w:r>
      <w:r w:rsidR="007D08C7">
        <w:rPr>
          <w:rFonts w:ascii="Calibri" w:eastAsia="Times New Roman" w:hAnsi="Calibri" w:cs="Calibri"/>
        </w:rPr>
        <w:t>will take place in all</w:t>
      </w:r>
      <w:r w:rsidRPr="00474453">
        <w:rPr>
          <w:rFonts w:ascii="Calibri" w:eastAsia="Times New Roman" w:hAnsi="Calibri" w:cs="Calibri"/>
        </w:rPr>
        <w:t xml:space="preserve"> future annual </w:t>
      </w:r>
      <w:r w:rsidRPr="00474453">
        <w:rPr>
          <w:rFonts w:ascii="Calibri" w:eastAsia="Times New Roman" w:hAnsi="Calibri" w:cs="Calibri"/>
        </w:rPr>
        <w:lastRenderedPageBreak/>
        <w:t xml:space="preserve">reviews </w:t>
      </w:r>
      <w:r w:rsidR="007D08C7">
        <w:rPr>
          <w:rFonts w:ascii="Calibri" w:eastAsia="Times New Roman" w:hAnsi="Calibri" w:cs="Calibri"/>
        </w:rPr>
        <w:t xml:space="preserve">and </w:t>
      </w:r>
      <w:r w:rsidRPr="00474453">
        <w:rPr>
          <w:rFonts w:ascii="Calibri" w:eastAsia="Times New Roman" w:hAnsi="Calibri" w:cs="Calibri"/>
        </w:rPr>
        <w:t>will include quantitative assessment of achievement towards targets set against logframe indicators.</w:t>
      </w:r>
      <w:r>
        <w:br w:type="page"/>
      </w:r>
    </w:p>
    <w:p w14:paraId="74C7051B" w14:textId="77777777" w:rsidR="00AC5B3D" w:rsidRDefault="00AC5B3D" w:rsidP="00AC5B3D">
      <w:pPr>
        <w:pStyle w:val="Heading1"/>
      </w:pPr>
      <w:bookmarkStart w:id="13" w:name="_Toc117669038"/>
      <w:r>
        <w:lastRenderedPageBreak/>
        <w:t>Section D – risks</w:t>
      </w:r>
      <w:bookmarkEnd w:id="13"/>
    </w:p>
    <w:p w14:paraId="121BCA82" w14:textId="77777777" w:rsidR="00AC5B3D" w:rsidRDefault="00AC5B3D" w:rsidP="00AC5B3D">
      <w:pPr>
        <w:pStyle w:val="Heading2"/>
      </w:pPr>
      <w:bookmarkStart w:id="14" w:name="_Toc117669039"/>
      <w:r>
        <w:t>OCPP risks</w:t>
      </w:r>
      <w:bookmarkEnd w:id="14"/>
    </w:p>
    <w:p w14:paraId="4F348DB4" w14:textId="77777777" w:rsidR="00AC5B3D" w:rsidRDefault="00AC5B3D" w:rsidP="00AC5B3D">
      <w:pPr>
        <w:jc w:val="both"/>
      </w:pPr>
      <w:r>
        <w:t>All risks are recorded and managed via the OCPP RAID register. The OCPP RAID register was developed in the latter half of the first year, previously only risk was recorded via a standalone register, now risks, issues, assumptions and dependencies have been brought together to strengthen and organise the records.</w:t>
      </w:r>
    </w:p>
    <w:p w14:paraId="2E2D203D" w14:textId="77777777" w:rsidR="00AC5B3D" w:rsidRDefault="00AC5B3D" w:rsidP="00AC5B3D">
      <w:pPr>
        <w:jc w:val="both"/>
      </w:pPr>
      <w:r>
        <w:t>The RAID register</w:t>
      </w:r>
      <w:r w:rsidRPr="001D0E48">
        <w:t xml:space="preserve"> is </w:t>
      </w:r>
      <w:r>
        <w:t xml:space="preserve">continually updated and </w:t>
      </w:r>
      <w:r w:rsidRPr="001D0E48">
        <w:t xml:space="preserve">reviewed and </w:t>
      </w:r>
      <w:r>
        <w:t>discussed</w:t>
      </w:r>
      <w:r w:rsidRPr="001D0E48">
        <w:t xml:space="preserve"> at the </w:t>
      </w:r>
      <w:r>
        <w:t xml:space="preserve">OCPP </w:t>
      </w:r>
      <w:r w:rsidRPr="001D0E48">
        <w:t>P</w:t>
      </w:r>
      <w:r>
        <w:t xml:space="preserve">rogramme </w:t>
      </w:r>
      <w:r w:rsidRPr="001D0E48">
        <w:t>M</w:t>
      </w:r>
      <w:r>
        <w:t xml:space="preserve">anagement </w:t>
      </w:r>
      <w:r w:rsidRPr="001D0E48">
        <w:t>B</w:t>
      </w:r>
      <w:r>
        <w:t>oard (PMB)</w:t>
      </w:r>
      <w:r w:rsidRPr="001D0E48">
        <w:t xml:space="preserve">. </w:t>
      </w:r>
      <w:r>
        <w:t>H</w:t>
      </w:r>
      <w:r w:rsidRPr="001D0E48">
        <w:t xml:space="preserve">igh-level risks and issues </w:t>
      </w:r>
      <w:r>
        <w:t>can be</w:t>
      </w:r>
      <w:r w:rsidRPr="001D0E48">
        <w:t xml:space="preserve"> subsequently escalated to the quarterly </w:t>
      </w:r>
      <w:r>
        <w:t xml:space="preserve">OCPP </w:t>
      </w:r>
      <w:r w:rsidRPr="001D0E48">
        <w:t xml:space="preserve">Senior Management Board </w:t>
      </w:r>
      <w:r>
        <w:t>(SMB)</w:t>
      </w:r>
      <w:r w:rsidRPr="001D0E48">
        <w:t xml:space="preserve"> </w:t>
      </w:r>
      <w:r>
        <w:t>or to wider BPF or Defra governance processes</w:t>
      </w:r>
      <w:r w:rsidRPr="001D0E48">
        <w:t>.</w:t>
      </w:r>
    </w:p>
    <w:p w14:paraId="143A8294" w14:textId="77777777" w:rsidR="00AC5B3D" w:rsidRDefault="00AC5B3D" w:rsidP="00AC5B3D">
      <w:pPr>
        <w:jc w:val="both"/>
      </w:pPr>
      <w:r>
        <w:t xml:space="preserve">OCPP is also subject to Blue Planet Fund risk management, which includes quarterly reporting through the BPF Programme Board and Defra-FCDO Joint Management Board. </w:t>
      </w:r>
    </w:p>
    <w:p w14:paraId="23B02702" w14:textId="019FB4F5" w:rsidR="00AC5B3D" w:rsidRDefault="00AC5B3D" w:rsidP="00AC5B3D">
      <w:pPr>
        <w:jc w:val="both"/>
      </w:pPr>
      <w:r>
        <w:t>Risks with greatest impact on the programme can be found in table</w:t>
      </w:r>
      <w:r w:rsidR="003D1FE0">
        <w:t xml:space="preserve"> 1</w:t>
      </w:r>
      <w:r>
        <w:t>.</w:t>
      </w:r>
    </w:p>
    <w:p w14:paraId="1FE3C77C" w14:textId="71169F02" w:rsidR="003D1FE0" w:rsidRPr="003D1FE0" w:rsidRDefault="003D1FE0" w:rsidP="00AC5B3D">
      <w:pPr>
        <w:jc w:val="both"/>
        <w:rPr>
          <w:b/>
          <w:bCs/>
        </w:rPr>
      </w:pPr>
      <w:r w:rsidRPr="003D1FE0">
        <w:rPr>
          <w:b/>
          <w:bCs/>
        </w:rPr>
        <w:t xml:space="preserve">Table 1. </w:t>
      </w:r>
      <w:r w:rsidRPr="003D1FE0">
        <w:t>O</w:t>
      </w:r>
      <w:r>
        <w:t xml:space="preserve">cean </w:t>
      </w:r>
      <w:r w:rsidRPr="003D1FE0">
        <w:t>C</w:t>
      </w:r>
      <w:r>
        <w:t xml:space="preserve">ountry </w:t>
      </w:r>
      <w:r w:rsidRPr="003D1FE0">
        <w:t>P</w:t>
      </w:r>
      <w:r>
        <w:t xml:space="preserve">artnership </w:t>
      </w:r>
      <w:r w:rsidRPr="003D1FE0">
        <w:t>P</w:t>
      </w:r>
      <w:r>
        <w:t xml:space="preserve">rogramme </w:t>
      </w:r>
      <w:r w:rsidRPr="003D1FE0">
        <w:t>risks</w:t>
      </w:r>
      <w:r w:rsidRPr="003D1FE0">
        <w:rPr>
          <w:b/>
          <w:bCs/>
        </w:rPr>
        <w:t xml:space="preserve"> </w:t>
      </w:r>
    </w:p>
    <w:tbl>
      <w:tblPr>
        <w:tblW w:w="10487" w:type="dxa"/>
        <w:tblInd w:w="-714" w:type="dxa"/>
        <w:tblLook w:val="04A0" w:firstRow="1" w:lastRow="0" w:firstColumn="1" w:lastColumn="0" w:noHBand="0" w:noVBand="1"/>
      </w:tblPr>
      <w:tblGrid>
        <w:gridCol w:w="2391"/>
        <w:gridCol w:w="1130"/>
        <w:gridCol w:w="988"/>
        <w:gridCol w:w="1075"/>
        <w:gridCol w:w="795"/>
        <w:gridCol w:w="1843"/>
        <w:gridCol w:w="1418"/>
        <w:gridCol w:w="847"/>
      </w:tblGrid>
      <w:tr w:rsidR="001B3707" w:rsidRPr="00A536F6" w14:paraId="624F24AC" w14:textId="77777777" w:rsidTr="00030BC2">
        <w:trPr>
          <w:trHeight w:val="450"/>
        </w:trPr>
        <w:tc>
          <w:tcPr>
            <w:tcW w:w="2391"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37D536E4" w14:textId="77777777" w:rsidR="001B3707" w:rsidRPr="00A536F6" w:rsidRDefault="001B3707" w:rsidP="00022964">
            <w:pPr>
              <w:spacing w:after="0" w:line="240" w:lineRule="auto"/>
              <w:jc w:val="center"/>
              <w:rPr>
                <w:rFonts w:ascii="Calibri" w:eastAsia="Times New Roman" w:hAnsi="Calibri" w:cs="Calibri"/>
                <w:b/>
                <w:bCs/>
                <w:color w:val="FFFFFF"/>
                <w:sz w:val="20"/>
                <w:szCs w:val="20"/>
              </w:rPr>
            </w:pPr>
            <w:r w:rsidRPr="00A536F6">
              <w:rPr>
                <w:rFonts w:ascii="Calibri" w:eastAsia="Times New Roman" w:hAnsi="Calibri" w:cs="Calibri"/>
                <w:b/>
                <w:bCs/>
                <w:color w:val="FFFFFF"/>
                <w:sz w:val="20"/>
                <w:szCs w:val="20"/>
              </w:rPr>
              <w:t>Risk Description</w:t>
            </w:r>
          </w:p>
        </w:tc>
        <w:tc>
          <w:tcPr>
            <w:tcW w:w="1130"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09A7A764" w14:textId="77777777" w:rsidR="001B3707" w:rsidRPr="00A536F6" w:rsidRDefault="001B3707" w:rsidP="00022964">
            <w:pPr>
              <w:spacing w:after="0" w:line="240" w:lineRule="auto"/>
              <w:jc w:val="center"/>
              <w:rPr>
                <w:rFonts w:ascii="Calibri" w:eastAsia="Times New Roman" w:hAnsi="Calibri" w:cs="Calibri"/>
                <w:b/>
                <w:bCs/>
                <w:color w:val="FFFFFF"/>
                <w:sz w:val="20"/>
                <w:szCs w:val="20"/>
              </w:rPr>
            </w:pPr>
            <w:r w:rsidRPr="00A536F6">
              <w:rPr>
                <w:rFonts w:ascii="Calibri" w:eastAsia="Times New Roman" w:hAnsi="Calibri" w:cs="Calibri"/>
                <w:b/>
                <w:bCs/>
                <w:color w:val="FFFFFF"/>
                <w:sz w:val="20"/>
                <w:szCs w:val="20"/>
              </w:rPr>
              <w:t>Risk Category</w:t>
            </w:r>
          </w:p>
        </w:tc>
        <w:tc>
          <w:tcPr>
            <w:tcW w:w="98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7FCD63A4" w14:textId="77777777" w:rsidR="001B3707" w:rsidRPr="00A536F6" w:rsidRDefault="001B3707" w:rsidP="00022964">
            <w:pPr>
              <w:spacing w:after="0" w:line="240" w:lineRule="auto"/>
              <w:jc w:val="center"/>
              <w:rPr>
                <w:rFonts w:ascii="Calibri" w:eastAsia="Times New Roman" w:hAnsi="Calibri" w:cs="Calibri"/>
                <w:b/>
                <w:bCs/>
                <w:color w:val="FFFFFF"/>
                <w:sz w:val="20"/>
                <w:szCs w:val="20"/>
              </w:rPr>
            </w:pPr>
            <w:r w:rsidRPr="00A536F6">
              <w:rPr>
                <w:rFonts w:ascii="Calibri" w:eastAsia="Times New Roman" w:hAnsi="Calibri" w:cs="Calibri"/>
                <w:b/>
                <w:bCs/>
                <w:color w:val="FFFFFF"/>
                <w:sz w:val="20"/>
                <w:szCs w:val="20"/>
              </w:rPr>
              <w:t>Impact</w:t>
            </w:r>
          </w:p>
        </w:tc>
        <w:tc>
          <w:tcPr>
            <w:tcW w:w="1075"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05749340" w14:textId="77777777" w:rsidR="001B3707" w:rsidRPr="00A536F6" w:rsidRDefault="001B3707" w:rsidP="00022964">
            <w:pPr>
              <w:spacing w:after="0" w:line="240" w:lineRule="auto"/>
              <w:jc w:val="center"/>
              <w:rPr>
                <w:rFonts w:ascii="Calibri" w:eastAsia="Times New Roman" w:hAnsi="Calibri" w:cs="Calibri"/>
                <w:b/>
                <w:bCs/>
                <w:color w:val="FFFFFF"/>
                <w:sz w:val="20"/>
                <w:szCs w:val="20"/>
              </w:rPr>
            </w:pPr>
            <w:r w:rsidRPr="00A536F6">
              <w:rPr>
                <w:rFonts w:ascii="Calibri" w:eastAsia="Times New Roman" w:hAnsi="Calibri" w:cs="Calibri"/>
                <w:b/>
                <w:bCs/>
                <w:color w:val="FFFFFF"/>
                <w:sz w:val="20"/>
                <w:szCs w:val="20"/>
              </w:rPr>
              <w:t xml:space="preserve"> Likelihood</w:t>
            </w:r>
          </w:p>
        </w:tc>
        <w:tc>
          <w:tcPr>
            <w:tcW w:w="795"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6441BDB6" w14:textId="77777777" w:rsidR="001B3707" w:rsidRPr="00A536F6" w:rsidRDefault="001B3707" w:rsidP="00022964">
            <w:pPr>
              <w:spacing w:after="0" w:line="240" w:lineRule="auto"/>
              <w:jc w:val="center"/>
              <w:rPr>
                <w:rFonts w:ascii="Calibri" w:eastAsia="Times New Roman" w:hAnsi="Calibri" w:cs="Calibri"/>
                <w:b/>
                <w:bCs/>
                <w:color w:val="FFFFFF"/>
                <w:sz w:val="20"/>
                <w:szCs w:val="20"/>
              </w:rPr>
            </w:pPr>
            <w:r w:rsidRPr="00A536F6">
              <w:rPr>
                <w:rFonts w:ascii="Calibri" w:eastAsia="Times New Roman" w:hAnsi="Calibri" w:cs="Calibri"/>
                <w:b/>
                <w:bCs/>
                <w:color w:val="FFFFFF"/>
                <w:sz w:val="20"/>
                <w:szCs w:val="20"/>
              </w:rPr>
              <w:t>RAG Status</w:t>
            </w:r>
          </w:p>
        </w:tc>
        <w:tc>
          <w:tcPr>
            <w:tcW w:w="1843"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4917E98D" w14:textId="77777777" w:rsidR="001B3707" w:rsidRPr="00A536F6" w:rsidRDefault="001B3707" w:rsidP="00022964">
            <w:pPr>
              <w:spacing w:after="0" w:line="240" w:lineRule="auto"/>
              <w:jc w:val="center"/>
              <w:rPr>
                <w:rFonts w:ascii="Calibri" w:eastAsia="Times New Roman" w:hAnsi="Calibri" w:cs="Calibri"/>
                <w:b/>
                <w:bCs/>
                <w:color w:val="FFFFFF"/>
                <w:sz w:val="20"/>
                <w:szCs w:val="20"/>
              </w:rPr>
            </w:pPr>
            <w:r w:rsidRPr="00A536F6">
              <w:rPr>
                <w:rFonts w:ascii="Calibri" w:eastAsia="Times New Roman" w:hAnsi="Calibri" w:cs="Calibri"/>
                <w:b/>
                <w:bCs/>
                <w:color w:val="FFFFFF"/>
                <w:sz w:val="20"/>
                <w:szCs w:val="20"/>
              </w:rPr>
              <w:t>Mitigating action(s)</w:t>
            </w:r>
          </w:p>
        </w:tc>
        <w:tc>
          <w:tcPr>
            <w:tcW w:w="1418" w:type="dxa"/>
            <w:tcBorders>
              <w:top w:val="single" w:sz="4" w:space="0" w:color="BFBFBF"/>
              <w:left w:val="single" w:sz="4" w:space="0" w:color="BFBFBF"/>
              <w:bottom w:val="single" w:sz="4" w:space="0" w:color="BFBFBF"/>
              <w:right w:val="single" w:sz="4" w:space="0" w:color="BFBFBF"/>
            </w:tcBorders>
            <w:shd w:val="clear" w:color="000000" w:fill="F4B084"/>
          </w:tcPr>
          <w:p w14:paraId="1DB9E502" w14:textId="72CAD972" w:rsidR="001B3707" w:rsidRPr="001D039A" w:rsidRDefault="001B3707" w:rsidP="00022964">
            <w:pPr>
              <w:spacing w:after="0" w:line="240" w:lineRule="auto"/>
              <w:jc w:val="center"/>
              <w:rPr>
                <w:rFonts w:ascii="Calibri" w:eastAsia="Times New Roman" w:hAnsi="Calibri" w:cs="Calibri"/>
                <w:b/>
                <w:bCs/>
                <w:color w:val="FFFFFF"/>
                <w:sz w:val="20"/>
                <w:szCs w:val="20"/>
                <w:highlight w:val="yellow"/>
              </w:rPr>
            </w:pPr>
            <w:r w:rsidRPr="00A300A7">
              <w:rPr>
                <w:rFonts w:ascii="Calibri" w:eastAsia="Times New Roman" w:hAnsi="Calibri" w:cs="Calibri"/>
                <w:b/>
                <w:bCs/>
                <w:color w:val="FFFFFF"/>
                <w:sz w:val="20"/>
                <w:szCs w:val="20"/>
              </w:rPr>
              <w:t>Risk level over the last year</w:t>
            </w:r>
          </w:p>
        </w:tc>
        <w:tc>
          <w:tcPr>
            <w:tcW w:w="847"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3567986C" w14:textId="613DDFA7" w:rsidR="001B3707" w:rsidRPr="00A536F6" w:rsidRDefault="001B3707" w:rsidP="00022964">
            <w:pPr>
              <w:spacing w:after="0" w:line="240" w:lineRule="auto"/>
              <w:jc w:val="center"/>
              <w:rPr>
                <w:rFonts w:ascii="Calibri" w:eastAsia="Times New Roman" w:hAnsi="Calibri" w:cs="Calibri"/>
                <w:b/>
                <w:bCs/>
                <w:color w:val="FFFFFF"/>
                <w:sz w:val="20"/>
                <w:szCs w:val="20"/>
              </w:rPr>
            </w:pPr>
            <w:r w:rsidRPr="00A536F6">
              <w:rPr>
                <w:rFonts w:ascii="Calibri" w:eastAsia="Times New Roman" w:hAnsi="Calibri" w:cs="Calibri"/>
                <w:b/>
                <w:bCs/>
                <w:color w:val="FFFFFF"/>
                <w:sz w:val="20"/>
                <w:szCs w:val="20"/>
              </w:rPr>
              <w:t>Status</w:t>
            </w:r>
          </w:p>
        </w:tc>
      </w:tr>
      <w:tr w:rsidR="001B3707" w:rsidRPr="00A536F6" w14:paraId="7BE343BC" w14:textId="77777777" w:rsidTr="00030BC2">
        <w:trPr>
          <w:trHeight w:val="1218"/>
        </w:trPr>
        <w:tc>
          <w:tcPr>
            <w:tcW w:w="2391" w:type="dxa"/>
            <w:tcBorders>
              <w:top w:val="nil"/>
              <w:left w:val="single" w:sz="4" w:space="0" w:color="BFBFBF"/>
              <w:bottom w:val="nil"/>
              <w:right w:val="single" w:sz="4" w:space="0" w:color="BFBFBF"/>
            </w:tcBorders>
            <w:shd w:val="clear" w:color="auto" w:fill="auto"/>
          </w:tcPr>
          <w:p w14:paraId="113ED898" w14:textId="77777777" w:rsidR="001B3707" w:rsidRPr="003E3534" w:rsidRDefault="001B3707" w:rsidP="00022964">
            <w:pPr>
              <w:spacing w:after="0" w:line="240" w:lineRule="auto"/>
              <w:rPr>
                <w:rFonts w:ascii="Calibri" w:eastAsia="Times New Roman" w:hAnsi="Calibri" w:cs="Calibri"/>
                <w:b/>
                <w:bCs/>
                <w:color w:val="000000"/>
                <w:sz w:val="20"/>
                <w:szCs w:val="20"/>
              </w:rPr>
            </w:pPr>
            <w:r w:rsidRPr="003E3534">
              <w:rPr>
                <w:rFonts w:ascii="Calibri" w:hAnsi="Calibri" w:cs="Calibri"/>
                <w:b/>
                <w:bCs/>
                <w:color w:val="000000"/>
                <w:sz w:val="20"/>
                <w:szCs w:val="20"/>
              </w:rPr>
              <w:t xml:space="preserve">Due to: </w:t>
            </w:r>
            <w:r w:rsidRPr="003E3534">
              <w:rPr>
                <w:rFonts w:ascii="Calibri" w:hAnsi="Calibri" w:cs="Calibri"/>
                <w:color w:val="000000"/>
                <w:sz w:val="20"/>
                <w:szCs w:val="20"/>
              </w:rPr>
              <w:t>The ongoing global Covid-19 pandemic.</w:t>
            </w:r>
            <w:r w:rsidRPr="003E3534">
              <w:rPr>
                <w:rFonts w:ascii="Calibri" w:hAnsi="Calibri" w:cs="Calibri"/>
                <w:b/>
                <w:bCs/>
                <w:color w:val="000000"/>
                <w:sz w:val="20"/>
                <w:szCs w:val="20"/>
              </w:rPr>
              <w:t xml:space="preserve">  </w:t>
            </w:r>
            <w:r w:rsidRPr="003E3534">
              <w:rPr>
                <w:rFonts w:ascii="Calibri" w:hAnsi="Calibri" w:cs="Calibri"/>
                <w:b/>
                <w:bCs/>
                <w:color w:val="000000"/>
                <w:sz w:val="20"/>
                <w:szCs w:val="20"/>
              </w:rPr>
              <w:br/>
              <w:t xml:space="preserve">There is a risk that: </w:t>
            </w:r>
            <w:r w:rsidRPr="003E3534">
              <w:rPr>
                <w:rFonts w:ascii="Calibri" w:hAnsi="Calibri" w:cs="Calibri"/>
                <w:color w:val="000000"/>
                <w:sz w:val="20"/>
                <w:szCs w:val="20"/>
              </w:rPr>
              <w:t>Restrictions may be in brought in place that limit delivery in-country, as well as staff having a heightened chance of infection on visits.</w:t>
            </w:r>
            <w:r w:rsidRPr="003E3534">
              <w:rPr>
                <w:rFonts w:ascii="Calibri" w:hAnsi="Calibri" w:cs="Calibri"/>
                <w:color w:val="000000"/>
                <w:sz w:val="20"/>
                <w:szCs w:val="20"/>
              </w:rPr>
              <w:br/>
            </w:r>
            <w:r w:rsidRPr="003E3534">
              <w:rPr>
                <w:rFonts w:ascii="Calibri" w:hAnsi="Calibri" w:cs="Calibri"/>
                <w:b/>
                <w:bCs/>
                <w:color w:val="000000"/>
                <w:sz w:val="20"/>
                <w:szCs w:val="20"/>
              </w:rPr>
              <w:t xml:space="preserve">Resulting in: </w:t>
            </w:r>
            <w:r w:rsidRPr="003E3534">
              <w:rPr>
                <w:rFonts w:ascii="Calibri" w:hAnsi="Calibri" w:cs="Calibri"/>
                <w:color w:val="000000"/>
                <w:sz w:val="20"/>
                <w:szCs w:val="20"/>
              </w:rPr>
              <w:t>Delays/disruption to delivery in country</w:t>
            </w:r>
            <w:r w:rsidRPr="003E3534">
              <w:rPr>
                <w:rFonts w:ascii="Calibri" w:hAnsi="Calibri" w:cs="Calibri"/>
                <w:b/>
                <w:bCs/>
                <w:color w:val="000000"/>
                <w:sz w:val="20"/>
                <w:szCs w:val="20"/>
              </w:rPr>
              <w:t xml:space="preserve">                         </w:t>
            </w:r>
          </w:p>
        </w:tc>
        <w:tc>
          <w:tcPr>
            <w:tcW w:w="1130" w:type="dxa"/>
            <w:tcBorders>
              <w:top w:val="nil"/>
              <w:left w:val="nil"/>
              <w:bottom w:val="nil"/>
              <w:right w:val="single" w:sz="4" w:space="0" w:color="BFBFBF"/>
            </w:tcBorders>
            <w:shd w:val="clear" w:color="auto" w:fill="auto"/>
            <w:vAlign w:val="center"/>
          </w:tcPr>
          <w:p w14:paraId="3307E73B" w14:textId="77777777" w:rsidR="001B3707" w:rsidRPr="003E3534" w:rsidRDefault="001B3707" w:rsidP="00022964">
            <w:pPr>
              <w:spacing w:after="0" w:line="240" w:lineRule="auto"/>
              <w:rPr>
                <w:rFonts w:ascii="Calibri" w:hAnsi="Calibri" w:cs="Calibri"/>
                <w:color w:val="000000"/>
                <w:sz w:val="20"/>
                <w:szCs w:val="20"/>
              </w:rPr>
            </w:pPr>
            <w:r w:rsidRPr="003E3534">
              <w:rPr>
                <w:rFonts w:ascii="Calibri" w:hAnsi="Calibri" w:cs="Calibri"/>
                <w:color w:val="000000"/>
                <w:sz w:val="20"/>
                <w:szCs w:val="20"/>
              </w:rPr>
              <w:t>External</w:t>
            </w:r>
          </w:p>
        </w:tc>
        <w:tc>
          <w:tcPr>
            <w:tcW w:w="9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3E9C1F" w14:textId="77777777" w:rsidR="001B3707" w:rsidRPr="003E3534" w:rsidRDefault="001B3707" w:rsidP="00022964">
            <w:pPr>
              <w:spacing w:after="0" w:line="240" w:lineRule="auto"/>
              <w:rPr>
                <w:rFonts w:ascii="Calibri" w:hAnsi="Calibri" w:cs="Calibri"/>
                <w:color w:val="FFC000"/>
                <w:sz w:val="20"/>
                <w:szCs w:val="20"/>
              </w:rPr>
            </w:pPr>
            <w:r w:rsidRPr="003E3534">
              <w:rPr>
                <w:rFonts w:ascii="Calibri" w:hAnsi="Calibri" w:cs="Calibri"/>
                <w:color w:val="FF0000"/>
                <w:sz w:val="20"/>
                <w:szCs w:val="20"/>
              </w:rPr>
              <w:t>High</w:t>
            </w:r>
          </w:p>
        </w:tc>
        <w:tc>
          <w:tcPr>
            <w:tcW w:w="10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F83B5C" w14:textId="77777777" w:rsidR="001B3707" w:rsidRPr="003E3534" w:rsidRDefault="001B3707" w:rsidP="00022964">
            <w:pPr>
              <w:spacing w:after="0" w:line="240" w:lineRule="auto"/>
              <w:rPr>
                <w:rFonts w:ascii="Calibri" w:hAnsi="Calibri" w:cs="Calibri"/>
                <w:color w:val="FF0000"/>
                <w:sz w:val="20"/>
                <w:szCs w:val="20"/>
              </w:rPr>
            </w:pPr>
            <w:r w:rsidRPr="003E3534">
              <w:rPr>
                <w:rFonts w:ascii="Calibri" w:hAnsi="Calibri" w:cs="Calibri"/>
                <w:color w:val="FFC000"/>
                <w:sz w:val="20"/>
                <w:szCs w:val="20"/>
              </w:rPr>
              <w:t>Medium</w:t>
            </w:r>
          </w:p>
        </w:tc>
        <w:tc>
          <w:tcPr>
            <w:tcW w:w="795"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730A1A0D" w14:textId="77777777" w:rsidR="001B3707" w:rsidRPr="003E3534" w:rsidRDefault="001B3707" w:rsidP="00022964">
            <w:pPr>
              <w:spacing w:after="0" w:line="240" w:lineRule="auto"/>
              <w:rPr>
                <w:rFonts w:ascii="Calibri" w:hAnsi="Calibri" w:cs="Calibri"/>
                <w:b/>
                <w:bCs/>
                <w:sz w:val="20"/>
                <w:szCs w:val="20"/>
              </w:rPr>
            </w:pPr>
            <w:r w:rsidRPr="003E3534">
              <w:rPr>
                <w:rFonts w:ascii="Calibri" w:hAnsi="Calibri" w:cs="Calibri"/>
                <w:b/>
                <w:bCs/>
                <w:sz w:val="20"/>
                <w:szCs w:val="20"/>
              </w:rPr>
              <w:t>12</w:t>
            </w:r>
          </w:p>
        </w:tc>
        <w:tc>
          <w:tcPr>
            <w:tcW w:w="1843" w:type="dxa"/>
            <w:tcBorders>
              <w:top w:val="nil"/>
              <w:left w:val="nil"/>
              <w:bottom w:val="nil"/>
              <w:right w:val="single" w:sz="4" w:space="0" w:color="BFBFBF"/>
            </w:tcBorders>
            <w:shd w:val="clear" w:color="auto" w:fill="auto"/>
          </w:tcPr>
          <w:p w14:paraId="6596588F" w14:textId="77777777" w:rsidR="001B3707" w:rsidRPr="003E3534" w:rsidRDefault="001B3707" w:rsidP="00022964">
            <w:pPr>
              <w:spacing w:after="0" w:line="240" w:lineRule="auto"/>
              <w:rPr>
                <w:rFonts w:ascii="Calibri" w:hAnsi="Calibri" w:cs="Calibri"/>
                <w:b/>
                <w:bCs/>
                <w:color w:val="000000"/>
                <w:sz w:val="20"/>
                <w:szCs w:val="20"/>
              </w:rPr>
            </w:pPr>
            <w:r w:rsidRPr="003E3534">
              <w:rPr>
                <w:rFonts w:ascii="Calibri" w:hAnsi="Calibri" w:cs="Calibri"/>
                <w:b/>
                <w:bCs/>
                <w:color w:val="000000"/>
                <w:sz w:val="20"/>
                <w:szCs w:val="20"/>
              </w:rPr>
              <w:br/>
            </w:r>
            <w:r w:rsidRPr="003E3534">
              <w:rPr>
                <w:rFonts w:ascii="Calibri" w:hAnsi="Calibri" w:cs="Calibri"/>
                <w:color w:val="000000"/>
                <w:sz w:val="20"/>
                <w:szCs w:val="20"/>
              </w:rPr>
              <w:t>Take extra precautions (lateral flow tests, preparation for potential quarantine) whe</w:t>
            </w:r>
            <w:r>
              <w:rPr>
                <w:rFonts w:ascii="Calibri" w:hAnsi="Calibri" w:cs="Calibri"/>
                <w:color w:val="000000"/>
                <w:sz w:val="20"/>
                <w:szCs w:val="20"/>
              </w:rPr>
              <w:t>n</w:t>
            </w:r>
            <w:r w:rsidRPr="003E3534">
              <w:rPr>
                <w:rFonts w:ascii="Calibri" w:hAnsi="Calibri" w:cs="Calibri"/>
                <w:color w:val="000000"/>
                <w:sz w:val="20"/>
                <w:szCs w:val="20"/>
              </w:rPr>
              <w:t xml:space="preserve"> undertaking international visits.</w:t>
            </w:r>
            <w:r w:rsidRPr="003E3534">
              <w:rPr>
                <w:rFonts w:ascii="Calibri" w:hAnsi="Calibri" w:cs="Calibri"/>
                <w:color w:val="000000"/>
                <w:sz w:val="20"/>
                <w:szCs w:val="20"/>
              </w:rPr>
              <w:br/>
              <w:t>Closely monitor changing guidelines in partner countries.</w:t>
            </w:r>
          </w:p>
        </w:tc>
        <w:tc>
          <w:tcPr>
            <w:tcW w:w="1418" w:type="dxa"/>
            <w:tcBorders>
              <w:top w:val="nil"/>
              <w:left w:val="nil"/>
              <w:bottom w:val="nil"/>
              <w:right w:val="nil"/>
            </w:tcBorders>
            <w:vAlign w:val="center"/>
          </w:tcPr>
          <w:p w14:paraId="51DEA7D2" w14:textId="5F2C5F45" w:rsidR="001B3707" w:rsidRPr="003E3534" w:rsidRDefault="001B3707" w:rsidP="001B3707">
            <w:pPr>
              <w:spacing w:after="0" w:line="240" w:lineRule="auto"/>
              <w:jc w:val="center"/>
              <w:rPr>
                <w:rFonts w:ascii="Calibri" w:hAnsi="Calibri" w:cs="Calibri"/>
                <w:color w:val="000000"/>
                <w:sz w:val="20"/>
                <w:szCs w:val="20"/>
              </w:rPr>
            </w:pPr>
            <w:r>
              <w:rPr>
                <w:rFonts w:ascii="Calibri" w:hAnsi="Calibri" w:cs="Calibri"/>
                <w:color w:val="000000"/>
                <w:sz w:val="20"/>
                <w:szCs w:val="20"/>
              </w:rPr>
              <w:t>Stayed the same</w:t>
            </w:r>
          </w:p>
        </w:tc>
        <w:tc>
          <w:tcPr>
            <w:tcW w:w="847" w:type="dxa"/>
            <w:tcBorders>
              <w:top w:val="nil"/>
              <w:left w:val="nil"/>
              <w:bottom w:val="nil"/>
              <w:right w:val="single" w:sz="4" w:space="0" w:color="BFBFBF"/>
            </w:tcBorders>
            <w:shd w:val="clear" w:color="auto" w:fill="auto"/>
            <w:vAlign w:val="center"/>
          </w:tcPr>
          <w:p w14:paraId="53D05F42" w14:textId="396E2718" w:rsidR="001B3707" w:rsidRPr="003E3534" w:rsidRDefault="001B3707" w:rsidP="00022964">
            <w:pPr>
              <w:spacing w:after="0" w:line="240" w:lineRule="auto"/>
              <w:rPr>
                <w:rFonts w:ascii="Calibri" w:hAnsi="Calibri" w:cs="Calibri"/>
                <w:color w:val="000000"/>
                <w:sz w:val="20"/>
                <w:szCs w:val="20"/>
              </w:rPr>
            </w:pPr>
            <w:r w:rsidRPr="003E3534">
              <w:rPr>
                <w:rFonts w:ascii="Calibri" w:hAnsi="Calibri" w:cs="Calibri"/>
                <w:color w:val="000000"/>
                <w:sz w:val="20"/>
                <w:szCs w:val="20"/>
              </w:rPr>
              <w:t>Open</w:t>
            </w:r>
          </w:p>
        </w:tc>
      </w:tr>
      <w:tr w:rsidR="001B3707" w:rsidRPr="00A536F6" w14:paraId="1F8BA223" w14:textId="77777777" w:rsidTr="00030BC2">
        <w:trPr>
          <w:trHeight w:val="1218"/>
        </w:trPr>
        <w:tc>
          <w:tcPr>
            <w:tcW w:w="2391" w:type="dxa"/>
            <w:tcBorders>
              <w:top w:val="nil"/>
              <w:left w:val="single" w:sz="4" w:space="0" w:color="BFBFBF"/>
              <w:bottom w:val="nil"/>
              <w:right w:val="single" w:sz="4" w:space="0" w:color="BFBFBF"/>
            </w:tcBorders>
            <w:shd w:val="clear" w:color="auto" w:fill="auto"/>
          </w:tcPr>
          <w:p w14:paraId="58AA7E8E" w14:textId="77777777" w:rsidR="001B3707" w:rsidRPr="003E3534" w:rsidRDefault="001B3707" w:rsidP="00022964">
            <w:pPr>
              <w:spacing w:after="0" w:line="240" w:lineRule="auto"/>
              <w:rPr>
                <w:rFonts w:ascii="Calibri" w:eastAsia="Times New Roman" w:hAnsi="Calibri" w:cs="Calibri"/>
                <w:b/>
                <w:bCs/>
                <w:color w:val="000000"/>
                <w:sz w:val="20"/>
                <w:szCs w:val="20"/>
              </w:rPr>
            </w:pPr>
            <w:r w:rsidRPr="003E3534">
              <w:rPr>
                <w:rFonts w:ascii="Calibri" w:hAnsi="Calibri" w:cs="Calibri"/>
                <w:b/>
                <w:bCs/>
                <w:color w:val="000000"/>
                <w:sz w:val="20"/>
                <w:szCs w:val="20"/>
              </w:rPr>
              <w:t xml:space="preserve">Due </w:t>
            </w:r>
            <w:proofErr w:type="gramStart"/>
            <w:r w:rsidRPr="003E3534">
              <w:rPr>
                <w:rFonts w:ascii="Calibri" w:hAnsi="Calibri" w:cs="Calibri"/>
                <w:b/>
                <w:bCs/>
                <w:color w:val="000000"/>
                <w:sz w:val="20"/>
                <w:szCs w:val="20"/>
              </w:rPr>
              <w:t>to:</w:t>
            </w:r>
            <w:proofErr w:type="gramEnd"/>
            <w:r w:rsidRPr="003E3534">
              <w:rPr>
                <w:rFonts w:ascii="Calibri" w:hAnsi="Calibri" w:cs="Calibri"/>
                <w:color w:val="000000"/>
                <w:sz w:val="20"/>
                <w:szCs w:val="20"/>
              </w:rPr>
              <w:t xml:space="preserve"> unpredictable sign off processes and longer than anticipated development times for country MoUs. </w:t>
            </w:r>
            <w:r w:rsidRPr="003E3534">
              <w:rPr>
                <w:rFonts w:ascii="Calibri" w:hAnsi="Calibri" w:cs="Calibri"/>
                <w:color w:val="000000"/>
                <w:sz w:val="20"/>
                <w:szCs w:val="20"/>
              </w:rPr>
              <w:br/>
            </w:r>
            <w:r w:rsidRPr="003E3534">
              <w:rPr>
                <w:rFonts w:ascii="Calibri" w:hAnsi="Calibri" w:cs="Calibri"/>
                <w:b/>
                <w:bCs/>
                <w:color w:val="000000"/>
                <w:sz w:val="20"/>
                <w:szCs w:val="20"/>
              </w:rPr>
              <w:t xml:space="preserve">There's a risk that: </w:t>
            </w:r>
            <w:r w:rsidRPr="003E3534">
              <w:rPr>
                <w:rFonts w:ascii="Calibri" w:hAnsi="Calibri" w:cs="Calibri"/>
                <w:color w:val="000000"/>
                <w:sz w:val="20"/>
                <w:szCs w:val="20"/>
              </w:rPr>
              <w:t>Our ability to spend and deliver is compromised. (e.g., MoUs may be required for in-country staff in some countries)</w:t>
            </w:r>
          </w:p>
        </w:tc>
        <w:tc>
          <w:tcPr>
            <w:tcW w:w="1130" w:type="dxa"/>
            <w:tcBorders>
              <w:top w:val="nil"/>
              <w:left w:val="nil"/>
              <w:bottom w:val="nil"/>
              <w:right w:val="single" w:sz="4" w:space="0" w:color="BFBFBF"/>
            </w:tcBorders>
            <w:shd w:val="clear" w:color="auto" w:fill="auto"/>
            <w:vAlign w:val="center"/>
          </w:tcPr>
          <w:p w14:paraId="1FC5DFC9" w14:textId="77777777" w:rsidR="001B3707" w:rsidRPr="003E3534" w:rsidRDefault="001B3707" w:rsidP="00022964">
            <w:pPr>
              <w:spacing w:after="0" w:line="240" w:lineRule="auto"/>
              <w:rPr>
                <w:rFonts w:ascii="Calibri" w:hAnsi="Calibri" w:cs="Calibri"/>
                <w:color w:val="000000"/>
                <w:sz w:val="20"/>
                <w:szCs w:val="20"/>
              </w:rPr>
            </w:pPr>
            <w:r w:rsidRPr="003E3534">
              <w:rPr>
                <w:rFonts w:ascii="Calibri" w:hAnsi="Calibri" w:cs="Calibri"/>
                <w:color w:val="000000"/>
                <w:sz w:val="20"/>
                <w:szCs w:val="20"/>
              </w:rPr>
              <w:t>Strategic / Business</w:t>
            </w:r>
          </w:p>
        </w:tc>
        <w:tc>
          <w:tcPr>
            <w:tcW w:w="9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26DF77" w14:textId="77777777" w:rsidR="001B3707" w:rsidRPr="003E3534" w:rsidRDefault="001B3707" w:rsidP="00022964">
            <w:pPr>
              <w:spacing w:after="0" w:line="240" w:lineRule="auto"/>
              <w:rPr>
                <w:rFonts w:ascii="Calibri" w:hAnsi="Calibri" w:cs="Calibri"/>
                <w:color w:val="FFC000"/>
                <w:sz w:val="20"/>
                <w:szCs w:val="20"/>
              </w:rPr>
            </w:pPr>
            <w:r w:rsidRPr="003E3534">
              <w:rPr>
                <w:rFonts w:ascii="Calibri" w:hAnsi="Calibri" w:cs="Calibri"/>
                <w:color w:val="FF0000"/>
                <w:sz w:val="20"/>
                <w:szCs w:val="20"/>
              </w:rPr>
              <w:t>High</w:t>
            </w:r>
          </w:p>
        </w:tc>
        <w:tc>
          <w:tcPr>
            <w:tcW w:w="10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57899C" w14:textId="77777777" w:rsidR="001B3707" w:rsidRPr="003E3534" w:rsidRDefault="001B3707" w:rsidP="00022964">
            <w:pPr>
              <w:spacing w:after="0" w:line="240" w:lineRule="auto"/>
              <w:rPr>
                <w:rFonts w:ascii="Calibri" w:hAnsi="Calibri" w:cs="Calibri"/>
                <w:color w:val="FF0000"/>
                <w:sz w:val="20"/>
                <w:szCs w:val="20"/>
              </w:rPr>
            </w:pPr>
            <w:r w:rsidRPr="003E3534">
              <w:rPr>
                <w:rFonts w:ascii="Calibri" w:hAnsi="Calibri" w:cs="Calibri"/>
                <w:color w:val="FF0000"/>
                <w:sz w:val="20"/>
                <w:szCs w:val="20"/>
              </w:rPr>
              <w:t>High</w:t>
            </w:r>
          </w:p>
        </w:tc>
        <w:tc>
          <w:tcPr>
            <w:tcW w:w="795"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1C46F40D" w14:textId="77777777" w:rsidR="001B3707" w:rsidRPr="003E3534" w:rsidRDefault="001B3707" w:rsidP="00022964">
            <w:pPr>
              <w:spacing w:after="0" w:line="240" w:lineRule="auto"/>
              <w:rPr>
                <w:rFonts w:ascii="Calibri" w:hAnsi="Calibri" w:cs="Calibri"/>
                <w:b/>
                <w:bCs/>
                <w:sz w:val="20"/>
                <w:szCs w:val="20"/>
              </w:rPr>
            </w:pPr>
            <w:r w:rsidRPr="003E3534">
              <w:rPr>
                <w:rFonts w:ascii="Calibri" w:hAnsi="Calibri" w:cs="Calibri"/>
                <w:b/>
                <w:bCs/>
                <w:sz w:val="20"/>
                <w:szCs w:val="20"/>
              </w:rPr>
              <w:t>16</w:t>
            </w:r>
          </w:p>
        </w:tc>
        <w:tc>
          <w:tcPr>
            <w:tcW w:w="1843" w:type="dxa"/>
            <w:tcBorders>
              <w:top w:val="nil"/>
              <w:left w:val="nil"/>
              <w:bottom w:val="nil"/>
              <w:right w:val="single" w:sz="4" w:space="0" w:color="BFBFBF"/>
            </w:tcBorders>
            <w:shd w:val="clear" w:color="auto" w:fill="auto"/>
          </w:tcPr>
          <w:p w14:paraId="690D4A0C" w14:textId="77777777" w:rsidR="001B3707" w:rsidRPr="003E3534" w:rsidRDefault="001B3707" w:rsidP="00022964">
            <w:pPr>
              <w:spacing w:after="0" w:line="240" w:lineRule="auto"/>
              <w:rPr>
                <w:rFonts w:ascii="Calibri" w:hAnsi="Calibri" w:cs="Calibri"/>
                <w:b/>
                <w:bCs/>
                <w:color w:val="000000"/>
                <w:sz w:val="20"/>
                <w:szCs w:val="20"/>
              </w:rPr>
            </w:pPr>
            <w:r w:rsidRPr="003E3534">
              <w:rPr>
                <w:rFonts w:ascii="Calibri" w:hAnsi="Calibri" w:cs="Calibri"/>
                <w:color w:val="000000"/>
                <w:sz w:val="20"/>
                <w:szCs w:val="20"/>
              </w:rPr>
              <w:t> </w:t>
            </w:r>
          </w:p>
        </w:tc>
        <w:tc>
          <w:tcPr>
            <w:tcW w:w="1418" w:type="dxa"/>
            <w:tcBorders>
              <w:top w:val="nil"/>
              <w:left w:val="nil"/>
              <w:bottom w:val="nil"/>
              <w:right w:val="nil"/>
            </w:tcBorders>
            <w:vAlign w:val="center"/>
          </w:tcPr>
          <w:p w14:paraId="75EABAFE" w14:textId="0538845B" w:rsidR="001B3707" w:rsidRPr="003E3534" w:rsidRDefault="001B3707" w:rsidP="001B3707">
            <w:pPr>
              <w:spacing w:after="0" w:line="240" w:lineRule="auto"/>
              <w:jc w:val="center"/>
              <w:rPr>
                <w:rFonts w:ascii="Calibri" w:hAnsi="Calibri" w:cs="Calibri"/>
                <w:color w:val="000000"/>
                <w:sz w:val="20"/>
                <w:szCs w:val="20"/>
              </w:rPr>
            </w:pPr>
            <w:r>
              <w:rPr>
                <w:rFonts w:ascii="Calibri" w:hAnsi="Calibri" w:cs="Calibri"/>
                <w:color w:val="000000"/>
                <w:sz w:val="20"/>
                <w:szCs w:val="20"/>
              </w:rPr>
              <w:t>Increas</w:t>
            </w:r>
            <w:r w:rsidR="00823793">
              <w:rPr>
                <w:rFonts w:ascii="Calibri" w:hAnsi="Calibri" w:cs="Calibri"/>
                <w:color w:val="000000"/>
                <w:sz w:val="20"/>
                <w:szCs w:val="20"/>
              </w:rPr>
              <w:t>ed</w:t>
            </w:r>
          </w:p>
        </w:tc>
        <w:tc>
          <w:tcPr>
            <w:tcW w:w="847" w:type="dxa"/>
            <w:tcBorders>
              <w:top w:val="nil"/>
              <w:left w:val="nil"/>
              <w:bottom w:val="nil"/>
              <w:right w:val="single" w:sz="4" w:space="0" w:color="BFBFBF"/>
            </w:tcBorders>
            <w:shd w:val="clear" w:color="auto" w:fill="auto"/>
            <w:vAlign w:val="center"/>
          </w:tcPr>
          <w:p w14:paraId="3DDE9875" w14:textId="2F51F32C" w:rsidR="001B3707" w:rsidRPr="003E3534" w:rsidRDefault="001B3707" w:rsidP="00022964">
            <w:pPr>
              <w:spacing w:after="0" w:line="240" w:lineRule="auto"/>
              <w:rPr>
                <w:rFonts w:ascii="Calibri" w:hAnsi="Calibri" w:cs="Calibri"/>
                <w:color w:val="000000"/>
                <w:sz w:val="20"/>
                <w:szCs w:val="20"/>
              </w:rPr>
            </w:pPr>
            <w:r w:rsidRPr="003E3534">
              <w:rPr>
                <w:rFonts w:ascii="Calibri" w:hAnsi="Calibri" w:cs="Calibri"/>
                <w:color w:val="000000"/>
                <w:sz w:val="20"/>
                <w:szCs w:val="20"/>
              </w:rPr>
              <w:t> </w:t>
            </w:r>
            <w:r>
              <w:rPr>
                <w:rFonts w:ascii="Calibri" w:hAnsi="Calibri" w:cs="Calibri"/>
                <w:color w:val="000000"/>
                <w:sz w:val="20"/>
                <w:szCs w:val="20"/>
              </w:rPr>
              <w:t>Open</w:t>
            </w:r>
          </w:p>
        </w:tc>
      </w:tr>
      <w:tr w:rsidR="001B3707" w:rsidRPr="00A536F6" w14:paraId="640F5948" w14:textId="77777777" w:rsidTr="00823793">
        <w:trPr>
          <w:trHeight w:val="3246"/>
        </w:trPr>
        <w:tc>
          <w:tcPr>
            <w:tcW w:w="2391" w:type="dxa"/>
            <w:tcBorders>
              <w:top w:val="nil"/>
              <w:left w:val="single" w:sz="4" w:space="0" w:color="BFBFBF"/>
              <w:bottom w:val="nil"/>
              <w:right w:val="single" w:sz="4" w:space="0" w:color="BFBFBF"/>
            </w:tcBorders>
            <w:shd w:val="clear" w:color="auto" w:fill="auto"/>
          </w:tcPr>
          <w:p w14:paraId="4AD7E631" w14:textId="77777777" w:rsidR="001B3707" w:rsidRPr="00515114" w:rsidRDefault="001B3707" w:rsidP="00022964">
            <w:pPr>
              <w:rPr>
                <w:rFonts w:ascii="Calibri" w:hAnsi="Calibri" w:cs="Calibri"/>
                <w:color w:val="000000"/>
                <w:sz w:val="20"/>
                <w:szCs w:val="20"/>
              </w:rPr>
            </w:pPr>
            <w:r w:rsidRPr="00515114">
              <w:rPr>
                <w:rFonts w:ascii="Calibri" w:hAnsi="Calibri" w:cs="Calibri"/>
                <w:b/>
                <w:bCs/>
                <w:color w:val="000000"/>
                <w:sz w:val="20"/>
                <w:szCs w:val="20"/>
              </w:rPr>
              <w:lastRenderedPageBreak/>
              <w:t xml:space="preserve">Due </w:t>
            </w:r>
            <w:proofErr w:type="gramStart"/>
            <w:r w:rsidRPr="00515114">
              <w:rPr>
                <w:rFonts w:ascii="Calibri" w:hAnsi="Calibri" w:cs="Calibri"/>
                <w:b/>
                <w:bCs/>
                <w:color w:val="000000"/>
                <w:sz w:val="20"/>
                <w:szCs w:val="20"/>
              </w:rPr>
              <w:t>to</w:t>
            </w:r>
            <w:r w:rsidRPr="00515114">
              <w:rPr>
                <w:rFonts w:ascii="Calibri" w:hAnsi="Calibri" w:cs="Calibri"/>
                <w:color w:val="000000"/>
                <w:sz w:val="20"/>
                <w:szCs w:val="20"/>
              </w:rPr>
              <w:t>:</w:t>
            </w:r>
            <w:proofErr w:type="gramEnd"/>
            <w:r w:rsidRPr="00515114">
              <w:rPr>
                <w:rFonts w:ascii="Calibri" w:hAnsi="Calibri" w:cs="Calibri"/>
                <w:color w:val="000000"/>
                <w:sz w:val="20"/>
                <w:szCs w:val="20"/>
              </w:rPr>
              <w:t xml:space="preserve"> changing in-country contexts (e.g. political, social, economic) </w:t>
            </w:r>
            <w:r w:rsidRPr="00515114">
              <w:rPr>
                <w:rFonts w:ascii="Calibri" w:hAnsi="Calibri" w:cs="Calibri"/>
                <w:color w:val="000000"/>
                <w:sz w:val="20"/>
                <w:szCs w:val="20"/>
              </w:rPr>
              <w:br/>
            </w:r>
            <w:r w:rsidRPr="00515114">
              <w:rPr>
                <w:rFonts w:ascii="Calibri" w:hAnsi="Calibri" w:cs="Calibri"/>
                <w:b/>
                <w:bCs/>
                <w:color w:val="000000"/>
                <w:sz w:val="20"/>
                <w:szCs w:val="20"/>
              </w:rPr>
              <w:t>There is a risk that</w:t>
            </w:r>
            <w:r w:rsidRPr="00515114">
              <w:rPr>
                <w:rFonts w:ascii="Calibri" w:hAnsi="Calibri" w:cs="Calibri"/>
                <w:color w:val="000000"/>
                <w:sz w:val="20"/>
                <w:szCs w:val="20"/>
              </w:rPr>
              <w:t>: The programme's ability to engage with partner governments and deliver on the ground will be compromised.</w:t>
            </w:r>
            <w:r w:rsidRPr="00515114">
              <w:rPr>
                <w:rFonts w:ascii="Calibri" w:hAnsi="Calibri" w:cs="Calibri"/>
                <w:color w:val="000000"/>
                <w:sz w:val="20"/>
                <w:szCs w:val="20"/>
              </w:rPr>
              <w:br/>
            </w:r>
            <w:r w:rsidRPr="00515114">
              <w:rPr>
                <w:rFonts w:ascii="Calibri" w:hAnsi="Calibri" w:cs="Calibri"/>
                <w:b/>
                <w:bCs/>
                <w:color w:val="000000"/>
                <w:sz w:val="20"/>
                <w:szCs w:val="20"/>
              </w:rPr>
              <w:t>Which will result in</w:t>
            </w:r>
            <w:r w:rsidRPr="00515114">
              <w:rPr>
                <w:rFonts w:ascii="Calibri" w:hAnsi="Calibri" w:cs="Calibri"/>
                <w:color w:val="000000"/>
                <w:sz w:val="20"/>
                <w:szCs w:val="20"/>
              </w:rPr>
              <w:t xml:space="preserve">: An inability to delivery work and increased underspend. </w:t>
            </w:r>
          </w:p>
          <w:p w14:paraId="57A6B898" w14:textId="77777777" w:rsidR="001B3707" w:rsidRPr="00515114" w:rsidRDefault="001B3707" w:rsidP="00022964">
            <w:pPr>
              <w:spacing w:after="0" w:line="240" w:lineRule="auto"/>
              <w:rPr>
                <w:rFonts w:ascii="Calibri" w:hAnsi="Calibri" w:cs="Calibri"/>
                <w:b/>
                <w:bCs/>
                <w:color w:val="000000"/>
                <w:sz w:val="20"/>
                <w:szCs w:val="20"/>
              </w:rPr>
            </w:pPr>
          </w:p>
        </w:tc>
        <w:tc>
          <w:tcPr>
            <w:tcW w:w="1130" w:type="dxa"/>
            <w:tcBorders>
              <w:top w:val="nil"/>
              <w:left w:val="nil"/>
              <w:bottom w:val="nil"/>
              <w:right w:val="single" w:sz="4" w:space="0" w:color="BFBFBF"/>
            </w:tcBorders>
            <w:shd w:val="clear" w:color="auto" w:fill="auto"/>
            <w:vAlign w:val="center"/>
          </w:tcPr>
          <w:p w14:paraId="32049468" w14:textId="77777777" w:rsidR="001B3707" w:rsidRPr="00515114" w:rsidRDefault="001B3707" w:rsidP="00022964">
            <w:pPr>
              <w:spacing w:after="0" w:line="240" w:lineRule="auto"/>
              <w:rPr>
                <w:rFonts w:ascii="Calibri" w:hAnsi="Calibri" w:cs="Calibri"/>
                <w:color w:val="000000"/>
                <w:sz w:val="20"/>
                <w:szCs w:val="20"/>
              </w:rPr>
            </w:pPr>
            <w:r w:rsidRPr="00515114">
              <w:rPr>
                <w:rFonts w:ascii="Calibri" w:hAnsi="Calibri" w:cs="Calibri"/>
                <w:color w:val="000000"/>
                <w:sz w:val="20"/>
                <w:szCs w:val="20"/>
              </w:rPr>
              <w:t>Strategic / Business</w:t>
            </w:r>
          </w:p>
        </w:tc>
        <w:tc>
          <w:tcPr>
            <w:tcW w:w="9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BE36EA" w14:textId="77777777" w:rsidR="001B3707" w:rsidRPr="00515114" w:rsidRDefault="001B3707" w:rsidP="00022964">
            <w:pPr>
              <w:spacing w:after="0" w:line="240" w:lineRule="auto"/>
              <w:rPr>
                <w:rFonts w:ascii="Calibri" w:hAnsi="Calibri" w:cs="Calibri"/>
                <w:color w:val="FF0000"/>
                <w:sz w:val="20"/>
                <w:szCs w:val="20"/>
              </w:rPr>
            </w:pPr>
            <w:r w:rsidRPr="00515114">
              <w:rPr>
                <w:rFonts w:ascii="Calibri" w:hAnsi="Calibri" w:cs="Calibri"/>
                <w:color w:val="FF0000"/>
                <w:sz w:val="20"/>
                <w:szCs w:val="20"/>
              </w:rPr>
              <w:t>High</w:t>
            </w:r>
          </w:p>
        </w:tc>
        <w:tc>
          <w:tcPr>
            <w:tcW w:w="10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4DA6BE" w14:textId="77777777" w:rsidR="001B3707" w:rsidRPr="00515114" w:rsidRDefault="001B3707" w:rsidP="00022964">
            <w:pPr>
              <w:spacing w:after="0" w:line="240" w:lineRule="auto"/>
              <w:rPr>
                <w:rFonts w:ascii="Calibri" w:hAnsi="Calibri" w:cs="Calibri"/>
                <w:color w:val="FF0000"/>
                <w:sz w:val="20"/>
                <w:szCs w:val="20"/>
              </w:rPr>
            </w:pPr>
            <w:r w:rsidRPr="00515114">
              <w:rPr>
                <w:rFonts w:ascii="Calibri" w:hAnsi="Calibri" w:cs="Calibri"/>
                <w:color w:val="FFC000"/>
                <w:sz w:val="20"/>
                <w:szCs w:val="20"/>
              </w:rPr>
              <w:t>Medium</w:t>
            </w:r>
          </w:p>
        </w:tc>
        <w:tc>
          <w:tcPr>
            <w:tcW w:w="795"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7E02AB0D" w14:textId="77777777" w:rsidR="001B3707" w:rsidRPr="00515114" w:rsidRDefault="001B3707" w:rsidP="00022964">
            <w:pPr>
              <w:spacing w:after="0" w:line="240" w:lineRule="auto"/>
              <w:rPr>
                <w:rFonts w:ascii="Calibri" w:hAnsi="Calibri" w:cs="Calibri"/>
                <w:b/>
                <w:bCs/>
                <w:sz w:val="20"/>
                <w:szCs w:val="20"/>
              </w:rPr>
            </w:pPr>
            <w:r w:rsidRPr="00515114">
              <w:rPr>
                <w:rFonts w:ascii="Calibri" w:hAnsi="Calibri" w:cs="Calibri"/>
                <w:b/>
                <w:bCs/>
                <w:sz w:val="20"/>
                <w:szCs w:val="20"/>
              </w:rPr>
              <w:t>12</w:t>
            </w:r>
          </w:p>
        </w:tc>
        <w:tc>
          <w:tcPr>
            <w:tcW w:w="1843" w:type="dxa"/>
            <w:tcBorders>
              <w:top w:val="nil"/>
              <w:left w:val="nil"/>
              <w:bottom w:val="nil"/>
              <w:right w:val="single" w:sz="4" w:space="0" w:color="BFBFBF"/>
            </w:tcBorders>
            <w:shd w:val="clear" w:color="auto" w:fill="auto"/>
          </w:tcPr>
          <w:p w14:paraId="4768FE5E" w14:textId="77777777" w:rsidR="001B3707" w:rsidRDefault="001B3707" w:rsidP="00022964">
            <w:pPr>
              <w:spacing w:after="0" w:line="240" w:lineRule="auto"/>
              <w:rPr>
                <w:rStyle w:val="font01"/>
                <w:sz w:val="20"/>
                <w:szCs w:val="20"/>
              </w:rPr>
            </w:pPr>
            <w:r w:rsidRPr="00515114">
              <w:rPr>
                <w:rStyle w:val="font01"/>
                <w:sz w:val="20"/>
                <w:szCs w:val="20"/>
              </w:rPr>
              <w:t>Close Communication with post, bringing in overseas post to boost capacity in-country and help localise delivery.</w:t>
            </w:r>
          </w:p>
          <w:p w14:paraId="21F344AD" w14:textId="77777777" w:rsidR="001B3707" w:rsidRPr="00AA0849" w:rsidRDefault="001B3707" w:rsidP="00022964">
            <w:pPr>
              <w:spacing w:after="0" w:line="240" w:lineRule="auto"/>
              <w:rPr>
                <w:rFonts w:ascii="Calibri" w:hAnsi="Calibri" w:cs="Calibri"/>
                <w:color w:val="000000"/>
                <w:sz w:val="20"/>
                <w:szCs w:val="20"/>
              </w:rPr>
            </w:pPr>
            <w:r w:rsidRPr="00AA0849">
              <w:rPr>
                <w:rFonts w:ascii="Calibri" w:hAnsi="Calibri" w:cs="Calibri"/>
                <w:color w:val="000000"/>
                <w:sz w:val="20"/>
                <w:szCs w:val="20"/>
              </w:rPr>
              <w:t xml:space="preserve">Ahead of engagement with countries we will map out possible issues, events and risks in partnering, and plan accordingly.  </w:t>
            </w:r>
          </w:p>
          <w:p w14:paraId="0C9E633D" w14:textId="77777777" w:rsidR="001B3707" w:rsidRPr="00515114" w:rsidRDefault="001B3707" w:rsidP="00022964">
            <w:pPr>
              <w:spacing w:after="0" w:line="240" w:lineRule="auto"/>
              <w:rPr>
                <w:rFonts w:ascii="Calibri" w:hAnsi="Calibri" w:cs="Calibri"/>
                <w:color w:val="000000"/>
                <w:sz w:val="20"/>
                <w:szCs w:val="20"/>
              </w:rPr>
            </w:pPr>
            <w:r w:rsidRPr="00AA0849">
              <w:rPr>
                <w:rFonts w:ascii="Calibri" w:hAnsi="Calibri" w:cs="Calibri"/>
                <w:color w:val="000000"/>
                <w:sz w:val="20"/>
                <w:szCs w:val="20"/>
              </w:rPr>
              <w:t xml:space="preserve">As part of country prioritisation </w:t>
            </w:r>
            <w:proofErr w:type="gramStart"/>
            <w:r w:rsidRPr="00AA0849">
              <w:rPr>
                <w:rFonts w:ascii="Calibri" w:hAnsi="Calibri" w:cs="Calibri"/>
                <w:color w:val="000000"/>
                <w:sz w:val="20"/>
                <w:szCs w:val="20"/>
              </w:rPr>
              <w:t>process</w:t>
            </w:r>
            <w:proofErr w:type="gramEnd"/>
            <w:r w:rsidRPr="00AA0849">
              <w:rPr>
                <w:rFonts w:ascii="Calibri" w:hAnsi="Calibri" w:cs="Calibri"/>
                <w:color w:val="000000"/>
                <w:sz w:val="20"/>
                <w:szCs w:val="20"/>
              </w:rPr>
              <w:t xml:space="preserve"> we will take into account risk of operating in countries in selecting potential partner countries.</w:t>
            </w:r>
          </w:p>
        </w:tc>
        <w:tc>
          <w:tcPr>
            <w:tcW w:w="1418" w:type="dxa"/>
            <w:tcBorders>
              <w:top w:val="nil"/>
              <w:left w:val="nil"/>
              <w:bottom w:val="nil"/>
              <w:right w:val="nil"/>
            </w:tcBorders>
            <w:vAlign w:val="center"/>
          </w:tcPr>
          <w:p w14:paraId="4FB0E78D" w14:textId="497B3C8D" w:rsidR="001B3707" w:rsidRPr="00515114" w:rsidRDefault="00823793" w:rsidP="00823793">
            <w:pPr>
              <w:spacing w:after="0" w:line="240" w:lineRule="auto"/>
              <w:jc w:val="center"/>
              <w:rPr>
                <w:rFonts w:ascii="Calibri" w:hAnsi="Calibri" w:cs="Calibri"/>
                <w:color w:val="000000"/>
                <w:sz w:val="20"/>
                <w:szCs w:val="20"/>
              </w:rPr>
            </w:pPr>
            <w:r>
              <w:rPr>
                <w:rFonts w:ascii="Calibri" w:hAnsi="Calibri" w:cs="Calibri"/>
                <w:color w:val="000000"/>
                <w:sz w:val="20"/>
                <w:szCs w:val="20"/>
              </w:rPr>
              <w:t>Increased</w:t>
            </w:r>
          </w:p>
        </w:tc>
        <w:tc>
          <w:tcPr>
            <w:tcW w:w="847" w:type="dxa"/>
            <w:tcBorders>
              <w:top w:val="nil"/>
              <w:left w:val="nil"/>
              <w:bottom w:val="nil"/>
              <w:right w:val="single" w:sz="4" w:space="0" w:color="BFBFBF"/>
            </w:tcBorders>
            <w:shd w:val="clear" w:color="auto" w:fill="auto"/>
            <w:vAlign w:val="center"/>
          </w:tcPr>
          <w:p w14:paraId="3351CC17" w14:textId="1DB8A579" w:rsidR="001B3707" w:rsidRPr="00515114" w:rsidRDefault="001B3707" w:rsidP="00022964">
            <w:pPr>
              <w:spacing w:after="0" w:line="240" w:lineRule="auto"/>
              <w:rPr>
                <w:rFonts w:ascii="Calibri" w:hAnsi="Calibri" w:cs="Calibri"/>
                <w:color w:val="000000"/>
                <w:sz w:val="20"/>
                <w:szCs w:val="20"/>
              </w:rPr>
            </w:pPr>
            <w:r w:rsidRPr="00515114">
              <w:rPr>
                <w:rFonts w:ascii="Calibri" w:hAnsi="Calibri" w:cs="Calibri"/>
                <w:color w:val="000000"/>
                <w:sz w:val="20"/>
                <w:szCs w:val="20"/>
              </w:rPr>
              <w:t>Open</w:t>
            </w:r>
          </w:p>
        </w:tc>
      </w:tr>
      <w:tr w:rsidR="001B3707" w:rsidRPr="00A536F6" w14:paraId="52758271" w14:textId="77777777" w:rsidTr="00030BC2">
        <w:trPr>
          <w:trHeight w:val="1218"/>
        </w:trPr>
        <w:tc>
          <w:tcPr>
            <w:tcW w:w="2391" w:type="dxa"/>
            <w:tcBorders>
              <w:top w:val="nil"/>
              <w:left w:val="single" w:sz="4" w:space="0" w:color="BFBFBF"/>
              <w:bottom w:val="nil"/>
              <w:right w:val="single" w:sz="4" w:space="0" w:color="BFBFBF"/>
            </w:tcBorders>
            <w:shd w:val="clear" w:color="auto" w:fill="auto"/>
          </w:tcPr>
          <w:p w14:paraId="3BE11193" w14:textId="77777777" w:rsidR="001B3707" w:rsidRPr="00F868BD" w:rsidRDefault="001B3707" w:rsidP="00022964">
            <w:pPr>
              <w:spacing w:after="0" w:line="240" w:lineRule="auto"/>
              <w:rPr>
                <w:rFonts w:ascii="Calibri" w:hAnsi="Calibri" w:cs="Calibri"/>
                <w:b/>
                <w:bCs/>
                <w:color w:val="000000"/>
                <w:sz w:val="20"/>
                <w:szCs w:val="20"/>
              </w:rPr>
            </w:pPr>
            <w:r w:rsidRPr="00F868BD">
              <w:rPr>
                <w:rFonts w:ascii="Calibri" w:hAnsi="Calibri" w:cs="Calibri"/>
                <w:b/>
                <w:bCs/>
                <w:color w:val="000000"/>
                <w:sz w:val="20"/>
                <w:szCs w:val="20"/>
              </w:rPr>
              <w:t xml:space="preserve">Due to: </w:t>
            </w:r>
            <w:r w:rsidRPr="00F868BD">
              <w:rPr>
                <w:rFonts w:ascii="Calibri" w:hAnsi="Calibri" w:cs="Calibri"/>
                <w:color w:val="000000"/>
                <w:sz w:val="20"/>
                <w:szCs w:val="20"/>
              </w:rPr>
              <w:t>Change in partner country priorities</w:t>
            </w:r>
          </w:p>
          <w:p w14:paraId="446BF5E4" w14:textId="77777777" w:rsidR="001B3707" w:rsidRPr="00F868BD" w:rsidRDefault="001B3707" w:rsidP="00022964">
            <w:pPr>
              <w:spacing w:after="0" w:line="240" w:lineRule="auto"/>
              <w:rPr>
                <w:rFonts w:ascii="Calibri" w:hAnsi="Calibri" w:cs="Calibri"/>
                <w:b/>
                <w:bCs/>
                <w:color w:val="000000"/>
                <w:sz w:val="20"/>
                <w:szCs w:val="20"/>
              </w:rPr>
            </w:pPr>
            <w:r w:rsidRPr="00F868BD">
              <w:rPr>
                <w:rFonts w:ascii="Calibri" w:hAnsi="Calibri" w:cs="Calibri"/>
                <w:b/>
                <w:bCs/>
                <w:color w:val="000000"/>
                <w:sz w:val="20"/>
                <w:szCs w:val="20"/>
              </w:rPr>
              <w:t xml:space="preserve">There is risk that: </w:t>
            </w:r>
            <w:r w:rsidRPr="00F868BD">
              <w:rPr>
                <w:rFonts w:ascii="Calibri" w:hAnsi="Calibri" w:cs="Calibri"/>
                <w:color w:val="000000"/>
                <w:sz w:val="20"/>
                <w:szCs w:val="20"/>
              </w:rPr>
              <w:t>Governments and stakeholders stop engaging with or deprioritise OCPP themes</w:t>
            </w:r>
          </w:p>
          <w:p w14:paraId="7CC4FC39" w14:textId="77777777" w:rsidR="001B3707" w:rsidRPr="003E3534" w:rsidRDefault="001B3707" w:rsidP="00022964">
            <w:pPr>
              <w:spacing w:after="0" w:line="240" w:lineRule="auto"/>
              <w:rPr>
                <w:rFonts w:ascii="Calibri" w:hAnsi="Calibri" w:cs="Calibri"/>
                <w:b/>
                <w:bCs/>
                <w:color w:val="000000"/>
                <w:sz w:val="20"/>
                <w:szCs w:val="20"/>
              </w:rPr>
            </w:pPr>
            <w:r w:rsidRPr="00F868BD">
              <w:rPr>
                <w:rFonts w:ascii="Calibri" w:hAnsi="Calibri" w:cs="Calibri"/>
                <w:b/>
                <w:bCs/>
                <w:color w:val="000000"/>
                <w:sz w:val="20"/>
                <w:szCs w:val="20"/>
              </w:rPr>
              <w:t xml:space="preserve">Which will result </w:t>
            </w:r>
            <w:proofErr w:type="gramStart"/>
            <w:r w:rsidRPr="00F868BD">
              <w:rPr>
                <w:rFonts w:ascii="Calibri" w:hAnsi="Calibri" w:cs="Calibri"/>
                <w:b/>
                <w:bCs/>
                <w:color w:val="000000"/>
                <w:sz w:val="20"/>
                <w:szCs w:val="20"/>
              </w:rPr>
              <w:t>in:</w:t>
            </w:r>
            <w:proofErr w:type="gramEnd"/>
            <w:r w:rsidRPr="00F868BD">
              <w:rPr>
                <w:rFonts w:ascii="Calibri" w:hAnsi="Calibri" w:cs="Calibri"/>
                <w:b/>
                <w:bCs/>
                <w:color w:val="000000"/>
                <w:sz w:val="20"/>
                <w:szCs w:val="20"/>
              </w:rPr>
              <w:t xml:space="preserve"> </w:t>
            </w:r>
            <w:r w:rsidRPr="00F868BD">
              <w:rPr>
                <w:rFonts w:ascii="Calibri" w:hAnsi="Calibri" w:cs="Calibri"/>
                <w:color w:val="000000"/>
                <w:sz w:val="20"/>
                <w:szCs w:val="20"/>
              </w:rPr>
              <w:t>difficulty in meeting OCPP ambitions and impact</w:t>
            </w:r>
          </w:p>
        </w:tc>
        <w:tc>
          <w:tcPr>
            <w:tcW w:w="1130" w:type="dxa"/>
            <w:tcBorders>
              <w:top w:val="nil"/>
              <w:left w:val="nil"/>
              <w:bottom w:val="nil"/>
              <w:right w:val="single" w:sz="4" w:space="0" w:color="BFBFBF"/>
            </w:tcBorders>
            <w:shd w:val="clear" w:color="auto" w:fill="auto"/>
            <w:vAlign w:val="center"/>
          </w:tcPr>
          <w:p w14:paraId="2C0D1317" w14:textId="77777777" w:rsidR="001B3707" w:rsidRPr="003E3534" w:rsidRDefault="001B3707" w:rsidP="00022964">
            <w:pPr>
              <w:spacing w:after="0" w:line="240" w:lineRule="auto"/>
              <w:rPr>
                <w:rFonts w:ascii="Calibri" w:hAnsi="Calibri" w:cs="Calibri"/>
                <w:color w:val="000000"/>
                <w:sz w:val="20"/>
                <w:szCs w:val="20"/>
              </w:rPr>
            </w:pPr>
            <w:r>
              <w:rPr>
                <w:rFonts w:ascii="Calibri" w:hAnsi="Calibri" w:cs="Calibri"/>
                <w:color w:val="000000"/>
                <w:sz w:val="20"/>
                <w:szCs w:val="20"/>
              </w:rPr>
              <w:t>Fiduciary</w:t>
            </w:r>
          </w:p>
        </w:tc>
        <w:tc>
          <w:tcPr>
            <w:tcW w:w="9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A220EA" w14:textId="77777777" w:rsidR="001B3707" w:rsidRPr="003E3534" w:rsidRDefault="001B3707" w:rsidP="00022964">
            <w:pPr>
              <w:spacing w:after="0" w:line="240" w:lineRule="auto"/>
              <w:rPr>
                <w:rFonts w:ascii="Calibri" w:hAnsi="Calibri" w:cs="Calibri"/>
                <w:color w:val="FF0000"/>
                <w:sz w:val="20"/>
                <w:szCs w:val="20"/>
              </w:rPr>
            </w:pPr>
            <w:r>
              <w:rPr>
                <w:rFonts w:ascii="Calibri" w:hAnsi="Calibri" w:cs="Calibri"/>
                <w:color w:val="FF0000"/>
                <w:sz w:val="20"/>
                <w:szCs w:val="20"/>
              </w:rPr>
              <w:t>High</w:t>
            </w:r>
          </w:p>
        </w:tc>
        <w:tc>
          <w:tcPr>
            <w:tcW w:w="10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D57664" w14:textId="77777777" w:rsidR="001B3707" w:rsidRPr="003E3534" w:rsidRDefault="001B3707" w:rsidP="00022964">
            <w:pPr>
              <w:spacing w:after="0" w:line="240" w:lineRule="auto"/>
              <w:rPr>
                <w:rFonts w:ascii="Calibri" w:hAnsi="Calibri" w:cs="Calibri"/>
                <w:color w:val="FF0000"/>
                <w:sz w:val="20"/>
                <w:szCs w:val="20"/>
              </w:rPr>
            </w:pPr>
            <w:r w:rsidRPr="00B92C9F">
              <w:rPr>
                <w:rFonts w:ascii="Calibri" w:hAnsi="Calibri" w:cs="Calibri"/>
                <w:color w:val="70AD47" w:themeColor="accent6"/>
                <w:sz w:val="20"/>
                <w:szCs w:val="20"/>
              </w:rPr>
              <w:t>Low</w:t>
            </w:r>
          </w:p>
        </w:tc>
        <w:tc>
          <w:tcPr>
            <w:tcW w:w="795" w:type="dxa"/>
            <w:tcBorders>
              <w:top w:val="single" w:sz="4" w:space="0" w:color="BFBFBF"/>
              <w:left w:val="single" w:sz="4" w:space="0" w:color="BFBFBF"/>
              <w:bottom w:val="single" w:sz="4" w:space="0" w:color="BFBFBF"/>
              <w:right w:val="single" w:sz="4" w:space="0" w:color="BFBFBF"/>
            </w:tcBorders>
            <w:shd w:val="clear" w:color="auto" w:fill="FFC000" w:themeFill="accent4"/>
            <w:vAlign w:val="center"/>
          </w:tcPr>
          <w:p w14:paraId="122BBBD0" w14:textId="77777777" w:rsidR="001B3707" w:rsidRPr="003E3534" w:rsidRDefault="001B3707" w:rsidP="00022964">
            <w:pPr>
              <w:spacing w:after="0" w:line="240" w:lineRule="auto"/>
              <w:rPr>
                <w:rFonts w:ascii="Calibri" w:hAnsi="Calibri" w:cs="Calibri"/>
                <w:b/>
                <w:bCs/>
                <w:sz w:val="20"/>
                <w:szCs w:val="20"/>
              </w:rPr>
            </w:pPr>
            <w:r>
              <w:rPr>
                <w:rFonts w:ascii="Calibri" w:hAnsi="Calibri" w:cs="Calibri"/>
                <w:b/>
                <w:bCs/>
                <w:sz w:val="20"/>
                <w:szCs w:val="20"/>
              </w:rPr>
              <w:t>8</w:t>
            </w:r>
          </w:p>
        </w:tc>
        <w:tc>
          <w:tcPr>
            <w:tcW w:w="1843" w:type="dxa"/>
            <w:tcBorders>
              <w:top w:val="nil"/>
              <w:left w:val="nil"/>
              <w:bottom w:val="nil"/>
              <w:right w:val="single" w:sz="4" w:space="0" w:color="BFBFBF"/>
            </w:tcBorders>
            <w:shd w:val="clear" w:color="auto" w:fill="auto"/>
          </w:tcPr>
          <w:p w14:paraId="32D0DA1A" w14:textId="77777777" w:rsidR="001B3707" w:rsidRPr="00EE57B8" w:rsidRDefault="001B3707" w:rsidP="00022964">
            <w:pPr>
              <w:spacing w:after="0" w:line="240" w:lineRule="auto"/>
              <w:rPr>
                <w:rFonts w:ascii="Calibri" w:hAnsi="Calibri" w:cs="Calibri"/>
                <w:color w:val="000000"/>
                <w:sz w:val="20"/>
                <w:szCs w:val="20"/>
              </w:rPr>
            </w:pPr>
            <w:r w:rsidRPr="00EE57B8">
              <w:rPr>
                <w:rFonts w:ascii="Calibri" w:hAnsi="Calibri" w:cs="Calibri"/>
                <w:color w:val="000000"/>
                <w:sz w:val="20"/>
                <w:szCs w:val="20"/>
              </w:rPr>
              <w:t xml:space="preserve">Country prioritisation </w:t>
            </w:r>
            <w:r>
              <w:rPr>
                <w:rFonts w:ascii="Calibri" w:hAnsi="Calibri" w:cs="Calibri"/>
                <w:color w:val="000000"/>
                <w:sz w:val="20"/>
                <w:szCs w:val="20"/>
              </w:rPr>
              <w:t>to</w:t>
            </w:r>
            <w:r w:rsidRPr="00EE57B8">
              <w:rPr>
                <w:rFonts w:ascii="Calibri" w:hAnsi="Calibri" w:cs="Calibri"/>
                <w:color w:val="000000"/>
                <w:sz w:val="20"/>
                <w:szCs w:val="20"/>
              </w:rPr>
              <w:t xml:space="preserve"> inform decisions on which countries to engage </w:t>
            </w:r>
            <w:r>
              <w:rPr>
                <w:rFonts w:ascii="Calibri" w:hAnsi="Calibri" w:cs="Calibri"/>
                <w:color w:val="000000"/>
                <w:sz w:val="20"/>
                <w:szCs w:val="20"/>
              </w:rPr>
              <w:t>with</w:t>
            </w:r>
            <w:r w:rsidRPr="00EE57B8">
              <w:rPr>
                <w:rFonts w:ascii="Calibri" w:hAnsi="Calibri" w:cs="Calibri"/>
                <w:color w:val="000000"/>
                <w:sz w:val="20"/>
                <w:szCs w:val="20"/>
              </w:rPr>
              <w:t xml:space="preserve">. </w:t>
            </w:r>
            <w:r>
              <w:rPr>
                <w:rFonts w:ascii="Calibri" w:hAnsi="Calibri" w:cs="Calibri"/>
                <w:color w:val="000000"/>
                <w:sz w:val="20"/>
                <w:szCs w:val="20"/>
              </w:rPr>
              <w:t>C</w:t>
            </w:r>
            <w:r w:rsidRPr="00EE57B8">
              <w:rPr>
                <w:rFonts w:ascii="Calibri" w:hAnsi="Calibri" w:cs="Calibri"/>
                <w:color w:val="000000"/>
                <w:sz w:val="20"/>
                <w:szCs w:val="20"/>
              </w:rPr>
              <w:t xml:space="preserve">onsideration of country alignments with UK marine environment ambitions, look for evidence of commitment to addressing specific OCPP issues. </w:t>
            </w:r>
          </w:p>
          <w:p w14:paraId="114BF27D" w14:textId="77777777" w:rsidR="001B3707" w:rsidRPr="003E3534" w:rsidRDefault="001B3707" w:rsidP="00022964">
            <w:pPr>
              <w:spacing w:after="0" w:line="240" w:lineRule="auto"/>
              <w:rPr>
                <w:rFonts w:ascii="Calibri" w:hAnsi="Calibri" w:cs="Calibri"/>
                <w:color w:val="000000"/>
                <w:sz w:val="20"/>
                <w:szCs w:val="20"/>
              </w:rPr>
            </w:pPr>
            <w:r w:rsidRPr="00EE57B8">
              <w:rPr>
                <w:rFonts w:ascii="Calibri" w:hAnsi="Calibri" w:cs="Calibri"/>
                <w:color w:val="000000"/>
                <w:sz w:val="20"/>
                <w:szCs w:val="20"/>
              </w:rPr>
              <w:t>Partnerships will be supported by MoUs</w:t>
            </w:r>
            <w:r>
              <w:rPr>
                <w:rFonts w:ascii="Calibri" w:hAnsi="Calibri" w:cs="Calibri"/>
                <w:color w:val="000000"/>
                <w:sz w:val="20"/>
                <w:szCs w:val="20"/>
              </w:rPr>
              <w:t xml:space="preserve">, </w:t>
            </w:r>
            <w:r w:rsidRPr="00EE57B8">
              <w:rPr>
                <w:rFonts w:ascii="Calibri" w:hAnsi="Calibri" w:cs="Calibri"/>
                <w:color w:val="000000"/>
                <w:sz w:val="20"/>
                <w:szCs w:val="20"/>
              </w:rPr>
              <w:t>that outline the type of engagement we will deliver</w:t>
            </w:r>
            <w:r>
              <w:rPr>
                <w:rFonts w:ascii="Calibri" w:hAnsi="Calibri" w:cs="Calibri"/>
                <w:color w:val="000000"/>
                <w:sz w:val="20"/>
                <w:szCs w:val="20"/>
              </w:rPr>
              <w:t>.</w:t>
            </w:r>
          </w:p>
        </w:tc>
        <w:tc>
          <w:tcPr>
            <w:tcW w:w="1418" w:type="dxa"/>
            <w:tcBorders>
              <w:top w:val="nil"/>
              <w:left w:val="nil"/>
              <w:bottom w:val="nil"/>
              <w:right w:val="nil"/>
            </w:tcBorders>
            <w:vAlign w:val="center"/>
          </w:tcPr>
          <w:p w14:paraId="2E90D16B" w14:textId="4F96897C" w:rsidR="001B3707" w:rsidRDefault="001B3707" w:rsidP="001B3707">
            <w:pPr>
              <w:spacing w:after="0" w:line="240" w:lineRule="auto"/>
              <w:jc w:val="center"/>
              <w:rPr>
                <w:rFonts w:ascii="Calibri" w:hAnsi="Calibri" w:cs="Calibri"/>
                <w:color w:val="000000"/>
                <w:sz w:val="20"/>
                <w:szCs w:val="20"/>
              </w:rPr>
            </w:pPr>
            <w:r>
              <w:rPr>
                <w:rFonts w:ascii="Calibri" w:hAnsi="Calibri" w:cs="Calibri"/>
                <w:color w:val="000000"/>
                <w:sz w:val="20"/>
                <w:szCs w:val="20"/>
              </w:rPr>
              <w:t>Stayed the same</w:t>
            </w:r>
          </w:p>
        </w:tc>
        <w:tc>
          <w:tcPr>
            <w:tcW w:w="847" w:type="dxa"/>
            <w:tcBorders>
              <w:top w:val="nil"/>
              <w:left w:val="nil"/>
              <w:bottom w:val="nil"/>
              <w:right w:val="single" w:sz="4" w:space="0" w:color="BFBFBF"/>
            </w:tcBorders>
            <w:shd w:val="clear" w:color="auto" w:fill="auto"/>
            <w:vAlign w:val="center"/>
          </w:tcPr>
          <w:p w14:paraId="29A24D20" w14:textId="72E74D63" w:rsidR="001B3707" w:rsidRPr="003E3534" w:rsidRDefault="001B3707" w:rsidP="00022964">
            <w:pPr>
              <w:spacing w:after="0" w:line="240" w:lineRule="auto"/>
              <w:rPr>
                <w:rFonts w:ascii="Calibri" w:hAnsi="Calibri" w:cs="Calibri"/>
                <w:color w:val="000000"/>
                <w:sz w:val="20"/>
                <w:szCs w:val="20"/>
              </w:rPr>
            </w:pPr>
            <w:r>
              <w:rPr>
                <w:rFonts w:ascii="Calibri" w:hAnsi="Calibri" w:cs="Calibri"/>
                <w:color w:val="000000"/>
                <w:sz w:val="20"/>
                <w:szCs w:val="20"/>
              </w:rPr>
              <w:t>Open</w:t>
            </w:r>
          </w:p>
        </w:tc>
      </w:tr>
      <w:tr w:rsidR="001B3707" w:rsidRPr="00A536F6" w14:paraId="46570DFB" w14:textId="77777777" w:rsidTr="00030BC2">
        <w:trPr>
          <w:trHeight w:val="2743"/>
        </w:trPr>
        <w:tc>
          <w:tcPr>
            <w:tcW w:w="2391" w:type="dxa"/>
            <w:tcBorders>
              <w:top w:val="nil"/>
              <w:left w:val="single" w:sz="4" w:space="0" w:color="BFBFBF"/>
              <w:bottom w:val="nil"/>
              <w:right w:val="single" w:sz="4" w:space="0" w:color="BFBFBF"/>
            </w:tcBorders>
            <w:shd w:val="clear" w:color="auto" w:fill="auto"/>
          </w:tcPr>
          <w:p w14:paraId="0119FD46" w14:textId="77777777" w:rsidR="001B3707" w:rsidRPr="00A40D5A" w:rsidRDefault="001B3707" w:rsidP="00022964">
            <w:pPr>
              <w:spacing w:after="0" w:line="240" w:lineRule="auto"/>
              <w:rPr>
                <w:rFonts w:ascii="Calibri" w:hAnsi="Calibri" w:cs="Calibri"/>
                <w:b/>
                <w:bCs/>
                <w:color w:val="000000"/>
                <w:sz w:val="20"/>
                <w:szCs w:val="20"/>
              </w:rPr>
            </w:pPr>
            <w:r w:rsidRPr="00A40D5A">
              <w:rPr>
                <w:rFonts w:ascii="Calibri" w:hAnsi="Calibri" w:cs="Calibri"/>
                <w:b/>
                <w:bCs/>
                <w:color w:val="000000"/>
                <w:sz w:val="20"/>
                <w:szCs w:val="20"/>
              </w:rPr>
              <w:t xml:space="preserve">Due to: </w:t>
            </w:r>
            <w:r w:rsidRPr="00A40D5A">
              <w:rPr>
                <w:rFonts w:ascii="Calibri" w:hAnsi="Calibri" w:cs="Calibri"/>
                <w:color w:val="000000"/>
                <w:sz w:val="20"/>
                <w:szCs w:val="20"/>
              </w:rPr>
              <w:t>The relatively novel approach of focusing on science to build capacity as a method of ODA delivery</w:t>
            </w:r>
          </w:p>
          <w:p w14:paraId="5D162033" w14:textId="77777777" w:rsidR="001B3707" w:rsidRPr="00A40D5A" w:rsidRDefault="001B3707" w:rsidP="00022964">
            <w:pPr>
              <w:spacing w:after="0" w:line="240" w:lineRule="auto"/>
              <w:rPr>
                <w:rFonts w:ascii="Calibri" w:hAnsi="Calibri" w:cs="Calibri"/>
                <w:b/>
                <w:bCs/>
                <w:color w:val="000000"/>
                <w:sz w:val="20"/>
                <w:szCs w:val="20"/>
              </w:rPr>
            </w:pPr>
            <w:r w:rsidRPr="00A40D5A">
              <w:rPr>
                <w:rFonts w:ascii="Calibri" w:hAnsi="Calibri" w:cs="Calibri"/>
                <w:b/>
                <w:bCs/>
                <w:color w:val="000000"/>
                <w:sz w:val="20"/>
                <w:szCs w:val="20"/>
              </w:rPr>
              <w:t xml:space="preserve">There is a risk that: </w:t>
            </w:r>
            <w:r w:rsidRPr="00A40D5A">
              <w:rPr>
                <w:rFonts w:ascii="Calibri" w:hAnsi="Calibri" w:cs="Calibri"/>
                <w:color w:val="000000"/>
                <w:sz w:val="20"/>
                <w:szCs w:val="20"/>
              </w:rPr>
              <w:t>it will be difficult to directly attribute every £ to specific poverty reduction outcomes</w:t>
            </w:r>
          </w:p>
          <w:p w14:paraId="34DE2018" w14:textId="77777777" w:rsidR="001B3707" w:rsidRPr="00F868BD" w:rsidRDefault="001B3707" w:rsidP="00022964">
            <w:pPr>
              <w:spacing w:after="0" w:line="240" w:lineRule="auto"/>
              <w:rPr>
                <w:rFonts w:ascii="Calibri" w:hAnsi="Calibri" w:cs="Calibri"/>
                <w:b/>
                <w:bCs/>
                <w:color w:val="000000"/>
                <w:sz w:val="20"/>
                <w:szCs w:val="20"/>
              </w:rPr>
            </w:pPr>
            <w:r w:rsidRPr="00A40D5A">
              <w:rPr>
                <w:rFonts w:ascii="Calibri" w:hAnsi="Calibri" w:cs="Calibri"/>
                <w:b/>
                <w:bCs/>
                <w:color w:val="000000"/>
                <w:sz w:val="20"/>
                <w:szCs w:val="20"/>
              </w:rPr>
              <w:t xml:space="preserve">Which will result in: </w:t>
            </w:r>
            <w:r w:rsidRPr="00A40D5A">
              <w:rPr>
                <w:rFonts w:ascii="Calibri" w:hAnsi="Calibri" w:cs="Calibri"/>
                <w:color w:val="000000"/>
                <w:sz w:val="20"/>
                <w:szCs w:val="20"/>
              </w:rPr>
              <w:t>Inability to effectively capture full impact of the programme</w:t>
            </w:r>
          </w:p>
        </w:tc>
        <w:tc>
          <w:tcPr>
            <w:tcW w:w="1130" w:type="dxa"/>
            <w:tcBorders>
              <w:top w:val="nil"/>
              <w:left w:val="nil"/>
              <w:bottom w:val="nil"/>
              <w:right w:val="single" w:sz="4" w:space="0" w:color="BFBFBF"/>
            </w:tcBorders>
            <w:shd w:val="clear" w:color="auto" w:fill="auto"/>
            <w:vAlign w:val="center"/>
          </w:tcPr>
          <w:p w14:paraId="4881F64F" w14:textId="77777777" w:rsidR="001B3707" w:rsidRDefault="001B3707" w:rsidP="00022964">
            <w:pPr>
              <w:spacing w:after="0" w:line="240" w:lineRule="auto"/>
              <w:rPr>
                <w:rFonts w:ascii="Calibri" w:hAnsi="Calibri" w:cs="Calibri"/>
                <w:color w:val="000000"/>
                <w:sz w:val="20"/>
                <w:szCs w:val="20"/>
              </w:rPr>
            </w:pPr>
            <w:r>
              <w:rPr>
                <w:rFonts w:ascii="Calibri" w:hAnsi="Calibri" w:cs="Calibri"/>
                <w:color w:val="000000"/>
                <w:sz w:val="20"/>
                <w:szCs w:val="20"/>
              </w:rPr>
              <w:t>Fiduciary</w:t>
            </w:r>
          </w:p>
        </w:tc>
        <w:tc>
          <w:tcPr>
            <w:tcW w:w="9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D31A61" w14:textId="77777777" w:rsidR="001B3707" w:rsidRDefault="001B3707" w:rsidP="00022964">
            <w:pPr>
              <w:spacing w:after="0" w:line="240" w:lineRule="auto"/>
              <w:rPr>
                <w:rFonts w:ascii="Calibri" w:hAnsi="Calibri" w:cs="Calibri"/>
                <w:color w:val="FF0000"/>
                <w:sz w:val="20"/>
                <w:szCs w:val="20"/>
              </w:rPr>
            </w:pPr>
            <w:r w:rsidRPr="00945D44">
              <w:rPr>
                <w:rFonts w:ascii="Calibri" w:hAnsi="Calibri" w:cs="Calibri"/>
                <w:color w:val="70AD47" w:themeColor="accent6"/>
                <w:sz w:val="20"/>
                <w:szCs w:val="20"/>
              </w:rPr>
              <w:t>Low</w:t>
            </w:r>
          </w:p>
        </w:tc>
        <w:tc>
          <w:tcPr>
            <w:tcW w:w="10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A7C160" w14:textId="77777777" w:rsidR="001B3707" w:rsidRPr="00B92C9F" w:rsidRDefault="001B3707" w:rsidP="00022964">
            <w:pPr>
              <w:spacing w:after="0" w:line="240" w:lineRule="auto"/>
              <w:rPr>
                <w:rFonts w:ascii="Calibri" w:hAnsi="Calibri" w:cs="Calibri"/>
                <w:color w:val="70AD47" w:themeColor="accent6"/>
                <w:sz w:val="20"/>
                <w:szCs w:val="20"/>
              </w:rPr>
            </w:pPr>
            <w:r w:rsidRPr="00515114">
              <w:rPr>
                <w:rFonts w:ascii="Calibri" w:hAnsi="Calibri" w:cs="Calibri"/>
                <w:color w:val="FFC000"/>
                <w:sz w:val="20"/>
                <w:szCs w:val="20"/>
              </w:rPr>
              <w:t>Medium</w:t>
            </w:r>
          </w:p>
        </w:tc>
        <w:tc>
          <w:tcPr>
            <w:tcW w:w="795" w:type="dxa"/>
            <w:tcBorders>
              <w:top w:val="single" w:sz="4" w:space="0" w:color="BFBFBF"/>
              <w:left w:val="single" w:sz="4" w:space="0" w:color="BFBFBF"/>
              <w:bottom w:val="single" w:sz="4" w:space="0" w:color="BFBFBF"/>
              <w:right w:val="single" w:sz="4" w:space="0" w:color="BFBFBF"/>
            </w:tcBorders>
            <w:shd w:val="clear" w:color="auto" w:fill="FFC000" w:themeFill="accent4"/>
            <w:vAlign w:val="center"/>
          </w:tcPr>
          <w:p w14:paraId="03B233F4" w14:textId="77777777" w:rsidR="001B3707" w:rsidRDefault="001B3707" w:rsidP="00022964">
            <w:pPr>
              <w:spacing w:after="0" w:line="240" w:lineRule="auto"/>
              <w:rPr>
                <w:rFonts w:ascii="Calibri" w:hAnsi="Calibri" w:cs="Calibri"/>
                <w:b/>
                <w:bCs/>
                <w:sz w:val="20"/>
                <w:szCs w:val="20"/>
              </w:rPr>
            </w:pPr>
            <w:r>
              <w:rPr>
                <w:rFonts w:ascii="Calibri" w:hAnsi="Calibri" w:cs="Calibri"/>
                <w:b/>
                <w:bCs/>
                <w:sz w:val="20"/>
                <w:szCs w:val="20"/>
              </w:rPr>
              <w:t>6</w:t>
            </w:r>
          </w:p>
        </w:tc>
        <w:tc>
          <w:tcPr>
            <w:tcW w:w="1843" w:type="dxa"/>
            <w:tcBorders>
              <w:top w:val="nil"/>
              <w:left w:val="nil"/>
              <w:bottom w:val="nil"/>
              <w:right w:val="single" w:sz="4" w:space="0" w:color="BFBFBF"/>
            </w:tcBorders>
            <w:shd w:val="clear" w:color="auto" w:fill="auto"/>
          </w:tcPr>
          <w:p w14:paraId="667FD455" w14:textId="77777777" w:rsidR="001B3707" w:rsidRPr="00EE57B8" w:rsidRDefault="001B3707" w:rsidP="00022964">
            <w:pPr>
              <w:spacing w:after="0" w:line="240" w:lineRule="auto"/>
              <w:rPr>
                <w:rFonts w:ascii="Calibri" w:hAnsi="Calibri" w:cs="Calibri"/>
                <w:color w:val="000000"/>
                <w:sz w:val="20"/>
                <w:szCs w:val="20"/>
              </w:rPr>
            </w:pPr>
            <w:r w:rsidRPr="00D133C4">
              <w:rPr>
                <w:rFonts w:ascii="Calibri" w:hAnsi="Calibri" w:cs="Calibri"/>
                <w:color w:val="000000"/>
                <w:sz w:val="20"/>
                <w:szCs w:val="20"/>
              </w:rPr>
              <w:t xml:space="preserve">Building in strong M&amp;E offer as part of programme delivery. Through the existing CLiP </w:t>
            </w:r>
            <w:proofErr w:type="gramStart"/>
            <w:r w:rsidRPr="00D133C4">
              <w:rPr>
                <w:rFonts w:ascii="Calibri" w:hAnsi="Calibri" w:cs="Calibri"/>
                <w:color w:val="000000"/>
                <w:sz w:val="20"/>
                <w:szCs w:val="20"/>
              </w:rPr>
              <w:t>programme</w:t>
            </w:r>
            <w:proofErr w:type="gramEnd"/>
            <w:r w:rsidRPr="00D133C4">
              <w:rPr>
                <w:rFonts w:ascii="Calibri" w:hAnsi="Calibri" w:cs="Calibri"/>
                <w:color w:val="000000"/>
                <w:sz w:val="20"/>
                <w:szCs w:val="20"/>
              </w:rPr>
              <w:t xml:space="preserve"> we will build on existing evaluations to develop indicators to effectively capture impact.</w:t>
            </w:r>
          </w:p>
        </w:tc>
        <w:tc>
          <w:tcPr>
            <w:tcW w:w="1418" w:type="dxa"/>
            <w:tcBorders>
              <w:top w:val="nil"/>
              <w:left w:val="nil"/>
              <w:bottom w:val="nil"/>
              <w:right w:val="nil"/>
            </w:tcBorders>
            <w:vAlign w:val="center"/>
          </w:tcPr>
          <w:p w14:paraId="34ED4B14" w14:textId="2FB0416F" w:rsidR="001B3707" w:rsidRDefault="001B3707" w:rsidP="001B3707">
            <w:pPr>
              <w:spacing w:after="0" w:line="240" w:lineRule="auto"/>
              <w:jc w:val="center"/>
              <w:rPr>
                <w:rFonts w:ascii="Calibri" w:hAnsi="Calibri" w:cs="Calibri"/>
                <w:color w:val="000000"/>
                <w:sz w:val="20"/>
                <w:szCs w:val="20"/>
              </w:rPr>
            </w:pPr>
            <w:r>
              <w:rPr>
                <w:rFonts w:ascii="Calibri" w:hAnsi="Calibri" w:cs="Calibri"/>
                <w:color w:val="000000"/>
                <w:sz w:val="20"/>
                <w:szCs w:val="20"/>
              </w:rPr>
              <w:t>Stayed the same</w:t>
            </w:r>
          </w:p>
        </w:tc>
        <w:tc>
          <w:tcPr>
            <w:tcW w:w="847" w:type="dxa"/>
            <w:tcBorders>
              <w:top w:val="nil"/>
              <w:left w:val="nil"/>
              <w:bottom w:val="nil"/>
              <w:right w:val="single" w:sz="4" w:space="0" w:color="BFBFBF"/>
            </w:tcBorders>
            <w:shd w:val="clear" w:color="auto" w:fill="auto"/>
            <w:vAlign w:val="center"/>
          </w:tcPr>
          <w:p w14:paraId="51019FAA" w14:textId="7683AF69" w:rsidR="001B3707" w:rsidRPr="003E3534" w:rsidRDefault="001B3707" w:rsidP="00022964">
            <w:pPr>
              <w:spacing w:after="0" w:line="240" w:lineRule="auto"/>
              <w:rPr>
                <w:rFonts w:ascii="Calibri" w:hAnsi="Calibri" w:cs="Calibri"/>
                <w:color w:val="000000"/>
                <w:sz w:val="20"/>
                <w:szCs w:val="20"/>
              </w:rPr>
            </w:pPr>
            <w:r>
              <w:rPr>
                <w:rFonts w:ascii="Calibri" w:hAnsi="Calibri" w:cs="Calibri"/>
                <w:color w:val="000000"/>
                <w:sz w:val="20"/>
                <w:szCs w:val="20"/>
              </w:rPr>
              <w:t>Open</w:t>
            </w:r>
          </w:p>
        </w:tc>
      </w:tr>
    </w:tbl>
    <w:p w14:paraId="14C02C21" w14:textId="77777777" w:rsidR="00AC5B3D" w:rsidRDefault="00AC5B3D" w:rsidP="00AC5B3D"/>
    <w:p w14:paraId="2B69AE94" w14:textId="57DDBFDE" w:rsidR="00AC5B3D" w:rsidRDefault="00AC5B3D" w:rsidP="00AC5B3D">
      <w:r>
        <w:t xml:space="preserve">Full current risk register can be found in annex </w:t>
      </w:r>
      <w:r w:rsidR="00B02D58" w:rsidRPr="00B02D58">
        <w:t>B.</w:t>
      </w:r>
    </w:p>
    <w:p w14:paraId="105B2D46" w14:textId="77777777" w:rsidR="00AC5B3D" w:rsidRDefault="00AC5B3D" w:rsidP="00AC5B3D">
      <w:pPr>
        <w:pStyle w:val="Heading2"/>
      </w:pPr>
      <w:bookmarkStart w:id="15" w:name="_Toc117669040"/>
      <w:r>
        <w:t>FOA &amp; GOAP risks</w:t>
      </w:r>
      <w:bookmarkEnd w:id="15"/>
    </w:p>
    <w:p w14:paraId="14E4912D" w14:textId="77777777" w:rsidR="00AC5B3D" w:rsidRDefault="00AC5B3D" w:rsidP="00AC5B3D">
      <w:pPr>
        <w:jc w:val="both"/>
      </w:pPr>
      <w:r>
        <w:t xml:space="preserve">FOA and GOAP have their own individual project risk registers, as the trial integration into the OCPP is yet to fully combine all project management functions. As per the recommendations of this annual review, FOA and GOAP will be fully integrated into OCPP. This integration will include developing and combining FOA and GOAP risks, issues, assumptions and dependencies into the OCPP RAID register. Wider governance processes also need to be </w:t>
      </w:r>
      <w:proofErr w:type="gramStart"/>
      <w:r>
        <w:t>taken into account</w:t>
      </w:r>
      <w:proofErr w:type="gramEnd"/>
      <w:r>
        <w:t xml:space="preserve"> when considering risk, to ensure risks and issues are managed and escalated appropriately. Therefore, the integration of FOA and GOAP into OCPP’s management board structure will be developed further with this in mind. </w:t>
      </w:r>
    </w:p>
    <w:p w14:paraId="1FA22E69" w14:textId="77777777" w:rsidR="00AC5B3D" w:rsidRDefault="00AC5B3D" w:rsidP="00AC5B3D">
      <w:pPr>
        <w:jc w:val="both"/>
      </w:pPr>
      <w:r>
        <w:t>There are high level OCPP risks which FOA and GOAP are also subject to, for example:</w:t>
      </w:r>
    </w:p>
    <w:p w14:paraId="2BDB3B6D" w14:textId="77777777" w:rsidR="00AC5B3D" w:rsidRDefault="00AC5B3D" w:rsidP="00AC5B3D">
      <w:pPr>
        <w:pStyle w:val="ListParagraph"/>
        <w:numPr>
          <w:ilvl w:val="0"/>
          <w:numId w:val="26"/>
        </w:numPr>
        <w:jc w:val="both"/>
      </w:pPr>
      <w:r>
        <w:t>Covid-19</w:t>
      </w:r>
    </w:p>
    <w:p w14:paraId="148390CD" w14:textId="77777777" w:rsidR="00AC5B3D" w:rsidRPr="00B4453E" w:rsidRDefault="00AC5B3D" w:rsidP="00AC5B3D">
      <w:pPr>
        <w:pStyle w:val="ListParagraph"/>
        <w:numPr>
          <w:ilvl w:val="0"/>
          <w:numId w:val="26"/>
        </w:numPr>
        <w:jc w:val="both"/>
        <w:rPr>
          <w:sz w:val="24"/>
          <w:szCs w:val="24"/>
        </w:rPr>
      </w:pPr>
      <w:r w:rsidRPr="00B4453E">
        <w:rPr>
          <w:rFonts w:ascii="Calibri" w:hAnsi="Calibri" w:cs="Calibri"/>
          <w:color w:val="000000"/>
        </w:rPr>
        <w:t>Changing in-country contexts (e.g. political, social, economic)</w:t>
      </w:r>
    </w:p>
    <w:p w14:paraId="1656D7E6" w14:textId="739911F3" w:rsidR="00AC5B3D" w:rsidRDefault="00AC5B3D" w:rsidP="00AC5B3D">
      <w:pPr>
        <w:rPr>
          <w:b/>
          <w:bCs/>
          <w:sz w:val="24"/>
          <w:szCs w:val="24"/>
        </w:rPr>
      </w:pPr>
      <w:r>
        <w:t>Full risk registers for both projects can be found in annex</w:t>
      </w:r>
      <w:r w:rsidR="00B02D58">
        <w:t xml:space="preserve"> B</w:t>
      </w:r>
      <w:r>
        <w:t>.</w:t>
      </w:r>
      <w:r>
        <w:rPr>
          <w:b/>
          <w:bCs/>
          <w:sz w:val="24"/>
          <w:szCs w:val="24"/>
        </w:rPr>
        <w:br w:type="page"/>
      </w:r>
    </w:p>
    <w:p w14:paraId="1CA55AB7" w14:textId="77777777" w:rsidR="00AC5B3D" w:rsidRPr="004573BF" w:rsidRDefault="00AC5B3D" w:rsidP="00AC5B3D">
      <w:pPr>
        <w:pStyle w:val="Heading1"/>
      </w:pPr>
      <w:bookmarkStart w:id="16" w:name="_Toc117669041"/>
      <w:r w:rsidRPr="004573BF">
        <w:lastRenderedPageBreak/>
        <w:t>Section E – Programme management</w:t>
      </w:r>
      <w:bookmarkEnd w:id="16"/>
    </w:p>
    <w:p w14:paraId="0E95CEE3" w14:textId="77777777" w:rsidR="00AC5B3D" w:rsidRDefault="00AC5B3D" w:rsidP="00AC5B3D">
      <w:pPr>
        <w:spacing w:after="0"/>
        <w:rPr>
          <w:i/>
          <w:iCs/>
        </w:rPr>
      </w:pPr>
    </w:p>
    <w:p w14:paraId="242E9AFB" w14:textId="77777777" w:rsidR="00AC5B3D" w:rsidRPr="00341987" w:rsidRDefault="00AC5B3D" w:rsidP="00AC5B3D">
      <w:pPr>
        <w:pStyle w:val="Heading2"/>
        <w:rPr>
          <w:b/>
          <w:bCs/>
          <w:i/>
          <w:iCs/>
          <w:color w:val="ED7D31" w:themeColor="accent2"/>
        </w:rPr>
      </w:pPr>
      <w:bookmarkStart w:id="17" w:name="_Toc117669042"/>
      <w:r w:rsidRPr="00341987">
        <w:t>E1: Summary of Defra and delivery partner performance</w:t>
      </w:r>
      <w:bookmarkEnd w:id="17"/>
    </w:p>
    <w:p w14:paraId="2AFC51B9" w14:textId="77777777" w:rsidR="00AC5B3D" w:rsidRDefault="00AC5B3D" w:rsidP="00AC5B3D">
      <w:pPr>
        <w:spacing w:after="0"/>
      </w:pPr>
    </w:p>
    <w:p w14:paraId="2CD7E513" w14:textId="77777777" w:rsidR="00AC5B3D" w:rsidRDefault="00AC5B3D" w:rsidP="00AC5B3D">
      <w:pPr>
        <w:spacing w:after="0"/>
        <w:jc w:val="both"/>
      </w:pPr>
      <w:r w:rsidRPr="00AF3325">
        <w:t xml:space="preserve">The focus of </w:t>
      </w:r>
      <w:r>
        <w:t xml:space="preserve">much of </w:t>
      </w:r>
      <w:r w:rsidRPr="00AF3325">
        <w:t xml:space="preserve">the work over the past year has been the establishment and operationalisation of </w:t>
      </w:r>
      <w:r>
        <w:t>OCPP</w:t>
      </w:r>
      <w:r w:rsidRPr="00AF3325">
        <w:t>, mean</w:t>
      </w:r>
      <w:r>
        <w:t>ing</w:t>
      </w:r>
      <w:r w:rsidRPr="00AF3325">
        <w:t xml:space="preserve"> that much </w:t>
      </w:r>
      <w:r>
        <w:t xml:space="preserve">of the </w:t>
      </w:r>
      <w:r w:rsidRPr="00AF3325">
        <w:t xml:space="preserve">work has been ongoing </w:t>
      </w:r>
      <w:r>
        <w:t>and</w:t>
      </w:r>
      <w:r w:rsidRPr="00AF3325">
        <w:t xml:space="preserve"> is not captured by the </w:t>
      </w:r>
      <w:r>
        <w:t>programme’s output indicators.</w:t>
      </w:r>
    </w:p>
    <w:p w14:paraId="717BCC96" w14:textId="77777777" w:rsidR="00AC5B3D" w:rsidRDefault="00AC5B3D" w:rsidP="00AC5B3D">
      <w:pPr>
        <w:spacing w:after="0"/>
        <w:jc w:val="both"/>
      </w:pPr>
    </w:p>
    <w:p w14:paraId="356489A8" w14:textId="77777777" w:rsidR="00AC5B3D" w:rsidRPr="002C7A28" w:rsidRDefault="00AC5B3D" w:rsidP="00AC5B3D">
      <w:pPr>
        <w:pStyle w:val="Heading3"/>
      </w:pPr>
      <w:bookmarkStart w:id="18" w:name="_Toc117669043"/>
      <w:r w:rsidRPr="002C7A28">
        <w:t>Defra programme team performance</w:t>
      </w:r>
      <w:bookmarkEnd w:id="18"/>
    </w:p>
    <w:p w14:paraId="6D01D2E9" w14:textId="77777777" w:rsidR="00AC5B3D" w:rsidRDefault="00AC5B3D" w:rsidP="00AC5B3D">
      <w:pPr>
        <w:spacing w:before="240" w:after="0"/>
        <w:jc w:val="both"/>
      </w:pPr>
      <w:r w:rsidRPr="00A76003">
        <w:t xml:space="preserve">An important </w:t>
      </w:r>
      <w:r>
        <w:t xml:space="preserve">enabling </w:t>
      </w:r>
      <w:r w:rsidRPr="00A76003">
        <w:t xml:space="preserve">achievement has been the establishment of </w:t>
      </w:r>
      <w:r>
        <w:t>the core Defra programme management team</w:t>
      </w:r>
      <w:r w:rsidRPr="00A76003">
        <w:t>, with 5 FTE in place in London</w:t>
      </w:r>
      <w:r>
        <w:t>, alongside establishing important relationships with wider HMG stakeholders involved in the programme, particularly FCDO Embassies and High Commissions</w:t>
      </w:r>
      <w:r w:rsidRPr="00A76003">
        <w:t xml:space="preserve">. Strong working relationships have been established between the </w:t>
      </w:r>
      <w:r>
        <w:t xml:space="preserve">programme management and delivery partner </w:t>
      </w:r>
      <w:r w:rsidRPr="00A76003">
        <w:t>teams, through daily communications</w:t>
      </w:r>
      <w:r>
        <w:t xml:space="preserve"> and regular update emails, calls and discussions</w:t>
      </w:r>
      <w:r w:rsidRPr="00A76003">
        <w:t>. Programme management tools and systems have been put in place including activity tracker</w:t>
      </w:r>
      <w:r>
        <w:t>s</w:t>
      </w:r>
      <w:r w:rsidRPr="00A76003">
        <w:t xml:space="preserve">, risk </w:t>
      </w:r>
      <w:r>
        <w:t xml:space="preserve">and issue </w:t>
      </w:r>
      <w:r w:rsidRPr="00A76003">
        <w:t>monitoring system</w:t>
      </w:r>
      <w:r>
        <w:t>s</w:t>
      </w:r>
      <w:r w:rsidRPr="00A76003">
        <w:t xml:space="preserve">, and </w:t>
      </w:r>
      <w:r>
        <w:t>a suite of workplans at different levels (e.g. delivery partner workplans, country workplans etc)</w:t>
      </w:r>
      <w:r w:rsidRPr="00A76003">
        <w:t xml:space="preserve">. Relationships with embassy colleagues and understanding of the local context in </w:t>
      </w:r>
      <w:r>
        <w:t xml:space="preserve">Belize, Maldives and Sri Lanka </w:t>
      </w:r>
      <w:r w:rsidRPr="00A76003">
        <w:t>has further been strengthened by country visits</w:t>
      </w:r>
      <w:r>
        <w:t>, with further visits to a range of partner countries planned in year 2 alongside continued remote engagement.</w:t>
      </w:r>
    </w:p>
    <w:p w14:paraId="4973407B" w14:textId="77777777" w:rsidR="001D039A" w:rsidRPr="005B2D7F" w:rsidRDefault="00AC5B3D" w:rsidP="00AC5B3D">
      <w:pPr>
        <w:spacing w:before="240" w:after="0"/>
        <w:jc w:val="both"/>
      </w:pPr>
      <w:r>
        <w:t xml:space="preserve">Various factors created a degree of uncertainty during the first year of the programme, not least the impact of the Covid-19 pandemic, the one-year government Spending Review during the 21/22 UK financial year, and the difficult of remotely engaging with some partner countries, posing challenges for the programme’s management. Whilst delivery partners were generally appreciative of the collaborative approach taken by Defra and recognised the challenges associated with establishing a complex, relatively novel programme at pace, there was also a general sense that the programme </w:t>
      </w:r>
      <w:r w:rsidRPr="005B2D7F">
        <w:t xml:space="preserve">management structure had become relatively complex and resource intensive, with knock-on effects in terms of ability to make decisions at pace and sign-off delivery partner activities on the iterative basis that the demand-led model necessitated. </w:t>
      </w:r>
    </w:p>
    <w:p w14:paraId="7A052F86" w14:textId="0C758F9C" w:rsidR="00AC5B3D" w:rsidRDefault="001D039A" w:rsidP="00AC5B3D">
      <w:pPr>
        <w:spacing w:before="240" w:after="0"/>
        <w:jc w:val="both"/>
      </w:pPr>
      <w:r w:rsidRPr="00A300A7">
        <w:t xml:space="preserve">Resource constraints within the BPF team </w:t>
      </w:r>
      <w:r w:rsidR="00CA466D" w:rsidRPr="00A300A7">
        <w:t xml:space="preserve">also </w:t>
      </w:r>
      <w:r w:rsidRPr="00A300A7">
        <w:t>impacted OCPP delivery and management, result</w:t>
      </w:r>
      <w:r w:rsidR="00CA466D" w:rsidRPr="00A300A7">
        <w:t>ing</w:t>
      </w:r>
      <w:r w:rsidRPr="00A300A7">
        <w:t xml:space="preserve"> in capacity constraints</w:t>
      </w:r>
      <w:r w:rsidR="00823793" w:rsidRPr="00A300A7">
        <w:t>, especially during the first half of</w:t>
      </w:r>
      <w:r w:rsidRPr="00A300A7">
        <w:t xml:space="preserve"> the year</w:t>
      </w:r>
      <w:r w:rsidRPr="005B2D7F">
        <w:t xml:space="preserve">. </w:t>
      </w:r>
      <w:r w:rsidR="00AC5B3D" w:rsidRPr="005B2D7F">
        <w:t>Integration of FOA and GOAP into the programme should reduce the resource intensity of its management due to savings associated with not managing them as separate programmes. Further opportunities should also be sought to align the programme management structure with the approach set out in the business case as the programme matures.</w:t>
      </w:r>
    </w:p>
    <w:p w14:paraId="33FD23B0" w14:textId="77777777" w:rsidR="00AC5B3D" w:rsidRDefault="00AC5B3D" w:rsidP="00AC5B3D">
      <w:pPr>
        <w:spacing w:after="0"/>
      </w:pPr>
    </w:p>
    <w:p w14:paraId="114EE218" w14:textId="77777777" w:rsidR="00AC5B3D" w:rsidRPr="001C7A0E" w:rsidRDefault="00AC5B3D" w:rsidP="00AC5B3D">
      <w:pPr>
        <w:pStyle w:val="Heading3"/>
      </w:pPr>
      <w:bookmarkStart w:id="19" w:name="_Toc117669044"/>
      <w:r w:rsidRPr="001C7A0E">
        <w:t>Delivery partner performance</w:t>
      </w:r>
      <w:bookmarkEnd w:id="19"/>
    </w:p>
    <w:p w14:paraId="1A446D51" w14:textId="77777777" w:rsidR="00AC5B3D" w:rsidRDefault="00AC5B3D" w:rsidP="00AC5B3D">
      <w:pPr>
        <w:pStyle w:val="Heading4"/>
      </w:pPr>
      <w:r>
        <w:t>Finance and reporting</w:t>
      </w:r>
    </w:p>
    <w:p w14:paraId="4E22718D" w14:textId="77777777" w:rsidR="00AC5B3D" w:rsidRDefault="00AC5B3D" w:rsidP="00AC5B3D">
      <w:pPr>
        <w:spacing w:before="240"/>
        <w:jc w:val="both"/>
      </w:pPr>
      <w:r>
        <w:t xml:space="preserve">GOAP were strong and compliant on reporting. During Y1 FOA’s financial reporting was not aligned with our scheduled progress meetings which lead to further clarification being required. </w:t>
      </w:r>
      <w:r w:rsidRPr="00DE3A49">
        <w:t xml:space="preserve">The grant window during this reporting period was offset due to the late establishment of </w:t>
      </w:r>
      <w:r>
        <w:t xml:space="preserve">the </w:t>
      </w:r>
      <w:r w:rsidRPr="00DE3A49">
        <w:t>grant agreement</w:t>
      </w:r>
      <w:r>
        <w:t>s</w:t>
      </w:r>
      <w:r w:rsidRPr="00DE3A49">
        <w:t xml:space="preserve">, so </w:t>
      </w:r>
      <w:r>
        <w:t xml:space="preserve">in both cases activity was reported by phases rather than by quarter. FOA were able to deliver additional activities and absorb further funding, spending above the £1m initially budgeted for the </w:t>
      </w:r>
      <w:r>
        <w:lastRenderedPageBreak/>
        <w:t>21/22 UK financial year. GOAP spent the £1m allocated to them, though were able to deliver additional activities due to currency fluctuations.</w:t>
      </w:r>
    </w:p>
    <w:p w14:paraId="1A6AFFBF" w14:textId="77777777" w:rsidR="00AC5B3D" w:rsidRDefault="00AC5B3D" w:rsidP="00AC5B3D">
      <w:pPr>
        <w:spacing w:before="240"/>
        <w:jc w:val="both"/>
      </w:pPr>
      <w:r>
        <w:t xml:space="preserve">Reporting was more challenging for Cefas, JNCC and MMO due to a combination of the differing mechanism of funding (MoU, rather than a grant agreement) and the less propositional, more demand-led nature of their component of the programme making forecasting more challenging. The UK agency-led component of the programme ultimately underspent by </w:t>
      </w:r>
      <w:r w:rsidRPr="00AC5B3D">
        <w:t>around £1.4m</w:t>
      </w:r>
      <w:r w:rsidRPr="0052465E">
        <w:rPr>
          <w:color w:val="FF0000"/>
        </w:rPr>
        <w:t xml:space="preserve"> </w:t>
      </w:r>
      <w:r>
        <w:t xml:space="preserve">for the 21/22 UK financial year, with this absorbed by the wider BPF portfolio. </w:t>
      </w:r>
    </w:p>
    <w:p w14:paraId="15E20DD8" w14:textId="77777777" w:rsidR="00AC5B3D" w:rsidRDefault="00AC5B3D" w:rsidP="00AC5B3D">
      <w:pPr>
        <w:pStyle w:val="Heading4"/>
      </w:pPr>
      <w:r>
        <w:t>Communication</w:t>
      </w:r>
    </w:p>
    <w:p w14:paraId="1C39C793" w14:textId="77777777" w:rsidR="00AC5B3D" w:rsidRDefault="00AC5B3D" w:rsidP="00AC5B3D">
      <w:pPr>
        <w:spacing w:before="240"/>
        <w:jc w:val="both"/>
      </w:pPr>
      <w:r>
        <w:t>Delivery partner colleagues across the board were honest, transparent and accessible. Governance and programme management meetings were always prioritised, prepared for and approached professionally and openly. Time for discussion for certain aspects of programme management tended to be deprioritised (e.g. longer-term risk management and horizon-scanning) due to time pressures, a joint area of improvement for Defra and delivery partners.</w:t>
      </w:r>
    </w:p>
    <w:p w14:paraId="6FAA1D67" w14:textId="77777777" w:rsidR="00AC5B3D" w:rsidRPr="00C11D75" w:rsidRDefault="00AC5B3D" w:rsidP="00AC5B3D">
      <w:pPr>
        <w:spacing w:after="0"/>
        <w:jc w:val="both"/>
      </w:pPr>
      <w:r w:rsidRPr="00C11D75">
        <w:t>GOAP communicated well, answered all questions, gave detailed quarterly reports with comprehensive annexes evidencing spend. They were patient and embraced strategic steers from Defra</w:t>
      </w:r>
      <w:r>
        <w:t>.</w:t>
      </w:r>
    </w:p>
    <w:p w14:paraId="6C36F1CD" w14:textId="77777777" w:rsidR="00AC5B3D" w:rsidRDefault="00AC5B3D" w:rsidP="00AC5B3D">
      <w:pPr>
        <w:spacing w:before="240"/>
        <w:jc w:val="both"/>
      </w:pPr>
      <w:r w:rsidRPr="00E242E5">
        <w:t xml:space="preserve">FOA communicated well, were quick to respond and were able to adjust projects to reflect feedback and steers. Communication could have been improved </w:t>
      </w:r>
      <w:proofErr w:type="gramStart"/>
      <w:r w:rsidRPr="00E242E5">
        <w:t>in regard to</w:t>
      </w:r>
      <w:proofErr w:type="gramEnd"/>
      <w:r w:rsidRPr="00E242E5">
        <w:t xml:space="preserve"> future project proposals, making sure information is clear, and links to outcomes and impact. Financial risks could have been reported earlier to ensure appropriate mitigations are in place.  </w:t>
      </w:r>
    </w:p>
    <w:p w14:paraId="12E72935" w14:textId="77777777" w:rsidR="00AC5B3D" w:rsidRDefault="00AC5B3D" w:rsidP="00AC5B3D">
      <w:pPr>
        <w:pStyle w:val="Heading4"/>
      </w:pPr>
      <w:r>
        <w:t>Conduct and cooperation</w:t>
      </w:r>
    </w:p>
    <w:p w14:paraId="492480BD" w14:textId="77777777" w:rsidR="00AC5B3D" w:rsidRDefault="00AC5B3D" w:rsidP="00AC5B3D">
      <w:pPr>
        <w:spacing w:before="240"/>
        <w:jc w:val="both"/>
      </w:pPr>
      <w:r>
        <w:t>Delivery partners across the board were generally highly professional and passionate about their work. Cooperation was strong throughout, with all delivery partners prepared and willing to engage in the wider Blue Planet Fund and providing valuable input and contributions aimed at enhancing strategic alignment across the different component of the programme, increasing impact and generating efficiencies.</w:t>
      </w:r>
    </w:p>
    <w:p w14:paraId="186BAC21" w14:textId="77777777" w:rsidR="00AC5B3D" w:rsidRPr="00446BC2" w:rsidRDefault="00AC5B3D" w:rsidP="00AC5B3D">
      <w:pPr>
        <w:pStyle w:val="Heading3"/>
      </w:pPr>
      <w:bookmarkStart w:id="20" w:name="_Toc117669045"/>
      <w:r w:rsidRPr="00446BC2">
        <w:t>Joint areas for improvement</w:t>
      </w:r>
      <w:bookmarkEnd w:id="20"/>
      <w:r w:rsidRPr="00446BC2">
        <w:t xml:space="preserve">  </w:t>
      </w:r>
    </w:p>
    <w:p w14:paraId="75B71CD1" w14:textId="77777777" w:rsidR="00AC5B3D" w:rsidRPr="007A553E" w:rsidRDefault="00AC5B3D" w:rsidP="00AC5B3D">
      <w:pPr>
        <w:spacing w:before="240"/>
        <w:jc w:val="both"/>
      </w:pPr>
      <w:r>
        <w:t>Joint areas for improvement are closely associated with this annual review’s overall recommendations for the programme.</w:t>
      </w:r>
    </w:p>
    <w:p w14:paraId="0CD96BED" w14:textId="77777777" w:rsidR="00AC5B3D" w:rsidRPr="004C1B70" w:rsidRDefault="00AC5B3D" w:rsidP="00AC5B3D">
      <w:pPr>
        <w:pStyle w:val="ListParagraph"/>
        <w:numPr>
          <w:ilvl w:val="0"/>
          <w:numId w:val="31"/>
        </w:numPr>
        <w:spacing w:before="240"/>
        <w:jc w:val="both"/>
        <w:rPr>
          <w:rFonts w:eastAsiaTheme="majorEastAsia" w:cstheme="minorHAnsi"/>
        </w:rPr>
      </w:pPr>
      <w:r w:rsidRPr="004C1B70">
        <w:rPr>
          <w:rFonts w:eastAsiaTheme="majorEastAsia" w:cstheme="minorHAnsi"/>
          <w:b/>
          <w:bCs/>
        </w:rPr>
        <w:t>Increased focus on longer-term, cross-cutting aspects of the programme</w:t>
      </w:r>
      <w:r w:rsidRPr="004C1B70">
        <w:rPr>
          <w:rFonts w:eastAsiaTheme="majorEastAsia" w:cstheme="minorHAnsi"/>
        </w:rPr>
        <w:t xml:space="preserve"> during management meetings, such as risks and horizon-scanning.</w:t>
      </w:r>
    </w:p>
    <w:p w14:paraId="0C0E0917" w14:textId="77777777" w:rsidR="00AC5B3D" w:rsidRPr="00641F54" w:rsidRDefault="00AC5B3D" w:rsidP="00AC5B3D">
      <w:pPr>
        <w:pStyle w:val="ListParagraph"/>
        <w:numPr>
          <w:ilvl w:val="0"/>
          <w:numId w:val="31"/>
        </w:numPr>
        <w:spacing w:before="240"/>
        <w:jc w:val="both"/>
        <w:rPr>
          <w:rFonts w:asciiTheme="majorHAnsi" w:eastAsiaTheme="majorEastAsia" w:hAnsiTheme="majorHAnsi" w:cstheme="majorBidi"/>
          <w:color w:val="2F5496" w:themeColor="accent1" w:themeShade="BF"/>
          <w:sz w:val="26"/>
          <w:szCs w:val="26"/>
        </w:rPr>
      </w:pPr>
      <w:r w:rsidRPr="007A553E">
        <w:rPr>
          <w:b/>
          <w:bCs/>
        </w:rPr>
        <w:t>Stronger integration of the different components of the programme</w:t>
      </w:r>
      <w:r>
        <w:t>. For example, common governance and MEL structures for all delivery partners.</w:t>
      </w:r>
    </w:p>
    <w:p w14:paraId="117F6E5B" w14:textId="77777777" w:rsidR="00AC5B3D" w:rsidRPr="00CD2AF3" w:rsidRDefault="00AC5B3D" w:rsidP="00AC5B3D">
      <w:pPr>
        <w:pStyle w:val="ListParagraph"/>
        <w:numPr>
          <w:ilvl w:val="0"/>
          <w:numId w:val="31"/>
        </w:numPr>
        <w:spacing w:before="240"/>
        <w:jc w:val="both"/>
        <w:rPr>
          <w:rFonts w:asciiTheme="majorHAnsi" w:eastAsiaTheme="majorEastAsia" w:hAnsiTheme="majorHAnsi" w:cstheme="majorBidi"/>
          <w:color w:val="2F5496" w:themeColor="accent1" w:themeShade="BF"/>
          <w:sz w:val="26"/>
          <w:szCs w:val="26"/>
        </w:rPr>
      </w:pPr>
      <w:r w:rsidRPr="00641F54">
        <w:rPr>
          <w:b/>
          <w:bCs/>
        </w:rPr>
        <w:t>Increased join-up and collaboration with wider BPF programmes</w:t>
      </w:r>
      <w:r>
        <w:t xml:space="preserve"> as they come online. For example, joint country visits and alignment of country work plans.</w:t>
      </w:r>
    </w:p>
    <w:p w14:paraId="60B958F9" w14:textId="42677A68" w:rsidR="00AC5B3D" w:rsidRPr="008A7DB5" w:rsidRDefault="00AC5B3D" w:rsidP="00AC5B3D">
      <w:pPr>
        <w:pStyle w:val="ListParagraph"/>
        <w:numPr>
          <w:ilvl w:val="0"/>
          <w:numId w:val="31"/>
        </w:numPr>
        <w:spacing w:before="240"/>
        <w:jc w:val="both"/>
        <w:rPr>
          <w:rFonts w:asciiTheme="majorHAnsi" w:eastAsiaTheme="majorEastAsia" w:hAnsiTheme="majorHAnsi" w:cstheme="majorBidi"/>
          <w:color w:val="2F5496" w:themeColor="accent1" w:themeShade="BF"/>
          <w:sz w:val="26"/>
          <w:szCs w:val="26"/>
        </w:rPr>
      </w:pPr>
      <w:r>
        <w:rPr>
          <w:b/>
          <w:bCs/>
        </w:rPr>
        <w:t xml:space="preserve">Clearer funding model between Defra and UK government agencies </w:t>
      </w:r>
      <w:r w:rsidRPr="00EA62A5">
        <w:t>where payment is more closely tied to delivery of pre-agreed milestones.</w:t>
      </w:r>
    </w:p>
    <w:p w14:paraId="16CFB722" w14:textId="71D23C21" w:rsidR="003E1D1C" w:rsidRPr="009B1857" w:rsidRDefault="003E1D1C" w:rsidP="00AC5B3D">
      <w:pPr>
        <w:pStyle w:val="ListParagraph"/>
        <w:numPr>
          <w:ilvl w:val="0"/>
          <w:numId w:val="31"/>
        </w:numPr>
        <w:spacing w:before="240"/>
        <w:jc w:val="both"/>
        <w:rPr>
          <w:rFonts w:asciiTheme="majorHAnsi" w:eastAsiaTheme="majorEastAsia" w:hAnsiTheme="majorHAnsi" w:cstheme="majorBidi"/>
          <w:color w:val="2F5496" w:themeColor="accent1" w:themeShade="BF"/>
          <w:sz w:val="26"/>
          <w:szCs w:val="26"/>
        </w:rPr>
      </w:pPr>
      <w:r>
        <w:rPr>
          <w:b/>
          <w:bCs/>
        </w:rPr>
        <w:t xml:space="preserve">Shift </w:t>
      </w:r>
      <w:r w:rsidR="00544855">
        <w:rPr>
          <w:b/>
          <w:bCs/>
        </w:rPr>
        <w:t>more day-to-day management responsibilities from Defra</w:t>
      </w:r>
      <w:r>
        <w:rPr>
          <w:b/>
          <w:bCs/>
        </w:rPr>
        <w:t xml:space="preserve"> to ALBs</w:t>
      </w:r>
      <w:r w:rsidR="00544855" w:rsidRPr="00544855">
        <w:t>,</w:t>
      </w:r>
      <w:r>
        <w:rPr>
          <w:b/>
          <w:bCs/>
        </w:rPr>
        <w:t xml:space="preserve"> </w:t>
      </w:r>
      <w:r w:rsidR="008A7DB5" w:rsidRPr="008A7DB5">
        <w:t>w</w:t>
      </w:r>
      <w:r w:rsidR="00544855">
        <w:t>ith</w:t>
      </w:r>
      <w:r w:rsidR="008A7DB5" w:rsidRPr="008A7DB5">
        <w:t xml:space="preserve"> Defra OCPP team tak</w:t>
      </w:r>
      <w:r w:rsidR="00544855">
        <w:t>ing a</w:t>
      </w:r>
      <w:r w:rsidR="008A7DB5" w:rsidRPr="008A7DB5">
        <w:t xml:space="preserve"> more strategic role </w:t>
      </w:r>
      <w:r w:rsidR="00544855">
        <w:t xml:space="preserve">for example in terms of alignment with other BPF programmes and engagement with partner governments </w:t>
      </w:r>
      <w:r w:rsidR="008A7DB5">
        <w:t>(linked to recommendation 6).</w:t>
      </w:r>
    </w:p>
    <w:p w14:paraId="41971FF9" w14:textId="77777777" w:rsidR="00AC5B3D" w:rsidRPr="00641F54" w:rsidRDefault="00AC5B3D" w:rsidP="00AC5B3D">
      <w:pPr>
        <w:pStyle w:val="ListParagraph"/>
        <w:numPr>
          <w:ilvl w:val="0"/>
          <w:numId w:val="31"/>
        </w:numPr>
        <w:spacing w:before="240"/>
        <w:jc w:val="both"/>
        <w:rPr>
          <w:rFonts w:asciiTheme="majorHAnsi" w:eastAsiaTheme="majorEastAsia" w:hAnsiTheme="majorHAnsi" w:cstheme="majorBidi"/>
          <w:color w:val="2F5496" w:themeColor="accent1" w:themeShade="BF"/>
          <w:sz w:val="26"/>
          <w:szCs w:val="26"/>
        </w:rPr>
      </w:pPr>
      <w:r>
        <w:rPr>
          <w:b/>
          <w:bCs/>
        </w:rPr>
        <w:lastRenderedPageBreak/>
        <w:t>Clearer timeframes for decision-making around budgets and delivery partner activities</w:t>
      </w:r>
      <w:r w:rsidRPr="00414B34">
        <w:t>, for exampl</w:t>
      </w:r>
      <w:r>
        <w:t>e sign-off of country plans at the beginning of the financial year with subsequent changes via exception.</w:t>
      </w:r>
      <w:r>
        <w:br w:type="page"/>
      </w:r>
    </w:p>
    <w:p w14:paraId="5DB2734A" w14:textId="77777777" w:rsidR="00AC5B3D" w:rsidRPr="004573BF" w:rsidRDefault="00AC5B3D" w:rsidP="00AC5B3D">
      <w:pPr>
        <w:pStyle w:val="Heading2"/>
      </w:pPr>
      <w:bookmarkStart w:id="21" w:name="_Toc117669046"/>
      <w:r w:rsidRPr="004573BF">
        <w:lastRenderedPageBreak/>
        <w:t>E2: Value for money overview – led by economist</w:t>
      </w:r>
      <w:bookmarkEnd w:id="21"/>
    </w:p>
    <w:p w14:paraId="21FDC3F0" w14:textId="748D24C6" w:rsidR="00AC5B3D" w:rsidRDefault="00AC5B3D" w:rsidP="00FF14CD">
      <w:r w:rsidRPr="001F2021">
        <w:t>Given th</w:t>
      </w:r>
      <w:r>
        <w:t xml:space="preserve">e lifetime of OCPP is just </w:t>
      </w:r>
      <w:r w:rsidRPr="001F2021">
        <w:t>one year, it is expected that successes associated with the Year 1 investment can only be presented at the output/outcome level rather than impact level</w:t>
      </w:r>
      <w:r>
        <w:t xml:space="preserve">. In the OCPP Business Case (2021) it was assumed </w:t>
      </w:r>
      <w:r w:rsidRPr="00F8527E">
        <w:t xml:space="preserve">that </w:t>
      </w:r>
      <w:r>
        <w:t xml:space="preserve">benefits would begin to materialise between 2-5 years, and full benefits between 5-10 years (dependant on the thematic strand: Pollution, OHA or MPA). Therefore, we should only start to report on impact indicators from the mid-point to end-point of the investment lifetime (at least 5 years). </w:t>
      </w:r>
      <w:r w:rsidR="00FF14CD">
        <w:t xml:space="preserve">Analysis carried for the Business Case detailed in Annex C. </w:t>
      </w:r>
    </w:p>
    <w:p w14:paraId="1F5290CD" w14:textId="77777777" w:rsidR="00AC5B3D" w:rsidRDefault="00AC5B3D" w:rsidP="00AC5B3D">
      <w:pPr>
        <w:jc w:val="both"/>
      </w:pPr>
      <w:r>
        <w:t xml:space="preserve">Based on the evidence summarised in section B2 and section C, we are confident that the programme is on track for delivery. </w:t>
      </w:r>
    </w:p>
    <w:p w14:paraId="3D89CE4E" w14:textId="77777777" w:rsidR="00AC5B3D" w:rsidRDefault="00AC5B3D" w:rsidP="00AC5B3D">
      <w:pPr>
        <w:jc w:val="both"/>
      </w:pPr>
      <w:r>
        <w:t xml:space="preserve">The analysis included in the Business Case </w:t>
      </w:r>
      <w:r w:rsidRPr="00980CA5">
        <w:t xml:space="preserve">estimated </w:t>
      </w:r>
      <w:r>
        <w:t xml:space="preserve">that our £55m investment could result in the </w:t>
      </w:r>
      <w:r w:rsidRPr="00980CA5">
        <w:t>partial Present Value Benefits of £123m - £388m, Present Value Costs of £43m, a Net Present Value of £80m-£344m and an overall Benefit Cost Ratio of 2.9-9.0.</w:t>
      </w:r>
      <w:r>
        <w:t xml:space="preserve"> </w:t>
      </w:r>
      <w:r w:rsidRPr="008E0A19">
        <w:t>The range represents the sensitivities in the assumed value of ecosystem service benefits associated with marine plastic, the range of assumed programme effectiveness and the range of potential baseline habitat loss, in addition to adjustments for optimism bias.</w:t>
      </w:r>
    </w:p>
    <w:p w14:paraId="6ABC6B43" w14:textId="77777777" w:rsidR="00AC5B3D" w:rsidRDefault="00AC5B3D" w:rsidP="00AC5B3D">
      <w:pPr>
        <w:jc w:val="both"/>
        <w:rPr>
          <w:b/>
          <w:bCs/>
        </w:rPr>
      </w:pPr>
      <w:r w:rsidRPr="00941E35">
        <w:t xml:space="preserve">Across the piece, these benefit cost ratios will depend on effective engagement of countries, as well as using this improved capacity for the effective management of the issues in question: marine pollution, aquaculture and MPAs. These benefit cost ratios should be considered an illustrative, partial assessment of the benefits associated with the OCPP programme. </w:t>
      </w:r>
      <w:r w:rsidRPr="00FF5778">
        <w:rPr>
          <w:b/>
          <w:bCs/>
        </w:rPr>
        <w:t>Until the programme is operating and an evaluation conducted there remains substantial uncertainty with the BCR and the NPVs.</w:t>
      </w:r>
    </w:p>
    <w:p w14:paraId="596BDCE1" w14:textId="77777777" w:rsidR="00AC5B3D" w:rsidRDefault="00AC5B3D" w:rsidP="00AC5B3D">
      <w:pPr>
        <w:jc w:val="both"/>
      </w:pPr>
      <w:r>
        <w:t xml:space="preserve">In the </w:t>
      </w:r>
      <w:r w:rsidRPr="004319FA">
        <w:t>GOAP Yr2-4 Business case</w:t>
      </w:r>
      <w:r>
        <w:t xml:space="preserve"> (2022) it was found that</w:t>
      </w:r>
      <w:r w:rsidRPr="004319FA">
        <w:t xml:space="preserve"> </w:t>
      </w:r>
      <w:r>
        <w:t xml:space="preserve">through an investment of £2.4 million to </w:t>
      </w:r>
      <w:r w:rsidRPr="004319FA">
        <w:t xml:space="preserve">GOAP would lead to a partial benefit-cost ratio of 2.4 and a partial net present value of £3.2m. This £2.4m figure reflects the partial investment that will be directed towards action specific to establishing and mainstreaming ocean accounting in pilot countries, rather than wider supporting actions. It is expected that investment funds of £200k will be used for the initial establishment of ocean accounts in a pilot country, whilst £100k goes towards subsequent mainstreaming. This additional £100k, that goes towards mainstreaming ocean accounts ensures the full stream of benefits, outlined in the </w:t>
      </w:r>
      <w:r>
        <w:t xml:space="preserve">GOAP </w:t>
      </w:r>
      <w:r w:rsidRPr="004319FA">
        <w:t>T</w:t>
      </w:r>
      <w:r>
        <w:t xml:space="preserve">heory </w:t>
      </w:r>
      <w:r w:rsidRPr="004319FA">
        <w:t>o</w:t>
      </w:r>
      <w:r>
        <w:t xml:space="preserve">f </w:t>
      </w:r>
      <w:r w:rsidRPr="004319FA">
        <w:t>C</w:t>
      </w:r>
      <w:r>
        <w:t>hange</w:t>
      </w:r>
      <w:r w:rsidRPr="004319FA">
        <w:t xml:space="preserve">, are realised.  </w:t>
      </w:r>
    </w:p>
    <w:p w14:paraId="10FFBE2C" w14:textId="77777777" w:rsidR="00FF14CD" w:rsidRDefault="00AC5B3D" w:rsidP="00AC5B3D">
      <w:pPr>
        <w:jc w:val="both"/>
      </w:pPr>
      <w:r>
        <w:t xml:space="preserve">In the FOA business case it was evidenced </w:t>
      </w:r>
      <w:r w:rsidRPr="008E63E1">
        <w:t xml:space="preserve">these types of projects are likely to support VfM measured quantitatively: detailed analysis by the </w:t>
      </w:r>
      <w:proofErr w:type="gramStart"/>
      <w:r w:rsidRPr="008E63E1">
        <w:t>High Level</w:t>
      </w:r>
      <w:proofErr w:type="gramEnd"/>
      <w:r w:rsidRPr="008E63E1">
        <w:t xml:space="preserve"> Panel of the evidence for conservation of mangroves, decarbonisation of shipping, ocean food production and offshore renewable energy rollout all have shown significant BCRs of between 3:1 and 12:1</w:t>
      </w:r>
      <w:r>
        <w:t>.</w:t>
      </w:r>
    </w:p>
    <w:p w14:paraId="3B432BC9" w14:textId="77777777" w:rsidR="00FF14CD" w:rsidRPr="00FF14CD" w:rsidRDefault="00FF14CD" w:rsidP="00FF14CD"/>
    <w:p w14:paraId="0DCDC7D5" w14:textId="77777777" w:rsidR="00FF14CD" w:rsidRDefault="00FF14CD" w:rsidP="00FF14CD"/>
    <w:p w14:paraId="5595B54C" w14:textId="77777777" w:rsidR="00FF14CD" w:rsidRDefault="00FF14CD" w:rsidP="00FF14CD"/>
    <w:p w14:paraId="1A058107" w14:textId="5D9C7086" w:rsidR="00FF14CD" w:rsidRPr="00FF14CD" w:rsidRDefault="00FF14CD" w:rsidP="00FF14CD">
      <w:pPr>
        <w:sectPr w:rsidR="00FF14CD" w:rsidRPr="00FF14CD">
          <w:headerReference w:type="default" r:id="rId14"/>
          <w:footerReference w:type="default" r:id="rId15"/>
          <w:pgSz w:w="11906" w:h="16838"/>
          <w:pgMar w:top="1440" w:right="1440" w:bottom="1440" w:left="1440" w:header="708" w:footer="708" w:gutter="0"/>
          <w:cols w:space="708"/>
          <w:docGrid w:linePitch="360"/>
        </w:sectPr>
      </w:pPr>
    </w:p>
    <w:p w14:paraId="6033A27D" w14:textId="198C487C" w:rsidR="00AC5B3D" w:rsidRDefault="007C62BC" w:rsidP="00AC5B3D">
      <w:pPr>
        <w:pStyle w:val="Heading1"/>
      </w:pPr>
      <w:bookmarkStart w:id="22" w:name="_Toc117669047"/>
      <w:r>
        <w:rPr>
          <w:noProof/>
        </w:rPr>
        <w:lastRenderedPageBreak/>
        <mc:AlternateContent>
          <mc:Choice Requires="wpg">
            <w:drawing>
              <wp:anchor distT="0" distB="0" distL="114300" distR="114300" simplePos="0" relativeHeight="251658241" behindDoc="0" locked="0" layoutInCell="1" allowOverlap="1" wp14:anchorId="39C58AEB" wp14:editId="458EFCFD">
                <wp:simplePos x="0" y="0"/>
                <wp:positionH relativeFrom="margin">
                  <wp:posOffset>-669925</wp:posOffset>
                </wp:positionH>
                <wp:positionV relativeFrom="paragraph">
                  <wp:posOffset>332740</wp:posOffset>
                </wp:positionV>
                <wp:extent cx="10224770" cy="5688330"/>
                <wp:effectExtent l="19050" t="0" r="2413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4770" cy="5688330"/>
                          <a:chOff x="0" y="-29506"/>
                          <a:chExt cx="12004314" cy="6829527"/>
                        </a:xfrm>
                      </wpg:grpSpPr>
                      <wps:wsp>
                        <wps:cNvPr id="3" name="Rectangle 3"/>
                        <wps:cNvSpPr/>
                        <wps:spPr>
                          <a:xfrm>
                            <a:off x="14514" y="1118506"/>
                            <a:ext cx="5246273" cy="44351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010DC1" w14:textId="77777777" w:rsidR="00AC5B3D" w:rsidRPr="002A6F39" w:rsidRDefault="00AC5B3D" w:rsidP="00AC5B3D">
                              <w:pPr>
                                <w:spacing w:after="0"/>
                                <w:rPr>
                                  <w:rFonts w:hAnsi="Calibri"/>
                                  <w:b/>
                                  <w:bCs/>
                                  <w:color w:val="000000" w:themeColor="text1"/>
                                  <w:kern w:val="24"/>
                                  <w:sz w:val="18"/>
                                  <w:szCs w:val="18"/>
                                </w:rPr>
                              </w:pPr>
                              <w:r w:rsidRPr="002A6F39">
                                <w:rPr>
                                  <w:rFonts w:hAnsi="Calibri"/>
                                  <w:b/>
                                  <w:bCs/>
                                  <w:color w:val="000000" w:themeColor="text1"/>
                                  <w:kern w:val="24"/>
                                  <w:sz w:val="18"/>
                                  <w:szCs w:val="18"/>
                                </w:rPr>
                                <w:t>Activity and output summary</w:t>
                              </w:r>
                            </w:p>
                            <w:p w14:paraId="0C797BE2"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Utilising UK scientific/ technical and policy expertise, combined with the wider Blue Planet Fund portfolio, OCPP will work with partner country priorities and initiatives to deliver capacity building, covering:</w:t>
                              </w:r>
                            </w:p>
                            <w:p w14:paraId="2B924D9E" w14:textId="77777777" w:rsidR="00AC5B3D" w:rsidRDefault="00AC5B3D" w:rsidP="00AC5B3D">
                              <w:pPr>
                                <w:spacing w:after="0"/>
                                <w:rPr>
                                  <w:rFonts w:hAnsi="Calibri"/>
                                  <w:b/>
                                  <w:bCs/>
                                  <w:color w:val="000000" w:themeColor="text1"/>
                                  <w:kern w:val="24"/>
                                  <w:sz w:val="18"/>
                                  <w:szCs w:val="18"/>
                                </w:rPr>
                              </w:pPr>
                            </w:p>
                            <w:p w14:paraId="26B868F0" w14:textId="77777777" w:rsidR="00AC5B3D" w:rsidRPr="002A6F39" w:rsidRDefault="00AC5B3D" w:rsidP="00AC5B3D">
                              <w:pPr>
                                <w:spacing w:after="0"/>
                                <w:rPr>
                                  <w:rFonts w:hAnsi="Calibri"/>
                                  <w:b/>
                                  <w:bCs/>
                                  <w:color w:val="000000" w:themeColor="text1"/>
                                  <w:kern w:val="24"/>
                                  <w:sz w:val="18"/>
                                  <w:szCs w:val="18"/>
                                </w:rPr>
                              </w:pPr>
                              <w:r w:rsidRPr="002A6F39">
                                <w:rPr>
                                  <w:rFonts w:hAnsi="Calibri"/>
                                  <w:b/>
                                  <w:bCs/>
                                  <w:color w:val="000000" w:themeColor="text1"/>
                                  <w:kern w:val="24"/>
                                  <w:sz w:val="18"/>
                                  <w:szCs w:val="18"/>
                                </w:rPr>
                                <w:t>Increased scientific/ technical assistance</w:t>
                              </w:r>
                            </w:p>
                            <w:p w14:paraId="0B9E7E0E"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1. Training in marine and fisheries science, management and monitoring</w:t>
                              </w:r>
                            </w:p>
                            <w:p w14:paraId="5A56A1C5"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2. Providing access to and training in use of scientific equipment, infrastructure and data</w:t>
                              </w:r>
                            </w:p>
                            <w:p w14:paraId="4888F5BB"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3. Emergency technical assistance to support marine disaster response, and strengthening long-term disaster preparedness</w:t>
                              </w:r>
                            </w:p>
                            <w:p w14:paraId="4947E7BE" w14:textId="77777777" w:rsidR="00AC5B3D" w:rsidRPr="002A6F39" w:rsidRDefault="00AC5B3D" w:rsidP="00AC5B3D">
                              <w:pPr>
                                <w:spacing w:after="0"/>
                                <w:rPr>
                                  <w:rFonts w:hAnsi="Calibri"/>
                                  <w:b/>
                                  <w:bCs/>
                                  <w:color w:val="000000" w:themeColor="text1"/>
                                  <w:kern w:val="24"/>
                                  <w:sz w:val="18"/>
                                  <w:szCs w:val="18"/>
                                </w:rPr>
                              </w:pPr>
                              <w:r w:rsidRPr="002A6F39">
                                <w:rPr>
                                  <w:rFonts w:hAnsi="Calibri"/>
                                  <w:b/>
                                  <w:bCs/>
                                  <w:color w:val="000000" w:themeColor="text1"/>
                                  <w:kern w:val="24"/>
                                  <w:sz w:val="18"/>
                                  <w:szCs w:val="18"/>
                                </w:rPr>
                                <w:t>Improved regulation/ governance</w:t>
                              </w:r>
                            </w:p>
                            <w:p w14:paraId="66923192"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4. Supporting adoption of natural capital accounting for the marine environment </w:t>
                              </w:r>
                            </w:p>
                            <w:p w14:paraId="1184AE2B"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5. Strengthening marine management, monitoring and enforcement capacities</w:t>
                              </w:r>
                            </w:p>
                            <w:p w14:paraId="2A1A7254"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6. Strengthening regulatory frameworks, policies and plans for the marine environment</w:t>
                              </w:r>
                            </w:p>
                            <w:p w14:paraId="53A0B7A9"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7. Supporting inclusive and sustainable marine governance</w:t>
                              </w:r>
                            </w:p>
                            <w:p w14:paraId="57B2C29B"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8. Supporting marine spatial planning to strengthen integrated management</w:t>
                              </w:r>
                            </w:p>
                            <w:p w14:paraId="7FE0A9F1" w14:textId="77777777" w:rsidR="00AC5B3D" w:rsidRPr="002A6F39" w:rsidRDefault="00AC5B3D" w:rsidP="00AC5B3D">
                              <w:pPr>
                                <w:spacing w:after="0"/>
                                <w:rPr>
                                  <w:rFonts w:hAnsi="Calibri"/>
                                  <w:b/>
                                  <w:bCs/>
                                  <w:color w:val="000000" w:themeColor="text1"/>
                                  <w:kern w:val="24"/>
                                  <w:sz w:val="18"/>
                                  <w:szCs w:val="18"/>
                                </w:rPr>
                              </w:pPr>
                              <w:r w:rsidRPr="002A6F39">
                                <w:rPr>
                                  <w:rFonts w:hAnsi="Calibri"/>
                                  <w:b/>
                                  <w:bCs/>
                                  <w:color w:val="000000" w:themeColor="text1"/>
                                  <w:kern w:val="24"/>
                                  <w:sz w:val="18"/>
                                  <w:szCs w:val="18"/>
                                </w:rPr>
                                <w:t>Education &amp; knowledge exchange (governments, agencies, communities, private sector)</w:t>
                              </w:r>
                            </w:p>
                            <w:p w14:paraId="68E4897F"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9. Strategic environmental assessments, needs assessments, and scoping of requirements for support </w:t>
                              </w:r>
                            </w:p>
                            <w:p w14:paraId="227BAC39"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10. Networks and collaboration between partner countries and sectors to facilitate knowledge sharing, collaboration and innovation</w:t>
                              </w:r>
                            </w:p>
                            <w:p w14:paraId="7D8ACD70" w14:textId="77777777" w:rsidR="00AC5B3D" w:rsidRPr="00325BC1" w:rsidRDefault="00AC5B3D" w:rsidP="00AC5B3D">
                              <w:pPr>
                                <w:spacing w:after="0"/>
                                <w:rPr>
                                  <w:rFonts w:hAnsi="Calibri"/>
                                  <w:color w:val="000000" w:themeColor="text1"/>
                                  <w:kern w:val="24"/>
                                  <w:sz w:val="18"/>
                                  <w:szCs w:val="18"/>
                                </w:rPr>
                              </w:pPr>
                              <w:r w:rsidRPr="00325BC1">
                                <w:rPr>
                                  <w:rFonts w:hAnsi="Calibri"/>
                                  <w:color w:val="000000" w:themeColor="text1"/>
                                  <w:kern w:val="24"/>
                                  <w:sz w:val="18"/>
                                  <w:szCs w:val="18"/>
                                </w:rPr>
                                <w:t>11. Improving seafood value chains and market access (including OHA approach)</w:t>
                              </w:r>
                            </w:p>
                          </w:txbxContent>
                        </wps:txbx>
                        <wps:bodyPr lIns="91440" tIns="45720" rIns="91440" bIns="45720" rtlCol="0" anchor="t"/>
                      </wps:wsp>
                      <wps:wsp>
                        <wps:cNvPr id="4" name="TextBox 6"/>
                        <wps:cNvSpPr txBox="1"/>
                        <wps:spPr>
                          <a:xfrm>
                            <a:off x="8679835" y="1118505"/>
                            <a:ext cx="3322195" cy="44351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F6BCC0"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Outcomes</w:t>
                              </w:r>
                            </w:p>
                            <w:p w14:paraId="23B3FA80"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Marine pollution</w:t>
                              </w:r>
                            </w:p>
                            <w:p w14:paraId="4A9DD7CB"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Stronger waste management systems and reduced solid waste and other forms of pollution entering the marine environment through move towards circular economy</w:t>
                              </w:r>
                            </w:p>
                            <w:p w14:paraId="246C51AD"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IUU</w:t>
                              </w:r>
                            </w:p>
                            <w:p w14:paraId="6A8625E6"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IUU fishing activities are more effectively monitored, deterred and eliminated in partner countries, helping to minimise international enablers of IUU fishing</w:t>
                              </w:r>
                            </w:p>
                            <w:p w14:paraId="3768D068"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Large scale fisheries</w:t>
                              </w:r>
                            </w:p>
                            <w:p w14:paraId="4B0FF62E"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Stronger management of regional and national fisheries and aquaculture to deliver sustainable fish stocks and healthy marine ecosystems; provide alternative livelihood; and reduce overfishing</w:t>
                              </w:r>
                            </w:p>
                            <w:p w14:paraId="3E6418BB"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MPAs</w:t>
                              </w:r>
                            </w:p>
                            <w:p w14:paraId="2115857E"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Countries are more willing and able to establish and manage marine protected areas and other effective conservation measures within national waters. They implement them sustainably, effectively and inclusively, also considering transboundary activities</w:t>
                              </w:r>
                            </w:p>
                          </w:txbxContent>
                        </wps:txbx>
                        <wps:bodyPr lIns="36000" tIns="36000" rIns="36000" bIns="36000" rtlCol="0" anchor="ctr"/>
                      </wps:wsp>
                      <wps:wsp>
                        <wps:cNvPr id="5" name="Rectangle: Rounded Corners 5"/>
                        <wps:cNvSpPr/>
                        <wps:spPr>
                          <a:xfrm>
                            <a:off x="2284" y="-29506"/>
                            <a:ext cx="12002030" cy="560583"/>
                          </a:xfrm>
                          <a:prstGeom prst="roundRect">
                            <a:avLst>
                              <a:gd name="adj" fmla="val 150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72F803" w14:textId="77777777" w:rsidR="00AC5B3D" w:rsidRDefault="00AC5B3D" w:rsidP="00AC5B3D">
                              <w:pPr>
                                <w:spacing w:before="120" w:after="120" w:line="264" w:lineRule="auto"/>
                                <w:jc w:val="center"/>
                                <w:rPr>
                                  <w:rFonts w:eastAsia="Calibri" w:hAnsi="Calibri" w:cs="Arial"/>
                                  <w:b/>
                                  <w:bCs/>
                                  <w:color w:val="000000" w:themeColor="text1"/>
                                  <w:kern w:val="24"/>
                                  <w:sz w:val="28"/>
                                  <w:szCs w:val="28"/>
                                </w:rPr>
                              </w:pPr>
                              <w:r w:rsidRPr="006C2203">
                                <w:rPr>
                                  <w:rFonts w:eastAsia="Calibri" w:hAnsi="Calibri" w:cs="Arial"/>
                                  <w:b/>
                                  <w:bCs/>
                                  <w:color w:val="000000" w:themeColor="text1"/>
                                  <w:kern w:val="24"/>
                                  <w:sz w:val="18"/>
                                  <w:szCs w:val="18"/>
                                </w:rPr>
                                <w:t>Ocean Country Partnership Programme: a £</w:t>
                              </w:r>
                              <w:r>
                                <w:rPr>
                                  <w:rFonts w:eastAsia="Calibri" w:hAnsi="Calibri" w:cs="Arial"/>
                                  <w:b/>
                                  <w:bCs/>
                                  <w:color w:val="000000" w:themeColor="text1"/>
                                  <w:kern w:val="24"/>
                                  <w:sz w:val="18"/>
                                  <w:szCs w:val="18"/>
                                </w:rPr>
                                <w:t>6</w:t>
                              </w:r>
                              <w:r w:rsidRPr="006C2203">
                                <w:rPr>
                                  <w:rFonts w:eastAsia="Calibri" w:hAnsi="Calibri" w:cs="Arial"/>
                                  <w:b/>
                                  <w:bCs/>
                                  <w:color w:val="000000" w:themeColor="text1"/>
                                  <w:kern w:val="24"/>
                                  <w:sz w:val="18"/>
                                  <w:szCs w:val="18"/>
                                </w:rPr>
                                <w:t>5m, five-year bilateral overseas development assistance programme helping partner countries effectively manage human activities that impact the marine environment and ensuring that all their citizens can benefit from its long term sustainable use.</w:t>
                              </w:r>
                            </w:p>
                          </w:txbxContent>
                        </wps:txbx>
                        <wps:bodyPr lIns="91440" tIns="45720" rIns="91440" bIns="45720" rtlCol="0" anchor="ctr"/>
                      </wps:wsp>
                      <wps:wsp>
                        <wps:cNvPr id="6" name="Rectangle 6"/>
                        <wps:cNvSpPr/>
                        <wps:spPr>
                          <a:xfrm>
                            <a:off x="5379185" y="1118505"/>
                            <a:ext cx="3164114" cy="44351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789B4F" w14:textId="77777777" w:rsidR="00AC5B3D" w:rsidRPr="00A10C61" w:rsidRDefault="00AC5B3D" w:rsidP="00AC5B3D">
                              <w:pPr>
                                <w:spacing w:after="0"/>
                                <w:rPr>
                                  <w:rFonts w:hAnsi="Calibri"/>
                                  <w:b/>
                                  <w:bCs/>
                                  <w:color w:val="000000" w:themeColor="text1"/>
                                  <w:kern w:val="24"/>
                                  <w:sz w:val="17"/>
                                  <w:szCs w:val="17"/>
                                </w:rPr>
                              </w:pPr>
                              <w:r w:rsidRPr="00A10C61">
                                <w:rPr>
                                  <w:rFonts w:hAnsi="Calibri"/>
                                  <w:b/>
                                  <w:bCs/>
                                  <w:color w:val="000000" w:themeColor="text1"/>
                                  <w:kern w:val="24"/>
                                  <w:sz w:val="17"/>
                                  <w:szCs w:val="17"/>
                                </w:rPr>
                                <w:t>Intermediate outcomes</w:t>
                              </w:r>
                            </w:p>
                            <w:p w14:paraId="46EB1A23"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Improved policies, plans, and management of human activities in the marine environment at national, sub-national and community levels</w:t>
                              </w:r>
                            </w:p>
                            <w:p w14:paraId="4456950B"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Improved regulation and protection of the marine environment, including through MPAs</w:t>
                              </w:r>
                            </w:p>
                            <w:p w14:paraId="48A0A927"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Marine ecosystem services more effectively valued, protected and enhanced, including through marine natural capital accounting</w:t>
                              </w:r>
                            </w:p>
                            <w:p w14:paraId="5686150F"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Increased capability and capacity to control and enforce marine policies, including combatting IUU fishing</w:t>
                              </w:r>
                            </w:p>
                            <w:p w14:paraId="70E2BCC2"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Improved monitoring data and knowledge of the marine environment</w:t>
                              </w:r>
                            </w:p>
                            <w:p w14:paraId="45705649"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Stakeholders – particularly local communities – are empowered to actively participate in sustainable management of the marine environment</w:t>
                              </w:r>
                            </w:p>
                            <w:p w14:paraId="01AB1972"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Increased national capability and capacity to respond to marine environmental emergencies</w:t>
                              </w:r>
                            </w:p>
                            <w:p w14:paraId="1BFBE59C" w14:textId="77777777" w:rsidR="00AC5B3D" w:rsidRPr="00A10C61" w:rsidRDefault="00AC5B3D" w:rsidP="00AC5B3D">
                              <w:pPr>
                                <w:pStyle w:val="ListParagraph"/>
                                <w:numPr>
                                  <w:ilvl w:val="0"/>
                                  <w:numId w:val="32"/>
                                </w:numPr>
                                <w:spacing w:after="0" w:line="240" w:lineRule="auto"/>
                                <w:rPr>
                                  <w:rFonts w:hAnsi="Calibri" w:cs="Calibri"/>
                                  <w:color w:val="000000" w:themeColor="text1"/>
                                  <w:kern w:val="24"/>
                                  <w:sz w:val="17"/>
                                  <w:szCs w:val="17"/>
                                </w:rPr>
                              </w:pPr>
                              <w:r w:rsidRPr="00A10C61">
                                <w:rPr>
                                  <w:rFonts w:hAnsi="Calibri" w:cs="Calibri"/>
                                  <w:color w:val="000000" w:themeColor="text1"/>
                                  <w:kern w:val="24"/>
                                  <w:sz w:val="17"/>
                                  <w:szCs w:val="17"/>
                                </w:rPr>
                                <w:t>Management of human activities in the marine environment is better integrated across sectors and government departments</w:t>
                              </w:r>
                            </w:p>
                          </w:txbxContent>
                        </wps:txbx>
                        <wps:bodyPr lIns="91440" tIns="45720" rIns="91440" bIns="45720" rtlCol="0" anchor="ctr"/>
                      </wps:wsp>
                      <wps:wsp>
                        <wps:cNvPr id="7" name="TextBox 11"/>
                        <wps:cNvSpPr txBox="1"/>
                        <wps:spPr>
                          <a:xfrm>
                            <a:off x="1" y="5617029"/>
                            <a:ext cx="12002030" cy="11829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D7CAA2" w14:textId="77777777" w:rsidR="00AC5B3D" w:rsidRPr="005E0195" w:rsidRDefault="00AC5B3D" w:rsidP="00AC5B3D">
                              <w:pPr>
                                <w:spacing w:after="0"/>
                                <w:rPr>
                                  <w:rFonts w:hAnsi="Calibri"/>
                                  <w:color w:val="000000" w:themeColor="text1"/>
                                  <w:kern w:val="24"/>
                                  <w:sz w:val="16"/>
                                  <w:szCs w:val="16"/>
                                </w:rPr>
                              </w:pPr>
                              <w:r w:rsidRPr="005E0195">
                                <w:rPr>
                                  <w:rFonts w:hAnsi="Calibri"/>
                                  <w:color w:val="000000" w:themeColor="text1"/>
                                  <w:kern w:val="24"/>
                                  <w:sz w:val="16"/>
                                  <w:szCs w:val="16"/>
                                </w:rPr>
                                <w:t>Context/ Challenges</w:t>
                              </w:r>
                            </w:p>
                            <w:p w14:paraId="11856E3D"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Increasing threats to coastal states from unsustainable use of their marine environment, climate impacts and environmental hazards</w:t>
                              </w:r>
                            </w:p>
                            <w:p w14:paraId="46E2D547"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Limited capacity of many governments in low-to-middle income countries to monitor and regulate human activities in the marine environment</w:t>
                              </w:r>
                            </w:p>
                            <w:p w14:paraId="071CEAB3"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Full value of marine ecosystems often not accounted for in national or local decision making</w:t>
                              </w:r>
                            </w:p>
                            <w:p w14:paraId="7B6489B3"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Decision making over marine resource use is often inequitable and does not include all stakeholders</w:t>
                              </w:r>
                            </w:p>
                            <w:p w14:paraId="5B038C77"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Public and private investment into sustainable management of the ocean is insufficient and sometimes poorly targeted</w:t>
                              </w:r>
                            </w:p>
                            <w:p w14:paraId="32309590"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 xml:space="preserve">Limited knowledge sharing between different groups about the ocean and how best to govern it (e.g., local knowledge missing from donor understanding; marine science not shared at local levels) </w:t>
                              </w:r>
                            </w:p>
                          </w:txbxContent>
                        </wps:txbx>
                        <wps:bodyPr lIns="36000" tIns="36000" rIns="36000" bIns="36000" numCol="2" rtlCol="0" anchor="ctr"/>
                      </wps:wsp>
                      <wpg:graphicFrame>
                        <wpg:cNvPr id="8" name="Diagram 8"/>
                        <wpg:cNvFrPr/>
                        <wpg:xfrm>
                          <a:off x="0" y="591981"/>
                          <a:ext cx="12002030" cy="463166"/>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g:wgp>
                  </a:graphicData>
                </a:graphic>
                <wp14:sizeRelH relativeFrom="margin">
                  <wp14:pctWidth>0</wp14:pctWidth>
                </wp14:sizeRelH>
                <wp14:sizeRelV relativeFrom="margin">
                  <wp14:pctHeight>0</wp14:pctHeight>
                </wp14:sizeRelV>
              </wp:anchor>
            </w:drawing>
          </mc:Choice>
          <mc:Fallback>
            <w:pict>
              <v:group w14:anchorId="39C58AEB" id="Group 1" o:spid="_x0000_s1026" style="position:absolute;margin-left:-52.75pt;margin-top:26.2pt;width:805.1pt;height:447.9pt;z-index:251658241;mso-position-horizontal-relative:margin;mso-width-relative:margin;mso-height-relative:margin" coordorigin=",-295" coordsize="120043,6829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A8CiPBEEAADfQQAAGAAAAGRycy9k&#10;aWFncmFtcy9jb2xvcnMx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">
                <v:rect id="Rectangle 3" o:spid="_x0000_s1027" style="position:absolute;left:145;top:11185;width:52462;height:4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" filled="f" strokecolor="#1f3763 [1604]" strokeweight="1pt">
                  <v:textbox>
                    <w:txbxContent>
                      <w:p w14:paraId="5D010DC1" w14:textId="77777777" w:rsidR="00AC5B3D" w:rsidRPr="002A6F39" w:rsidRDefault="00AC5B3D" w:rsidP="00AC5B3D">
                        <w:pPr>
                          <w:spacing w:after="0"/>
                          <w:rPr>
                            <w:rFonts w:hAnsi="Calibri"/>
                            <w:b/>
                            <w:bCs/>
                            <w:color w:val="000000" w:themeColor="text1"/>
                            <w:kern w:val="24"/>
                            <w:sz w:val="18"/>
                            <w:szCs w:val="18"/>
                          </w:rPr>
                        </w:pPr>
                        <w:r w:rsidRPr="002A6F39">
                          <w:rPr>
                            <w:rFonts w:hAnsi="Calibri"/>
                            <w:b/>
                            <w:bCs/>
                            <w:color w:val="000000" w:themeColor="text1"/>
                            <w:kern w:val="24"/>
                            <w:sz w:val="18"/>
                            <w:szCs w:val="18"/>
                          </w:rPr>
                          <w:t>Activity and output summary</w:t>
                        </w:r>
                      </w:p>
                      <w:p w14:paraId="0C797BE2"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Utilising UK scientific/ technical and policy expertise, combined with the wider Blue Planet Fund portfolio, OCPP will work with partner country priorities and initiatives to deliver capacity building, covering:</w:t>
                        </w:r>
                      </w:p>
                      <w:p w14:paraId="2B924D9E" w14:textId="77777777" w:rsidR="00AC5B3D" w:rsidRDefault="00AC5B3D" w:rsidP="00AC5B3D">
                        <w:pPr>
                          <w:spacing w:after="0"/>
                          <w:rPr>
                            <w:rFonts w:hAnsi="Calibri"/>
                            <w:b/>
                            <w:bCs/>
                            <w:color w:val="000000" w:themeColor="text1"/>
                            <w:kern w:val="24"/>
                            <w:sz w:val="18"/>
                            <w:szCs w:val="18"/>
                          </w:rPr>
                        </w:pPr>
                      </w:p>
                      <w:p w14:paraId="26B868F0" w14:textId="77777777" w:rsidR="00AC5B3D" w:rsidRPr="002A6F39" w:rsidRDefault="00AC5B3D" w:rsidP="00AC5B3D">
                        <w:pPr>
                          <w:spacing w:after="0"/>
                          <w:rPr>
                            <w:rFonts w:hAnsi="Calibri"/>
                            <w:b/>
                            <w:bCs/>
                            <w:color w:val="000000" w:themeColor="text1"/>
                            <w:kern w:val="24"/>
                            <w:sz w:val="18"/>
                            <w:szCs w:val="18"/>
                          </w:rPr>
                        </w:pPr>
                        <w:r w:rsidRPr="002A6F39">
                          <w:rPr>
                            <w:rFonts w:hAnsi="Calibri"/>
                            <w:b/>
                            <w:bCs/>
                            <w:color w:val="000000" w:themeColor="text1"/>
                            <w:kern w:val="24"/>
                            <w:sz w:val="18"/>
                            <w:szCs w:val="18"/>
                          </w:rPr>
                          <w:t>Increased scientific/ technical assistance</w:t>
                        </w:r>
                      </w:p>
                      <w:p w14:paraId="0B9E7E0E"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1. Training in marine and fisheries science, management and monitoring</w:t>
                        </w:r>
                      </w:p>
                      <w:p w14:paraId="5A56A1C5"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2. Providing access to and training in use of scientific equipment, infrastructure and data</w:t>
                        </w:r>
                      </w:p>
                      <w:p w14:paraId="4888F5BB"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3. Emergency technical assistance to support marine disaster response, and strengthening long-term disaster preparedness</w:t>
                        </w:r>
                      </w:p>
                      <w:p w14:paraId="4947E7BE" w14:textId="77777777" w:rsidR="00AC5B3D" w:rsidRPr="002A6F39" w:rsidRDefault="00AC5B3D" w:rsidP="00AC5B3D">
                        <w:pPr>
                          <w:spacing w:after="0"/>
                          <w:rPr>
                            <w:rFonts w:hAnsi="Calibri"/>
                            <w:b/>
                            <w:bCs/>
                            <w:color w:val="000000" w:themeColor="text1"/>
                            <w:kern w:val="24"/>
                            <w:sz w:val="18"/>
                            <w:szCs w:val="18"/>
                          </w:rPr>
                        </w:pPr>
                        <w:r w:rsidRPr="002A6F39">
                          <w:rPr>
                            <w:rFonts w:hAnsi="Calibri"/>
                            <w:b/>
                            <w:bCs/>
                            <w:color w:val="000000" w:themeColor="text1"/>
                            <w:kern w:val="24"/>
                            <w:sz w:val="18"/>
                            <w:szCs w:val="18"/>
                          </w:rPr>
                          <w:t>Improved regulation/ governance</w:t>
                        </w:r>
                      </w:p>
                      <w:p w14:paraId="66923192"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4. Supporting adoption of natural capital accounting for the marine environment </w:t>
                        </w:r>
                      </w:p>
                      <w:p w14:paraId="1184AE2B"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5. Strengthening marine management, monitoring and enforcement capacities</w:t>
                        </w:r>
                      </w:p>
                      <w:p w14:paraId="2A1A7254"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6. Strengthening regulatory frameworks, policies and plans for the marine environment</w:t>
                        </w:r>
                      </w:p>
                      <w:p w14:paraId="53A0B7A9"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7. Supporting inclusive and sustainable marine governance</w:t>
                        </w:r>
                      </w:p>
                      <w:p w14:paraId="57B2C29B"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8. Supporting marine spatial planning to strengthen integrated management</w:t>
                        </w:r>
                      </w:p>
                      <w:p w14:paraId="7FE0A9F1" w14:textId="77777777" w:rsidR="00AC5B3D" w:rsidRPr="002A6F39" w:rsidRDefault="00AC5B3D" w:rsidP="00AC5B3D">
                        <w:pPr>
                          <w:spacing w:after="0"/>
                          <w:rPr>
                            <w:rFonts w:hAnsi="Calibri"/>
                            <w:b/>
                            <w:bCs/>
                            <w:color w:val="000000" w:themeColor="text1"/>
                            <w:kern w:val="24"/>
                            <w:sz w:val="18"/>
                            <w:szCs w:val="18"/>
                          </w:rPr>
                        </w:pPr>
                        <w:r w:rsidRPr="002A6F39">
                          <w:rPr>
                            <w:rFonts w:hAnsi="Calibri"/>
                            <w:b/>
                            <w:bCs/>
                            <w:color w:val="000000" w:themeColor="text1"/>
                            <w:kern w:val="24"/>
                            <w:sz w:val="18"/>
                            <w:szCs w:val="18"/>
                          </w:rPr>
                          <w:t>Education &amp; knowledge exchange (governments, agencies, communities, private sector)</w:t>
                        </w:r>
                      </w:p>
                      <w:p w14:paraId="68E4897F"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9. Strategic environmental assessments, needs assessments, and scoping of requirements for support </w:t>
                        </w:r>
                      </w:p>
                      <w:p w14:paraId="227BAC39" w14:textId="77777777" w:rsidR="00AC5B3D" w:rsidRPr="002A6F39" w:rsidRDefault="00AC5B3D" w:rsidP="00AC5B3D">
                        <w:pPr>
                          <w:spacing w:after="0"/>
                          <w:rPr>
                            <w:rFonts w:hAnsi="Calibri"/>
                            <w:color w:val="000000" w:themeColor="text1"/>
                            <w:kern w:val="24"/>
                            <w:sz w:val="18"/>
                            <w:szCs w:val="18"/>
                          </w:rPr>
                        </w:pPr>
                        <w:r w:rsidRPr="002A6F39">
                          <w:rPr>
                            <w:rFonts w:hAnsi="Calibri"/>
                            <w:color w:val="000000" w:themeColor="text1"/>
                            <w:kern w:val="24"/>
                            <w:sz w:val="18"/>
                            <w:szCs w:val="18"/>
                          </w:rPr>
                          <w:t>10. Networks and collaboration between partner countries and sectors to facilitate knowledge sharing, collaboration and innovation</w:t>
                        </w:r>
                      </w:p>
                      <w:p w14:paraId="7D8ACD70" w14:textId="77777777" w:rsidR="00AC5B3D" w:rsidRPr="00325BC1" w:rsidRDefault="00AC5B3D" w:rsidP="00AC5B3D">
                        <w:pPr>
                          <w:spacing w:after="0"/>
                          <w:rPr>
                            <w:rFonts w:hAnsi="Calibri"/>
                            <w:color w:val="000000" w:themeColor="text1"/>
                            <w:kern w:val="24"/>
                            <w:sz w:val="18"/>
                            <w:szCs w:val="18"/>
                          </w:rPr>
                        </w:pPr>
                        <w:r w:rsidRPr="00325BC1">
                          <w:rPr>
                            <w:rFonts w:hAnsi="Calibri"/>
                            <w:color w:val="000000" w:themeColor="text1"/>
                            <w:kern w:val="24"/>
                            <w:sz w:val="18"/>
                            <w:szCs w:val="18"/>
                          </w:rPr>
                          <w:t>11. Improving seafood value chains and market access (including OHA approach)</w:t>
                        </w:r>
                      </w:p>
                    </w:txbxContent>
                  </v:textbox>
                </v:rect>
                <v:shapetype id="_x0000_t202" coordsize="21600,21600" o:spt="202" path="m,l,21600r21600,l21600,xe">
                  <v:stroke joinstyle="miter"/>
                  <v:path gradientshapeok="t" o:connecttype="rect"/>
                </v:shapetype>
                <v:shape id="TextBox 6" o:spid="_x0000_s1028" type="#_x0000_t202" style="position:absolute;left:86798;top:11185;width:33222;height:4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" filled="f" strokecolor="#1f3763 [1604]" strokeweight="1pt">
                  <v:textbox inset="1mm,1mm,1mm,1mm">
                    <w:txbxContent>
                      <w:p w14:paraId="5BF6BCC0"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Outcomes</w:t>
                        </w:r>
                      </w:p>
                      <w:p w14:paraId="23B3FA80"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Marine pollution</w:t>
                        </w:r>
                      </w:p>
                      <w:p w14:paraId="4A9DD7CB"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Stronger waste management systems and reduced solid waste and other forms of pollution entering the marine environment through move towards circular economy</w:t>
                        </w:r>
                      </w:p>
                      <w:p w14:paraId="246C51AD"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IUU</w:t>
                        </w:r>
                      </w:p>
                      <w:p w14:paraId="6A8625E6"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IUU fishing activities are more effectively monitored, deterred and eliminated in partner countries, helping to minimise international enablers of IUU fishing</w:t>
                        </w:r>
                      </w:p>
                      <w:p w14:paraId="3768D068"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Large scale fisheries</w:t>
                        </w:r>
                      </w:p>
                      <w:p w14:paraId="4B0FF62E"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Stronger management of regional and national fisheries and aquaculture to deliver sustainable fish stocks and healthy marine ecosystems; provide alternative livelihood; and reduce overfishing</w:t>
                        </w:r>
                      </w:p>
                      <w:p w14:paraId="3E6418BB"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MPAs</w:t>
                        </w:r>
                      </w:p>
                      <w:p w14:paraId="2115857E" w14:textId="77777777" w:rsidR="00AC5B3D" w:rsidRPr="00CE2F4B" w:rsidRDefault="00AC5B3D" w:rsidP="00AC5B3D">
                        <w:pPr>
                          <w:spacing w:after="0"/>
                          <w:jc w:val="both"/>
                          <w:rPr>
                            <w:rFonts w:ascii="Calibri" w:hAnsi="Calibri"/>
                            <w:color w:val="000000" w:themeColor="text1"/>
                            <w:kern w:val="24"/>
                            <w:sz w:val="18"/>
                            <w:szCs w:val="18"/>
                          </w:rPr>
                        </w:pPr>
                        <w:r w:rsidRPr="00CE2F4B">
                          <w:rPr>
                            <w:rFonts w:ascii="Calibri" w:hAnsi="Calibri"/>
                            <w:color w:val="000000" w:themeColor="text1"/>
                            <w:kern w:val="24"/>
                            <w:sz w:val="18"/>
                            <w:szCs w:val="18"/>
                          </w:rPr>
                          <w:t>Countries are more willing and able to establish and manage marine protected areas and other effective conservation measures within national waters. They implement them sustainably, effectively and inclusively, also considering transboundary activities</w:t>
                        </w:r>
                      </w:p>
                    </w:txbxContent>
                  </v:textbox>
                </v:shape>
                <v:roundrect id="Rectangle: Rounded Corners 5" o:spid="_x0000_s1029" style="position:absolute;left:22;top:-295;width:120021;height:5605;visibility:visible;mso-wrap-style:square;v-text-anchor:middle" arcsize="9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" filled="f" strokecolor="#1f3763 [1604]" strokeweight="1pt">
                  <v:stroke joinstyle="miter"/>
                  <v:textbox>
                    <w:txbxContent>
                      <w:p w14:paraId="4072F803" w14:textId="77777777" w:rsidR="00AC5B3D" w:rsidRDefault="00AC5B3D" w:rsidP="00AC5B3D">
                        <w:pPr>
                          <w:spacing w:before="120" w:after="120" w:line="264" w:lineRule="auto"/>
                          <w:jc w:val="center"/>
                          <w:rPr>
                            <w:rFonts w:eastAsia="Calibri" w:hAnsi="Calibri" w:cs="Arial"/>
                            <w:b/>
                            <w:bCs/>
                            <w:color w:val="000000" w:themeColor="text1"/>
                            <w:kern w:val="24"/>
                            <w:sz w:val="28"/>
                            <w:szCs w:val="28"/>
                          </w:rPr>
                        </w:pPr>
                        <w:r w:rsidRPr="006C2203">
                          <w:rPr>
                            <w:rFonts w:eastAsia="Calibri" w:hAnsi="Calibri" w:cs="Arial"/>
                            <w:b/>
                            <w:bCs/>
                            <w:color w:val="000000" w:themeColor="text1"/>
                            <w:kern w:val="24"/>
                            <w:sz w:val="18"/>
                            <w:szCs w:val="18"/>
                          </w:rPr>
                          <w:t>Ocean Country Partnership Programme: a £</w:t>
                        </w:r>
                        <w:r>
                          <w:rPr>
                            <w:rFonts w:eastAsia="Calibri" w:hAnsi="Calibri" w:cs="Arial"/>
                            <w:b/>
                            <w:bCs/>
                            <w:color w:val="000000" w:themeColor="text1"/>
                            <w:kern w:val="24"/>
                            <w:sz w:val="18"/>
                            <w:szCs w:val="18"/>
                          </w:rPr>
                          <w:t>6</w:t>
                        </w:r>
                        <w:r w:rsidRPr="006C2203">
                          <w:rPr>
                            <w:rFonts w:eastAsia="Calibri" w:hAnsi="Calibri" w:cs="Arial"/>
                            <w:b/>
                            <w:bCs/>
                            <w:color w:val="000000" w:themeColor="text1"/>
                            <w:kern w:val="24"/>
                            <w:sz w:val="18"/>
                            <w:szCs w:val="18"/>
                          </w:rPr>
                          <w:t>5m, five-year bilateral overseas development assistance programme helping partner countries effectively manage human activities that impact the marine environment and ensuring that all their citizens can benefit from its long term sustainable use.</w:t>
                        </w:r>
                      </w:p>
                    </w:txbxContent>
                  </v:textbox>
                </v:roundrect>
                <v:rect id="Rectangle 6" o:spid="_x0000_s1030" style="position:absolute;left:53791;top:11185;width:31641;height:4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" filled="f" strokecolor="#1f3763 [1604]" strokeweight="1pt">
                  <v:textbox>
                    <w:txbxContent>
                      <w:p w14:paraId="6D789B4F" w14:textId="77777777" w:rsidR="00AC5B3D" w:rsidRPr="00A10C61" w:rsidRDefault="00AC5B3D" w:rsidP="00AC5B3D">
                        <w:pPr>
                          <w:spacing w:after="0"/>
                          <w:rPr>
                            <w:rFonts w:hAnsi="Calibri"/>
                            <w:b/>
                            <w:bCs/>
                            <w:color w:val="000000" w:themeColor="text1"/>
                            <w:kern w:val="24"/>
                            <w:sz w:val="17"/>
                            <w:szCs w:val="17"/>
                          </w:rPr>
                        </w:pPr>
                        <w:r w:rsidRPr="00A10C61">
                          <w:rPr>
                            <w:rFonts w:hAnsi="Calibri"/>
                            <w:b/>
                            <w:bCs/>
                            <w:color w:val="000000" w:themeColor="text1"/>
                            <w:kern w:val="24"/>
                            <w:sz w:val="17"/>
                            <w:szCs w:val="17"/>
                          </w:rPr>
                          <w:t>Intermediate outcomes</w:t>
                        </w:r>
                      </w:p>
                      <w:p w14:paraId="46EB1A23"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Improved policies, plans, and management of human activities in the marine environment at national, sub-national and community levels</w:t>
                        </w:r>
                      </w:p>
                      <w:p w14:paraId="4456950B"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Improved regulation and protection of the marine environment, including through MPAs</w:t>
                        </w:r>
                      </w:p>
                      <w:p w14:paraId="48A0A927"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Marine ecosystem services more effectively valued, protected and enhanced, including through marine natural capital accounting</w:t>
                        </w:r>
                      </w:p>
                      <w:p w14:paraId="5686150F"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Increased capability and capacity to control and enforce marine policies, including combatting IUU fishing</w:t>
                        </w:r>
                      </w:p>
                      <w:p w14:paraId="70E2BCC2"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Improved monitoring data and knowledge of the marine environment</w:t>
                        </w:r>
                      </w:p>
                      <w:p w14:paraId="45705649"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Stakeholders – particularly local communities – are empowered to actively participate in sustainable management of the marine environment</w:t>
                        </w:r>
                      </w:p>
                      <w:p w14:paraId="01AB1972" w14:textId="77777777" w:rsidR="00AC5B3D" w:rsidRPr="00A10C61" w:rsidRDefault="00AC5B3D" w:rsidP="00AC5B3D">
                        <w:pPr>
                          <w:pStyle w:val="ListParagraph"/>
                          <w:numPr>
                            <w:ilvl w:val="0"/>
                            <w:numId w:val="32"/>
                          </w:numPr>
                          <w:spacing w:after="0" w:line="240" w:lineRule="auto"/>
                          <w:rPr>
                            <w:rFonts w:hAnsi="Calibri"/>
                            <w:color w:val="000000" w:themeColor="text1"/>
                            <w:kern w:val="24"/>
                            <w:sz w:val="17"/>
                            <w:szCs w:val="17"/>
                          </w:rPr>
                        </w:pPr>
                        <w:r w:rsidRPr="00A10C61">
                          <w:rPr>
                            <w:rFonts w:hAnsi="Calibri"/>
                            <w:color w:val="000000" w:themeColor="text1"/>
                            <w:kern w:val="24"/>
                            <w:sz w:val="17"/>
                            <w:szCs w:val="17"/>
                          </w:rPr>
                          <w:t>Increased national capability and capacity to respond to marine environmental emergencies</w:t>
                        </w:r>
                      </w:p>
                      <w:p w14:paraId="1BFBE59C" w14:textId="77777777" w:rsidR="00AC5B3D" w:rsidRPr="00A10C61" w:rsidRDefault="00AC5B3D" w:rsidP="00AC5B3D">
                        <w:pPr>
                          <w:pStyle w:val="ListParagraph"/>
                          <w:numPr>
                            <w:ilvl w:val="0"/>
                            <w:numId w:val="32"/>
                          </w:numPr>
                          <w:spacing w:after="0" w:line="240" w:lineRule="auto"/>
                          <w:rPr>
                            <w:rFonts w:hAnsi="Calibri" w:cs="Calibri"/>
                            <w:color w:val="000000" w:themeColor="text1"/>
                            <w:kern w:val="24"/>
                            <w:sz w:val="17"/>
                            <w:szCs w:val="17"/>
                          </w:rPr>
                        </w:pPr>
                        <w:r w:rsidRPr="00A10C61">
                          <w:rPr>
                            <w:rFonts w:hAnsi="Calibri" w:cs="Calibri"/>
                            <w:color w:val="000000" w:themeColor="text1"/>
                            <w:kern w:val="24"/>
                            <w:sz w:val="17"/>
                            <w:szCs w:val="17"/>
                          </w:rPr>
                          <w:t>Management of human activities in the marine environment is better integrated across sectors and government departments</w:t>
                        </w:r>
                      </w:p>
                    </w:txbxContent>
                  </v:textbox>
                </v:rect>
                <v:shape id="TextBox 11" o:spid="_x0000_s1031" type="#_x0000_t202" style="position:absolute;top:56170;width:120020;height:1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" filled="f" strokecolor="#1f3763 [1604]" strokeweight="1pt">
                  <v:textbox inset="1mm,1mm,1mm,1mm">
                    <w:txbxContent>
                      <w:p w14:paraId="20D7CAA2" w14:textId="77777777" w:rsidR="00AC5B3D" w:rsidRPr="005E0195" w:rsidRDefault="00AC5B3D" w:rsidP="00AC5B3D">
                        <w:pPr>
                          <w:spacing w:after="0"/>
                          <w:rPr>
                            <w:rFonts w:hAnsi="Calibri"/>
                            <w:color w:val="000000" w:themeColor="text1"/>
                            <w:kern w:val="24"/>
                            <w:sz w:val="16"/>
                            <w:szCs w:val="16"/>
                          </w:rPr>
                        </w:pPr>
                        <w:r w:rsidRPr="005E0195">
                          <w:rPr>
                            <w:rFonts w:hAnsi="Calibri"/>
                            <w:color w:val="000000" w:themeColor="text1"/>
                            <w:kern w:val="24"/>
                            <w:sz w:val="16"/>
                            <w:szCs w:val="16"/>
                          </w:rPr>
                          <w:t>Context/ Challenges</w:t>
                        </w:r>
                      </w:p>
                      <w:p w14:paraId="11856E3D"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Increasing threats to coastal states from unsustainable use of their marine environment, climate impacts and environmental hazards</w:t>
                        </w:r>
                      </w:p>
                      <w:p w14:paraId="46E2D547"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Limited capacity of many governments in low-to-middle income countries to monitor and regulate human activities in the marine environment</w:t>
                        </w:r>
                      </w:p>
                      <w:p w14:paraId="071CEAB3"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Full value of marine ecosystems often not accounted for in national or local decision making</w:t>
                        </w:r>
                      </w:p>
                      <w:p w14:paraId="7B6489B3"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Decision making over marine resource use is often inequitable and does not include all stakeholders</w:t>
                        </w:r>
                      </w:p>
                      <w:p w14:paraId="5B038C77"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Public and private investment into sustainable management of the ocean is insufficient and sometimes poorly targeted</w:t>
                        </w:r>
                      </w:p>
                      <w:p w14:paraId="32309590" w14:textId="77777777" w:rsidR="00AC5B3D" w:rsidRPr="005E0195" w:rsidRDefault="00AC5B3D" w:rsidP="00AC5B3D">
                        <w:pPr>
                          <w:pStyle w:val="ListParagraph"/>
                          <w:numPr>
                            <w:ilvl w:val="0"/>
                            <w:numId w:val="33"/>
                          </w:numPr>
                          <w:spacing w:after="0" w:line="240" w:lineRule="auto"/>
                          <w:rPr>
                            <w:rFonts w:hAnsi="Calibri"/>
                            <w:color w:val="000000" w:themeColor="text1"/>
                            <w:kern w:val="24"/>
                            <w:sz w:val="16"/>
                            <w:szCs w:val="16"/>
                          </w:rPr>
                        </w:pPr>
                        <w:r w:rsidRPr="005E0195">
                          <w:rPr>
                            <w:rFonts w:hAnsi="Calibri"/>
                            <w:color w:val="000000" w:themeColor="text1"/>
                            <w:kern w:val="24"/>
                            <w:sz w:val="16"/>
                            <w:szCs w:val="16"/>
                          </w:rPr>
                          <w:t xml:space="preserve">Limited knowledge sharing between different groups about the ocean and how best to govern it (e.g., local knowledge missing from donor understanding; marine science not shared at local levels)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8" o:spid="_x0000_s1032" type="#_x0000_t75" style="position:absolute;left:-214;top:5852;width:120379;height:47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">
                  <v:imagedata r:id="rId21" o:title=""/>
                  <o:lock v:ext="edit" aspectratio="f"/>
                </v:shape>
                <w10:wrap anchorx="margin"/>
              </v:group>
            </w:pict>
          </mc:Fallback>
        </mc:AlternateContent>
      </w:r>
      <w:r w:rsidR="00AC5B3D">
        <w:t>Annex A – Theory of Change</w:t>
      </w:r>
      <w:bookmarkEnd w:id="22"/>
    </w:p>
    <w:p w14:paraId="37ED710C" w14:textId="77777777" w:rsidR="00AC5B3D" w:rsidRDefault="00AC5B3D" w:rsidP="00AC5B3D">
      <w:r>
        <w:br w:type="page"/>
      </w:r>
    </w:p>
    <w:p w14:paraId="2B16B8D2" w14:textId="77777777" w:rsidR="00AC5B3D" w:rsidRDefault="00AC5B3D" w:rsidP="00AC5B3D">
      <w:pPr>
        <w:pStyle w:val="Heading1"/>
      </w:pPr>
      <w:bookmarkStart w:id="23" w:name="_Toc117669048"/>
      <w:r>
        <w:lastRenderedPageBreak/>
        <w:t>Annex B – Risk registers</w:t>
      </w:r>
      <w:bookmarkEnd w:id="23"/>
      <w:r>
        <w:t xml:space="preserve"> </w:t>
      </w:r>
    </w:p>
    <w:p w14:paraId="21BD1380" w14:textId="77777777" w:rsidR="00AC5B3D" w:rsidRDefault="00AC5B3D" w:rsidP="00AC5B3D">
      <w:r>
        <w:t>Table 1. OCPP RAID register – risk tab</w:t>
      </w:r>
    </w:p>
    <w:tbl>
      <w:tblPr>
        <w:tblW w:w="15057" w:type="dxa"/>
        <w:tblLook w:val="04A0" w:firstRow="1" w:lastRow="0" w:firstColumn="1" w:lastColumn="0" w:noHBand="0" w:noVBand="1"/>
      </w:tblPr>
      <w:tblGrid>
        <w:gridCol w:w="1351"/>
        <w:gridCol w:w="3125"/>
        <w:gridCol w:w="1087"/>
        <w:gridCol w:w="867"/>
        <w:gridCol w:w="989"/>
        <w:gridCol w:w="975"/>
        <w:gridCol w:w="2038"/>
        <w:gridCol w:w="684"/>
        <w:gridCol w:w="1085"/>
        <w:gridCol w:w="967"/>
        <w:gridCol w:w="991"/>
        <w:gridCol w:w="898"/>
      </w:tblGrid>
      <w:tr w:rsidR="00AC5B3D" w:rsidRPr="00FC6511" w14:paraId="4A05C6E3" w14:textId="77777777" w:rsidTr="00022964">
        <w:trPr>
          <w:trHeight w:val="780"/>
        </w:trPr>
        <w:tc>
          <w:tcPr>
            <w:tcW w:w="985"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6DA1ECB7"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Country</w:t>
            </w:r>
          </w:p>
        </w:tc>
        <w:tc>
          <w:tcPr>
            <w:tcW w:w="336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780312CD"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Risk Description</w:t>
            </w:r>
          </w:p>
        </w:tc>
        <w:tc>
          <w:tcPr>
            <w:tcW w:w="1087"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28F53916"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Risk Category</w:t>
            </w:r>
          </w:p>
        </w:tc>
        <w:tc>
          <w:tcPr>
            <w:tcW w:w="872"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629BC925"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 xml:space="preserve">Impact Rating </w:t>
            </w:r>
          </w:p>
        </w:tc>
        <w:tc>
          <w:tcPr>
            <w:tcW w:w="989"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0D808D93"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 xml:space="preserve"> Likelihood</w:t>
            </w:r>
          </w:p>
        </w:tc>
        <w:tc>
          <w:tcPr>
            <w:tcW w:w="975"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17C400EB"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RAG Status (Inherent)</w:t>
            </w:r>
          </w:p>
        </w:tc>
        <w:tc>
          <w:tcPr>
            <w:tcW w:w="213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5563F9E8"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Mitigating action(s), action completion dates and action owner(s)</w:t>
            </w:r>
          </w:p>
        </w:tc>
        <w:tc>
          <w:tcPr>
            <w:tcW w:w="683"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77771E82"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Status</w:t>
            </w:r>
          </w:p>
        </w:tc>
        <w:tc>
          <w:tcPr>
            <w:tcW w:w="1084"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2FDA4A47"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Date Last Reviewed</w:t>
            </w:r>
          </w:p>
        </w:tc>
        <w:tc>
          <w:tcPr>
            <w:tcW w:w="987" w:type="dxa"/>
            <w:tcBorders>
              <w:top w:val="single" w:sz="4" w:space="0" w:color="BFBFBF"/>
              <w:left w:val="single" w:sz="4" w:space="0" w:color="BFBFBF"/>
              <w:bottom w:val="single" w:sz="4" w:space="0" w:color="BFBFBF"/>
              <w:right w:val="nil"/>
            </w:tcBorders>
            <w:shd w:val="clear" w:color="000000" w:fill="F4B084"/>
            <w:vAlign w:val="center"/>
            <w:hideMark/>
          </w:tcPr>
          <w:p w14:paraId="646052BE"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Current Impact Rating</w:t>
            </w:r>
          </w:p>
        </w:tc>
        <w:tc>
          <w:tcPr>
            <w:tcW w:w="991" w:type="dxa"/>
            <w:tcBorders>
              <w:top w:val="single" w:sz="4" w:space="0" w:color="BFBFBF"/>
              <w:left w:val="single" w:sz="4" w:space="0" w:color="BFBFBF"/>
              <w:bottom w:val="single" w:sz="4" w:space="0" w:color="BFBFBF"/>
              <w:right w:val="nil"/>
            </w:tcBorders>
            <w:shd w:val="clear" w:color="000000" w:fill="F4B084"/>
            <w:vAlign w:val="center"/>
            <w:hideMark/>
          </w:tcPr>
          <w:p w14:paraId="5E5331C4"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Current Likelihood</w:t>
            </w:r>
          </w:p>
        </w:tc>
        <w:tc>
          <w:tcPr>
            <w:tcW w:w="898" w:type="dxa"/>
            <w:tcBorders>
              <w:top w:val="single" w:sz="4" w:space="0" w:color="BFBFBF"/>
              <w:left w:val="single" w:sz="4" w:space="0" w:color="BFBFBF"/>
              <w:bottom w:val="single" w:sz="4" w:space="0" w:color="BFBFBF"/>
              <w:right w:val="nil"/>
            </w:tcBorders>
            <w:shd w:val="clear" w:color="000000" w:fill="F4B084"/>
            <w:vAlign w:val="center"/>
            <w:hideMark/>
          </w:tcPr>
          <w:p w14:paraId="38A917E0" w14:textId="77777777" w:rsidR="00AC5B3D" w:rsidRPr="00FC6511" w:rsidRDefault="00AC5B3D" w:rsidP="00022964">
            <w:pPr>
              <w:spacing w:after="0" w:line="240" w:lineRule="auto"/>
              <w:jc w:val="center"/>
              <w:rPr>
                <w:rFonts w:eastAsia="Times New Roman" w:cstheme="minorHAnsi"/>
                <w:b/>
                <w:bCs/>
                <w:color w:val="FFFFFF"/>
                <w:sz w:val="18"/>
                <w:szCs w:val="18"/>
              </w:rPr>
            </w:pPr>
            <w:r w:rsidRPr="00FC6511">
              <w:rPr>
                <w:rFonts w:eastAsia="Times New Roman" w:cstheme="minorHAnsi"/>
                <w:b/>
                <w:bCs/>
                <w:color w:val="FFFFFF"/>
                <w:sz w:val="18"/>
                <w:szCs w:val="18"/>
              </w:rPr>
              <w:t>RAG Status (Current)</w:t>
            </w:r>
          </w:p>
        </w:tc>
      </w:tr>
      <w:tr w:rsidR="00AC5B3D" w:rsidRPr="00FC6511" w14:paraId="697153DF" w14:textId="77777777" w:rsidTr="00022964">
        <w:trPr>
          <w:trHeight w:val="2168"/>
        </w:trPr>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5AABDC7D"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Cross-Cutting</w:t>
            </w:r>
          </w:p>
        </w:tc>
        <w:tc>
          <w:tcPr>
            <w:tcW w:w="3368" w:type="dxa"/>
            <w:tcBorders>
              <w:top w:val="nil"/>
              <w:left w:val="nil"/>
              <w:bottom w:val="single" w:sz="4" w:space="0" w:color="BFBFBF"/>
              <w:right w:val="single" w:sz="4" w:space="0" w:color="BFBFBF"/>
            </w:tcBorders>
            <w:shd w:val="clear" w:color="auto" w:fill="auto"/>
            <w:hideMark/>
          </w:tcPr>
          <w:p w14:paraId="0E368214"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Due to: </w:t>
            </w:r>
            <w:r w:rsidRPr="00FC6511">
              <w:rPr>
                <w:rFonts w:eastAsia="Times New Roman" w:cstheme="minorHAnsi"/>
                <w:color w:val="000000"/>
                <w:sz w:val="18"/>
                <w:szCs w:val="18"/>
              </w:rPr>
              <w:t>Civil Service recruitment controls to reduce head count.</w:t>
            </w:r>
            <w:r w:rsidRPr="00FC6511">
              <w:rPr>
                <w:rFonts w:eastAsia="Times New Roman" w:cstheme="minorHAnsi"/>
                <w:b/>
                <w:bCs/>
                <w:color w:val="000000"/>
                <w:sz w:val="18"/>
                <w:szCs w:val="18"/>
              </w:rPr>
              <w:br/>
              <w:t xml:space="preserve">There is a risk that: </w:t>
            </w:r>
            <w:r w:rsidRPr="00FC6511">
              <w:rPr>
                <w:rFonts w:eastAsia="Times New Roman" w:cstheme="minorHAnsi"/>
                <w:color w:val="000000"/>
                <w:sz w:val="18"/>
                <w:szCs w:val="18"/>
              </w:rPr>
              <w:t>Core Defra and the ALBs could see a reduction in the number of staff who are working on the OCPP.</w:t>
            </w:r>
            <w:r w:rsidRPr="00FC6511">
              <w:rPr>
                <w:rFonts w:eastAsia="Times New Roman" w:cstheme="minorHAnsi"/>
                <w:b/>
                <w:bCs/>
                <w:color w:val="000000"/>
                <w:sz w:val="18"/>
                <w:szCs w:val="18"/>
              </w:rPr>
              <w:br/>
              <w:t xml:space="preserve">Which will result in: </w:t>
            </w:r>
            <w:r w:rsidRPr="00FC6511">
              <w:rPr>
                <w:rFonts w:eastAsia="Times New Roman" w:cstheme="minorHAnsi"/>
                <w:color w:val="000000"/>
                <w:sz w:val="18"/>
                <w:szCs w:val="18"/>
              </w:rPr>
              <w:t>An impact on programme delivery due to a lack of a capacity.</w:t>
            </w:r>
          </w:p>
        </w:tc>
        <w:tc>
          <w:tcPr>
            <w:tcW w:w="1087" w:type="dxa"/>
            <w:tcBorders>
              <w:top w:val="nil"/>
              <w:left w:val="nil"/>
              <w:bottom w:val="single" w:sz="4" w:space="0" w:color="BFBFBF"/>
              <w:right w:val="single" w:sz="4" w:space="0" w:color="BFBFBF"/>
            </w:tcBorders>
            <w:shd w:val="clear" w:color="auto" w:fill="auto"/>
            <w:vAlign w:val="center"/>
            <w:hideMark/>
          </w:tcPr>
          <w:p w14:paraId="5C28E47F"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People</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D2D4EC"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3F3414"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7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9BDD502"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16</w:t>
            </w:r>
          </w:p>
        </w:tc>
        <w:tc>
          <w:tcPr>
            <w:tcW w:w="2138" w:type="dxa"/>
            <w:tcBorders>
              <w:top w:val="nil"/>
              <w:left w:val="nil"/>
              <w:bottom w:val="nil"/>
              <w:right w:val="nil"/>
            </w:tcBorders>
            <w:shd w:val="clear" w:color="auto" w:fill="auto"/>
            <w:hideMark/>
          </w:tcPr>
          <w:p w14:paraId="42A17D3A" w14:textId="77777777" w:rsidR="00AC5B3D" w:rsidRPr="00FC6511" w:rsidRDefault="00AC5B3D" w:rsidP="00022964">
            <w:pPr>
              <w:spacing w:after="0" w:line="240" w:lineRule="auto"/>
              <w:rPr>
                <w:rFonts w:eastAsia="Times New Roman" w:cstheme="minorHAnsi"/>
                <w:color w:val="000000"/>
                <w:sz w:val="18"/>
                <w:szCs w:val="18"/>
              </w:rPr>
            </w:pPr>
            <w:r w:rsidRPr="00FC6511">
              <w:rPr>
                <w:rFonts w:eastAsia="Times New Roman" w:cstheme="minorHAnsi"/>
                <w:b/>
                <w:bCs/>
                <w:color w:val="000000"/>
                <w:sz w:val="18"/>
                <w:szCs w:val="18"/>
              </w:rPr>
              <w:t>Action</w:t>
            </w:r>
            <w:r w:rsidRPr="00FC6511">
              <w:rPr>
                <w:rFonts w:eastAsia="Times New Roman" w:cstheme="minorHAnsi"/>
                <w:color w:val="000000"/>
                <w:sz w:val="18"/>
                <w:szCs w:val="18"/>
              </w:rPr>
              <w:t xml:space="preserve">: Bring in overseas posts as soon as possible who don't come under Civil Service headcount and can help streamline in-country delivery. </w:t>
            </w:r>
            <w:r w:rsidRPr="00FC6511">
              <w:rPr>
                <w:rFonts w:eastAsia="Times New Roman" w:cstheme="minorHAnsi"/>
                <w:b/>
                <w:bCs/>
                <w:color w:val="000000"/>
                <w:sz w:val="18"/>
                <w:szCs w:val="18"/>
              </w:rPr>
              <w:t xml:space="preserve">Owner: </w:t>
            </w:r>
            <w:r w:rsidRPr="00FC6511">
              <w:rPr>
                <w:rFonts w:eastAsia="Times New Roman" w:cstheme="minorHAnsi"/>
                <w:color w:val="000000"/>
                <w:sz w:val="18"/>
                <w:szCs w:val="18"/>
              </w:rPr>
              <w:t xml:space="preserve">Defra programme team, </w:t>
            </w:r>
            <w:r w:rsidRPr="00FC6511">
              <w:rPr>
                <w:rFonts w:eastAsia="Times New Roman" w:cstheme="minorHAnsi"/>
                <w:b/>
                <w:bCs/>
                <w:color w:val="000000"/>
                <w:sz w:val="18"/>
                <w:szCs w:val="18"/>
              </w:rPr>
              <w:t>Completion Date</w:t>
            </w:r>
            <w:r w:rsidRPr="00FC6511">
              <w:rPr>
                <w:rFonts w:eastAsia="Times New Roman" w:cstheme="minorHAnsi"/>
                <w:color w:val="000000"/>
                <w:sz w:val="18"/>
                <w:szCs w:val="18"/>
              </w:rPr>
              <w:t>: TBC</w:t>
            </w:r>
          </w:p>
        </w:tc>
        <w:tc>
          <w:tcPr>
            <w:tcW w:w="683" w:type="dxa"/>
            <w:tcBorders>
              <w:top w:val="nil"/>
              <w:left w:val="single" w:sz="4" w:space="0" w:color="BFBFBF"/>
              <w:bottom w:val="single" w:sz="4" w:space="0" w:color="BFBFBF"/>
              <w:right w:val="single" w:sz="4" w:space="0" w:color="BFBFBF"/>
            </w:tcBorders>
            <w:shd w:val="clear" w:color="auto" w:fill="auto"/>
            <w:vAlign w:val="center"/>
            <w:hideMark/>
          </w:tcPr>
          <w:p w14:paraId="484DE932"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Open</w:t>
            </w:r>
          </w:p>
        </w:tc>
        <w:tc>
          <w:tcPr>
            <w:tcW w:w="1084" w:type="dxa"/>
            <w:tcBorders>
              <w:top w:val="nil"/>
              <w:left w:val="nil"/>
              <w:bottom w:val="single" w:sz="4" w:space="0" w:color="BFBFBF"/>
              <w:right w:val="single" w:sz="4" w:space="0" w:color="BFBFBF"/>
            </w:tcBorders>
            <w:shd w:val="clear" w:color="auto" w:fill="auto"/>
            <w:vAlign w:val="center"/>
            <w:hideMark/>
          </w:tcPr>
          <w:p w14:paraId="6FF7F5CF"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87" w:type="dxa"/>
            <w:tcBorders>
              <w:top w:val="nil"/>
              <w:left w:val="nil"/>
              <w:bottom w:val="single" w:sz="4" w:space="0" w:color="BFBFBF"/>
              <w:right w:val="nil"/>
            </w:tcBorders>
            <w:shd w:val="clear" w:color="auto" w:fill="auto"/>
            <w:vAlign w:val="center"/>
            <w:hideMark/>
          </w:tcPr>
          <w:p w14:paraId="169DED74"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91" w:type="dxa"/>
            <w:tcBorders>
              <w:top w:val="nil"/>
              <w:left w:val="single" w:sz="4" w:space="0" w:color="BFBFBF"/>
              <w:bottom w:val="single" w:sz="4" w:space="0" w:color="BFBFBF"/>
              <w:right w:val="nil"/>
            </w:tcBorders>
            <w:shd w:val="clear" w:color="auto" w:fill="auto"/>
            <w:vAlign w:val="center"/>
            <w:hideMark/>
          </w:tcPr>
          <w:p w14:paraId="43AB3A4E"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898" w:type="dxa"/>
            <w:tcBorders>
              <w:top w:val="nil"/>
              <w:left w:val="single" w:sz="4" w:space="0" w:color="BFBFBF"/>
              <w:bottom w:val="single" w:sz="4" w:space="0" w:color="BFBFBF"/>
              <w:right w:val="nil"/>
            </w:tcBorders>
            <w:shd w:val="clear" w:color="auto" w:fill="auto"/>
            <w:vAlign w:val="center"/>
            <w:hideMark/>
          </w:tcPr>
          <w:p w14:paraId="1AE8A0E6"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0</w:t>
            </w:r>
          </w:p>
        </w:tc>
      </w:tr>
      <w:tr w:rsidR="00AC5B3D" w:rsidRPr="00FC6511" w14:paraId="2EEE00AF" w14:textId="77777777" w:rsidTr="00022964">
        <w:trPr>
          <w:trHeight w:val="3090"/>
        </w:trPr>
        <w:tc>
          <w:tcPr>
            <w:tcW w:w="98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AB7451"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Cross-Cutting (predominantly Sri Lanka)</w:t>
            </w:r>
          </w:p>
        </w:tc>
        <w:tc>
          <w:tcPr>
            <w:tcW w:w="3368" w:type="dxa"/>
            <w:tcBorders>
              <w:top w:val="single" w:sz="4" w:space="0" w:color="BFBFBF"/>
              <w:left w:val="single" w:sz="4" w:space="0" w:color="BFBFBF"/>
              <w:bottom w:val="single" w:sz="4" w:space="0" w:color="BFBFBF"/>
              <w:right w:val="single" w:sz="4" w:space="0" w:color="BFBFBF"/>
            </w:tcBorders>
            <w:shd w:val="clear" w:color="auto" w:fill="auto"/>
            <w:hideMark/>
          </w:tcPr>
          <w:p w14:paraId="3B9A2D41" w14:textId="77777777" w:rsidR="00AC5B3D" w:rsidRPr="00FC6511" w:rsidRDefault="00AC5B3D" w:rsidP="00022964">
            <w:pPr>
              <w:spacing w:after="0" w:line="240" w:lineRule="auto"/>
              <w:rPr>
                <w:rFonts w:eastAsia="Times New Roman" w:cstheme="minorHAnsi"/>
                <w:color w:val="000000"/>
                <w:sz w:val="18"/>
                <w:szCs w:val="18"/>
              </w:rPr>
            </w:pPr>
            <w:r w:rsidRPr="00FC6511">
              <w:rPr>
                <w:rFonts w:eastAsia="Times New Roman" w:cstheme="minorHAnsi"/>
                <w:b/>
                <w:bCs/>
                <w:color w:val="000000"/>
                <w:sz w:val="18"/>
                <w:szCs w:val="18"/>
              </w:rPr>
              <w:t xml:space="preserve">Due </w:t>
            </w:r>
            <w:proofErr w:type="gramStart"/>
            <w:r w:rsidRPr="00FC6511">
              <w:rPr>
                <w:rFonts w:eastAsia="Times New Roman" w:cstheme="minorHAnsi"/>
                <w:b/>
                <w:bCs/>
                <w:color w:val="000000"/>
                <w:sz w:val="18"/>
                <w:szCs w:val="18"/>
              </w:rPr>
              <w:t>to</w:t>
            </w:r>
            <w:r w:rsidRPr="00FC6511">
              <w:rPr>
                <w:rFonts w:eastAsia="Times New Roman" w:cstheme="minorHAnsi"/>
                <w:color w:val="000000"/>
                <w:sz w:val="18"/>
                <w:szCs w:val="18"/>
              </w:rPr>
              <w:t>:</w:t>
            </w:r>
            <w:proofErr w:type="gramEnd"/>
            <w:r w:rsidRPr="00FC6511">
              <w:rPr>
                <w:rFonts w:eastAsia="Times New Roman" w:cstheme="minorHAnsi"/>
                <w:color w:val="000000"/>
                <w:sz w:val="18"/>
                <w:szCs w:val="18"/>
              </w:rPr>
              <w:t xml:space="preserve"> changing in-country contexts (e.g. political, social, economic) </w:t>
            </w:r>
            <w:r w:rsidRPr="00FC6511">
              <w:rPr>
                <w:rFonts w:eastAsia="Times New Roman" w:cstheme="minorHAnsi"/>
                <w:color w:val="000000"/>
                <w:sz w:val="18"/>
                <w:szCs w:val="18"/>
              </w:rPr>
              <w:br/>
            </w:r>
            <w:r w:rsidRPr="00FC6511">
              <w:rPr>
                <w:rFonts w:eastAsia="Times New Roman" w:cstheme="minorHAnsi"/>
                <w:b/>
                <w:bCs/>
                <w:color w:val="000000"/>
                <w:sz w:val="18"/>
                <w:szCs w:val="18"/>
              </w:rPr>
              <w:t>There is a risk that</w:t>
            </w:r>
            <w:r w:rsidRPr="00FC6511">
              <w:rPr>
                <w:rFonts w:eastAsia="Times New Roman" w:cstheme="minorHAnsi"/>
                <w:color w:val="000000"/>
                <w:sz w:val="18"/>
                <w:szCs w:val="18"/>
              </w:rPr>
              <w:t>: The programme's ability to engage with partner governments and deliver on the ground will be compromised.</w:t>
            </w:r>
            <w:r w:rsidRPr="00FC6511">
              <w:rPr>
                <w:rFonts w:eastAsia="Times New Roman" w:cstheme="minorHAnsi"/>
                <w:color w:val="000000"/>
                <w:sz w:val="18"/>
                <w:szCs w:val="18"/>
              </w:rPr>
              <w:br/>
            </w:r>
            <w:r w:rsidRPr="00FC6511">
              <w:rPr>
                <w:rFonts w:eastAsia="Times New Roman" w:cstheme="minorHAnsi"/>
                <w:b/>
                <w:bCs/>
                <w:color w:val="000000"/>
                <w:sz w:val="18"/>
                <w:szCs w:val="18"/>
              </w:rPr>
              <w:t>Which will result in</w:t>
            </w:r>
            <w:r w:rsidRPr="00FC6511">
              <w:rPr>
                <w:rFonts w:eastAsia="Times New Roman" w:cstheme="minorHAnsi"/>
                <w:color w:val="000000"/>
                <w:sz w:val="18"/>
                <w:szCs w:val="18"/>
              </w:rPr>
              <w:t xml:space="preserve">: An inability to delivery work and increased underspend. </w:t>
            </w:r>
          </w:p>
        </w:tc>
        <w:tc>
          <w:tcPr>
            <w:tcW w:w="10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C6EAAF"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Strategic / Business</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260DC4"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EB2260"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7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1B926E41"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12</w:t>
            </w:r>
          </w:p>
        </w:tc>
        <w:tc>
          <w:tcPr>
            <w:tcW w:w="2138" w:type="dxa"/>
            <w:tcBorders>
              <w:top w:val="nil"/>
              <w:left w:val="nil"/>
              <w:bottom w:val="single" w:sz="4" w:space="0" w:color="BFBFBF"/>
              <w:right w:val="nil"/>
            </w:tcBorders>
            <w:shd w:val="clear" w:color="auto" w:fill="auto"/>
            <w:hideMark/>
          </w:tcPr>
          <w:p w14:paraId="5B9C81FD"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Action(s): </w:t>
            </w:r>
            <w:r w:rsidRPr="00FC6511">
              <w:rPr>
                <w:rFonts w:eastAsia="Times New Roman" w:cstheme="minorHAnsi"/>
                <w:color w:val="000000"/>
                <w:sz w:val="18"/>
                <w:szCs w:val="18"/>
              </w:rPr>
              <w:t>Close Communication with post, bringing in overseas post to boost capacity in-country and help localise delivery.</w:t>
            </w:r>
          </w:p>
        </w:tc>
        <w:tc>
          <w:tcPr>
            <w:tcW w:w="68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33A09A"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Open</w:t>
            </w:r>
          </w:p>
        </w:tc>
        <w:tc>
          <w:tcPr>
            <w:tcW w:w="1084" w:type="dxa"/>
            <w:tcBorders>
              <w:top w:val="nil"/>
              <w:left w:val="nil"/>
              <w:bottom w:val="single" w:sz="4" w:space="0" w:color="BFBFBF"/>
              <w:right w:val="single" w:sz="4" w:space="0" w:color="BFBFBF"/>
            </w:tcBorders>
            <w:shd w:val="clear" w:color="auto" w:fill="auto"/>
            <w:vAlign w:val="center"/>
            <w:hideMark/>
          </w:tcPr>
          <w:p w14:paraId="3DA4F7AE"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87" w:type="dxa"/>
            <w:tcBorders>
              <w:top w:val="single" w:sz="4" w:space="0" w:color="BFBFBF"/>
              <w:left w:val="single" w:sz="4" w:space="0" w:color="BFBFBF"/>
              <w:bottom w:val="single" w:sz="4" w:space="0" w:color="BFBFBF"/>
              <w:right w:val="nil"/>
            </w:tcBorders>
            <w:shd w:val="clear" w:color="auto" w:fill="auto"/>
            <w:vAlign w:val="center"/>
            <w:hideMark/>
          </w:tcPr>
          <w:p w14:paraId="7CBEAFD7"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91" w:type="dxa"/>
            <w:tcBorders>
              <w:top w:val="single" w:sz="4" w:space="0" w:color="BFBFBF"/>
              <w:left w:val="single" w:sz="4" w:space="0" w:color="BFBFBF"/>
              <w:bottom w:val="single" w:sz="4" w:space="0" w:color="BFBFBF"/>
              <w:right w:val="nil"/>
            </w:tcBorders>
            <w:shd w:val="clear" w:color="auto" w:fill="auto"/>
            <w:vAlign w:val="center"/>
            <w:hideMark/>
          </w:tcPr>
          <w:p w14:paraId="3A6CBEF2"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898" w:type="dxa"/>
            <w:tcBorders>
              <w:top w:val="single" w:sz="4" w:space="0" w:color="BFBFBF"/>
              <w:left w:val="single" w:sz="4" w:space="0" w:color="BFBFBF"/>
              <w:bottom w:val="single" w:sz="4" w:space="0" w:color="BFBFBF"/>
              <w:right w:val="nil"/>
            </w:tcBorders>
            <w:shd w:val="clear" w:color="000000" w:fill="FFC000"/>
            <w:vAlign w:val="center"/>
            <w:hideMark/>
          </w:tcPr>
          <w:p w14:paraId="78E61CDB"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9</w:t>
            </w:r>
          </w:p>
        </w:tc>
      </w:tr>
      <w:tr w:rsidR="00AC5B3D" w:rsidRPr="00FC6511" w14:paraId="6C7A63B7" w14:textId="77777777" w:rsidTr="00022964">
        <w:trPr>
          <w:trHeight w:val="2117"/>
        </w:trPr>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7B9D0E9D"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lastRenderedPageBreak/>
              <w:t>Cross-Cutting</w:t>
            </w:r>
          </w:p>
        </w:tc>
        <w:tc>
          <w:tcPr>
            <w:tcW w:w="3368" w:type="dxa"/>
            <w:tcBorders>
              <w:top w:val="nil"/>
              <w:left w:val="nil"/>
              <w:bottom w:val="single" w:sz="4" w:space="0" w:color="BFBFBF"/>
              <w:right w:val="single" w:sz="4" w:space="0" w:color="BFBFBF"/>
            </w:tcBorders>
            <w:shd w:val="clear" w:color="auto" w:fill="auto"/>
            <w:hideMark/>
          </w:tcPr>
          <w:p w14:paraId="5346A375"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Due to: </w:t>
            </w:r>
            <w:r w:rsidRPr="00FC6511">
              <w:rPr>
                <w:rFonts w:eastAsia="Times New Roman" w:cstheme="minorHAnsi"/>
                <w:color w:val="000000"/>
                <w:sz w:val="18"/>
                <w:szCs w:val="18"/>
              </w:rPr>
              <w:t>Organisation cyber security.</w:t>
            </w:r>
            <w:r w:rsidRPr="00FC6511">
              <w:rPr>
                <w:rFonts w:eastAsia="Times New Roman" w:cstheme="minorHAnsi"/>
                <w:b/>
                <w:bCs/>
                <w:color w:val="000000"/>
                <w:sz w:val="18"/>
                <w:szCs w:val="18"/>
              </w:rPr>
              <w:br/>
              <w:t xml:space="preserve">There is a risk that: </w:t>
            </w:r>
            <w:r w:rsidRPr="00FC6511">
              <w:rPr>
                <w:rFonts w:eastAsia="Times New Roman" w:cstheme="minorHAnsi"/>
                <w:color w:val="000000"/>
                <w:sz w:val="18"/>
                <w:szCs w:val="18"/>
              </w:rPr>
              <w:t>Delivery partners and Defra may have different approaches to risks posed by countries therefore impeding what IT equipment can be taken to the country and access to online resources such as email and SharePoint</w:t>
            </w:r>
            <w:r w:rsidRPr="00FC6511">
              <w:rPr>
                <w:rFonts w:eastAsia="Times New Roman" w:cstheme="minorHAnsi"/>
                <w:b/>
                <w:bCs/>
                <w:color w:val="000000"/>
                <w:sz w:val="18"/>
                <w:szCs w:val="18"/>
              </w:rPr>
              <w:br/>
              <w:t xml:space="preserve">Which will result in: </w:t>
            </w:r>
            <w:r w:rsidRPr="00FC6511">
              <w:rPr>
                <w:rFonts w:eastAsia="Times New Roman" w:cstheme="minorHAnsi"/>
                <w:color w:val="000000"/>
                <w:sz w:val="18"/>
                <w:szCs w:val="18"/>
              </w:rPr>
              <w:t>Reduced capacity to work in country</w:t>
            </w:r>
          </w:p>
        </w:tc>
        <w:tc>
          <w:tcPr>
            <w:tcW w:w="1087" w:type="dxa"/>
            <w:tcBorders>
              <w:top w:val="nil"/>
              <w:left w:val="nil"/>
              <w:bottom w:val="single" w:sz="4" w:space="0" w:color="BFBFBF"/>
              <w:right w:val="single" w:sz="4" w:space="0" w:color="BFBFBF"/>
            </w:tcBorders>
            <w:shd w:val="clear" w:color="auto" w:fill="auto"/>
            <w:vAlign w:val="center"/>
            <w:hideMark/>
          </w:tcPr>
          <w:p w14:paraId="57F9943F"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Operational</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B91F70"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F7CA68"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7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11CAC88"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12</w:t>
            </w:r>
          </w:p>
        </w:tc>
        <w:tc>
          <w:tcPr>
            <w:tcW w:w="2138" w:type="dxa"/>
            <w:tcBorders>
              <w:top w:val="nil"/>
              <w:left w:val="nil"/>
              <w:bottom w:val="nil"/>
              <w:right w:val="nil"/>
            </w:tcBorders>
            <w:shd w:val="clear" w:color="auto" w:fill="auto"/>
            <w:hideMark/>
          </w:tcPr>
          <w:p w14:paraId="3413B273" w14:textId="348515C6"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Action(s): </w:t>
            </w:r>
            <w:r w:rsidRPr="00FC6511">
              <w:rPr>
                <w:rFonts w:eastAsia="Times New Roman" w:cstheme="minorHAnsi"/>
                <w:color w:val="000000"/>
                <w:sz w:val="18"/>
                <w:szCs w:val="18"/>
              </w:rPr>
              <w:t xml:space="preserve">Review all potential countries with each </w:t>
            </w:r>
            <w:r w:rsidR="00DD463B" w:rsidRPr="00FC6511">
              <w:rPr>
                <w:rFonts w:eastAsia="Times New Roman" w:cstheme="minorHAnsi"/>
                <w:color w:val="000000"/>
                <w:sz w:val="18"/>
                <w:szCs w:val="18"/>
              </w:rPr>
              <w:t>organisation’s</w:t>
            </w:r>
            <w:r w:rsidRPr="00FC6511">
              <w:rPr>
                <w:rFonts w:eastAsia="Times New Roman" w:cstheme="minorHAnsi"/>
                <w:color w:val="000000"/>
                <w:sz w:val="18"/>
                <w:szCs w:val="18"/>
              </w:rPr>
              <w:t xml:space="preserve"> cyber security team</w:t>
            </w:r>
            <w:r w:rsidRPr="00FC6511">
              <w:rPr>
                <w:rFonts w:eastAsia="Times New Roman" w:cstheme="minorHAnsi"/>
                <w:color w:val="000000"/>
                <w:sz w:val="18"/>
                <w:szCs w:val="18"/>
              </w:rPr>
              <w:br/>
              <w:t>Investigate other means to bypass local networks (e</w:t>
            </w:r>
            <w:r w:rsidR="00DD463B">
              <w:rPr>
                <w:rFonts w:eastAsia="Times New Roman" w:cstheme="minorHAnsi"/>
                <w:color w:val="000000"/>
                <w:sz w:val="18"/>
                <w:szCs w:val="18"/>
              </w:rPr>
              <w:t>.</w:t>
            </w:r>
            <w:r w:rsidRPr="00FC6511">
              <w:rPr>
                <w:rFonts w:eastAsia="Times New Roman" w:cstheme="minorHAnsi"/>
                <w:color w:val="000000"/>
                <w:sz w:val="18"/>
                <w:szCs w:val="18"/>
              </w:rPr>
              <w:t>g</w:t>
            </w:r>
            <w:r w:rsidR="00DD463B">
              <w:rPr>
                <w:rFonts w:eastAsia="Times New Roman" w:cstheme="minorHAnsi"/>
                <w:color w:val="000000"/>
                <w:sz w:val="18"/>
                <w:szCs w:val="18"/>
              </w:rPr>
              <w:t>.</w:t>
            </w:r>
            <w:r w:rsidRPr="00FC6511">
              <w:rPr>
                <w:rFonts w:eastAsia="Times New Roman" w:cstheme="minorHAnsi"/>
                <w:color w:val="000000"/>
                <w:sz w:val="18"/>
                <w:szCs w:val="18"/>
              </w:rPr>
              <w:t xml:space="preserve"> Sat comms)</w:t>
            </w:r>
          </w:p>
        </w:tc>
        <w:tc>
          <w:tcPr>
            <w:tcW w:w="683" w:type="dxa"/>
            <w:tcBorders>
              <w:top w:val="nil"/>
              <w:left w:val="single" w:sz="4" w:space="0" w:color="BFBFBF"/>
              <w:bottom w:val="single" w:sz="4" w:space="0" w:color="BFBFBF"/>
              <w:right w:val="single" w:sz="4" w:space="0" w:color="BFBFBF"/>
            </w:tcBorders>
            <w:shd w:val="clear" w:color="auto" w:fill="auto"/>
            <w:vAlign w:val="center"/>
            <w:hideMark/>
          </w:tcPr>
          <w:p w14:paraId="72B1C5D5"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Open</w:t>
            </w:r>
          </w:p>
        </w:tc>
        <w:tc>
          <w:tcPr>
            <w:tcW w:w="1084" w:type="dxa"/>
            <w:tcBorders>
              <w:top w:val="nil"/>
              <w:left w:val="nil"/>
              <w:bottom w:val="single" w:sz="4" w:space="0" w:color="BFBFBF"/>
              <w:right w:val="single" w:sz="4" w:space="0" w:color="BFBFBF"/>
            </w:tcBorders>
            <w:shd w:val="clear" w:color="auto" w:fill="auto"/>
            <w:vAlign w:val="center"/>
            <w:hideMark/>
          </w:tcPr>
          <w:p w14:paraId="28FF7757"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87" w:type="dxa"/>
            <w:tcBorders>
              <w:top w:val="nil"/>
              <w:left w:val="nil"/>
              <w:bottom w:val="single" w:sz="4" w:space="0" w:color="BFBFBF"/>
              <w:right w:val="nil"/>
            </w:tcBorders>
            <w:shd w:val="clear" w:color="auto" w:fill="auto"/>
            <w:vAlign w:val="center"/>
            <w:hideMark/>
          </w:tcPr>
          <w:p w14:paraId="6B91FAED"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91" w:type="dxa"/>
            <w:tcBorders>
              <w:top w:val="nil"/>
              <w:left w:val="single" w:sz="4" w:space="0" w:color="BFBFBF"/>
              <w:bottom w:val="single" w:sz="4" w:space="0" w:color="BFBFBF"/>
              <w:right w:val="nil"/>
            </w:tcBorders>
            <w:shd w:val="clear" w:color="auto" w:fill="auto"/>
            <w:vAlign w:val="center"/>
            <w:hideMark/>
          </w:tcPr>
          <w:p w14:paraId="5A544A63"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898" w:type="dxa"/>
            <w:tcBorders>
              <w:top w:val="nil"/>
              <w:left w:val="single" w:sz="4" w:space="0" w:color="BFBFBF"/>
              <w:bottom w:val="single" w:sz="4" w:space="0" w:color="BFBFBF"/>
              <w:right w:val="nil"/>
            </w:tcBorders>
            <w:shd w:val="clear" w:color="auto" w:fill="auto"/>
            <w:vAlign w:val="center"/>
            <w:hideMark/>
          </w:tcPr>
          <w:p w14:paraId="6EB68E34"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0</w:t>
            </w:r>
          </w:p>
        </w:tc>
      </w:tr>
      <w:tr w:rsidR="00AC5B3D" w:rsidRPr="00FC6511" w14:paraId="4AB9DF33" w14:textId="77777777" w:rsidTr="00022964">
        <w:trPr>
          <w:trHeight w:val="3405"/>
        </w:trPr>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2E504304"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Cross-Cutting</w:t>
            </w:r>
          </w:p>
        </w:tc>
        <w:tc>
          <w:tcPr>
            <w:tcW w:w="3368" w:type="dxa"/>
            <w:tcBorders>
              <w:top w:val="nil"/>
              <w:left w:val="nil"/>
              <w:bottom w:val="single" w:sz="4" w:space="0" w:color="BFBFBF"/>
              <w:right w:val="single" w:sz="4" w:space="0" w:color="BFBFBF"/>
            </w:tcBorders>
            <w:shd w:val="clear" w:color="auto" w:fill="auto"/>
            <w:hideMark/>
          </w:tcPr>
          <w:p w14:paraId="5827BAB5"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Due to: </w:t>
            </w:r>
            <w:r w:rsidRPr="00FC6511">
              <w:rPr>
                <w:rFonts w:eastAsia="Times New Roman" w:cstheme="minorHAnsi"/>
                <w:color w:val="000000"/>
                <w:sz w:val="18"/>
                <w:szCs w:val="18"/>
              </w:rPr>
              <w:t>BHC duty of care limitations</w:t>
            </w:r>
            <w:r w:rsidRPr="00FC6511">
              <w:rPr>
                <w:rFonts w:eastAsia="Times New Roman" w:cstheme="minorHAnsi"/>
                <w:b/>
                <w:bCs/>
                <w:color w:val="000000"/>
                <w:sz w:val="18"/>
                <w:szCs w:val="18"/>
              </w:rPr>
              <w:br/>
              <w:t xml:space="preserve">There is a risk that: </w:t>
            </w:r>
            <w:r w:rsidRPr="00FC6511">
              <w:rPr>
                <w:rFonts w:eastAsia="Times New Roman" w:cstheme="minorHAnsi"/>
                <w:color w:val="000000"/>
                <w:sz w:val="18"/>
                <w:szCs w:val="18"/>
              </w:rPr>
              <w:t xml:space="preserve">Delivery partners and Defra may have different levels of support from BHC whilst in country, according to their duty of care.  (For </w:t>
            </w:r>
            <w:proofErr w:type="gramStart"/>
            <w:r w:rsidRPr="00FC6511">
              <w:rPr>
                <w:rFonts w:eastAsia="Times New Roman" w:cstheme="minorHAnsi"/>
                <w:color w:val="000000"/>
                <w:sz w:val="18"/>
                <w:szCs w:val="18"/>
              </w:rPr>
              <w:t>example</w:t>
            </w:r>
            <w:proofErr w:type="gramEnd"/>
            <w:r w:rsidRPr="00FC6511">
              <w:rPr>
                <w:rFonts w:eastAsia="Times New Roman" w:cstheme="minorHAnsi"/>
                <w:color w:val="000000"/>
                <w:sz w:val="18"/>
                <w:szCs w:val="18"/>
              </w:rPr>
              <w:t xml:space="preserve"> Bangladesh BHC duty of care only provided for Defra and Cefas)</w:t>
            </w:r>
            <w:r w:rsidRPr="00FC6511">
              <w:rPr>
                <w:rFonts w:eastAsia="Times New Roman" w:cstheme="minorHAnsi"/>
                <w:b/>
                <w:bCs/>
                <w:color w:val="000000"/>
                <w:sz w:val="18"/>
                <w:szCs w:val="18"/>
              </w:rPr>
              <w:br/>
              <w:t xml:space="preserve">Which will result in: </w:t>
            </w:r>
            <w:r w:rsidRPr="00FC6511">
              <w:rPr>
                <w:rFonts w:eastAsia="Times New Roman" w:cstheme="minorHAnsi"/>
                <w:color w:val="000000"/>
                <w:sz w:val="18"/>
                <w:szCs w:val="18"/>
              </w:rPr>
              <w:t>a situation where partnership delegation is unintentionally split as a result of differing treatment whilst in country (especially in emergency situations).</w:t>
            </w:r>
          </w:p>
        </w:tc>
        <w:tc>
          <w:tcPr>
            <w:tcW w:w="1087" w:type="dxa"/>
            <w:tcBorders>
              <w:top w:val="nil"/>
              <w:left w:val="nil"/>
              <w:bottom w:val="single" w:sz="4" w:space="0" w:color="BFBFBF"/>
              <w:right w:val="single" w:sz="4" w:space="0" w:color="BFBFBF"/>
            </w:tcBorders>
            <w:shd w:val="clear" w:color="auto" w:fill="auto"/>
            <w:vAlign w:val="center"/>
            <w:hideMark/>
          </w:tcPr>
          <w:p w14:paraId="07328BD2"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Operational</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2AB781"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E9CE4"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7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2F65A62E"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16</w:t>
            </w:r>
          </w:p>
        </w:tc>
        <w:tc>
          <w:tcPr>
            <w:tcW w:w="2138" w:type="dxa"/>
            <w:tcBorders>
              <w:top w:val="nil"/>
              <w:left w:val="nil"/>
              <w:bottom w:val="nil"/>
              <w:right w:val="nil"/>
            </w:tcBorders>
            <w:shd w:val="clear" w:color="auto" w:fill="auto"/>
            <w:vAlign w:val="bottom"/>
            <w:hideMark/>
          </w:tcPr>
          <w:p w14:paraId="69A4F3E5"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Action(s): </w:t>
            </w:r>
            <w:r w:rsidRPr="00FC6511">
              <w:rPr>
                <w:rFonts w:eastAsia="Times New Roman" w:cstheme="minorHAnsi"/>
                <w:color w:val="000000"/>
                <w:sz w:val="18"/>
                <w:szCs w:val="18"/>
              </w:rPr>
              <w:t>Defra to check with existing countries and new partnerships that all delivery partners would be covered by BHC duty of care</w:t>
            </w:r>
            <w:r w:rsidRPr="00FC6511">
              <w:rPr>
                <w:rFonts w:eastAsia="Times New Roman" w:cstheme="minorHAnsi"/>
                <w:b/>
                <w:bCs/>
                <w:color w:val="000000"/>
                <w:sz w:val="18"/>
                <w:szCs w:val="18"/>
              </w:rPr>
              <w:br/>
            </w:r>
            <w:r w:rsidRPr="00FC6511">
              <w:rPr>
                <w:rFonts w:eastAsia="Times New Roman" w:cstheme="minorHAnsi"/>
                <w:color w:val="000000"/>
                <w:sz w:val="18"/>
                <w:szCs w:val="18"/>
              </w:rPr>
              <w:t xml:space="preserve">If delivery partners not covered (e.g. MMO &amp; Cefas for Bangladesh) enquire with post process to include all delivery partners on MOU- and initiate process. </w:t>
            </w:r>
            <w:r w:rsidRPr="00FC6511">
              <w:rPr>
                <w:rFonts w:eastAsia="Times New Roman" w:cstheme="minorHAnsi"/>
                <w:color w:val="000000"/>
                <w:sz w:val="18"/>
                <w:szCs w:val="18"/>
              </w:rPr>
              <w:br/>
              <w:t xml:space="preserve">If travel essential to countries where duty of care does not cover all delivery </w:t>
            </w:r>
            <w:proofErr w:type="gramStart"/>
            <w:r w:rsidRPr="00FC6511">
              <w:rPr>
                <w:rFonts w:eastAsia="Times New Roman" w:cstheme="minorHAnsi"/>
                <w:color w:val="000000"/>
                <w:sz w:val="18"/>
                <w:szCs w:val="18"/>
              </w:rPr>
              <w:t>partners</w:t>
            </w:r>
            <w:proofErr w:type="gramEnd"/>
            <w:r w:rsidRPr="00FC6511">
              <w:rPr>
                <w:rFonts w:eastAsia="Times New Roman" w:cstheme="minorHAnsi"/>
                <w:color w:val="000000"/>
                <w:sz w:val="18"/>
                <w:szCs w:val="18"/>
              </w:rPr>
              <w:t xml:space="preserve"> then ensure risk assessments are updated and alternative support is provided</w:t>
            </w:r>
          </w:p>
        </w:tc>
        <w:tc>
          <w:tcPr>
            <w:tcW w:w="683" w:type="dxa"/>
            <w:tcBorders>
              <w:top w:val="nil"/>
              <w:left w:val="single" w:sz="4" w:space="0" w:color="BFBFBF"/>
              <w:bottom w:val="single" w:sz="4" w:space="0" w:color="BFBFBF"/>
              <w:right w:val="single" w:sz="4" w:space="0" w:color="BFBFBF"/>
            </w:tcBorders>
            <w:shd w:val="clear" w:color="auto" w:fill="auto"/>
            <w:vAlign w:val="center"/>
            <w:hideMark/>
          </w:tcPr>
          <w:p w14:paraId="782D9971"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Open</w:t>
            </w:r>
          </w:p>
        </w:tc>
        <w:tc>
          <w:tcPr>
            <w:tcW w:w="1084" w:type="dxa"/>
            <w:tcBorders>
              <w:top w:val="nil"/>
              <w:left w:val="nil"/>
              <w:bottom w:val="single" w:sz="4" w:space="0" w:color="BFBFBF"/>
              <w:right w:val="single" w:sz="4" w:space="0" w:color="BFBFBF"/>
            </w:tcBorders>
            <w:shd w:val="clear" w:color="auto" w:fill="auto"/>
            <w:vAlign w:val="center"/>
            <w:hideMark/>
          </w:tcPr>
          <w:p w14:paraId="08646A8E"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87" w:type="dxa"/>
            <w:tcBorders>
              <w:top w:val="nil"/>
              <w:left w:val="nil"/>
              <w:bottom w:val="single" w:sz="4" w:space="0" w:color="BFBFBF"/>
              <w:right w:val="nil"/>
            </w:tcBorders>
            <w:shd w:val="clear" w:color="auto" w:fill="auto"/>
            <w:vAlign w:val="center"/>
            <w:hideMark/>
          </w:tcPr>
          <w:p w14:paraId="0F588FA6"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91" w:type="dxa"/>
            <w:tcBorders>
              <w:top w:val="nil"/>
              <w:left w:val="single" w:sz="4" w:space="0" w:color="BFBFBF"/>
              <w:bottom w:val="single" w:sz="4" w:space="0" w:color="BFBFBF"/>
              <w:right w:val="nil"/>
            </w:tcBorders>
            <w:shd w:val="clear" w:color="auto" w:fill="auto"/>
            <w:vAlign w:val="center"/>
            <w:hideMark/>
          </w:tcPr>
          <w:p w14:paraId="538B8069"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898" w:type="dxa"/>
            <w:tcBorders>
              <w:top w:val="nil"/>
              <w:left w:val="single" w:sz="4" w:space="0" w:color="BFBFBF"/>
              <w:bottom w:val="single" w:sz="4" w:space="0" w:color="BFBFBF"/>
              <w:right w:val="nil"/>
            </w:tcBorders>
            <w:shd w:val="clear" w:color="auto" w:fill="auto"/>
            <w:vAlign w:val="center"/>
            <w:hideMark/>
          </w:tcPr>
          <w:p w14:paraId="29CA2353"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0</w:t>
            </w:r>
          </w:p>
        </w:tc>
      </w:tr>
      <w:tr w:rsidR="00AC5B3D" w:rsidRPr="00FC6511" w14:paraId="6ADBEEA1" w14:textId="77777777" w:rsidTr="00022964">
        <w:trPr>
          <w:trHeight w:val="2259"/>
        </w:trPr>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57B47C45"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lastRenderedPageBreak/>
              <w:t>Cross-Cutting</w:t>
            </w:r>
          </w:p>
        </w:tc>
        <w:tc>
          <w:tcPr>
            <w:tcW w:w="3368" w:type="dxa"/>
            <w:tcBorders>
              <w:top w:val="nil"/>
              <w:left w:val="nil"/>
              <w:bottom w:val="single" w:sz="4" w:space="0" w:color="BFBFBF"/>
              <w:right w:val="single" w:sz="4" w:space="0" w:color="BFBFBF"/>
            </w:tcBorders>
            <w:shd w:val="clear" w:color="auto" w:fill="auto"/>
            <w:hideMark/>
          </w:tcPr>
          <w:p w14:paraId="42104D9D"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Due to: </w:t>
            </w:r>
            <w:r w:rsidRPr="00FC6511">
              <w:rPr>
                <w:rFonts w:eastAsia="Times New Roman" w:cstheme="minorHAnsi"/>
                <w:color w:val="000000"/>
                <w:sz w:val="18"/>
                <w:szCs w:val="18"/>
              </w:rPr>
              <w:t>The ongoing global Covid-19 pandemic.</w:t>
            </w:r>
            <w:r w:rsidRPr="00FC6511">
              <w:rPr>
                <w:rFonts w:eastAsia="Times New Roman" w:cstheme="minorHAnsi"/>
                <w:b/>
                <w:bCs/>
                <w:color w:val="000000"/>
                <w:sz w:val="18"/>
                <w:szCs w:val="18"/>
              </w:rPr>
              <w:t xml:space="preserve">  </w:t>
            </w:r>
            <w:r w:rsidRPr="00FC6511">
              <w:rPr>
                <w:rFonts w:eastAsia="Times New Roman" w:cstheme="minorHAnsi"/>
                <w:b/>
                <w:bCs/>
                <w:color w:val="000000"/>
                <w:sz w:val="18"/>
                <w:szCs w:val="18"/>
              </w:rPr>
              <w:br/>
              <w:t xml:space="preserve">There is a risk that: </w:t>
            </w:r>
            <w:r w:rsidRPr="00FC6511">
              <w:rPr>
                <w:rFonts w:eastAsia="Times New Roman" w:cstheme="minorHAnsi"/>
                <w:color w:val="000000"/>
                <w:sz w:val="18"/>
                <w:szCs w:val="18"/>
              </w:rPr>
              <w:t>Restrictions may be in brought in place that limit delivery in-country, as well as staff having a heightened chance of infection on visits.</w:t>
            </w:r>
            <w:r w:rsidRPr="00FC6511">
              <w:rPr>
                <w:rFonts w:eastAsia="Times New Roman" w:cstheme="minorHAnsi"/>
                <w:color w:val="000000"/>
                <w:sz w:val="18"/>
                <w:szCs w:val="18"/>
              </w:rPr>
              <w:br/>
            </w:r>
            <w:r w:rsidRPr="00FC6511">
              <w:rPr>
                <w:rFonts w:eastAsia="Times New Roman" w:cstheme="minorHAnsi"/>
                <w:b/>
                <w:bCs/>
                <w:color w:val="000000"/>
                <w:sz w:val="18"/>
                <w:szCs w:val="18"/>
              </w:rPr>
              <w:t xml:space="preserve">Which will result in: </w:t>
            </w:r>
            <w:r w:rsidRPr="00FC6511">
              <w:rPr>
                <w:rFonts w:eastAsia="Times New Roman" w:cstheme="minorHAnsi"/>
                <w:color w:val="000000"/>
                <w:sz w:val="18"/>
                <w:szCs w:val="18"/>
              </w:rPr>
              <w:t>Delays/disruption to delivery in country</w:t>
            </w:r>
            <w:r w:rsidRPr="00FC6511">
              <w:rPr>
                <w:rFonts w:eastAsia="Times New Roman" w:cstheme="minorHAnsi"/>
                <w:b/>
                <w:bCs/>
                <w:color w:val="000000"/>
                <w:sz w:val="18"/>
                <w:szCs w:val="18"/>
              </w:rPr>
              <w:t xml:space="preserve">                         </w:t>
            </w:r>
          </w:p>
        </w:tc>
        <w:tc>
          <w:tcPr>
            <w:tcW w:w="1087" w:type="dxa"/>
            <w:tcBorders>
              <w:top w:val="nil"/>
              <w:left w:val="nil"/>
              <w:bottom w:val="single" w:sz="4" w:space="0" w:color="BFBFBF"/>
              <w:right w:val="single" w:sz="4" w:space="0" w:color="BFBFBF"/>
            </w:tcBorders>
            <w:shd w:val="clear" w:color="auto" w:fill="auto"/>
            <w:vAlign w:val="center"/>
            <w:hideMark/>
          </w:tcPr>
          <w:p w14:paraId="067E651E"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External</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F9E4A6"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C58959"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7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2F32FB64"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12</w:t>
            </w:r>
          </w:p>
        </w:tc>
        <w:tc>
          <w:tcPr>
            <w:tcW w:w="2138" w:type="dxa"/>
            <w:tcBorders>
              <w:top w:val="single" w:sz="4" w:space="0" w:color="BFBFBF"/>
              <w:left w:val="nil"/>
              <w:bottom w:val="single" w:sz="4" w:space="0" w:color="BFBFBF"/>
              <w:right w:val="single" w:sz="4" w:space="0" w:color="BFBFBF"/>
            </w:tcBorders>
            <w:shd w:val="clear" w:color="auto" w:fill="auto"/>
            <w:hideMark/>
          </w:tcPr>
          <w:p w14:paraId="51E2FFEC"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Action(s): </w:t>
            </w:r>
            <w:r w:rsidRPr="00FC6511">
              <w:rPr>
                <w:rFonts w:eastAsia="Times New Roman" w:cstheme="minorHAnsi"/>
                <w:b/>
                <w:bCs/>
                <w:color w:val="000000"/>
                <w:sz w:val="18"/>
                <w:szCs w:val="18"/>
              </w:rPr>
              <w:br/>
            </w:r>
            <w:r w:rsidRPr="00FC6511">
              <w:rPr>
                <w:rFonts w:eastAsia="Times New Roman" w:cstheme="minorHAnsi"/>
                <w:color w:val="000000"/>
                <w:sz w:val="18"/>
                <w:szCs w:val="18"/>
              </w:rPr>
              <w:t>Take extra precautions (lateral flow tests, preparation for potential quarantine) when undertaking international visits.</w:t>
            </w:r>
            <w:r w:rsidRPr="00FC6511">
              <w:rPr>
                <w:rFonts w:eastAsia="Times New Roman" w:cstheme="minorHAnsi"/>
                <w:color w:val="000000"/>
                <w:sz w:val="18"/>
                <w:szCs w:val="18"/>
              </w:rPr>
              <w:br/>
              <w:t>Closely monitor changing guidelines in partner countries.</w:t>
            </w:r>
          </w:p>
        </w:tc>
        <w:tc>
          <w:tcPr>
            <w:tcW w:w="683" w:type="dxa"/>
            <w:tcBorders>
              <w:top w:val="nil"/>
              <w:left w:val="nil"/>
              <w:bottom w:val="single" w:sz="4" w:space="0" w:color="BFBFBF"/>
              <w:right w:val="single" w:sz="4" w:space="0" w:color="BFBFBF"/>
            </w:tcBorders>
            <w:shd w:val="clear" w:color="auto" w:fill="auto"/>
            <w:vAlign w:val="center"/>
            <w:hideMark/>
          </w:tcPr>
          <w:p w14:paraId="0C80DD59"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Open</w:t>
            </w:r>
          </w:p>
        </w:tc>
        <w:tc>
          <w:tcPr>
            <w:tcW w:w="1084" w:type="dxa"/>
            <w:tcBorders>
              <w:top w:val="nil"/>
              <w:left w:val="nil"/>
              <w:bottom w:val="single" w:sz="4" w:space="0" w:color="BFBFBF"/>
              <w:right w:val="single" w:sz="4" w:space="0" w:color="BFBFBF"/>
            </w:tcBorders>
            <w:shd w:val="clear" w:color="auto" w:fill="auto"/>
            <w:vAlign w:val="center"/>
            <w:hideMark/>
          </w:tcPr>
          <w:p w14:paraId="46B8664A"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87" w:type="dxa"/>
            <w:tcBorders>
              <w:top w:val="nil"/>
              <w:left w:val="nil"/>
              <w:bottom w:val="single" w:sz="4" w:space="0" w:color="BFBFBF"/>
              <w:right w:val="nil"/>
            </w:tcBorders>
            <w:shd w:val="clear" w:color="auto" w:fill="auto"/>
            <w:vAlign w:val="center"/>
            <w:hideMark/>
          </w:tcPr>
          <w:p w14:paraId="2B38FF3F"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91" w:type="dxa"/>
            <w:tcBorders>
              <w:top w:val="nil"/>
              <w:left w:val="single" w:sz="4" w:space="0" w:color="BFBFBF"/>
              <w:bottom w:val="single" w:sz="4" w:space="0" w:color="BFBFBF"/>
              <w:right w:val="nil"/>
            </w:tcBorders>
            <w:shd w:val="clear" w:color="auto" w:fill="auto"/>
            <w:vAlign w:val="center"/>
            <w:hideMark/>
          </w:tcPr>
          <w:p w14:paraId="44A4EFF9"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898" w:type="dxa"/>
            <w:tcBorders>
              <w:top w:val="nil"/>
              <w:left w:val="single" w:sz="4" w:space="0" w:color="BFBFBF"/>
              <w:bottom w:val="single" w:sz="4" w:space="0" w:color="BFBFBF"/>
              <w:right w:val="nil"/>
            </w:tcBorders>
            <w:shd w:val="clear" w:color="auto" w:fill="auto"/>
            <w:vAlign w:val="center"/>
            <w:hideMark/>
          </w:tcPr>
          <w:p w14:paraId="0697065E"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0</w:t>
            </w:r>
          </w:p>
        </w:tc>
      </w:tr>
      <w:tr w:rsidR="00AC5B3D" w:rsidRPr="00FC6511" w14:paraId="05156126" w14:textId="77777777" w:rsidTr="00022964">
        <w:trPr>
          <w:trHeight w:val="1751"/>
        </w:trPr>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125E9652"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Cross-Cutting</w:t>
            </w:r>
          </w:p>
        </w:tc>
        <w:tc>
          <w:tcPr>
            <w:tcW w:w="3368" w:type="dxa"/>
            <w:tcBorders>
              <w:top w:val="nil"/>
              <w:left w:val="nil"/>
              <w:bottom w:val="single" w:sz="4" w:space="0" w:color="BFBFBF"/>
              <w:right w:val="single" w:sz="4" w:space="0" w:color="BFBFBF"/>
            </w:tcBorders>
            <w:shd w:val="clear" w:color="auto" w:fill="auto"/>
            <w:hideMark/>
          </w:tcPr>
          <w:p w14:paraId="51B976C5" w14:textId="77777777" w:rsidR="00AC5B3D" w:rsidRPr="00FC6511" w:rsidRDefault="00AC5B3D" w:rsidP="00022964">
            <w:pPr>
              <w:spacing w:after="0" w:line="240" w:lineRule="auto"/>
              <w:rPr>
                <w:rFonts w:eastAsia="Times New Roman" w:cstheme="minorHAnsi"/>
                <w:color w:val="000000"/>
                <w:sz w:val="18"/>
                <w:szCs w:val="18"/>
              </w:rPr>
            </w:pPr>
            <w:r w:rsidRPr="00FC6511">
              <w:rPr>
                <w:rFonts w:eastAsia="Times New Roman" w:cstheme="minorHAnsi"/>
                <w:b/>
                <w:bCs/>
                <w:color w:val="000000"/>
                <w:sz w:val="18"/>
                <w:szCs w:val="18"/>
              </w:rPr>
              <w:t xml:space="preserve">Due </w:t>
            </w:r>
            <w:proofErr w:type="gramStart"/>
            <w:r w:rsidRPr="00FC6511">
              <w:rPr>
                <w:rFonts w:eastAsia="Times New Roman" w:cstheme="minorHAnsi"/>
                <w:b/>
                <w:bCs/>
                <w:color w:val="000000"/>
                <w:sz w:val="18"/>
                <w:szCs w:val="18"/>
              </w:rPr>
              <w:t>to:</w:t>
            </w:r>
            <w:proofErr w:type="gramEnd"/>
            <w:r w:rsidRPr="00FC6511">
              <w:rPr>
                <w:rFonts w:eastAsia="Times New Roman" w:cstheme="minorHAnsi"/>
                <w:color w:val="000000"/>
                <w:sz w:val="18"/>
                <w:szCs w:val="18"/>
              </w:rPr>
              <w:t xml:space="preserve"> unpredictable sign off processes and longer than anticipated development times for country MoUs. </w:t>
            </w:r>
            <w:r w:rsidRPr="00FC6511">
              <w:rPr>
                <w:rFonts w:eastAsia="Times New Roman" w:cstheme="minorHAnsi"/>
                <w:color w:val="000000"/>
                <w:sz w:val="18"/>
                <w:szCs w:val="18"/>
              </w:rPr>
              <w:br/>
            </w:r>
            <w:r w:rsidRPr="00FC6511">
              <w:rPr>
                <w:rFonts w:eastAsia="Times New Roman" w:cstheme="minorHAnsi"/>
                <w:b/>
                <w:bCs/>
                <w:color w:val="000000"/>
                <w:sz w:val="18"/>
                <w:szCs w:val="18"/>
              </w:rPr>
              <w:t>There's a risk that: O</w:t>
            </w:r>
            <w:r w:rsidRPr="00FC6511">
              <w:rPr>
                <w:rFonts w:eastAsia="Times New Roman" w:cstheme="minorHAnsi"/>
                <w:color w:val="000000"/>
                <w:sz w:val="18"/>
                <w:szCs w:val="18"/>
              </w:rPr>
              <w:t>ur ability to spend and deliver is compromised. (e.g. MoUs may be required for in-country staff in some countries)</w:t>
            </w:r>
          </w:p>
        </w:tc>
        <w:tc>
          <w:tcPr>
            <w:tcW w:w="1087" w:type="dxa"/>
            <w:tcBorders>
              <w:top w:val="nil"/>
              <w:left w:val="nil"/>
              <w:bottom w:val="single" w:sz="4" w:space="0" w:color="BFBFBF"/>
              <w:right w:val="single" w:sz="4" w:space="0" w:color="BFBFBF"/>
            </w:tcBorders>
            <w:shd w:val="clear" w:color="auto" w:fill="auto"/>
            <w:vAlign w:val="center"/>
            <w:hideMark/>
          </w:tcPr>
          <w:p w14:paraId="530E3922"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Strategic / Business</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B2B7D3"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42F7C3"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7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627D313"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16</w:t>
            </w:r>
          </w:p>
        </w:tc>
        <w:tc>
          <w:tcPr>
            <w:tcW w:w="2138" w:type="dxa"/>
            <w:tcBorders>
              <w:top w:val="nil"/>
              <w:left w:val="nil"/>
              <w:bottom w:val="single" w:sz="4" w:space="0" w:color="BFBFBF"/>
              <w:right w:val="single" w:sz="4" w:space="0" w:color="BFBFBF"/>
            </w:tcBorders>
            <w:shd w:val="clear" w:color="auto" w:fill="auto"/>
            <w:hideMark/>
          </w:tcPr>
          <w:p w14:paraId="50D95492" w14:textId="77777777" w:rsidR="00AC5B3D" w:rsidRPr="00FC6511" w:rsidRDefault="00AC5B3D" w:rsidP="00022964">
            <w:pPr>
              <w:spacing w:after="0" w:line="240" w:lineRule="auto"/>
              <w:rPr>
                <w:rFonts w:eastAsia="Times New Roman" w:cstheme="minorHAnsi"/>
                <w:color w:val="000000"/>
                <w:sz w:val="18"/>
                <w:szCs w:val="18"/>
              </w:rPr>
            </w:pPr>
            <w:r w:rsidRPr="00FC6511">
              <w:rPr>
                <w:rFonts w:eastAsia="Times New Roman" w:cstheme="minorHAnsi"/>
                <w:color w:val="000000"/>
                <w:sz w:val="18"/>
                <w:szCs w:val="18"/>
              </w:rPr>
              <w:t> </w:t>
            </w:r>
          </w:p>
        </w:tc>
        <w:tc>
          <w:tcPr>
            <w:tcW w:w="683" w:type="dxa"/>
            <w:tcBorders>
              <w:top w:val="nil"/>
              <w:left w:val="nil"/>
              <w:bottom w:val="single" w:sz="4" w:space="0" w:color="BFBFBF"/>
              <w:right w:val="single" w:sz="4" w:space="0" w:color="BFBFBF"/>
            </w:tcBorders>
            <w:shd w:val="clear" w:color="auto" w:fill="auto"/>
            <w:vAlign w:val="center"/>
            <w:hideMark/>
          </w:tcPr>
          <w:p w14:paraId="3C8E489F"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1084" w:type="dxa"/>
            <w:tcBorders>
              <w:top w:val="nil"/>
              <w:left w:val="nil"/>
              <w:bottom w:val="single" w:sz="4" w:space="0" w:color="BFBFBF"/>
              <w:right w:val="single" w:sz="4" w:space="0" w:color="BFBFBF"/>
            </w:tcBorders>
            <w:shd w:val="clear" w:color="auto" w:fill="auto"/>
            <w:vAlign w:val="center"/>
            <w:hideMark/>
          </w:tcPr>
          <w:p w14:paraId="3984BE99"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87" w:type="dxa"/>
            <w:tcBorders>
              <w:top w:val="nil"/>
              <w:left w:val="nil"/>
              <w:bottom w:val="single" w:sz="4" w:space="0" w:color="BFBFBF"/>
              <w:right w:val="nil"/>
            </w:tcBorders>
            <w:shd w:val="clear" w:color="auto" w:fill="auto"/>
            <w:vAlign w:val="center"/>
            <w:hideMark/>
          </w:tcPr>
          <w:p w14:paraId="3490CE52"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91" w:type="dxa"/>
            <w:tcBorders>
              <w:top w:val="nil"/>
              <w:left w:val="single" w:sz="4" w:space="0" w:color="BFBFBF"/>
              <w:bottom w:val="single" w:sz="4" w:space="0" w:color="BFBFBF"/>
              <w:right w:val="nil"/>
            </w:tcBorders>
            <w:shd w:val="clear" w:color="auto" w:fill="auto"/>
            <w:vAlign w:val="center"/>
            <w:hideMark/>
          </w:tcPr>
          <w:p w14:paraId="3247F85B"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898" w:type="dxa"/>
            <w:tcBorders>
              <w:top w:val="nil"/>
              <w:left w:val="single" w:sz="4" w:space="0" w:color="BFBFBF"/>
              <w:bottom w:val="single" w:sz="4" w:space="0" w:color="BFBFBF"/>
              <w:right w:val="nil"/>
            </w:tcBorders>
            <w:shd w:val="clear" w:color="auto" w:fill="auto"/>
            <w:vAlign w:val="center"/>
            <w:hideMark/>
          </w:tcPr>
          <w:p w14:paraId="0E0F895D"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0</w:t>
            </w:r>
          </w:p>
        </w:tc>
      </w:tr>
      <w:tr w:rsidR="00AC5B3D" w:rsidRPr="00FC6511" w14:paraId="5A012FC6" w14:textId="77777777" w:rsidTr="00022964">
        <w:trPr>
          <w:trHeight w:val="2640"/>
        </w:trPr>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203C904D"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Cross-Cutting</w:t>
            </w:r>
          </w:p>
        </w:tc>
        <w:tc>
          <w:tcPr>
            <w:tcW w:w="3368" w:type="dxa"/>
            <w:tcBorders>
              <w:top w:val="nil"/>
              <w:left w:val="nil"/>
              <w:bottom w:val="single" w:sz="4" w:space="0" w:color="BFBFBF"/>
              <w:right w:val="single" w:sz="4" w:space="0" w:color="BFBFBF"/>
            </w:tcBorders>
            <w:shd w:val="clear" w:color="auto" w:fill="auto"/>
            <w:hideMark/>
          </w:tcPr>
          <w:p w14:paraId="4E7894DE" w14:textId="77777777" w:rsidR="00AC5B3D" w:rsidRPr="00FC6511" w:rsidRDefault="00AC5B3D" w:rsidP="00022964">
            <w:pPr>
              <w:spacing w:after="0" w:line="240" w:lineRule="auto"/>
              <w:rPr>
                <w:rFonts w:eastAsia="Times New Roman" w:cstheme="minorHAnsi"/>
                <w:color w:val="000000"/>
                <w:sz w:val="18"/>
                <w:szCs w:val="18"/>
              </w:rPr>
            </w:pPr>
            <w:r w:rsidRPr="00FC6511">
              <w:rPr>
                <w:rFonts w:eastAsia="Times New Roman" w:cstheme="minorHAnsi"/>
                <w:b/>
                <w:bCs/>
                <w:color w:val="000000"/>
                <w:sz w:val="18"/>
                <w:szCs w:val="18"/>
              </w:rPr>
              <w:t xml:space="preserve">Due to: </w:t>
            </w:r>
            <w:r w:rsidRPr="00FC6511">
              <w:rPr>
                <w:rFonts w:eastAsia="Times New Roman" w:cstheme="minorHAnsi"/>
                <w:color w:val="000000"/>
                <w:sz w:val="18"/>
                <w:szCs w:val="18"/>
              </w:rPr>
              <w:t>The increased scope and ambition of the programme not being matched by commensurate increase in resource.</w:t>
            </w:r>
            <w:r w:rsidRPr="00FC6511">
              <w:rPr>
                <w:rFonts w:eastAsia="Times New Roman" w:cstheme="minorHAnsi"/>
                <w:color w:val="000000"/>
                <w:sz w:val="18"/>
                <w:szCs w:val="18"/>
              </w:rPr>
              <w:br/>
            </w:r>
            <w:r w:rsidRPr="00FC6511">
              <w:rPr>
                <w:rFonts w:eastAsia="Times New Roman" w:cstheme="minorHAnsi"/>
                <w:b/>
                <w:bCs/>
                <w:color w:val="000000"/>
                <w:sz w:val="18"/>
                <w:szCs w:val="18"/>
              </w:rPr>
              <w:t xml:space="preserve">There is a risk that: </w:t>
            </w:r>
            <w:r w:rsidRPr="00FC6511">
              <w:rPr>
                <w:rFonts w:eastAsia="Times New Roman" w:cstheme="minorHAnsi"/>
                <w:color w:val="000000"/>
                <w:sz w:val="18"/>
                <w:szCs w:val="18"/>
              </w:rPr>
              <w:t>The delivery of some partnerships will be compromised.</w:t>
            </w:r>
          </w:p>
        </w:tc>
        <w:tc>
          <w:tcPr>
            <w:tcW w:w="1087" w:type="dxa"/>
            <w:tcBorders>
              <w:top w:val="nil"/>
              <w:left w:val="nil"/>
              <w:bottom w:val="single" w:sz="4" w:space="0" w:color="BFBFBF"/>
              <w:right w:val="single" w:sz="4" w:space="0" w:color="BFBFBF"/>
            </w:tcBorders>
            <w:shd w:val="clear" w:color="auto" w:fill="auto"/>
            <w:vAlign w:val="center"/>
            <w:hideMark/>
          </w:tcPr>
          <w:p w14:paraId="02F3D9A6"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People</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F17657"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55DAEC" w14:textId="77777777" w:rsidR="00AC5B3D" w:rsidRPr="00FC6511" w:rsidRDefault="00AC5B3D" w:rsidP="00022964">
            <w:pPr>
              <w:spacing w:after="0" w:line="240" w:lineRule="auto"/>
              <w:jc w:val="center"/>
              <w:rPr>
                <w:rFonts w:eastAsia="Times New Roman" w:cstheme="minorHAnsi"/>
                <w:color w:val="FF0000"/>
                <w:sz w:val="18"/>
                <w:szCs w:val="18"/>
              </w:rPr>
            </w:pPr>
            <w:r w:rsidRPr="00FC6511">
              <w:rPr>
                <w:rFonts w:eastAsia="Times New Roman" w:cstheme="minorHAnsi"/>
                <w:color w:val="FF0000"/>
                <w:sz w:val="18"/>
                <w:szCs w:val="18"/>
              </w:rPr>
              <w:t>High</w:t>
            </w:r>
          </w:p>
        </w:tc>
        <w:tc>
          <w:tcPr>
            <w:tcW w:w="97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1BC6F1E"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12</w:t>
            </w:r>
          </w:p>
        </w:tc>
        <w:tc>
          <w:tcPr>
            <w:tcW w:w="2138" w:type="dxa"/>
            <w:tcBorders>
              <w:top w:val="nil"/>
              <w:left w:val="nil"/>
              <w:bottom w:val="single" w:sz="4" w:space="0" w:color="BFBFBF"/>
              <w:right w:val="single" w:sz="4" w:space="0" w:color="BFBFBF"/>
            </w:tcBorders>
            <w:shd w:val="clear" w:color="auto" w:fill="auto"/>
            <w:hideMark/>
          </w:tcPr>
          <w:p w14:paraId="64FFB481"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Action(s): </w:t>
            </w:r>
            <w:r w:rsidRPr="00FC6511">
              <w:rPr>
                <w:rFonts w:eastAsia="Times New Roman" w:cstheme="minorHAnsi"/>
                <w:b/>
                <w:bCs/>
                <w:color w:val="000000"/>
                <w:sz w:val="18"/>
                <w:szCs w:val="18"/>
              </w:rPr>
              <w:br/>
            </w:r>
            <w:r w:rsidRPr="00FC6511">
              <w:rPr>
                <w:rFonts w:eastAsia="Times New Roman" w:cstheme="minorHAnsi"/>
                <w:color w:val="000000"/>
                <w:sz w:val="18"/>
                <w:szCs w:val="18"/>
              </w:rPr>
              <w:t xml:space="preserve">Procuring new delivery partner for new sustainable seafood work. </w:t>
            </w:r>
          </w:p>
        </w:tc>
        <w:tc>
          <w:tcPr>
            <w:tcW w:w="683" w:type="dxa"/>
            <w:tcBorders>
              <w:top w:val="nil"/>
              <w:left w:val="nil"/>
              <w:bottom w:val="single" w:sz="4" w:space="0" w:color="BFBFBF"/>
              <w:right w:val="single" w:sz="4" w:space="0" w:color="BFBFBF"/>
            </w:tcBorders>
            <w:shd w:val="clear" w:color="auto" w:fill="auto"/>
            <w:vAlign w:val="center"/>
            <w:hideMark/>
          </w:tcPr>
          <w:p w14:paraId="40BC9433"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Open</w:t>
            </w:r>
          </w:p>
        </w:tc>
        <w:tc>
          <w:tcPr>
            <w:tcW w:w="1084" w:type="dxa"/>
            <w:tcBorders>
              <w:top w:val="nil"/>
              <w:left w:val="nil"/>
              <w:bottom w:val="single" w:sz="4" w:space="0" w:color="BFBFBF"/>
              <w:right w:val="single" w:sz="4" w:space="0" w:color="BFBFBF"/>
            </w:tcBorders>
            <w:shd w:val="clear" w:color="auto" w:fill="auto"/>
            <w:vAlign w:val="center"/>
            <w:hideMark/>
          </w:tcPr>
          <w:p w14:paraId="1D8E527A"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26/08/2022</w:t>
            </w:r>
          </w:p>
        </w:tc>
        <w:tc>
          <w:tcPr>
            <w:tcW w:w="987" w:type="dxa"/>
            <w:tcBorders>
              <w:top w:val="single" w:sz="4" w:space="0" w:color="BFBFBF"/>
              <w:left w:val="single" w:sz="4" w:space="0" w:color="BFBFBF"/>
              <w:bottom w:val="single" w:sz="4" w:space="0" w:color="BFBFBF"/>
              <w:right w:val="nil"/>
            </w:tcBorders>
            <w:shd w:val="clear" w:color="auto" w:fill="auto"/>
            <w:vAlign w:val="center"/>
            <w:hideMark/>
          </w:tcPr>
          <w:p w14:paraId="77FEE603"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91" w:type="dxa"/>
            <w:tcBorders>
              <w:top w:val="single" w:sz="4" w:space="0" w:color="BFBFBF"/>
              <w:left w:val="single" w:sz="4" w:space="0" w:color="BFBFBF"/>
              <w:bottom w:val="single" w:sz="4" w:space="0" w:color="BFBFBF"/>
              <w:right w:val="nil"/>
            </w:tcBorders>
            <w:shd w:val="clear" w:color="auto" w:fill="auto"/>
            <w:vAlign w:val="center"/>
            <w:hideMark/>
          </w:tcPr>
          <w:p w14:paraId="08CAFD2D"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898" w:type="dxa"/>
            <w:tcBorders>
              <w:top w:val="single" w:sz="4" w:space="0" w:color="BFBFBF"/>
              <w:left w:val="single" w:sz="4" w:space="0" w:color="BFBFBF"/>
              <w:bottom w:val="single" w:sz="4" w:space="0" w:color="BFBFBF"/>
              <w:right w:val="nil"/>
            </w:tcBorders>
            <w:shd w:val="clear" w:color="000000" w:fill="FFC000"/>
            <w:vAlign w:val="center"/>
            <w:hideMark/>
          </w:tcPr>
          <w:p w14:paraId="6E5F5307"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9</w:t>
            </w:r>
          </w:p>
        </w:tc>
      </w:tr>
      <w:tr w:rsidR="00AC5B3D" w:rsidRPr="00FC6511" w14:paraId="554097B8" w14:textId="77777777" w:rsidTr="00022964">
        <w:trPr>
          <w:trHeight w:val="1408"/>
        </w:trPr>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7A929F0F"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Cross-Cutting</w:t>
            </w:r>
          </w:p>
        </w:tc>
        <w:tc>
          <w:tcPr>
            <w:tcW w:w="3368" w:type="dxa"/>
            <w:tcBorders>
              <w:top w:val="nil"/>
              <w:left w:val="nil"/>
              <w:bottom w:val="single" w:sz="4" w:space="0" w:color="BFBFBF"/>
              <w:right w:val="single" w:sz="4" w:space="0" w:color="BFBFBF"/>
            </w:tcBorders>
            <w:shd w:val="clear" w:color="auto" w:fill="auto"/>
            <w:hideMark/>
          </w:tcPr>
          <w:p w14:paraId="65ED045F"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Due to: </w:t>
            </w:r>
            <w:r w:rsidRPr="00FC6511">
              <w:rPr>
                <w:rFonts w:eastAsia="Times New Roman" w:cstheme="minorHAnsi"/>
                <w:color w:val="000000"/>
                <w:sz w:val="18"/>
                <w:szCs w:val="18"/>
              </w:rPr>
              <w:t>BPF programmes coming on-line in the same countries in which we have partnerships (and vice versa).</w:t>
            </w:r>
            <w:r w:rsidRPr="00FC6511">
              <w:rPr>
                <w:rFonts w:eastAsia="Times New Roman" w:cstheme="minorHAnsi"/>
                <w:color w:val="000000"/>
                <w:sz w:val="18"/>
                <w:szCs w:val="18"/>
              </w:rPr>
              <w:br/>
            </w:r>
            <w:r w:rsidRPr="00FC6511">
              <w:rPr>
                <w:rFonts w:eastAsia="Times New Roman" w:cstheme="minorHAnsi"/>
                <w:b/>
                <w:bCs/>
                <w:color w:val="000000"/>
                <w:sz w:val="18"/>
                <w:szCs w:val="18"/>
              </w:rPr>
              <w:t>There is a risk that: T</w:t>
            </w:r>
            <w:r w:rsidRPr="00FC6511">
              <w:rPr>
                <w:rFonts w:eastAsia="Times New Roman" w:cstheme="minorHAnsi"/>
                <w:color w:val="000000"/>
                <w:sz w:val="18"/>
                <w:szCs w:val="18"/>
              </w:rPr>
              <w:t>he UK offer under the Blue Planet Fund becomes fragmented​.</w:t>
            </w:r>
          </w:p>
        </w:tc>
        <w:tc>
          <w:tcPr>
            <w:tcW w:w="1087" w:type="dxa"/>
            <w:tcBorders>
              <w:top w:val="nil"/>
              <w:left w:val="nil"/>
              <w:bottom w:val="single" w:sz="4" w:space="0" w:color="BFBFBF"/>
              <w:right w:val="single" w:sz="4" w:space="0" w:color="BFBFBF"/>
            </w:tcBorders>
            <w:shd w:val="clear" w:color="auto" w:fill="auto"/>
            <w:vAlign w:val="center"/>
            <w:hideMark/>
          </w:tcPr>
          <w:p w14:paraId="50CDAF84"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Operational</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33038"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EDC94F"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7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2250A402"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9</w:t>
            </w:r>
          </w:p>
        </w:tc>
        <w:tc>
          <w:tcPr>
            <w:tcW w:w="2138" w:type="dxa"/>
            <w:tcBorders>
              <w:top w:val="nil"/>
              <w:left w:val="nil"/>
              <w:bottom w:val="single" w:sz="4" w:space="0" w:color="BFBFBF"/>
              <w:right w:val="single" w:sz="4" w:space="0" w:color="BFBFBF"/>
            </w:tcBorders>
            <w:shd w:val="clear" w:color="auto" w:fill="auto"/>
            <w:hideMark/>
          </w:tcPr>
          <w:p w14:paraId="0AB09F12" w14:textId="77777777" w:rsidR="00AC5B3D" w:rsidRPr="00FC6511" w:rsidRDefault="00AC5B3D" w:rsidP="00022964">
            <w:pPr>
              <w:spacing w:after="0" w:line="240" w:lineRule="auto"/>
              <w:rPr>
                <w:rFonts w:eastAsia="Times New Roman" w:cstheme="minorHAnsi"/>
                <w:color w:val="000000"/>
                <w:sz w:val="18"/>
                <w:szCs w:val="18"/>
              </w:rPr>
            </w:pPr>
            <w:r w:rsidRPr="00FC6511">
              <w:rPr>
                <w:rFonts w:eastAsia="Times New Roman" w:cstheme="minorHAnsi"/>
                <w:color w:val="000000"/>
                <w:sz w:val="18"/>
                <w:szCs w:val="18"/>
              </w:rPr>
              <w:t> </w:t>
            </w:r>
          </w:p>
        </w:tc>
        <w:tc>
          <w:tcPr>
            <w:tcW w:w="683" w:type="dxa"/>
            <w:tcBorders>
              <w:top w:val="nil"/>
              <w:left w:val="nil"/>
              <w:bottom w:val="single" w:sz="4" w:space="0" w:color="BFBFBF"/>
              <w:right w:val="single" w:sz="4" w:space="0" w:color="BFBFBF"/>
            </w:tcBorders>
            <w:shd w:val="clear" w:color="auto" w:fill="auto"/>
            <w:vAlign w:val="center"/>
            <w:hideMark/>
          </w:tcPr>
          <w:p w14:paraId="34D32DD0"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1084" w:type="dxa"/>
            <w:tcBorders>
              <w:top w:val="nil"/>
              <w:left w:val="nil"/>
              <w:bottom w:val="single" w:sz="4" w:space="0" w:color="BFBFBF"/>
              <w:right w:val="single" w:sz="4" w:space="0" w:color="BFBFBF"/>
            </w:tcBorders>
            <w:shd w:val="clear" w:color="auto" w:fill="auto"/>
            <w:vAlign w:val="center"/>
            <w:hideMark/>
          </w:tcPr>
          <w:p w14:paraId="249147DA"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87" w:type="dxa"/>
            <w:tcBorders>
              <w:top w:val="nil"/>
              <w:left w:val="nil"/>
              <w:bottom w:val="single" w:sz="4" w:space="0" w:color="BFBFBF"/>
              <w:right w:val="nil"/>
            </w:tcBorders>
            <w:shd w:val="clear" w:color="auto" w:fill="auto"/>
            <w:vAlign w:val="center"/>
            <w:hideMark/>
          </w:tcPr>
          <w:p w14:paraId="747E2E04"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91" w:type="dxa"/>
            <w:tcBorders>
              <w:top w:val="nil"/>
              <w:left w:val="single" w:sz="4" w:space="0" w:color="BFBFBF"/>
              <w:bottom w:val="single" w:sz="4" w:space="0" w:color="BFBFBF"/>
              <w:right w:val="nil"/>
            </w:tcBorders>
            <w:shd w:val="clear" w:color="auto" w:fill="auto"/>
            <w:vAlign w:val="center"/>
            <w:hideMark/>
          </w:tcPr>
          <w:p w14:paraId="27B835A8"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898" w:type="dxa"/>
            <w:tcBorders>
              <w:top w:val="nil"/>
              <w:left w:val="single" w:sz="4" w:space="0" w:color="BFBFBF"/>
              <w:bottom w:val="single" w:sz="4" w:space="0" w:color="BFBFBF"/>
              <w:right w:val="nil"/>
            </w:tcBorders>
            <w:shd w:val="clear" w:color="auto" w:fill="auto"/>
            <w:vAlign w:val="center"/>
            <w:hideMark/>
          </w:tcPr>
          <w:p w14:paraId="60EF3E94"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0</w:t>
            </w:r>
          </w:p>
        </w:tc>
      </w:tr>
      <w:tr w:rsidR="00AC5B3D" w:rsidRPr="00FC6511" w14:paraId="068D4E69" w14:textId="77777777" w:rsidTr="00022964">
        <w:trPr>
          <w:trHeight w:val="1541"/>
        </w:trPr>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2A095386"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lastRenderedPageBreak/>
              <w:t>Cross-Cutting</w:t>
            </w:r>
          </w:p>
        </w:tc>
        <w:tc>
          <w:tcPr>
            <w:tcW w:w="3368" w:type="dxa"/>
            <w:tcBorders>
              <w:top w:val="nil"/>
              <w:left w:val="nil"/>
              <w:bottom w:val="single" w:sz="4" w:space="0" w:color="BFBFBF"/>
              <w:right w:val="single" w:sz="4" w:space="0" w:color="BFBFBF"/>
            </w:tcBorders>
            <w:shd w:val="clear" w:color="auto" w:fill="auto"/>
            <w:hideMark/>
          </w:tcPr>
          <w:p w14:paraId="42D601D0" w14:textId="77777777" w:rsidR="00AC5B3D" w:rsidRPr="00FC6511" w:rsidRDefault="00AC5B3D" w:rsidP="00022964">
            <w:pPr>
              <w:spacing w:after="0" w:line="240" w:lineRule="auto"/>
              <w:rPr>
                <w:rFonts w:eastAsia="Times New Roman" w:cstheme="minorHAnsi"/>
                <w:b/>
                <w:bCs/>
                <w:color w:val="000000"/>
                <w:sz w:val="18"/>
                <w:szCs w:val="18"/>
              </w:rPr>
            </w:pPr>
            <w:r w:rsidRPr="00FC6511">
              <w:rPr>
                <w:rFonts w:eastAsia="Times New Roman" w:cstheme="minorHAnsi"/>
                <w:b/>
                <w:bCs/>
                <w:color w:val="000000"/>
                <w:sz w:val="18"/>
                <w:szCs w:val="18"/>
              </w:rPr>
              <w:t xml:space="preserve">Due to: </w:t>
            </w:r>
            <w:r w:rsidRPr="001666B0">
              <w:rPr>
                <w:rFonts w:eastAsia="Times New Roman" w:cstheme="minorHAnsi"/>
                <w:color w:val="000000"/>
                <w:sz w:val="18"/>
                <w:szCs w:val="18"/>
              </w:rPr>
              <w:t>T</w:t>
            </w:r>
            <w:r w:rsidRPr="00FC6511">
              <w:rPr>
                <w:rFonts w:eastAsia="Times New Roman" w:cstheme="minorHAnsi"/>
                <w:color w:val="000000"/>
                <w:sz w:val="18"/>
                <w:szCs w:val="18"/>
              </w:rPr>
              <w:t>he nature of technical assistance and difficulty attributing its impact in partner countries.</w:t>
            </w:r>
            <w:r w:rsidRPr="00FC6511">
              <w:rPr>
                <w:rFonts w:eastAsia="Times New Roman" w:cstheme="minorHAnsi"/>
                <w:b/>
                <w:bCs/>
                <w:color w:val="000000"/>
                <w:sz w:val="18"/>
                <w:szCs w:val="18"/>
              </w:rPr>
              <w:br/>
              <w:t xml:space="preserve">There is a risk that: </w:t>
            </w:r>
            <w:r w:rsidRPr="00FC6511">
              <w:rPr>
                <w:rFonts w:eastAsia="Times New Roman" w:cstheme="minorHAnsi"/>
                <w:color w:val="000000"/>
                <w:sz w:val="18"/>
                <w:szCs w:val="18"/>
              </w:rPr>
              <w:t>We do not fully capture/account for the benefits of the programme.</w:t>
            </w:r>
          </w:p>
        </w:tc>
        <w:tc>
          <w:tcPr>
            <w:tcW w:w="1087" w:type="dxa"/>
            <w:tcBorders>
              <w:top w:val="nil"/>
              <w:left w:val="nil"/>
              <w:bottom w:val="single" w:sz="4" w:space="0" w:color="BFBFBF"/>
              <w:right w:val="single" w:sz="4" w:space="0" w:color="BFBFBF"/>
            </w:tcBorders>
            <w:shd w:val="clear" w:color="auto" w:fill="auto"/>
            <w:vAlign w:val="center"/>
            <w:hideMark/>
          </w:tcPr>
          <w:p w14:paraId="27106301"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Strategic / Business</w:t>
            </w:r>
          </w:p>
        </w:tc>
        <w:tc>
          <w:tcPr>
            <w:tcW w:w="8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B2DA0E"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8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6429DE" w14:textId="77777777" w:rsidR="00AC5B3D" w:rsidRPr="00FC6511" w:rsidRDefault="00AC5B3D" w:rsidP="00022964">
            <w:pPr>
              <w:spacing w:after="0" w:line="240" w:lineRule="auto"/>
              <w:jc w:val="center"/>
              <w:rPr>
                <w:rFonts w:eastAsia="Times New Roman" w:cstheme="minorHAnsi"/>
                <w:color w:val="FFC000"/>
                <w:sz w:val="18"/>
                <w:szCs w:val="18"/>
              </w:rPr>
            </w:pPr>
            <w:r w:rsidRPr="00FC6511">
              <w:rPr>
                <w:rFonts w:eastAsia="Times New Roman" w:cstheme="minorHAnsi"/>
                <w:color w:val="FFC000"/>
                <w:sz w:val="18"/>
                <w:szCs w:val="18"/>
              </w:rPr>
              <w:t>Medium</w:t>
            </w:r>
          </w:p>
        </w:tc>
        <w:tc>
          <w:tcPr>
            <w:tcW w:w="975"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FA7213B" w14:textId="77777777" w:rsidR="00AC5B3D" w:rsidRPr="00FC6511" w:rsidRDefault="00AC5B3D" w:rsidP="00022964">
            <w:pPr>
              <w:spacing w:after="0" w:line="240" w:lineRule="auto"/>
              <w:jc w:val="center"/>
              <w:rPr>
                <w:rFonts w:eastAsia="Times New Roman" w:cstheme="minorHAnsi"/>
                <w:b/>
                <w:bCs/>
                <w:sz w:val="18"/>
                <w:szCs w:val="18"/>
              </w:rPr>
            </w:pPr>
            <w:r w:rsidRPr="00FC6511">
              <w:rPr>
                <w:rFonts w:eastAsia="Times New Roman" w:cstheme="minorHAnsi"/>
                <w:b/>
                <w:bCs/>
                <w:sz w:val="18"/>
                <w:szCs w:val="18"/>
              </w:rPr>
              <w:t>9</w:t>
            </w:r>
          </w:p>
        </w:tc>
        <w:tc>
          <w:tcPr>
            <w:tcW w:w="2138" w:type="dxa"/>
            <w:tcBorders>
              <w:top w:val="nil"/>
              <w:left w:val="nil"/>
              <w:bottom w:val="single" w:sz="4" w:space="0" w:color="BFBFBF"/>
              <w:right w:val="single" w:sz="4" w:space="0" w:color="BFBFBF"/>
            </w:tcBorders>
            <w:shd w:val="clear" w:color="auto" w:fill="auto"/>
            <w:hideMark/>
          </w:tcPr>
          <w:p w14:paraId="79B2D0BD" w14:textId="77777777" w:rsidR="00AC5B3D" w:rsidRPr="00FC6511" w:rsidRDefault="00AC5B3D" w:rsidP="00022964">
            <w:pPr>
              <w:spacing w:after="0" w:line="240" w:lineRule="auto"/>
              <w:rPr>
                <w:rFonts w:eastAsia="Times New Roman" w:cstheme="minorHAnsi"/>
                <w:color w:val="000000"/>
                <w:sz w:val="18"/>
                <w:szCs w:val="18"/>
              </w:rPr>
            </w:pPr>
            <w:r w:rsidRPr="00FC6511">
              <w:rPr>
                <w:rFonts w:eastAsia="Times New Roman" w:cstheme="minorHAnsi"/>
                <w:color w:val="000000"/>
                <w:sz w:val="18"/>
                <w:szCs w:val="18"/>
              </w:rPr>
              <w:t> </w:t>
            </w:r>
          </w:p>
        </w:tc>
        <w:tc>
          <w:tcPr>
            <w:tcW w:w="683" w:type="dxa"/>
            <w:tcBorders>
              <w:top w:val="nil"/>
              <w:left w:val="nil"/>
              <w:bottom w:val="single" w:sz="4" w:space="0" w:color="BFBFBF"/>
              <w:right w:val="single" w:sz="4" w:space="0" w:color="BFBFBF"/>
            </w:tcBorders>
            <w:shd w:val="clear" w:color="auto" w:fill="auto"/>
            <w:vAlign w:val="center"/>
            <w:hideMark/>
          </w:tcPr>
          <w:p w14:paraId="5BFEC9AF"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1084" w:type="dxa"/>
            <w:tcBorders>
              <w:top w:val="nil"/>
              <w:left w:val="nil"/>
              <w:bottom w:val="single" w:sz="4" w:space="0" w:color="BFBFBF"/>
              <w:right w:val="single" w:sz="4" w:space="0" w:color="BFBFBF"/>
            </w:tcBorders>
            <w:shd w:val="clear" w:color="auto" w:fill="auto"/>
            <w:vAlign w:val="center"/>
            <w:hideMark/>
          </w:tcPr>
          <w:p w14:paraId="588C357C"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87" w:type="dxa"/>
            <w:tcBorders>
              <w:top w:val="nil"/>
              <w:left w:val="nil"/>
              <w:bottom w:val="single" w:sz="4" w:space="0" w:color="BFBFBF"/>
              <w:right w:val="nil"/>
            </w:tcBorders>
            <w:shd w:val="clear" w:color="auto" w:fill="auto"/>
            <w:vAlign w:val="center"/>
            <w:hideMark/>
          </w:tcPr>
          <w:p w14:paraId="15ECBA01"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991" w:type="dxa"/>
            <w:tcBorders>
              <w:top w:val="nil"/>
              <w:left w:val="single" w:sz="4" w:space="0" w:color="BFBFBF"/>
              <w:bottom w:val="single" w:sz="4" w:space="0" w:color="BFBFBF"/>
              <w:right w:val="nil"/>
            </w:tcBorders>
            <w:shd w:val="clear" w:color="auto" w:fill="auto"/>
            <w:vAlign w:val="center"/>
            <w:hideMark/>
          </w:tcPr>
          <w:p w14:paraId="35A877AE"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 </w:t>
            </w:r>
          </w:p>
        </w:tc>
        <w:tc>
          <w:tcPr>
            <w:tcW w:w="898" w:type="dxa"/>
            <w:tcBorders>
              <w:top w:val="nil"/>
              <w:left w:val="single" w:sz="4" w:space="0" w:color="BFBFBF"/>
              <w:bottom w:val="single" w:sz="4" w:space="0" w:color="BFBFBF"/>
              <w:right w:val="nil"/>
            </w:tcBorders>
            <w:shd w:val="clear" w:color="auto" w:fill="auto"/>
            <w:vAlign w:val="center"/>
            <w:hideMark/>
          </w:tcPr>
          <w:p w14:paraId="1B041459" w14:textId="77777777" w:rsidR="00AC5B3D" w:rsidRPr="00FC6511" w:rsidRDefault="00AC5B3D" w:rsidP="00022964">
            <w:pPr>
              <w:spacing w:after="0" w:line="240" w:lineRule="auto"/>
              <w:jc w:val="center"/>
              <w:rPr>
                <w:rFonts w:eastAsia="Times New Roman" w:cstheme="minorHAnsi"/>
                <w:color w:val="000000"/>
                <w:sz w:val="18"/>
                <w:szCs w:val="18"/>
              </w:rPr>
            </w:pPr>
            <w:r w:rsidRPr="00FC6511">
              <w:rPr>
                <w:rFonts w:eastAsia="Times New Roman" w:cstheme="minorHAnsi"/>
                <w:color w:val="000000"/>
                <w:sz w:val="18"/>
                <w:szCs w:val="18"/>
              </w:rPr>
              <w:t>0</w:t>
            </w:r>
          </w:p>
        </w:tc>
      </w:tr>
    </w:tbl>
    <w:p w14:paraId="7605CED5" w14:textId="77777777" w:rsidR="00AC5B3D" w:rsidRDefault="00AC5B3D" w:rsidP="00AC5B3D"/>
    <w:p w14:paraId="57DCC686" w14:textId="77777777" w:rsidR="00AC5B3D" w:rsidRDefault="00AC5B3D" w:rsidP="00AC5B3D">
      <w:r>
        <w:t xml:space="preserve">Table 2. FOA risk register </w:t>
      </w:r>
    </w:p>
    <w:tbl>
      <w:tblPr>
        <w:tblW w:w="14862" w:type="dxa"/>
        <w:tblLook w:val="04A0" w:firstRow="1" w:lastRow="0" w:firstColumn="1" w:lastColumn="0" w:noHBand="0" w:noVBand="1"/>
      </w:tblPr>
      <w:tblGrid>
        <w:gridCol w:w="3865"/>
        <w:gridCol w:w="1258"/>
        <w:gridCol w:w="971"/>
        <w:gridCol w:w="1122"/>
        <w:gridCol w:w="967"/>
        <w:gridCol w:w="3363"/>
        <w:gridCol w:w="848"/>
        <w:gridCol w:w="1282"/>
        <w:gridCol w:w="1186"/>
      </w:tblGrid>
      <w:tr w:rsidR="00AC5B3D" w:rsidRPr="00FE452F" w14:paraId="12C648B9" w14:textId="77777777" w:rsidTr="00022964">
        <w:trPr>
          <w:trHeight w:val="855"/>
        </w:trPr>
        <w:tc>
          <w:tcPr>
            <w:tcW w:w="3865"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4BB8FA57"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Risk Description</w:t>
            </w:r>
          </w:p>
        </w:tc>
        <w:tc>
          <w:tcPr>
            <w:tcW w:w="1258"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268B885"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Risk Category</w:t>
            </w:r>
          </w:p>
        </w:tc>
        <w:tc>
          <w:tcPr>
            <w:tcW w:w="971"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67B82C8"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Impact</w:t>
            </w:r>
          </w:p>
        </w:tc>
        <w:tc>
          <w:tcPr>
            <w:tcW w:w="1122"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B5522E6"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 xml:space="preserve"> Likelihood</w:t>
            </w:r>
          </w:p>
        </w:tc>
        <w:tc>
          <w:tcPr>
            <w:tcW w:w="967"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C28AF23"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RAG Status</w:t>
            </w:r>
          </w:p>
        </w:tc>
        <w:tc>
          <w:tcPr>
            <w:tcW w:w="3363"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FD3CCE5"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Mitigating action(s), action completion dates and action owner(s)</w:t>
            </w:r>
          </w:p>
        </w:tc>
        <w:tc>
          <w:tcPr>
            <w:tcW w:w="848"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2B685EB6" w14:textId="77777777" w:rsidR="00AC5B3D" w:rsidRPr="00FE452F" w:rsidRDefault="00AC5B3D" w:rsidP="00022964">
            <w:pPr>
              <w:spacing w:after="0" w:line="240" w:lineRule="auto"/>
              <w:jc w:val="center"/>
              <w:rPr>
                <w:rFonts w:ascii="Calibri" w:eastAsia="Times New Roman" w:hAnsi="Calibri" w:cs="Calibri"/>
                <w:b/>
                <w:bCs/>
                <w:color w:val="FFFFFF"/>
                <w:sz w:val="18"/>
                <w:szCs w:val="18"/>
              </w:rPr>
            </w:pPr>
            <w:r w:rsidRPr="00FE452F">
              <w:rPr>
                <w:rFonts w:ascii="Calibri" w:eastAsia="Times New Roman" w:hAnsi="Calibri" w:cs="Calibri"/>
                <w:b/>
                <w:bCs/>
                <w:color w:val="FFFFFF"/>
                <w:sz w:val="18"/>
                <w:szCs w:val="18"/>
              </w:rPr>
              <w:t>Status</w:t>
            </w:r>
          </w:p>
        </w:tc>
        <w:tc>
          <w:tcPr>
            <w:tcW w:w="1282"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E0626C9" w14:textId="77777777" w:rsidR="00AC5B3D" w:rsidRPr="00FE452F" w:rsidRDefault="00AC5B3D" w:rsidP="00022964">
            <w:pPr>
              <w:spacing w:after="0" w:line="240" w:lineRule="auto"/>
              <w:jc w:val="center"/>
              <w:rPr>
                <w:rFonts w:ascii="Calibri" w:eastAsia="Times New Roman" w:hAnsi="Calibri" w:cs="Calibri"/>
                <w:b/>
                <w:bCs/>
                <w:color w:val="FFFFFF"/>
                <w:sz w:val="18"/>
                <w:szCs w:val="18"/>
              </w:rPr>
            </w:pPr>
            <w:r w:rsidRPr="00FE452F">
              <w:rPr>
                <w:rFonts w:ascii="Calibri" w:eastAsia="Times New Roman" w:hAnsi="Calibri" w:cs="Calibri"/>
                <w:b/>
                <w:bCs/>
                <w:color w:val="FFFFFF"/>
                <w:sz w:val="18"/>
                <w:szCs w:val="18"/>
              </w:rPr>
              <w:t>Date Last Reviewed</w:t>
            </w:r>
          </w:p>
        </w:tc>
        <w:tc>
          <w:tcPr>
            <w:tcW w:w="1186" w:type="dxa"/>
            <w:tcBorders>
              <w:top w:val="single" w:sz="4" w:space="0" w:color="BFBFBF"/>
              <w:left w:val="single" w:sz="4" w:space="0" w:color="BFBFBF"/>
              <w:bottom w:val="single" w:sz="4" w:space="0" w:color="BFBFBF"/>
              <w:right w:val="nil"/>
            </w:tcBorders>
            <w:shd w:val="clear" w:color="000000" w:fill="595959"/>
            <w:vAlign w:val="center"/>
            <w:hideMark/>
          </w:tcPr>
          <w:p w14:paraId="2D0ACF7A" w14:textId="77777777" w:rsidR="00AC5B3D" w:rsidRPr="00FE452F" w:rsidRDefault="00AC5B3D" w:rsidP="00022964">
            <w:pPr>
              <w:spacing w:after="0" w:line="240" w:lineRule="auto"/>
              <w:jc w:val="center"/>
              <w:rPr>
                <w:rFonts w:ascii="Calibri" w:eastAsia="Times New Roman" w:hAnsi="Calibri" w:cs="Calibri"/>
                <w:b/>
                <w:bCs/>
                <w:color w:val="FFFFFF"/>
                <w:sz w:val="18"/>
                <w:szCs w:val="18"/>
              </w:rPr>
            </w:pPr>
            <w:r w:rsidRPr="00FE452F">
              <w:rPr>
                <w:rFonts w:ascii="Calibri" w:eastAsia="Times New Roman" w:hAnsi="Calibri" w:cs="Calibri"/>
                <w:b/>
                <w:bCs/>
                <w:color w:val="FFFFFF"/>
                <w:sz w:val="18"/>
                <w:szCs w:val="18"/>
              </w:rPr>
              <w:t>Need to be escalated?</w:t>
            </w:r>
          </w:p>
        </w:tc>
      </w:tr>
      <w:tr w:rsidR="00AC5B3D" w:rsidRPr="00FE452F" w14:paraId="46DE6CA2" w14:textId="77777777" w:rsidTr="00022964">
        <w:trPr>
          <w:trHeight w:val="1934"/>
        </w:trPr>
        <w:tc>
          <w:tcPr>
            <w:tcW w:w="3865" w:type="dxa"/>
            <w:tcBorders>
              <w:top w:val="nil"/>
              <w:left w:val="nil"/>
              <w:bottom w:val="single" w:sz="4" w:space="0" w:color="BFBFBF"/>
              <w:right w:val="single" w:sz="4" w:space="0" w:color="BFBFBF"/>
            </w:tcBorders>
            <w:shd w:val="clear" w:color="auto" w:fill="auto"/>
          </w:tcPr>
          <w:p w14:paraId="5BE0AD08" w14:textId="77777777" w:rsidR="00AC5B3D" w:rsidRPr="00FE452F" w:rsidRDefault="00AC5B3D" w:rsidP="00022964">
            <w:pPr>
              <w:spacing w:after="0" w:line="240" w:lineRule="auto"/>
              <w:rPr>
                <w:rFonts w:eastAsia="Times New Roman" w:cstheme="minorHAnsi"/>
                <w:color w:val="000000"/>
                <w:sz w:val="18"/>
                <w:szCs w:val="18"/>
              </w:rPr>
            </w:pPr>
            <w:r w:rsidRPr="00820582">
              <w:rPr>
                <w:rFonts w:ascii="Calibri" w:hAnsi="Calibri" w:cs="Calibri"/>
                <w:color w:val="000000"/>
                <w:sz w:val="18"/>
                <w:szCs w:val="18"/>
              </w:rPr>
              <w:t>Due to: The compressed timeline for business case approval</w:t>
            </w:r>
            <w:r w:rsidRPr="00820582">
              <w:rPr>
                <w:rFonts w:ascii="Calibri" w:hAnsi="Calibri" w:cs="Calibri"/>
                <w:color w:val="000000"/>
                <w:sz w:val="18"/>
                <w:szCs w:val="18"/>
              </w:rPr>
              <w:br/>
              <w:t>There is a risk that: any delays to any steps of the timeline will cause a delayed investment start date (particularly risky are the drafting, commercial approval, and SCS clearances)</w:t>
            </w:r>
            <w:r w:rsidRPr="00820582">
              <w:rPr>
                <w:rFonts w:ascii="Calibri" w:hAnsi="Calibri" w:cs="Calibri"/>
                <w:color w:val="000000"/>
                <w:sz w:val="18"/>
                <w:szCs w:val="18"/>
              </w:rPr>
              <w:br/>
              <w:t xml:space="preserve">Which will result in: potentially jeopardising FOA's ability to deliver, and potentially a reputational risk for Defra. </w:t>
            </w:r>
          </w:p>
        </w:tc>
        <w:tc>
          <w:tcPr>
            <w:tcW w:w="1258" w:type="dxa"/>
            <w:tcBorders>
              <w:top w:val="nil"/>
              <w:left w:val="nil"/>
              <w:bottom w:val="single" w:sz="4" w:space="0" w:color="BFBFBF"/>
              <w:right w:val="single" w:sz="4" w:space="0" w:color="BFBFBF"/>
            </w:tcBorders>
            <w:shd w:val="clear" w:color="auto" w:fill="auto"/>
            <w:vAlign w:val="center"/>
          </w:tcPr>
          <w:p w14:paraId="555B0537" w14:textId="77777777" w:rsidR="00AC5B3D" w:rsidRPr="00FE452F" w:rsidRDefault="00AC5B3D" w:rsidP="00022964">
            <w:pPr>
              <w:spacing w:after="0" w:line="240" w:lineRule="auto"/>
              <w:jc w:val="center"/>
              <w:rPr>
                <w:rFonts w:eastAsia="Times New Roman" w:cstheme="minorHAnsi"/>
                <w:color w:val="000000"/>
                <w:sz w:val="18"/>
                <w:szCs w:val="18"/>
              </w:rPr>
            </w:pPr>
            <w:r w:rsidRPr="00820582">
              <w:rPr>
                <w:rFonts w:ascii="Calibri" w:hAnsi="Calibri" w:cs="Calibri"/>
                <w:color w:val="000000"/>
                <w:sz w:val="18"/>
                <w:szCs w:val="18"/>
              </w:rPr>
              <w:t>Strategic / Business</w:t>
            </w:r>
          </w:p>
        </w:tc>
        <w:tc>
          <w:tcPr>
            <w:tcW w:w="9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E3EBBE" w14:textId="77777777" w:rsidR="00AC5B3D" w:rsidRPr="00FE452F" w:rsidRDefault="00AC5B3D" w:rsidP="00022964">
            <w:pPr>
              <w:spacing w:after="0" w:line="240" w:lineRule="auto"/>
              <w:jc w:val="center"/>
              <w:rPr>
                <w:rFonts w:eastAsia="Times New Roman" w:cstheme="minorHAnsi"/>
                <w:color w:val="FFC000"/>
                <w:sz w:val="18"/>
                <w:szCs w:val="18"/>
              </w:rPr>
            </w:pPr>
            <w:r w:rsidRPr="00820582">
              <w:rPr>
                <w:rFonts w:ascii="Calibri" w:hAnsi="Calibri" w:cs="Calibri"/>
                <w:color w:val="FFC000"/>
                <w:sz w:val="18"/>
                <w:szCs w:val="18"/>
              </w:rPr>
              <w:t>Medium</w:t>
            </w:r>
          </w:p>
        </w:tc>
        <w:tc>
          <w:tcPr>
            <w:tcW w:w="11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D7ACEC" w14:textId="77777777" w:rsidR="00AC5B3D" w:rsidRPr="00FE452F" w:rsidRDefault="00AC5B3D" w:rsidP="00022964">
            <w:pPr>
              <w:spacing w:after="0" w:line="240" w:lineRule="auto"/>
              <w:jc w:val="center"/>
              <w:rPr>
                <w:rFonts w:eastAsia="Times New Roman" w:cstheme="minorHAnsi"/>
                <w:color w:val="FFC000"/>
                <w:sz w:val="18"/>
                <w:szCs w:val="18"/>
              </w:rPr>
            </w:pPr>
            <w:r w:rsidRPr="00820582">
              <w:rPr>
                <w:rFonts w:ascii="Calibri" w:hAnsi="Calibri" w:cs="Calibri"/>
                <w:color w:val="FFC000"/>
                <w:sz w:val="18"/>
                <w:szCs w:val="18"/>
              </w:rPr>
              <w:t>Medium</w:t>
            </w:r>
          </w:p>
        </w:tc>
        <w:tc>
          <w:tcPr>
            <w:tcW w:w="967" w:type="dxa"/>
            <w:tcBorders>
              <w:top w:val="single" w:sz="4" w:space="0" w:color="BFBFBF"/>
              <w:left w:val="single" w:sz="4" w:space="0" w:color="BFBFBF"/>
              <w:bottom w:val="single" w:sz="4" w:space="0" w:color="BFBFBF"/>
              <w:right w:val="single" w:sz="4" w:space="0" w:color="BFBFBF"/>
            </w:tcBorders>
            <w:shd w:val="clear" w:color="000000" w:fill="FFC000"/>
            <w:vAlign w:val="center"/>
          </w:tcPr>
          <w:p w14:paraId="3E11857E" w14:textId="77777777" w:rsidR="00AC5B3D" w:rsidRPr="00FE452F" w:rsidRDefault="00AC5B3D" w:rsidP="00022964">
            <w:pPr>
              <w:spacing w:after="0" w:line="240" w:lineRule="auto"/>
              <w:jc w:val="center"/>
              <w:rPr>
                <w:rFonts w:eastAsia="Times New Roman" w:cstheme="minorHAnsi"/>
                <w:b/>
                <w:bCs/>
                <w:sz w:val="18"/>
                <w:szCs w:val="18"/>
              </w:rPr>
            </w:pPr>
            <w:r w:rsidRPr="00820582">
              <w:rPr>
                <w:rFonts w:ascii="Calibri" w:hAnsi="Calibri" w:cs="Calibri"/>
                <w:b/>
                <w:bCs/>
                <w:sz w:val="18"/>
                <w:szCs w:val="18"/>
              </w:rPr>
              <w:t>9</w:t>
            </w:r>
          </w:p>
        </w:tc>
        <w:tc>
          <w:tcPr>
            <w:tcW w:w="3363" w:type="dxa"/>
            <w:tcBorders>
              <w:top w:val="nil"/>
              <w:left w:val="nil"/>
              <w:bottom w:val="single" w:sz="4" w:space="0" w:color="A6A6A6"/>
              <w:right w:val="single" w:sz="4" w:space="0" w:color="BFBFBF"/>
            </w:tcBorders>
            <w:shd w:val="clear" w:color="auto" w:fill="auto"/>
          </w:tcPr>
          <w:p w14:paraId="413B0F9C" w14:textId="77777777" w:rsidR="00AC5B3D" w:rsidRPr="00FE452F" w:rsidRDefault="00AC5B3D" w:rsidP="00022964">
            <w:pPr>
              <w:spacing w:after="0" w:line="240" w:lineRule="auto"/>
              <w:rPr>
                <w:rFonts w:eastAsia="Times New Roman" w:cstheme="minorHAnsi"/>
                <w:color w:val="000000"/>
                <w:sz w:val="18"/>
                <w:szCs w:val="18"/>
              </w:rPr>
            </w:pPr>
            <w:r w:rsidRPr="00820582">
              <w:rPr>
                <w:rFonts w:ascii="Calibri" w:hAnsi="Calibri" w:cs="Calibri"/>
                <w:color w:val="000000"/>
                <w:sz w:val="18"/>
                <w:szCs w:val="18"/>
              </w:rPr>
              <w:t xml:space="preserve">12/02: advance notice of the BC timeline was sent to ODA finance and commercial. Note: no reply yet from commercial. </w:t>
            </w:r>
          </w:p>
        </w:tc>
        <w:tc>
          <w:tcPr>
            <w:tcW w:w="848" w:type="dxa"/>
            <w:tcBorders>
              <w:top w:val="nil"/>
              <w:left w:val="nil"/>
              <w:bottom w:val="single" w:sz="4" w:space="0" w:color="BFBFBF"/>
              <w:right w:val="single" w:sz="4" w:space="0" w:color="BFBFBF"/>
            </w:tcBorders>
            <w:shd w:val="clear" w:color="auto" w:fill="auto"/>
            <w:vAlign w:val="center"/>
          </w:tcPr>
          <w:p w14:paraId="11D2AF89"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tcPr>
          <w:p w14:paraId="5AA4E8C5"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22/02/2021</w:t>
            </w:r>
          </w:p>
        </w:tc>
        <w:tc>
          <w:tcPr>
            <w:tcW w:w="1186" w:type="dxa"/>
            <w:tcBorders>
              <w:top w:val="nil"/>
              <w:left w:val="nil"/>
              <w:bottom w:val="single" w:sz="4" w:space="0" w:color="BFBFBF"/>
              <w:right w:val="nil"/>
            </w:tcBorders>
            <w:shd w:val="clear" w:color="auto" w:fill="auto"/>
            <w:vAlign w:val="center"/>
          </w:tcPr>
          <w:p w14:paraId="0382AAC8"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No</w:t>
            </w:r>
          </w:p>
        </w:tc>
      </w:tr>
      <w:tr w:rsidR="00AC5B3D" w:rsidRPr="00FE452F" w14:paraId="4349EFB2" w14:textId="77777777" w:rsidTr="00022964">
        <w:trPr>
          <w:trHeight w:val="2505"/>
        </w:trPr>
        <w:tc>
          <w:tcPr>
            <w:tcW w:w="3865" w:type="dxa"/>
            <w:tcBorders>
              <w:top w:val="nil"/>
              <w:left w:val="nil"/>
              <w:bottom w:val="single" w:sz="4" w:space="0" w:color="BFBFBF"/>
              <w:right w:val="single" w:sz="4" w:space="0" w:color="BFBFBF"/>
            </w:tcBorders>
            <w:shd w:val="clear" w:color="auto" w:fill="auto"/>
          </w:tcPr>
          <w:p w14:paraId="5DFA629C" w14:textId="77777777" w:rsidR="00AC5B3D" w:rsidRPr="00FE452F" w:rsidRDefault="00AC5B3D" w:rsidP="00022964">
            <w:pPr>
              <w:spacing w:after="0" w:line="240" w:lineRule="auto"/>
              <w:rPr>
                <w:rFonts w:eastAsia="Times New Roman" w:cstheme="minorHAnsi"/>
                <w:color w:val="000000"/>
                <w:sz w:val="18"/>
                <w:szCs w:val="18"/>
              </w:rPr>
            </w:pPr>
            <w:r w:rsidRPr="00820582">
              <w:rPr>
                <w:rFonts w:ascii="Calibri" w:hAnsi="Calibri" w:cs="Calibri"/>
                <w:color w:val="000000"/>
                <w:sz w:val="18"/>
                <w:szCs w:val="18"/>
              </w:rPr>
              <w:t xml:space="preserve">Due </w:t>
            </w:r>
            <w:proofErr w:type="gramStart"/>
            <w:r w:rsidRPr="00820582">
              <w:rPr>
                <w:rFonts w:ascii="Calibri" w:hAnsi="Calibri" w:cs="Calibri"/>
                <w:color w:val="000000"/>
                <w:sz w:val="18"/>
                <w:szCs w:val="18"/>
              </w:rPr>
              <w:t>to:</w:t>
            </w:r>
            <w:proofErr w:type="gramEnd"/>
            <w:r w:rsidRPr="00820582">
              <w:rPr>
                <w:rFonts w:ascii="Calibri" w:hAnsi="Calibri" w:cs="Calibri"/>
                <w:color w:val="000000"/>
                <w:sz w:val="18"/>
                <w:szCs w:val="18"/>
              </w:rPr>
              <w:t xml:space="preserve"> our plan to wait until the next JMB meeting to share the FOA proposal with the JMB</w:t>
            </w:r>
            <w:r w:rsidRPr="00820582">
              <w:rPr>
                <w:rFonts w:ascii="Calibri" w:hAnsi="Calibri" w:cs="Calibri"/>
                <w:color w:val="000000"/>
                <w:sz w:val="18"/>
                <w:szCs w:val="18"/>
              </w:rPr>
              <w:br/>
              <w:t>There is a risk that: The JMB could want to significantly alter aspects of the investment, such as the activities that the UK funds</w:t>
            </w:r>
            <w:r w:rsidRPr="00820582">
              <w:rPr>
                <w:rFonts w:ascii="Calibri" w:hAnsi="Calibri" w:cs="Calibri"/>
                <w:color w:val="000000"/>
                <w:sz w:val="18"/>
                <w:szCs w:val="18"/>
              </w:rPr>
              <w:br/>
              <w:t>Which will result in: likely delays to the BC clearance process, resulting in a delayed investment start date</w:t>
            </w:r>
          </w:p>
        </w:tc>
        <w:tc>
          <w:tcPr>
            <w:tcW w:w="1258" w:type="dxa"/>
            <w:tcBorders>
              <w:top w:val="nil"/>
              <w:left w:val="nil"/>
              <w:bottom w:val="single" w:sz="4" w:space="0" w:color="BFBFBF"/>
              <w:right w:val="single" w:sz="4" w:space="0" w:color="BFBFBF"/>
            </w:tcBorders>
            <w:shd w:val="clear" w:color="auto" w:fill="auto"/>
            <w:vAlign w:val="center"/>
          </w:tcPr>
          <w:p w14:paraId="69A5D9C1" w14:textId="77777777" w:rsidR="00AC5B3D" w:rsidRPr="00FE452F" w:rsidRDefault="00AC5B3D" w:rsidP="00022964">
            <w:pPr>
              <w:spacing w:after="0" w:line="240" w:lineRule="auto"/>
              <w:jc w:val="center"/>
              <w:rPr>
                <w:rFonts w:eastAsia="Times New Roman" w:cstheme="minorHAnsi"/>
                <w:color w:val="000000"/>
                <w:sz w:val="18"/>
                <w:szCs w:val="18"/>
              </w:rPr>
            </w:pPr>
            <w:r w:rsidRPr="00820582">
              <w:rPr>
                <w:rFonts w:ascii="Calibri" w:hAnsi="Calibri" w:cs="Calibri"/>
                <w:color w:val="000000"/>
                <w:sz w:val="18"/>
                <w:szCs w:val="18"/>
              </w:rPr>
              <w:t>Strategic / Business</w:t>
            </w:r>
          </w:p>
        </w:tc>
        <w:tc>
          <w:tcPr>
            <w:tcW w:w="9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9FAE36" w14:textId="77777777" w:rsidR="00AC5B3D" w:rsidRPr="00FE452F" w:rsidRDefault="00AC5B3D" w:rsidP="00022964">
            <w:pPr>
              <w:spacing w:after="0" w:line="240" w:lineRule="auto"/>
              <w:jc w:val="center"/>
              <w:rPr>
                <w:rFonts w:eastAsia="Times New Roman" w:cstheme="minorHAnsi"/>
                <w:color w:val="92D050"/>
                <w:sz w:val="18"/>
                <w:szCs w:val="18"/>
              </w:rPr>
            </w:pPr>
            <w:r w:rsidRPr="00820582">
              <w:rPr>
                <w:rFonts w:ascii="Calibri" w:hAnsi="Calibri" w:cs="Calibri"/>
                <w:color w:val="FFC000"/>
                <w:sz w:val="18"/>
                <w:szCs w:val="18"/>
              </w:rPr>
              <w:t>Medium</w:t>
            </w:r>
          </w:p>
        </w:tc>
        <w:tc>
          <w:tcPr>
            <w:tcW w:w="11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EB1313" w14:textId="77777777" w:rsidR="00AC5B3D" w:rsidRPr="00FE452F" w:rsidRDefault="00AC5B3D" w:rsidP="00022964">
            <w:pPr>
              <w:spacing w:after="0" w:line="240" w:lineRule="auto"/>
              <w:jc w:val="center"/>
              <w:rPr>
                <w:rFonts w:eastAsia="Times New Roman" w:cstheme="minorHAnsi"/>
                <w:color w:val="FFC000"/>
                <w:sz w:val="18"/>
                <w:szCs w:val="18"/>
              </w:rPr>
            </w:pPr>
            <w:r w:rsidRPr="00820582">
              <w:rPr>
                <w:rFonts w:ascii="Calibri" w:hAnsi="Calibri" w:cs="Calibri"/>
                <w:color w:val="92D050"/>
                <w:sz w:val="18"/>
                <w:szCs w:val="18"/>
              </w:rPr>
              <w:t>Low</w:t>
            </w:r>
          </w:p>
        </w:tc>
        <w:tc>
          <w:tcPr>
            <w:tcW w:w="967" w:type="dxa"/>
            <w:tcBorders>
              <w:top w:val="single" w:sz="4" w:space="0" w:color="BFBFBF"/>
              <w:left w:val="single" w:sz="4" w:space="0" w:color="BFBFBF"/>
              <w:bottom w:val="single" w:sz="4" w:space="0" w:color="BFBFBF"/>
              <w:right w:val="single" w:sz="4" w:space="0" w:color="BFBFBF"/>
            </w:tcBorders>
            <w:shd w:val="clear" w:color="000000" w:fill="FFC000"/>
            <w:vAlign w:val="center"/>
          </w:tcPr>
          <w:p w14:paraId="2747A85B" w14:textId="77777777" w:rsidR="00AC5B3D" w:rsidRPr="00FE452F" w:rsidRDefault="00AC5B3D" w:rsidP="00022964">
            <w:pPr>
              <w:spacing w:after="0" w:line="240" w:lineRule="auto"/>
              <w:jc w:val="center"/>
              <w:rPr>
                <w:rFonts w:eastAsia="Times New Roman" w:cstheme="minorHAnsi"/>
                <w:b/>
                <w:bCs/>
                <w:sz w:val="18"/>
                <w:szCs w:val="18"/>
              </w:rPr>
            </w:pPr>
            <w:r w:rsidRPr="00820582">
              <w:rPr>
                <w:rFonts w:ascii="Calibri" w:hAnsi="Calibri" w:cs="Calibri"/>
                <w:b/>
                <w:bCs/>
                <w:sz w:val="18"/>
                <w:szCs w:val="18"/>
              </w:rPr>
              <w:t>6</w:t>
            </w:r>
          </w:p>
        </w:tc>
        <w:tc>
          <w:tcPr>
            <w:tcW w:w="3363" w:type="dxa"/>
            <w:tcBorders>
              <w:top w:val="single" w:sz="4" w:space="0" w:color="A6A6A6"/>
              <w:left w:val="nil"/>
              <w:bottom w:val="single" w:sz="4" w:space="0" w:color="auto"/>
              <w:right w:val="single" w:sz="4" w:space="0" w:color="BFBFBF"/>
            </w:tcBorders>
            <w:shd w:val="clear" w:color="auto" w:fill="auto"/>
          </w:tcPr>
          <w:p w14:paraId="031266A1" w14:textId="77777777" w:rsidR="00AC5B3D" w:rsidRPr="00FE452F" w:rsidRDefault="00AC5B3D" w:rsidP="00022964">
            <w:pPr>
              <w:spacing w:after="0" w:line="240" w:lineRule="auto"/>
              <w:rPr>
                <w:rFonts w:eastAsia="Times New Roman" w:cstheme="minorHAnsi"/>
                <w:color w:val="000000"/>
                <w:sz w:val="18"/>
                <w:szCs w:val="18"/>
              </w:rPr>
            </w:pPr>
            <w:r w:rsidRPr="00820582">
              <w:rPr>
                <w:rFonts w:ascii="Calibri" w:hAnsi="Calibri" w:cs="Calibri"/>
                <w:color w:val="000000"/>
                <w:sz w:val="18"/>
                <w:szCs w:val="18"/>
              </w:rPr>
              <w:t xml:space="preserve">The likelihood of this risk is perceived as low, so it has been accepted as a risk, given the alternative (to send the FOA proposal for clearance to the JMB via correspondence) is not seen as desirable. </w:t>
            </w:r>
          </w:p>
        </w:tc>
        <w:tc>
          <w:tcPr>
            <w:tcW w:w="848" w:type="dxa"/>
            <w:tcBorders>
              <w:top w:val="nil"/>
              <w:left w:val="nil"/>
              <w:bottom w:val="single" w:sz="4" w:space="0" w:color="BFBFBF"/>
              <w:right w:val="single" w:sz="4" w:space="0" w:color="BFBFBF"/>
            </w:tcBorders>
            <w:shd w:val="clear" w:color="auto" w:fill="auto"/>
            <w:vAlign w:val="center"/>
          </w:tcPr>
          <w:p w14:paraId="73F7F179"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tcPr>
          <w:p w14:paraId="09F797A3"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22/02/2021</w:t>
            </w:r>
          </w:p>
        </w:tc>
        <w:tc>
          <w:tcPr>
            <w:tcW w:w="1186" w:type="dxa"/>
            <w:tcBorders>
              <w:top w:val="nil"/>
              <w:left w:val="nil"/>
              <w:bottom w:val="single" w:sz="4" w:space="0" w:color="BFBFBF"/>
              <w:right w:val="nil"/>
            </w:tcBorders>
            <w:shd w:val="clear" w:color="auto" w:fill="auto"/>
            <w:vAlign w:val="center"/>
          </w:tcPr>
          <w:p w14:paraId="7A81092D"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No</w:t>
            </w:r>
          </w:p>
        </w:tc>
      </w:tr>
      <w:tr w:rsidR="00AC5B3D" w:rsidRPr="00FE452F" w14:paraId="5846E45C" w14:textId="77777777" w:rsidTr="00022964">
        <w:trPr>
          <w:trHeight w:val="1550"/>
        </w:trPr>
        <w:tc>
          <w:tcPr>
            <w:tcW w:w="3865" w:type="dxa"/>
            <w:tcBorders>
              <w:top w:val="nil"/>
              <w:left w:val="nil"/>
              <w:bottom w:val="single" w:sz="4" w:space="0" w:color="BFBFBF"/>
              <w:right w:val="single" w:sz="4" w:space="0" w:color="BFBFBF"/>
            </w:tcBorders>
            <w:shd w:val="clear" w:color="auto" w:fill="auto"/>
          </w:tcPr>
          <w:p w14:paraId="067D4C52" w14:textId="77777777" w:rsidR="00AC5B3D" w:rsidRPr="00FE452F" w:rsidRDefault="00AC5B3D" w:rsidP="00022964">
            <w:pPr>
              <w:spacing w:after="240" w:line="240" w:lineRule="auto"/>
              <w:rPr>
                <w:rFonts w:eastAsia="Times New Roman" w:cstheme="minorHAnsi"/>
                <w:color w:val="000000"/>
                <w:sz w:val="18"/>
                <w:szCs w:val="18"/>
              </w:rPr>
            </w:pPr>
            <w:r w:rsidRPr="00820582">
              <w:rPr>
                <w:rFonts w:ascii="Calibri" w:hAnsi="Calibri" w:cs="Calibri"/>
                <w:color w:val="000000"/>
                <w:sz w:val="18"/>
                <w:szCs w:val="18"/>
              </w:rPr>
              <w:lastRenderedPageBreak/>
              <w:t>Due to: FOA not yet having finalised their indicator framework, or sent us the list of activities</w:t>
            </w:r>
            <w:r w:rsidRPr="00820582">
              <w:rPr>
                <w:rFonts w:ascii="Calibri" w:hAnsi="Calibri" w:cs="Calibri"/>
                <w:color w:val="000000"/>
                <w:sz w:val="18"/>
                <w:szCs w:val="18"/>
              </w:rPr>
              <w:br/>
              <w:t xml:space="preserve">There is a risk that: we will have less time to </w:t>
            </w:r>
            <w:proofErr w:type="gramStart"/>
            <w:r w:rsidRPr="00820582">
              <w:rPr>
                <w:rFonts w:ascii="Calibri" w:hAnsi="Calibri" w:cs="Calibri"/>
                <w:color w:val="000000"/>
                <w:sz w:val="18"/>
                <w:szCs w:val="18"/>
              </w:rPr>
              <w:t>actually draft</w:t>
            </w:r>
            <w:proofErr w:type="gramEnd"/>
            <w:r w:rsidRPr="00820582">
              <w:rPr>
                <w:rFonts w:ascii="Calibri" w:hAnsi="Calibri" w:cs="Calibri"/>
                <w:color w:val="000000"/>
                <w:sz w:val="18"/>
                <w:szCs w:val="18"/>
              </w:rPr>
              <w:t xml:space="preserve"> the business case</w:t>
            </w:r>
            <w:r w:rsidRPr="00820582">
              <w:rPr>
                <w:rFonts w:ascii="Calibri" w:hAnsi="Calibri" w:cs="Calibri"/>
                <w:color w:val="000000"/>
                <w:sz w:val="18"/>
                <w:szCs w:val="18"/>
              </w:rPr>
              <w:br/>
              <w:t>Which will result in: delaying the BC clearance timeline</w:t>
            </w:r>
          </w:p>
        </w:tc>
        <w:tc>
          <w:tcPr>
            <w:tcW w:w="1258" w:type="dxa"/>
            <w:tcBorders>
              <w:top w:val="nil"/>
              <w:left w:val="nil"/>
              <w:bottom w:val="single" w:sz="4" w:space="0" w:color="BFBFBF"/>
              <w:right w:val="single" w:sz="4" w:space="0" w:color="BFBFBF"/>
            </w:tcBorders>
            <w:shd w:val="clear" w:color="auto" w:fill="auto"/>
            <w:vAlign w:val="center"/>
          </w:tcPr>
          <w:p w14:paraId="0FE5924D" w14:textId="77777777" w:rsidR="00AC5B3D" w:rsidRPr="00FE452F" w:rsidRDefault="00AC5B3D" w:rsidP="00022964">
            <w:pPr>
              <w:spacing w:after="0" w:line="240" w:lineRule="auto"/>
              <w:jc w:val="center"/>
              <w:rPr>
                <w:rFonts w:eastAsia="Times New Roman" w:cstheme="minorHAnsi"/>
                <w:color w:val="000000"/>
                <w:sz w:val="18"/>
                <w:szCs w:val="18"/>
              </w:rPr>
            </w:pPr>
            <w:r w:rsidRPr="00820582">
              <w:rPr>
                <w:rFonts w:ascii="Calibri" w:hAnsi="Calibri" w:cs="Calibri"/>
                <w:color w:val="000000"/>
                <w:sz w:val="18"/>
                <w:szCs w:val="18"/>
              </w:rPr>
              <w:t>Strategic / Business</w:t>
            </w:r>
          </w:p>
        </w:tc>
        <w:tc>
          <w:tcPr>
            <w:tcW w:w="9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2A4366" w14:textId="77777777" w:rsidR="00AC5B3D" w:rsidRPr="00FE452F" w:rsidRDefault="00AC5B3D" w:rsidP="00022964">
            <w:pPr>
              <w:spacing w:after="0" w:line="240" w:lineRule="auto"/>
              <w:jc w:val="center"/>
              <w:rPr>
                <w:rFonts w:eastAsia="Times New Roman" w:cstheme="minorHAnsi"/>
                <w:color w:val="FFC000"/>
                <w:sz w:val="18"/>
                <w:szCs w:val="18"/>
              </w:rPr>
            </w:pPr>
            <w:r w:rsidRPr="00820582">
              <w:rPr>
                <w:rFonts w:ascii="Calibri" w:hAnsi="Calibri" w:cs="Calibri"/>
                <w:color w:val="FFC000"/>
                <w:sz w:val="18"/>
                <w:szCs w:val="18"/>
              </w:rPr>
              <w:t>Medium</w:t>
            </w:r>
          </w:p>
        </w:tc>
        <w:tc>
          <w:tcPr>
            <w:tcW w:w="11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689F6E" w14:textId="77777777" w:rsidR="00AC5B3D" w:rsidRPr="00FE452F" w:rsidRDefault="00AC5B3D" w:rsidP="00022964">
            <w:pPr>
              <w:spacing w:after="0" w:line="240" w:lineRule="auto"/>
              <w:jc w:val="center"/>
              <w:rPr>
                <w:rFonts w:eastAsia="Times New Roman" w:cstheme="minorHAnsi"/>
                <w:color w:val="92D050"/>
                <w:sz w:val="18"/>
                <w:szCs w:val="18"/>
              </w:rPr>
            </w:pPr>
            <w:r w:rsidRPr="00820582">
              <w:rPr>
                <w:rFonts w:ascii="Calibri" w:hAnsi="Calibri" w:cs="Calibri"/>
                <w:color w:val="FF0000"/>
                <w:sz w:val="18"/>
                <w:szCs w:val="18"/>
              </w:rPr>
              <w:t>High</w:t>
            </w:r>
          </w:p>
        </w:tc>
        <w:tc>
          <w:tcPr>
            <w:tcW w:w="967"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55B93712" w14:textId="77777777" w:rsidR="00AC5B3D" w:rsidRPr="00FE452F" w:rsidRDefault="00AC5B3D" w:rsidP="00022964">
            <w:pPr>
              <w:spacing w:after="0" w:line="240" w:lineRule="auto"/>
              <w:jc w:val="center"/>
              <w:rPr>
                <w:rFonts w:eastAsia="Times New Roman" w:cstheme="minorHAnsi"/>
                <w:b/>
                <w:bCs/>
                <w:sz w:val="18"/>
                <w:szCs w:val="18"/>
              </w:rPr>
            </w:pPr>
            <w:r w:rsidRPr="00820582">
              <w:rPr>
                <w:rFonts w:ascii="Calibri" w:hAnsi="Calibri" w:cs="Calibri"/>
                <w:b/>
                <w:bCs/>
                <w:sz w:val="18"/>
                <w:szCs w:val="18"/>
              </w:rPr>
              <w:t>12</w:t>
            </w:r>
          </w:p>
        </w:tc>
        <w:tc>
          <w:tcPr>
            <w:tcW w:w="3363" w:type="dxa"/>
            <w:tcBorders>
              <w:top w:val="nil"/>
              <w:left w:val="nil"/>
              <w:bottom w:val="single" w:sz="4" w:space="0" w:color="A6A6A6"/>
              <w:right w:val="single" w:sz="4" w:space="0" w:color="BFBFBF"/>
            </w:tcBorders>
            <w:shd w:val="clear" w:color="auto" w:fill="auto"/>
          </w:tcPr>
          <w:p w14:paraId="3D828DF9" w14:textId="77777777" w:rsidR="00AC5B3D" w:rsidRPr="00FE452F" w:rsidRDefault="00AC5B3D" w:rsidP="00022964">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Working with FOA team, sending regular reminders for the documentation. </w:t>
            </w:r>
          </w:p>
        </w:tc>
        <w:tc>
          <w:tcPr>
            <w:tcW w:w="848" w:type="dxa"/>
            <w:tcBorders>
              <w:top w:val="nil"/>
              <w:left w:val="nil"/>
              <w:bottom w:val="single" w:sz="4" w:space="0" w:color="BFBFBF"/>
              <w:right w:val="single" w:sz="4" w:space="0" w:color="BFBFBF"/>
            </w:tcBorders>
            <w:shd w:val="clear" w:color="auto" w:fill="auto"/>
            <w:vAlign w:val="center"/>
          </w:tcPr>
          <w:p w14:paraId="548D5A87"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tcPr>
          <w:p w14:paraId="4DD6DB69"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26/02/2021</w:t>
            </w:r>
          </w:p>
        </w:tc>
        <w:tc>
          <w:tcPr>
            <w:tcW w:w="1186" w:type="dxa"/>
            <w:tcBorders>
              <w:top w:val="nil"/>
              <w:left w:val="nil"/>
              <w:bottom w:val="single" w:sz="4" w:space="0" w:color="BFBFBF"/>
              <w:right w:val="nil"/>
            </w:tcBorders>
            <w:shd w:val="clear" w:color="auto" w:fill="auto"/>
            <w:vAlign w:val="center"/>
          </w:tcPr>
          <w:p w14:paraId="46AC3A57"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No</w:t>
            </w:r>
          </w:p>
        </w:tc>
      </w:tr>
      <w:tr w:rsidR="00AC5B3D" w:rsidRPr="00FE452F" w14:paraId="4D3BE622" w14:textId="77777777" w:rsidTr="00022964">
        <w:trPr>
          <w:trHeight w:val="1886"/>
        </w:trPr>
        <w:tc>
          <w:tcPr>
            <w:tcW w:w="3865" w:type="dxa"/>
            <w:tcBorders>
              <w:top w:val="nil"/>
              <w:left w:val="nil"/>
              <w:bottom w:val="single" w:sz="4" w:space="0" w:color="BFBFBF"/>
              <w:right w:val="single" w:sz="4" w:space="0" w:color="BFBFBF"/>
            </w:tcBorders>
            <w:shd w:val="clear" w:color="auto" w:fill="auto"/>
            <w:hideMark/>
          </w:tcPr>
          <w:p w14:paraId="32B38593" w14:textId="77777777" w:rsidR="00AC5B3D" w:rsidRPr="00FE452F" w:rsidRDefault="00AC5B3D" w:rsidP="00022964">
            <w:pPr>
              <w:spacing w:after="240" w:line="240" w:lineRule="auto"/>
              <w:rPr>
                <w:rFonts w:eastAsia="Times New Roman" w:cstheme="minorHAnsi"/>
                <w:color w:val="000000"/>
                <w:sz w:val="18"/>
                <w:szCs w:val="18"/>
              </w:rPr>
            </w:pPr>
            <w:r w:rsidRPr="00820582">
              <w:rPr>
                <w:rFonts w:ascii="Calibri" w:hAnsi="Calibri" w:cs="Calibri"/>
                <w:color w:val="000000"/>
                <w:sz w:val="18"/>
                <w:szCs w:val="18"/>
              </w:rPr>
              <w:t xml:space="preserve">Due </w:t>
            </w:r>
            <w:proofErr w:type="gramStart"/>
            <w:r w:rsidRPr="00820582">
              <w:rPr>
                <w:rFonts w:ascii="Calibri" w:hAnsi="Calibri" w:cs="Calibri"/>
                <w:color w:val="000000"/>
                <w:sz w:val="18"/>
                <w:szCs w:val="18"/>
              </w:rPr>
              <w:t>to:</w:t>
            </w:r>
            <w:proofErr w:type="gramEnd"/>
            <w:r w:rsidRPr="00820582">
              <w:rPr>
                <w:rFonts w:ascii="Calibri" w:hAnsi="Calibri" w:cs="Calibri"/>
                <w:color w:val="000000"/>
                <w:sz w:val="18"/>
                <w:szCs w:val="18"/>
              </w:rPr>
              <w:t xml:space="preserve"> the late investment start date (July) and the need to spend all funding within the FY</w:t>
            </w:r>
            <w:r w:rsidRPr="00820582">
              <w:rPr>
                <w:rFonts w:ascii="Calibri" w:hAnsi="Calibri" w:cs="Calibri"/>
                <w:color w:val="000000"/>
                <w:sz w:val="18"/>
                <w:szCs w:val="18"/>
              </w:rPr>
              <w:br/>
              <w:t>There is a risk that: FOA will not be able to spend all the funds and will have underspend leftover at the end of the FY</w:t>
            </w:r>
            <w:r w:rsidRPr="00820582">
              <w:rPr>
                <w:rFonts w:ascii="Calibri" w:hAnsi="Calibri" w:cs="Calibri"/>
                <w:color w:val="000000"/>
                <w:sz w:val="18"/>
                <w:szCs w:val="18"/>
              </w:rPr>
              <w:br/>
              <w:t>Which will result in: a negative impact on Defra's spending and budget</w:t>
            </w:r>
          </w:p>
        </w:tc>
        <w:tc>
          <w:tcPr>
            <w:tcW w:w="1258" w:type="dxa"/>
            <w:tcBorders>
              <w:top w:val="nil"/>
              <w:left w:val="nil"/>
              <w:bottom w:val="single" w:sz="4" w:space="0" w:color="BFBFBF"/>
              <w:right w:val="single" w:sz="4" w:space="0" w:color="BFBFBF"/>
            </w:tcBorders>
            <w:shd w:val="clear" w:color="auto" w:fill="auto"/>
            <w:vAlign w:val="center"/>
          </w:tcPr>
          <w:p w14:paraId="2C181E50" w14:textId="77777777" w:rsidR="00AC5B3D" w:rsidRPr="00FE452F" w:rsidRDefault="00AC5B3D" w:rsidP="00022964">
            <w:pPr>
              <w:spacing w:after="0" w:line="240" w:lineRule="auto"/>
              <w:jc w:val="center"/>
              <w:rPr>
                <w:rFonts w:eastAsia="Times New Roman" w:cstheme="minorHAnsi"/>
                <w:color w:val="000000"/>
                <w:sz w:val="18"/>
                <w:szCs w:val="18"/>
              </w:rPr>
            </w:pPr>
            <w:r w:rsidRPr="00820582">
              <w:rPr>
                <w:rFonts w:ascii="Calibri" w:hAnsi="Calibri" w:cs="Calibri"/>
                <w:color w:val="000000"/>
                <w:sz w:val="18"/>
                <w:szCs w:val="18"/>
              </w:rPr>
              <w:t>Strategic / Business</w:t>
            </w:r>
          </w:p>
        </w:tc>
        <w:tc>
          <w:tcPr>
            <w:tcW w:w="9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4FA899" w14:textId="77777777" w:rsidR="00AC5B3D" w:rsidRPr="00FE452F" w:rsidRDefault="00AC5B3D" w:rsidP="00022964">
            <w:pPr>
              <w:spacing w:after="0" w:line="240" w:lineRule="auto"/>
              <w:jc w:val="center"/>
              <w:rPr>
                <w:rFonts w:eastAsia="Times New Roman" w:cstheme="minorHAnsi"/>
                <w:color w:val="FF0000"/>
                <w:sz w:val="18"/>
                <w:szCs w:val="18"/>
              </w:rPr>
            </w:pPr>
            <w:r w:rsidRPr="00820582">
              <w:rPr>
                <w:rFonts w:ascii="Calibri" w:hAnsi="Calibri" w:cs="Calibri"/>
                <w:color w:val="FFC000"/>
                <w:sz w:val="18"/>
                <w:szCs w:val="18"/>
              </w:rPr>
              <w:t>Medium</w:t>
            </w:r>
          </w:p>
        </w:tc>
        <w:tc>
          <w:tcPr>
            <w:tcW w:w="11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03BEA2" w14:textId="77777777" w:rsidR="00AC5B3D" w:rsidRPr="00FE452F" w:rsidRDefault="00AC5B3D" w:rsidP="00022964">
            <w:pPr>
              <w:spacing w:after="0" w:line="240" w:lineRule="auto"/>
              <w:jc w:val="center"/>
              <w:rPr>
                <w:rFonts w:eastAsia="Times New Roman" w:cstheme="minorHAnsi"/>
                <w:color w:val="00B050"/>
                <w:sz w:val="18"/>
                <w:szCs w:val="18"/>
              </w:rPr>
            </w:pPr>
            <w:r w:rsidRPr="00820582">
              <w:rPr>
                <w:rFonts w:ascii="Calibri" w:hAnsi="Calibri" w:cs="Calibri"/>
                <w:color w:val="92D050"/>
                <w:sz w:val="18"/>
                <w:szCs w:val="18"/>
              </w:rPr>
              <w:t>Low</w:t>
            </w:r>
          </w:p>
        </w:tc>
        <w:tc>
          <w:tcPr>
            <w:tcW w:w="967" w:type="dxa"/>
            <w:tcBorders>
              <w:top w:val="single" w:sz="4" w:space="0" w:color="BFBFBF"/>
              <w:left w:val="single" w:sz="4" w:space="0" w:color="BFBFBF"/>
              <w:bottom w:val="single" w:sz="4" w:space="0" w:color="BFBFBF"/>
              <w:right w:val="single" w:sz="4" w:space="0" w:color="BFBFBF"/>
            </w:tcBorders>
            <w:shd w:val="clear" w:color="auto" w:fill="FFC000" w:themeFill="accent4"/>
            <w:vAlign w:val="center"/>
          </w:tcPr>
          <w:p w14:paraId="7DB550DF" w14:textId="77777777" w:rsidR="00AC5B3D" w:rsidRPr="00FE452F" w:rsidRDefault="00AC5B3D" w:rsidP="00022964">
            <w:pPr>
              <w:spacing w:after="0" w:line="240" w:lineRule="auto"/>
              <w:jc w:val="center"/>
              <w:rPr>
                <w:rFonts w:eastAsia="Times New Roman" w:cstheme="minorHAnsi"/>
                <w:b/>
                <w:bCs/>
                <w:sz w:val="18"/>
                <w:szCs w:val="18"/>
              </w:rPr>
            </w:pPr>
            <w:r w:rsidRPr="00820582">
              <w:rPr>
                <w:rFonts w:ascii="Calibri" w:hAnsi="Calibri" w:cs="Calibri"/>
                <w:b/>
                <w:bCs/>
                <w:sz w:val="18"/>
                <w:szCs w:val="18"/>
              </w:rPr>
              <w:t>6</w:t>
            </w:r>
          </w:p>
        </w:tc>
        <w:tc>
          <w:tcPr>
            <w:tcW w:w="3363" w:type="dxa"/>
            <w:tcBorders>
              <w:top w:val="single" w:sz="4" w:space="0" w:color="A6A6A6"/>
              <w:left w:val="nil"/>
              <w:bottom w:val="single" w:sz="4" w:space="0" w:color="A6A6A6"/>
              <w:right w:val="nil"/>
            </w:tcBorders>
            <w:shd w:val="clear" w:color="auto" w:fill="auto"/>
          </w:tcPr>
          <w:p w14:paraId="2FEC7D50" w14:textId="77777777" w:rsidR="00AC5B3D" w:rsidRPr="00FE452F" w:rsidRDefault="00AC5B3D" w:rsidP="00022964">
            <w:pPr>
              <w:spacing w:after="0" w:line="240" w:lineRule="auto"/>
              <w:rPr>
                <w:rFonts w:eastAsia="Times New Roman" w:cstheme="minorHAnsi"/>
                <w:color w:val="000000"/>
                <w:sz w:val="18"/>
                <w:szCs w:val="18"/>
              </w:rPr>
            </w:pPr>
            <w:r w:rsidRPr="00820582">
              <w:rPr>
                <w:rFonts w:ascii="Calibri" w:hAnsi="Calibri" w:cs="Calibri"/>
                <w:color w:val="000000"/>
                <w:sz w:val="18"/>
                <w:szCs w:val="18"/>
              </w:rPr>
              <w:t xml:space="preserve">We are investigating whether FOA can accrue activities before the first payment in August. </w:t>
            </w:r>
          </w:p>
        </w:tc>
        <w:tc>
          <w:tcPr>
            <w:tcW w:w="848" w:type="dxa"/>
            <w:tcBorders>
              <w:top w:val="nil"/>
              <w:left w:val="single" w:sz="4" w:space="0" w:color="BFBFBF"/>
              <w:bottom w:val="single" w:sz="4" w:space="0" w:color="BFBFBF"/>
              <w:right w:val="single" w:sz="4" w:space="0" w:color="BFBFBF"/>
            </w:tcBorders>
            <w:shd w:val="clear" w:color="auto" w:fill="auto"/>
            <w:vAlign w:val="center"/>
          </w:tcPr>
          <w:p w14:paraId="1E903B1C"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tcPr>
          <w:p w14:paraId="1E385ADE"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26/02/2021</w:t>
            </w:r>
          </w:p>
        </w:tc>
        <w:tc>
          <w:tcPr>
            <w:tcW w:w="1186" w:type="dxa"/>
            <w:tcBorders>
              <w:top w:val="nil"/>
              <w:left w:val="nil"/>
              <w:bottom w:val="single" w:sz="4" w:space="0" w:color="BFBFBF"/>
              <w:right w:val="nil"/>
            </w:tcBorders>
            <w:shd w:val="clear" w:color="auto" w:fill="auto"/>
            <w:vAlign w:val="center"/>
          </w:tcPr>
          <w:p w14:paraId="7302CB3D"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820582">
              <w:rPr>
                <w:rFonts w:ascii="Calibri" w:hAnsi="Calibri" w:cs="Calibri"/>
                <w:color w:val="000000"/>
                <w:sz w:val="18"/>
                <w:szCs w:val="18"/>
              </w:rPr>
              <w:t>No</w:t>
            </w:r>
          </w:p>
        </w:tc>
      </w:tr>
    </w:tbl>
    <w:p w14:paraId="0DF893AD" w14:textId="77777777" w:rsidR="00AC5B3D" w:rsidRDefault="00AC5B3D" w:rsidP="00AC5B3D"/>
    <w:p w14:paraId="144607DA" w14:textId="77777777" w:rsidR="00AC5B3D" w:rsidRDefault="00AC5B3D" w:rsidP="00AC5B3D">
      <w:r>
        <w:t xml:space="preserve">Table 3. GOAP risk register </w:t>
      </w:r>
    </w:p>
    <w:tbl>
      <w:tblPr>
        <w:tblW w:w="14862" w:type="dxa"/>
        <w:tblLook w:val="04A0" w:firstRow="1" w:lastRow="0" w:firstColumn="1" w:lastColumn="0" w:noHBand="0" w:noVBand="1"/>
      </w:tblPr>
      <w:tblGrid>
        <w:gridCol w:w="3931"/>
        <w:gridCol w:w="1264"/>
        <w:gridCol w:w="849"/>
        <w:gridCol w:w="1125"/>
        <w:gridCol w:w="974"/>
        <w:gridCol w:w="3402"/>
        <w:gridCol w:w="849"/>
        <w:gridCol w:w="1282"/>
        <w:gridCol w:w="1186"/>
      </w:tblGrid>
      <w:tr w:rsidR="00AC5B3D" w:rsidRPr="00FE452F" w14:paraId="77CC09BB" w14:textId="77777777" w:rsidTr="00022964">
        <w:trPr>
          <w:trHeight w:val="855"/>
        </w:trPr>
        <w:tc>
          <w:tcPr>
            <w:tcW w:w="3931"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DA7EBEB"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Risk Description</w:t>
            </w:r>
          </w:p>
        </w:tc>
        <w:tc>
          <w:tcPr>
            <w:tcW w:w="1264"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0E127948"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Risk Category</w:t>
            </w:r>
          </w:p>
        </w:tc>
        <w:tc>
          <w:tcPr>
            <w:tcW w:w="849"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75C369A3"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Impact</w:t>
            </w:r>
          </w:p>
        </w:tc>
        <w:tc>
          <w:tcPr>
            <w:tcW w:w="1125"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4B8920A"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 xml:space="preserve"> Likelihood</w:t>
            </w:r>
          </w:p>
        </w:tc>
        <w:tc>
          <w:tcPr>
            <w:tcW w:w="974"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7C78558"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RAG Status</w:t>
            </w:r>
          </w:p>
        </w:tc>
        <w:tc>
          <w:tcPr>
            <w:tcW w:w="3402" w:type="dxa"/>
            <w:tcBorders>
              <w:top w:val="single" w:sz="4" w:space="0" w:color="BFBFBF"/>
              <w:left w:val="single" w:sz="4" w:space="0" w:color="BFBFBF"/>
              <w:bottom w:val="single" w:sz="4" w:space="0" w:color="A6A6A6" w:themeColor="background1" w:themeShade="A6"/>
              <w:right w:val="single" w:sz="4" w:space="0" w:color="BFBFBF"/>
            </w:tcBorders>
            <w:shd w:val="clear" w:color="000000" w:fill="595959"/>
            <w:vAlign w:val="center"/>
            <w:hideMark/>
          </w:tcPr>
          <w:p w14:paraId="5C53302C" w14:textId="77777777" w:rsidR="00AC5B3D" w:rsidRPr="00FE452F" w:rsidRDefault="00AC5B3D" w:rsidP="00022964">
            <w:pPr>
              <w:spacing w:after="0" w:line="240" w:lineRule="auto"/>
              <w:jc w:val="center"/>
              <w:rPr>
                <w:rFonts w:eastAsia="Times New Roman" w:cstheme="minorHAnsi"/>
                <w:b/>
                <w:bCs/>
                <w:color w:val="FFFFFF"/>
                <w:sz w:val="18"/>
                <w:szCs w:val="18"/>
              </w:rPr>
            </w:pPr>
            <w:r w:rsidRPr="00FE452F">
              <w:rPr>
                <w:rFonts w:eastAsia="Times New Roman" w:cstheme="minorHAnsi"/>
                <w:b/>
                <w:bCs/>
                <w:color w:val="FFFFFF"/>
                <w:sz w:val="18"/>
                <w:szCs w:val="18"/>
              </w:rPr>
              <w:t>Mitigating action(s), action completion dates and action owner(s)</w:t>
            </w:r>
          </w:p>
        </w:tc>
        <w:tc>
          <w:tcPr>
            <w:tcW w:w="849"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7E6BF274" w14:textId="77777777" w:rsidR="00AC5B3D" w:rsidRPr="00FE452F" w:rsidRDefault="00AC5B3D" w:rsidP="00022964">
            <w:pPr>
              <w:spacing w:after="0" w:line="240" w:lineRule="auto"/>
              <w:jc w:val="center"/>
              <w:rPr>
                <w:rFonts w:ascii="Calibri" w:eastAsia="Times New Roman" w:hAnsi="Calibri" w:cs="Calibri"/>
                <w:b/>
                <w:bCs/>
                <w:color w:val="FFFFFF"/>
                <w:sz w:val="18"/>
                <w:szCs w:val="18"/>
              </w:rPr>
            </w:pPr>
            <w:r w:rsidRPr="00FE452F">
              <w:rPr>
                <w:rFonts w:ascii="Calibri" w:eastAsia="Times New Roman" w:hAnsi="Calibri" w:cs="Calibri"/>
                <w:b/>
                <w:bCs/>
                <w:color w:val="FFFFFF"/>
                <w:sz w:val="18"/>
                <w:szCs w:val="18"/>
              </w:rPr>
              <w:t>Status</w:t>
            </w:r>
          </w:p>
        </w:tc>
        <w:tc>
          <w:tcPr>
            <w:tcW w:w="1282"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0E41509E" w14:textId="77777777" w:rsidR="00AC5B3D" w:rsidRPr="00FE452F" w:rsidRDefault="00AC5B3D" w:rsidP="00022964">
            <w:pPr>
              <w:spacing w:after="0" w:line="240" w:lineRule="auto"/>
              <w:jc w:val="center"/>
              <w:rPr>
                <w:rFonts w:ascii="Calibri" w:eastAsia="Times New Roman" w:hAnsi="Calibri" w:cs="Calibri"/>
                <w:b/>
                <w:bCs/>
                <w:color w:val="FFFFFF"/>
                <w:sz w:val="18"/>
                <w:szCs w:val="18"/>
              </w:rPr>
            </w:pPr>
            <w:r w:rsidRPr="00FE452F">
              <w:rPr>
                <w:rFonts w:ascii="Calibri" w:eastAsia="Times New Roman" w:hAnsi="Calibri" w:cs="Calibri"/>
                <w:b/>
                <w:bCs/>
                <w:color w:val="FFFFFF"/>
                <w:sz w:val="18"/>
                <w:szCs w:val="18"/>
              </w:rPr>
              <w:t>Date Last Reviewed</w:t>
            </w:r>
          </w:p>
        </w:tc>
        <w:tc>
          <w:tcPr>
            <w:tcW w:w="1186" w:type="dxa"/>
            <w:tcBorders>
              <w:top w:val="single" w:sz="4" w:space="0" w:color="BFBFBF"/>
              <w:left w:val="single" w:sz="4" w:space="0" w:color="BFBFBF"/>
              <w:bottom w:val="single" w:sz="4" w:space="0" w:color="BFBFBF"/>
              <w:right w:val="nil"/>
            </w:tcBorders>
            <w:shd w:val="clear" w:color="000000" w:fill="595959"/>
            <w:vAlign w:val="center"/>
            <w:hideMark/>
          </w:tcPr>
          <w:p w14:paraId="7ABE7644" w14:textId="77777777" w:rsidR="00AC5B3D" w:rsidRPr="00FE452F" w:rsidRDefault="00AC5B3D" w:rsidP="00022964">
            <w:pPr>
              <w:spacing w:after="0" w:line="240" w:lineRule="auto"/>
              <w:jc w:val="center"/>
              <w:rPr>
                <w:rFonts w:ascii="Calibri" w:eastAsia="Times New Roman" w:hAnsi="Calibri" w:cs="Calibri"/>
                <w:b/>
                <w:bCs/>
                <w:color w:val="FFFFFF"/>
                <w:sz w:val="18"/>
                <w:szCs w:val="18"/>
              </w:rPr>
            </w:pPr>
            <w:r w:rsidRPr="00FE452F">
              <w:rPr>
                <w:rFonts w:ascii="Calibri" w:eastAsia="Times New Roman" w:hAnsi="Calibri" w:cs="Calibri"/>
                <w:b/>
                <w:bCs/>
                <w:color w:val="FFFFFF"/>
                <w:sz w:val="18"/>
                <w:szCs w:val="18"/>
              </w:rPr>
              <w:t>Need to be escalated?</w:t>
            </w:r>
          </w:p>
        </w:tc>
      </w:tr>
      <w:tr w:rsidR="00AC5B3D" w:rsidRPr="00FE452F" w14:paraId="28A2A1A1" w14:textId="77777777" w:rsidTr="00022964">
        <w:trPr>
          <w:trHeight w:val="558"/>
        </w:trPr>
        <w:tc>
          <w:tcPr>
            <w:tcW w:w="3931" w:type="dxa"/>
            <w:tcBorders>
              <w:top w:val="nil"/>
              <w:left w:val="nil"/>
              <w:bottom w:val="single" w:sz="4" w:space="0" w:color="BFBFBF"/>
              <w:right w:val="single" w:sz="4" w:space="0" w:color="BFBFBF"/>
            </w:tcBorders>
            <w:shd w:val="clear" w:color="auto" w:fill="auto"/>
            <w:hideMark/>
          </w:tcPr>
          <w:p w14:paraId="699E5506"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Due to COVID-19 there is a risk that delays will be caused to the project as activities cannot go ahead as planned due to lockdowns and travel disruptions. This will result in the project missing log frame targets, underspending, and being unable to deliver expected results over the lifetime of the project.</w:t>
            </w:r>
          </w:p>
        </w:tc>
        <w:tc>
          <w:tcPr>
            <w:tcW w:w="1264" w:type="dxa"/>
            <w:tcBorders>
              <w:top w:val="nil"/>
              <w:left w:val="nil"/>
              <w:bottom w:val="single" w:sz="4" w:space="0" w:color="BFBFBF"/>
              <w:right w:val="single" w:sz="4" w:space="0" w:color="BFBFBF"/>
            </w:tcBorders>
            <w:shd w:val="clear" w:color="auto" w:fill="auto"/>
            <w:vAlign w:val="center"/>
            <w:hideMark/>
          </w:tcPr>
          <w:p w14:paraId="7A30BE63" w14:textId="77777777" w:rsidR="00AC5B3D" w:rsidRPr="00FE452F" w:rsidRDefault="00AC5B3D" w:rsidP="00022964">
            <w:pPr>
              <w:spacing w:after="0" w:line="240" w:lineRule="auto"/>
              <w:jc w:val="center"/>
              <w:rPr>
                <w:rFonts w:eastAsia="Times New Roman" w:cstheme="minorHAnsi"/>
                <w:color w:val="000000"/>
                <w:sz w:val="18"/>
                <w:szCs w:val="18"/>
              </w:rPr>
            </w:pPr>
            <w:r w:rsidRPr="00FE452F">
              <w:rPr>
                <w:rFonts w:eastAsia="Times New Roman" w:cstheme="minorHAnsi"/>
                <w:color w:val="000000"/>
                <w:sz w:val="18"/>
                <w:szCs w:val="18"/>
              </w:rPr>
              <w:t>External</w:t>
            </w:r>
          </w:p>
        </w:tc>
        <w:tc>
          <w:tcPr>
            <w:tcW w:w="84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04DBCB"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11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70D017"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974"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6EBD7ED" w14:textId="77777777" w:rsidR="00AC5B3D" w:rsidRPr="00FE452F" w:rsidRDefault="00AC5B3D" w:rsidP="00022964">
            <w:pPr>
              <w:spacing w:after="0" w:line="240" w:lineRule="auto"/>
              <w:jc w:val="center"/>
              <w:rPr>
                <w:rFonts w:eastAsia="Times New Roman" w:cstheme="minorHAnsi"/>
                <w:b/>
                <w:bCs/>
                <w:sz w:val="18"/>
                <w:szCs w:val="18"/>
              </w:rPr>
            </w:pPr>
            <w:r w:rsidRPr="00FE452F">
              <w:rPr>
                <w:rFonts w:eastAsia="Times New Roman" w:cstheme="minorHAnsi"/>
                <w:b/>
                <w:bCs/>
                <w:sz w:val="18"/>
                <w:szCs w:val="18"/>
              </w:rPr>
              <w:t>9</w:t>
            </w:r>
          </w:p>
        </w:tc>
        <w:tc>
          <w:tcPr>
            <w:tcW w:w="3402" w:type="dxa"/>
            <w:tcBorders>
              <w:top w:val="single" w:sz="4" w:space="0" w:color="A6A6A6" w:themeColor="background1" w:themeShade="A6"/>
              <w:left w:val="nil"/>
              <w:bottom w:val="single" w:sz="4" w:space="0" w:color="A6A6A6"/>
              <w:right w:val="single" w:sz="4" w:space="0" w:color="BFBFBF"/>
            </w:tcBorders>
            <w:shd w:val="clear" w:color="auto" w:fill="auto"/>
            <w:hideMark/>
          </w:tcPr>
          <w:p w14:paraId="10C76336"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 xml:space="preserve">The activities for 2021/22 have been put together specifically with COVID-19 in mind. Limited, travel will be required as many of the activities can be delivered virtually or locally. The creation of national pilot ocean accounts and development roadmaps will be sub-contracted out to delivery partners in the five countries selected to limit the need for international travel as far as possible. The remaining COVID-19 risk is lockdowns in pilot countries. This would impede delivery, but some work would still be able to proceed virtually. Defra BPF team will work with GOAP to monitor spend and continually review progress against log frame </w:t>
            </w:r>
            <w:r w:rsidRPr="00FE452F">
              <w:rPr>
                <w:rFonts w:eastAsia="Times New Roman" w:cstheme="minorHAnsi"/>
                <w:color w:val="000000"/>
                <w:sz w:val="18"/>
                <w:szCs w:val="18"/>
              </w:rPr>
              <w:lastRenderedPageBreak/>
              <w:t>milestones to ensure that impacts are achieved.</w:t>
            </w:r>
          </w:p>
        </w:tc>
        <w:tc>
          <w:tcPr>
            <w:tcW w:w="849" w:type="dxa"/>
            <w:tcBorders>
              <w:top w:val="nil"/>
              <w:left w:val="nil"/>
              <w:bottom w:val="single" w:sz="4" w:space="0" w:color="BFBFBF"/>
              <w:right w:val="single" w:sz="4" w:space="0" w:color="BFBFBF"/>
            </w:tcBorders>
            <w:shd w:val="clear" w:color="auto" w:fill="auto"/>
            <w:vAlign w:val="center"/>
            <w:hideMark/>
          </w:tcPr>
          <w:p w14:paraId="4C35C65D"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lastRenderedPageBreak/>
              <w:t>Closed</w:t>
            </w:r>
          </w:p>
        </w:tc>
        <w:tc>
          <w:tcPr>
            <w:tcW w:w="1282" w:type="dxa"/>
            <w:tcBorders>
              <w:top w:val="nil"/>
              <w:left w:val="nil"/>
              <w:bottom w:val="single" w:sz="4" w:space="0" w:color="BFBFBF"/>
              <w:right w:val="single" w:sz="4" w:space="0" w:color="BFBFBF"/>
            </w:tcBorders>
            <w:shd w:val="clear" w:color="auto" w:fill="auto"/>
            <w:vAlign w:val="center"/>
            <w:hideMark/>
          </w:tcPr>
          <w:p w14:paraId="4607BD05"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07/04/2021</w:t>
            </w:r>
          </w:p>
        </w:tc>
        <w:tc>
          <w:tcPr>
            <w:tcW w:w="1186" w:type="dxa"/>
            <w:tcBorders>
              <w:top w:val="nil"/>
              <w:left w:val="nil"/>
              <w:bottom w:val="single" w:sz="4" w:space="0" w:color="BFBFBF"/>
              <w:right w:val="nil"/>
            </w:tcBorders>
            <w:shd w:val="clear" w:color="auto" w:fill="auto"/>
            <w:vAlign w:val="center"/>
            <w:hideMark/>
          </w:tcPr>
          <w:p w14:paraId="31EB3D7D"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No</w:t>
            </w:r>
          </w:p>
        </w:tc>
      </w:tr>
      <w:tr w:rsidR="00AC5B3D" w:rsidRPr="00FE452F" w14:paraId="299D3690" w14:textId="77777777" w:rsidTr="00022964">
        <w:trPr>
          <w:trHeight w:val="2505"/>
        </w:trPr>
        <w:tc>
          <w:tcPr>
            <w:tcW w:w="3931" w:type="dxa"/>
            <w:tcBorders>
              <w:top w:val="nil"/>
              <w:left w:val="nil"/>
              <w:bottom w:val="single" w:sz="4" w:space="0" w:color="BFBFBF"/>
              <w:right w:val="single" w:sz="4" w:space="0" w:color="BFBFBF"/>
            </w:tcBorders>
            <w:shd w:val="clear" w:color="auto" w:fill="auto"/>
            <w:hideMark/>
          </w:tcPr>
          <w:p w14:paraId="021F6054"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Due to the possibility of political instability, there is a risk that the delivery of one or more of the ocean account pilots may be disrupted. This will result in the inability to deliver all five pilots, or cause delays to the pilots and create inefficiencies.</w:t>
            </w:r>
          </w:p>
        </w:tc>
        <w:tc>
          <w:tcPr>
            <w:tcW w:w="1264" w:type="dxa"/>
            <w:tcBorders>
              <w:top w:val="nil"/>
              <w:left w:val="nil"/>
              <w:bottom w:val="single" w:sz="4" w:space="0" w:color="BFBFBF"/>
              <w:right w:val="single" w:sz="4" w:space="0" w:color="BFBFBF"/>
            </w:tcBorders>
            <w:shd w:val="clear" w:color="auto" w:fill="auto"/>
            <w:vAlign w:val="center"/>
            <w:hideMark/>
          </w:tcPr>
          <w:p w14:paraId="08BF2AE5" w14:textId="77777777" w:rsidR="00AC5B3D" w:rsidRPr="00FE452F" w:rsidRDefault="00AC5B3D" w:rsidP="00022964">
            <w:pPr>
              <w:spacing w:after="0" w:line="240" w:lineRule="auto"/>
              <w:jc w:val="center"/>
              <w:rPr>
                <w:rFonts w:eastAsia="Times New Roman" w:cstheme="minorHAnsi"/>
                <w:color w:val="000000"/>
                <w:sz w:val="18"/>
                <w:szCs w:val="18"/>
              </w:rPr>
            </w:pPr>
            <w:r w:rsidRPr="00FE452F">
              <w:rPr>
                <w:rFonts w:eastAsia="Times New Roman" w:cstheme="minorHAnsi"/>
                <w:color w:val="000000"/>
                <w:sz w:val="18"/>
                <w:szCs w:val="18"/>
              </w:rPr>
              <w:t>External</w:t>
            </w:r>
          </w:p>
        </w:tc>
        <w:tc>
          <w:tcPr>
            <w:tcW w:w="84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DD4566" w14:textId="77777777" w:rsidR="00AC5B3D" w:rsidRPr="00FE452F" w:rsidRDefault="00AC5B3D" w:rsidP="00022964">
            <w:pPr>
              <w:spacing w:after="0" w:line="240" w:lineRule="auto"/>
              <w:jc w:val="center"/>
              <w:rPr>
                <w:rFonts w:eastAsia="Times New Roman" w:cstheme="minorHAnsi"/>
                <w:color w:val="92D050"/>
                <w:sz w:val="18"/>
                <w:szCs w:val="18"/>
              </w:rPr>
            </w:pPr>
            <w:r w:rsidRPr="00FE452F">
              <w:rPr>
                <w:rFonts w:eastAsia="Times New Roman" w:cstheme="minorHAnsi"/>
                <w:color w:val="92D050"/>
                <w:sz w:val="18"/>
                <w:szCs w:val="18"/>
              </w:rPr>
              <w:t>Low</w:t>
            </w:r>
          </w:p>
        </w:tc>
        <w:tc>
          <w:tcPr>
            <w:tcW w:w="11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BC18FC"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974"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A175C52" w14:textId="77777777" w:rsidR="00AC5B3D" w:rsidRPr="00FE452F" w:rsidRDefault="00AC5B3D" w:rsidP="00022964">
            <w:pPr>
              <w:spacing w:after="0" w:line="240" w:lineRule="auto"/>
              <w:jc w:val="center"/>
              <w:rPr>
                <w:rFonts w:eastAsia="Times New Roman" w:cstheme="minorHAnsi"/>
                <w:b/>
                <w:bCs/>
                <w:sz w:val="18"/>
                <w:szCs w:val="18"/>
              </w:rPr>
            </w:pPr>
            <w:r w:rsidRPr="00FE452F">
              <w:rPr>
                <w:rFonts w:eastAsia="Times New Roman" w:cstheme="minorHAnsi"/>
                <w:b/>
                <w:bCs/>
                <w:sz w:val="18"/>
                <w:szCs w:val="18"/>
              </w:rPr>
              <w:t>6</w:t>
            </w:r>
          </w:p>
        </w:tc>
        <w:tc>
          <w:tcPr>
            <w:tcW w:w="3402" w:type="dxa"/>
            <w:tcBorders>
              <w:top w:val="single" w:sz="4" w:space="0" w:color="A6A6A6"/>
              <w:left w:val="nil"/>
              <w:bottom w:val="single" w:sz="4" w:space="0" w:color="A6A6A6"/>
              <w:right w:val="single" w:sz="4" w:space="0" w:color="BFBFBF"/>
            </w:tcBorders>
            <w:shd w:val="clear" w:color="auto" w:fill="auto"/>
            <w:vAlign w:val="bottom"/>
            <w:hideMark/>
          </w:tcPr>
          <w:p w14:paraId="3D3D6CA3"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 xml:space="preserve">Two of the three intended outcomes are to be delivered </w:t>
            </w:r>
            <w:proofErr w:type="gramStart"/>
            <w:r w:rsidRPr="00FE452F">
              <w:rPr>
                <w:rFonts w:eastAsia="Times New Roman" w:cstheme="minorHAnsi"/>
                <w:color w:val="000000"/>
                <w:sz w:val="18"/>
                <w:szCs w:val="18"/>
              </w:rPr>
              <w:t>virtually</w:t>
            </w:r>
            <w:proofErr w:type="gramEnd"/>
            <w:r w:rsidRPr="00FE452F">
              <w:rPr>
                <w:rFonts w:eastAsia="Times New Roman" w:cstheme="minorHAnsi"/>
                <w:color w:val="000000"/>
                <w:sz w:val="18"/>
                <w:szCs w:val="18"/>
              </w:rPr>
              <w:t xml:space="preserve"> and political instability is unlikely to impact them. Whilst the creation of five national pilot ocean accounts and development roadmaps would be impacted, it is unlikely that there would be political instability in all five. Furthermore, when selecting those countries to deliver in, political stability will be considered. We will be taking an agile approach to delivery and will be able to shift countries if </w:t>
            </w:r>
            <w:proofErr w:type="gramStart"/>
            <w:r w:rsidRPr="00FE452F">
              <w:rPr>
                <w:rFonts w:eastAsia="Times New Roman" w:cstheme="minorHAnsi"/>
                <w:color w:val="000000"/>
                <w:sz w:val="18"/>
                <w:szCs w:val="18"/>
              </w:rPr>
              <w:t>absolutely necessary</w:t>
            </w:r>
            <w:proofErr w:type="gramEnd"/>
            <w:r w:rsidRPr="00FE452F">
              <w:rPr>
                <w:rFonts w:eastAsia="Times New Roman" w:cstheme="minorHAnsi"/>
                <w:color w:val="000000"/>
                <w:sz w:val="18"/>
                <w:szCs w:val="18"/>
              </w:rPr>
              <w:t>. We will work closely with GOAP and with HMG ambassadors to monitor any associated risks.</w:t>
            </w:r>
          </w:p>
        </w:tc>
        <w:tc>
          <w:tcPr>
            <w:tcW w:w="849" w:type="dxa"/>
            <w:tcBorders>
              <w:top w:val="nil"/>
              <w:left w:val="nil"/>
              <w:bottom w:val="single" w:sz="4" w:space="0" w:color="BFBFBF"/>
              <w:right w:val="single" w:sz="4" w:space="0" w:color="BFBFBF"/>
            </w:tcBorders>
            <w:shd w:val="clear" w:color="auto" w:fill="auto"/>
            <w:vAlign w:val="center"/>
            <w:hideMark/>
          </w:tcPr>
          <w:p w14:paraId="787D818D"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hideMark/>
          </w:tcPr>
          <w:p w14:paraId="01E00459"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07/04/2021</w:t>
            </w:r>
          </w:p>
        </w:tc>
        <w:tc>
          <w:tcPr>
            <w:tcW w:w="1186" w:type="dxa"/>
            <w:tcBorders>
              <w:top w:val="nil"/>
              <w:left w:val="nil"/>
              <w:bottom w:val="single" w:sz="4" w:space="0" w:color="BFBFBF"/>
              <w:right w:val="nil"/>
            </w:tcBorders>
            <w:shd w:val="clear" w:color="auto" w:fill="auto"/>
            <w:vAlign w:val="center"/>
            <w:hideMark/>
          </w:tcPr>
          <w:p w14:paraId="0A138335"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No</w:t>
            </w:r>
          </w:p>
        </w:tc>
      </w:tr>
      <w:tr w:rsidR="00AC5B3D" w:rsidRPr="00FE452F" w14:paraId="4BF785C6" w14:textId="77777777" w:rsidTr="00022964">
        <w:trPr>
          <w:trHeight w:val="2115"/>
        </w:trPr>
        <w:tc>
          <w:tcPr>
            <w:tcW w:w="3931" w:type="dxa"/>
            <w:tcBorders>
              <w:top w:val="nil"/>
              <w:left w:val="nil"/>
              <w:bottom w:val="single" w:sz="4" w:space="0" w:color="BFBFBF"/>
              <w:right w:val="single" w:sz="4" w:space="0" w:color="BFBFBF"/>
            </w:tcBorders>
            <w:shd w:val="clear" w:color="auto" w:fill="auto"/>
            <w:hideMark/>
          </w:tcPr>
          <w:p w14:paraId="0F430687" w14:textId="77777777" w:rsidR="00AC5B3D" w:rsidRPr="00FE452F" w:rsidRDefault="00AC5B3D" w:rsidP="00022964">
            <w:pPr>
              <w:spacing w:after="240" w:line="240" w:lineRule="auto"/>
              <w:rPr>
                <w:rFonts w:eastAsia="Times New Roman" w:cstheme="minorHAnsi"/>
                <w:color w:val="000000"/>
                <w:sz w:val="18"/>
                <w:szCs w:val="18"/>
              </w:rPr>
            </w:pPr>
            <w:r w:rsidRPr="00FE452F">
              <w:rPr>
                <w:rFonts w:eastAsia="Times New Roman" w:cstheme="minorHAnsi"/>
                <w:color w:val="000000"/>
                <w:sz w:val="18"/>
                <w:szCs w:val="18"/>
              </w:rPr>
              <w:t>Due to a lack of capacity, there is a risk that GOAP does not adhere to agreed reporting requirements set out in the grant agreement. This will result in Defra not being able to assess performance against the deliverables.</w:t>
            </w:r>
          </w:p>
        </w:tc>
        <w:tc>
          <w:tcPr>
            <w:tcW w:w="1264" w:type="dxa"/>
            <w:tcBorders>
              <w:top w:val="nil"/>
              <w:left w:val="nil"/>
              <w:bottom w:val="single" w:sz="4" w:space="0" w:color="BFBFBF"/>
              <w:right w:val="single" w:sz="4" w:space="0" w:color="BFBFBF"/>
            </w:tcBorders>
            <w:shd w:val="clear" w:color="auto" w:fill="auto"/>
            <w:vAlign w:val="center"/>
            <w:hideMark/>
          </w:tcPr>
          <w:p w14:paraId="195E1391" w14:textId="77777777" w:rsidR="00AC5B3D" w:rsidRPr="00FE452F" w:rsidRDefault="00AC5B3D" w:rsidP="00022964">
            <w:pPr>
              <w:spacing w:after="0" w:line="240" w:lineRule="auto"/>
              <w:jc w:val="center"/>
              <w:rPr>
                <w:rFonts w:eastAsia="Times New Roman" w:cstheme="minorHAnsi"/>
                <w:color w:val="000000"/>
                <w:sz w:val="18"/>
                <w:szCs w:val="18"/>
              </w:rPr>
            </w:pPr>
            <w:r w:rsidRPr="00FE452F">
              <w:rPr>
                <w:rFonts w:eastAsia="Times New Roman" w:cstheme="minorHAnsi"/>
                <w:color w:val="000000"/>
                <w:sz w:val="18"/>
                <w:szCs w:val="18"/>
              </w:rPr>
              <w:t>People</w:t>
            </w:r>
          </w:p>
        </w:tc>
        <w:tc>
          <w:tcPr>
            <w:tcW w:w="84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216B71"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11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23B45E" w14:textId="77777777" w:rsidR="00AC5B3D" w:rsidRPr="00FE452F" w:rsidRDefault="00AC5B3D" w:rsidP="00022964">
            <w:pPr>
              <w:spacing w:after="0" w:line="240" w:lineRule="auto"/>
              <w:jc w:val="center"/>
              <w:rPr>
                <w:rFonts w:eastAsia="Times New Roman" w:cstheme="minorHAnsi"/>
                <w:color w:val="92D050"/>
                <w:sz w:val="18"/>
                <w:szCs w:val="18"/>
              </w:rPr>
            </w:pPr>
            <w:r w:rsidRPr="00FE452F">
              <w:rPr>
                <w:rFonts w:eastAsia="Times New Roman" w:cstheme="minorHAnsi"/>
                <w:color w:val="92D050"/>
                <w:sz w:val="18"/>
                <w:szCs w:val="18"/>
              </w:rPr>
              <w:t>Low</w:t>
            </w:r>
          </w:p>
        </w:tc>
        <w:tc>
          <w:tcPr>
            <w:tcW w:w="974"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ECB41EE" w14:textId="77777777" w:rsidR="00AC5B3D" w:rsidRPr="00FE452F" w:rsidRDefault="00AC5B3D" w:rsidP="00022964">
            <w:pPr>
              <w:spacing w:after="0" w:line="240" w:lineRule="auto"/>
              <w:jc w:val="center"/>
              <w:rPr>
                <w:rFonts w:eastAsia="Times New Roman" w:cstheme="minorHAnsi"/>
                <w:b/>
                <w:bCs/>
                <w:sz w:val="18"/>
                <w:szCs w:val="18"/>
              </w:rPr>
            </w:pPr>
            <w:r w:rsidRPr="00FE452F">
              <w:rPr>
                <w:rFonts w:eastAsia="Times New Roman" w:cstheme="minorHAnsi"/>
                <w:b/>
                <w:bCs/>
                <w:sz w:val="18"/>
                <w:szCs w:val="18"/>
              </w:rPr>
              <w:t>6</w:t>
            </w:r>
          </w:p>
        </w:tc>
        <w:tc>
          <w:tcPr>
            <w:tcW w:w="3402" w:type="dxa"/>
            <w:tcBorders>
              <w:top w:val="single" w:sz="4" w:space="0" w:color="A6A6A6"/>
              <w:left w:val="nil"/>
              <w:bottom w:val="single" w:sz="4" w:space="0" w:color="auto"/>
              <w:right w:val="single" w:sz="4" w:space="0" w:color="BFBFBF"/>
            </w:tcBorders>
            <w:shd w:val="clear" w:color="auto" w:fill="auto"/>
            <w:hideMark/>
          </w:tcPr>
          <w:p w14:paraId="66AD21BF"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 xml:space="preserve">GOAP has provided a log frame, concept </w:t>
            </w:r>
            <w:proofErr w:type="gramStart"/>
            <w:r w:rsidRPr="00FE452F">
              <w:rPr>
                <w:rFonts w:eastAsia="Times New Roman" w:cstheme="minorHAnsi"/>
                <w:color w:val="000000"/>
                <w:sz w:val="18"/>
                <w:szCs w:val="18"/>
              </w:rPr>
              <w:t>note, and</w:t>
            </w:r>
            <w:proofErr w:type="gramEnd"/>
            <w:r w:rsidRPr="00FE452F">
              <w:rPr>
                <w:rFonts w:eastAsia="Times New Roman" w:cstheme="minorHAnsi"/>
                <w:color w:val="000000"/>
                <w:sz w:val="18"/>
                <w:szCs w:val="18"/>
              </w:rPr>
              <w:t xml:space="preserve"> has fed into Defra’s Theory of Change. The disbursement schedule, set out in the grant agreement, will ensure that payments are given subject to satisfactory progress. Furthermore, GOAP receiving funding for years 2-5 are dependent on its performance in year 1. This decision was made specifically to mitigate against the risk of funding a relatively new partnership. GOAP have recruited an additional resource to work at the Secretariat in August 2021. </w:t>
            </w:r>
          </w:p>
        </w:tc>
        <w:tc>
          <w:tcPr>
            <w:tcW w:w="849" w:type="dxa"/>
            <w:tcBorders>
              <w:top w:val="nil"/>
              <w:left w:val="nil"/>
              <w:bottom w:val="single" w:sz="4" w:space="0" w:color="BFBFBF"/>
              <w:right w:val="single" w:sz="4" w:space="0" w:color="BFBFBF"/>
            </w:tcBorders>
            <w:shd w:val="clear" w:color="auto" w:fill="auto"/>
            <w:vAlign w:val="center"/>
            <w:hideMark/>
          </w:tcPr>
          <w:p w14:paraId="1AF497DF"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hideMark/>
          </w:tcPr>
          <w:p w14:paraId="347306AD"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19/08/2021</w:t>
            </w:r>
          </w:p>
        </w:tc>
        <w:tc>
          <w:tcPr>
            <w:tcW w:w="1186" w:type="dxa"/>
            <w:tcBorders>
              <w:top w:val="nil"/>
              <w:left w:val="nil"/>
              <w:bottom w:val="single" w:sz="4" w:space="0" w:color="BFBFBF"/>
              <w:right w:val="nil"/>
            </w:tcBorders>
            <w:shd w:val="clear" w:color="auto" w:fill="auto"/>
            <w:vAlign w:val="center"/>
            <w:hideMark/>
          </w:tcPr>
          <w:p w14:paraId="3BD3EB52"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No</w:t>
            </w:r>
          </w:p>
        </w:tc>
      </w:tr>
      <w:tr w:rsidR="00AC5B3D" w:rsidRPr="00FE452F" w14:paraId="6DA01F45" w14:textId="77777777" w:rsidTr="00022964">
        <w:trPr>
          <w:trHeight w:val="2370"/>
        </w:trPr>
        <w:tc>
          <w:tcPr>
            <w:tcW w:w="3931" w:type="dxa"/>
            <w:tcBorders>
              <w:top w:val="nil"/>
              <w:left w:val="nil"/>
              <w:bottom w:val="single" w:sz="4" w:space="0" w:color="BFBFBF"/>
              <w:right w:val="single" w:sz="4" w:space="0" w:color="BFBFBF"/>
            </w:tcBorders>
            <w:shd w:val="clear" w:color="auto" w:fill="auto"/>
            <w:hideMark/>
          </w:tcPr>
          <w:p w14:paraId="71D3E6BA" w14:textId="77777777" w:rsidR="00AC5B3D" w:rsidRPr="00FE452F" w:rsidRDefault="00AC5B3D" w:rsidP="00022964">
            <w:pPr>
              <w:spacing w:after="240" w:line="240" w:lineRule="auto"/>
              <w:rPr>
                <w:rFonts w:eastAsia="Times New Roman" w:cstheme="minorHAnsi"/>
                <w:color w:val="000000"/>
                <w:sz w:val="18"/>
                <w:szCs w:val="18"/>
              </w:rPr>
            </w:pPr>
            <w:r w:rsidRPr="00FE452F">
              <w:rPr>
                <w:rFonts w:eastAsia="Times New Roman" w:cstheme="minorHAnsi"/>
                <w:color w:val="000000"/>
                <w:sz w:val="18"/>
                <w:szCs w:val="18"/>
              </w:rPr>
              <w:lastRenderedPageBreak/>
              <w:t>Due to corruption either by GOAP, or third parties contracted by GOAP, there is a risk that funds will be misused. This will result in damage to Defra's, and HMG's, reputation and mean that the project is unable to deliver.</w:t>
            </w:r>
          </w:p>
        </w:tc>
        <w:tc>
          <w:tcPr>
            <w:tcW w:w="1264" w:type="dxa"/>
            <w:tcBorders>
              <w:top w:val="nil"/>
              <w:left w:val="nil"/>
              <w:bottom w:val="single" w:sz="4" w:space="0" w:color="BFBFBF"/>
              <w:right w:val="single" w:sz="4" w:space="0" w:color="BFBFBF"/>
            </w:tcBorders>
            <w:shd w:val="clear" w:color="auto" w:fill="auto"/>
            <w:vAlign w:val="center"/>
            <w:hideMark/>
          </w:tcPr>
          <w:p w14:paraId="694759B1" w14:textId="77777777" w:rsidR="00AC5B3D" w:rsidRPr="00FE452F" w:rsidRDefault="00AC5B3D" w:rsidP="00022964">
            <w:pPr>
              <w:spacing w:after="0" w:line="240" w:lineRule="auto"/>
              <w:jc w:val="center"/>
              <w:rPr>
                <w:rFonts w:eastAsia="Times New Roman" w:cstheme="minorHAnsi"/>
                <w:color w:val="000000"/>
                <w:sz w:val="18"/>
                <w:szCs w:val="18"/>
              </w:rPr>
            </w:pPr>
            <w:r w:rsidRPr="00FE452F">
              <w:rPr>
                <w:rFonts w:eastAsia="Times New Roman" w:cstheme="minorHAnsi"/>
                <w:color w:val="000000"/>
                <w:sz w:val="18"/>
                <w:szCs w:val="18"/>
              </w:rPr>
              <w:t>Financial</w:t>
            </w:r>
          </w:p>
        </w:tc>
        <w:tc>
          <w:tcPr>
            <w:tcW w:w="84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48B955" w14:textId="77777777" w:rsidR="00AC5B3D" w:rsidRPr="00FE452F" w:rsidRDefault="00AC5B3D" w:rsidP="00022964">
            <w:pPr>
              <w:spacing w:after="0" w:line="240" w:lineRule="auto"/>
              <w:jc w:val="center"/>
              <w:rPr>
                <w:rFonts w:eastAsia="Times New Roman" w:cstheme="minorHAnsi"/>
                <w:color w:val="FF0000"/>
                <w:sz w:val="18"/>
                <w:szCs w:val="18"/>
              </w:rPr>
            </w:pPr>
            <w:r w:rsidRPr="00FE452F">
              <w:rPr>
                <w:rFonts w:eastAsia="Times New Roman" w:cstheme="minorHAnsi"/>
                <w:color w:val="FF0000"/>
                <w:sz w:val="18"/>
                <w:szCs w:val="18"/>
              </w:rPr>
              <w:t>High</w:t>
            </w:r>
          </w:p>
        </w:tc>
        <w:tc>
          <w:tcPr>
            <w:tcW w:w="11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FAF083" w14:textId="77777777" w:rsidR="00AC5B3D" w:rsidRPr="00FE452F" w:rsidRDefault="00AC5B3D" w:rsidP="00022964">
            <w:pPr>
              <w:spacing w:after="0" w:line="240" w:lineRule="auto"/>
              <w:jc w:val="center"/>
              <w:rPr>
                <w:rFonts w:eastAsia="Times New Roman" w:cstheme="minorHAnsi"/>
                <w:color w:val="00B050"/>
                <w:sz w:val="18"/>
                <w:szCs w:val="18"/>
              </w:rPr>
            </w:pPr>
            <w:r w:rsidRPr="00FE452F">
              <w:rPr>
                <w:rFonts w:eastAsia="Times New Roman" w:cstheme="minorHAnsi"/>
                <w:color w:val="00B050"/>
                <w:sz w:val="18"/>
                <w:szCs w:val="18"/>
              </w:rPr>
              <w:t>Very Low</w:t>
            </w:r>
          </w:p>
        </w:tc>
        <w:tc>
          <w:tcPr>
            <w:tcW w:w="974"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6EE9842A" w14:textId="77777777" w:rsidR="00AC5B3D" w:rsidRPr="00FE452F" w:rsidRDefault="00AC5B3D" w:rsidP="00022964">
            <w:pPr>
              <w:spacing w:after="0" w:line="240" w:lineRule="auto"/>
              <w:jc w:val="center"/>
              <w:rPr>
                <w:rFonts w:eastAsia="Times New Roman" w:cstheme="minorHAnsi"/>
                <w:b/>
                <w:bCs/>
                <w:sz w:val="18"/>
                <w:szCs w:val="18"/>
              </w:rPr>
            </w:pPr>
            <w:r w:rsidRPr="00FE452F">
              <w:rPr>
                <w:rFonts w:eastAsia="Times New Roman" w:cstheme="minorHAnsi"/>
                <w:b/>
                <w:bCs/>
                <w:sz w:val="18"/>
                <w:szCs w:val="18"/>
              </w:rPr>
              <w:t>4</w:t>
            </w:r>
          </w:p>
        </w:tc>
        <w:tc>
          <w:tcPr>
            <w:tcW w:w="3402" w:type="dxa"/>
            <w:tcBorders>
              <w:top w:val="nil"/>
              <w:left w:val="nil"/>
              <w:bottom w:val="nil"/>
              <w:right w:val="nil"/>
            </w:tcBorders>
            <w:shd w:val="clear" w:color="auto" w:fill="auto"/>
            <w:vAlign w:val="bottom"/>
            <w:hideMark/>
          </w:tcPr>
          <w:p w14:paraId="0F803067"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 xml:space="preserve">Two of the three intended outcomes are to be delivered virtually by </w:t>
            </w:r>
            <w:proofErr w:type="gramStart"/>
            <w:r w:rsidRPr="00FE452F">
              <w:rPr>
                <w:rFonts w:eastAsia="Times New Roman" w:cstheme="minorHAnsi"/>
                <w:color w:val="000000"/>
                <w:sz w:val="18"/>
                <w:szCs w:val="18"/>
              </w:rPr>
              <w:t>GOAP</w:t>
            </w:r>
            <w:proofErr w:type="gramEnd"/>
            <w:r w:rsidRPr="00FE452F">
              <w:rPr>
                <w:rFonts w:eastAsia="Times New Roman" w:cstheme="minorHAnsi"/>
                <w:color w:val="000000"/>
                <w:sz w:val="18"/>
                <w:szCs w:val="18"/>
              </w:rPr>
              <w:t xml:space="preserve"> and corruption is highly unlikely. The creation of national pilot ocean accounts and development roadmaps will be sub-contracted out to trusted delivery partners in five selected ODA eligible countries. The countries’ ranking in Transparency International’s Corruption Perceptions Index will be considered during selection, and Defra BPF team will work with GOAP to monitor spend to ensure financial propriety.</w:t>
            </w:r>
          </w:p>
        </w:tc>
        <w:tc>
          <w:tcPr>
            <w:tcW w:w="849" w:type="dxa"/>
            <w:tcBorders>
              <w:top w:val="nil"/>
              <w:left w:val="single" w:sz="4" w:space="0" w:color="BFBFBF"/>
              <w:bottom w:val="single" w:sz="4" w:space="0" w:color="BFBFBF"/>
              <w:right w:val="single" w:sz="4" w:space="0" w:color="BFBFBF"/>
            </w:tcBorders>
            <w:shd w:val="clear" w:color="auto" w:fill="auto"/>
            <w:vAlign w:val="center"/>
            <w:hideMark/>
          </w:tcPr>
          <w:p w14:paraId="43CD9DAF"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hideMark/>
          </w:tcPr>
          <w:p w14:paraId="42271A3E"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07/04/2021</w:t>
            </w:r>
          </w:p>
        </w:tc>
        <w:tc>
          <w:tcPr>
            <w:tcW w:w="1186" w:type="dxa"/>
            <w:tcBorders>
              <w:top w:val="nil"/>
              <w:left w:val="nil"/>
              <w:bottom w:val="single" w:sz="4" w:space="0" w:color="BFBFBF"/>
              <w:right w:val="nil"/>
            </w:tcBorders>
            <w:shd w:val="clear" w:color="auto" w:fill="auto"/>
            <w:vAlign w:val="center"/>
            <w:hideMark/>
          </w:tcPr>
          <w:p w14:paraId="712683ED"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No</w:t>
            </w:r>
          </w:p>
        </w:tc>
      </w:tr>
      <w:tr w:rsidR="00AC5B3D" w:rsidRPr="00FE452F" w14:paraId="43EEE78B" w14:textId="77777777" w:rsidTr="00022964">
        <w:trPr>
          <w:trHeight w:val="2340"/>
        </w:trPr>
        <w:tc>
          <w:tcPr>
            <w:tcW w:w="3931" w:type="dxa"/>
            <w:tcBorders>
              <w:top w:val="nil"/>
              <w:left w:val="nil"/>
              <w:bottom w:val="single" w:sz="4" w:space="0" w:color="BFBFBF"/>
              <w:right w:val="single" w:sz="4" w:space="0" w:color="BFBFBF"/>
            </w:tcBorders>
            <w:shd w:val="clear" w:color="auto" w:fill="auto"/>
            <w:hideMark/>
          </w:tcPr>
          <w:p w14:paraId="32DC83CB" w14:textId="77777777" w:rsidR="00AC5B3D" w:rsidRPr="00FE452F" w:rsidRDefault="00AC5B3D" w:rsidP="00022964">
            <w:pPr>
              <w:spacing w:after="240" w:line="240" w:lineRule="auto"/>
              <w:rPr>
                <w:rFonts w:eastAsia="Times New Roman" w:cstheme="minorHAnsi"/>
                <w:color w:val="000000"/>
                <w:sz w:val="18"/>
                <w:szCs w:val="18"/>
              </w:rPr>
            </w:pPr>
            <w:r w:rsidRPr="00FE452F">
              <w:rPr>
                <w:rFonts w:eastAsia="Times New Roman" w:cstheme="minorHAnsi"/>
                <w:color w:val="000000"/>
                <w:sz w:val="18"/>
                <w:szCs w:val="18"/>
              </w:rPr>
              <w:t xml:space="preserve">Due to low resources and capacity in Defra's BPF team, there is a risk that Governance delays </w:t>
            </w:r>
            <w:proofErr w:type="gramStart"/>
            <w:r w:rsidRPr="00FE452F">
              <w:rPr>
                <w:rFonts w:eastAsia="Times New Roman" w:cstheme="minorHAnsi"/>
                <w:color w:val="000000"/>
                <w:sz w:val="18"/>
                <w:szCs w:val="18"/>
              </w:rPr>
              <w:t>hinders</w:t>
            </w:r>
            <w:proofErr w:type="gramEnd"/>
            <w:r w:rsidRPr="00FE452F">
              <w:rPr>
                <w:rFonts w:eastAsia="Times New Roman" w:cstheme="minorHAnsi"/>
                <w:color w:val="000000"/>
                <w:sz w:val="18"/>
                <w:szCs w:val="18"/>
              </w:rPr>
              <w:t xml:space="preserve"> ability of GOAP to deliver which will result in delays to project delivery.</w:t>
            </w:r>
          </w:p>
        </w:tc>
        <w:tc>
          <w:tcPr>
            <w:tcW w:w="1264" w:type="dxa"/>
            <w:tcBorders>
              <w:top w:val="nil"/>
              <w:left w:val="nil"/>
              <w:bottom w:val="single" w:sz="4" w:space="0" w:color="BFBFBF"/>
              <w:right w:val="single" w:sz="4" w:space="0" w:color="BFBFBF"/>
            </w:tcBorders>
            <w:shd w:val="clear" w:color="auto" w:fill="auto"/>
            <w:vAlign w:val="center"/>
            <w:hideMark/>
          </w:tcPr>
          <w:p w14:paraId="50B8C19C" w14:textId="77777777" w:rsidR="00AC5B3D" w:rsidRPr="00FE452F" w:rsidRDefault="00AC5B3D" w:rsidP="00022964">
            <w:pPr>
              <w:spacing w:after="0" w:line="240" w:lineRule="auto"/>
              <w:jc w:val="center"/>
              <w:rPr>
                <w:rFonts w:eastAsia="Times New Roman" w:cstheme="minorHAnsi"/>
                <w:color w:val="000000"/>
                <w:sz w:val="18"/>
                <w:szCs w:val="18"/>
              </w:rPr>
            </w:pPr>
            <w:r w:rsidRPr="00FE452F">
              <w:rPr>
                <w:rFonts w:eastAsia="Times New Roman" w:cstheme="minorHAnsi"/>
                <w:color w:val="000000"/>
                <w:sz w:val="18"/>
                <w:szCs w:val="18"/>
              </w:rPr>
              <w:t>People</w:t>
            </w:r>
          </w:p>
        </w:tc>
        <w:tc>
          <w:tcPr>
            <w:tcW w:w="84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E866B8"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11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B99403" w14:textId="77777777" w:rsidR="00AC5B3D" w:rsidRPr="00FE452F" w:rsidRDefault="00AC5B3D" w:rsidP="00022964">
            <w:pPr>
              <w:spacing w:after="0" w:line="240" w:lineRule="auto"/>
              <w:jc w:val="center"/>
              <w:rPr>
                <w:rFonts w:eastAsia="Times New Roman" w:cstheme="minorHAnsi"/>
                <w:color w:val="92D050"/>
                <w:sz w:val="18"/>
                <w:szCs w:val="18"/>
              </w:rPr>
            </w:pPr>
            <w:r w:rsidRPr="00FE452F">
              <w:rPr>
                <w:rFonts w:eastAsia="Times New Roman" w:cstheme="minorHAnsi"/>
                <w:color w:val="92D050"/>
                <w:sz w:val="18"/>
                <w:szCs w:val="18"/>
              </w:rPr>
              <w:t>Low</w:t>
            </w:r>
          </w:p>
        </w:tc>
        <w:tc>
          <w:tcPr>
            <w:tcW w:w="974"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A6FF18A" w14:textId="77777777" w:rsidR="00AC5B3D" w:rsidRPr="00FE452F" w:rsidRDefault="00AC5B3D" w:rsidP="00022964">
            <w:pPr>
              <w:spacing w:after="0" w:line="240" w:lineRule="auto"/>
              <w:jc w:val="center"/>
              <w:rPr>
                <w:rFonts w:eastAsia="Times New Roman" w:cstheme="minorHAnsi"/>
                <w:b/>
                <w:bCs/>
                <w:sz w:val="18"/>
                <w:szCs w:val="18"/>
              </w:rPr>
            </w:pPr>
            <w:r w:rsidRPr="00FE452F">
              <w:rPr>
                <w:rFonts w:eastAsia="Times New Roman" w:cstheme="minorHAnsi"/>
                <w:b/>
                <w:bCs/>
                <w:sz w:val="18"/>
                <w:szCs w:val="18"/>
              </w:rPr>
              <w:t>6</w:t>
            </w:r>
          </w:p>
        </w:tc>
        <w:tc>
          <w:tcPr>
            <w:tcW w:w="3402" w:type="dxa"/>
            <w:tcBorders>
              <w:top w:val="single" w:sz="4" w:space="0" w:color="BFBFBF"/>
              <w:left w:val="nil"/>
              <w:bottom w:val="single" w:sz="4" w:space="0" w:color="BFBFBF"/>
              <w:right w:val="single" w:sz="4" w:space="0" w:color="BFBFBF"/>
            </w:tcBorders>
            <w:shd w:val="clear" w:color="auto" w:fill="auto"/>
            <w:hideMark/>
          </w:tcPr>
          <w:p w14:paraId="0391E253" w14:textId="6FD236D3"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 xml:space="preserve">Once FLD resources for 2021/22 are finalised the likelihood an impact of this risk will be clearer. Currently we are not able to recruit for an economist or M&amp;E specialist. As </w:t>
            </w:r>
            <w:r w:rsidR="00DD463B" w:rsidRPr="00FE452F">
              <w:rPr>
                <w:rFonts w:eastAsia="Times New Roman" w:cstheme="minorHAnsi"/>
                <w:color w:val="000000"/>
                <w:sz w:val="18"/>
                <w:szCs w:val="18"/>
              </w:rPr>
              <w:t>of</w:t>
            </w:r>
            <w:r w:rsidRPr="00FE452F">
              <w:rPr>
                <w:rFonts w:eastAsia="Times New Roman" w:cstheme="minorHAnsi"/>
                <w:color w:val="000000"/>
                <w:sz w:val="18"/>
                <w:szCs w:val="18"/>
              </w:rPr>
              <w:t xml:space="preserve"> </w:t>
            </w:r>
            <w:proofErr w:type="gramStart"/>
            <w:r w:rsidRPr="00FE452F">
              <w:rPr>
                <w:rFonts w:eastAsia="Times New Roman" w:cstheme="minorHAnsi"/>
                <w:color w:val="000000"/>
                <w:sz w:val="18"/>
                <w:szCs w:val="18"/>
              </w:rPr>
              <w:t>August 2021</w:t>
            </w:r>
            <w:proofErr w:type="gramEnd"/>
            <w:r w:rsidRPr="00FE452F">
              <w:rPr>
                <w:rFonts w:eastAsia="Times New Roman" w:cstheme="minorHAnsi"/>
                <w:color w:val="000000"/>
                <w:sz w:val="18"/>
                <w:szCs w:val="18"/>
              </w:rPr>
              <w:t xml:space="preserve"> there are no resource issues affecting the project so the likelihood of this has been downgraded to low.</w:t>
            </w:r>
          </w:p>
        </w:tc>
        <w:tc>
          <w:tcPr>
            <w:tcW w:w="849" w:type="dxa"/>
            <w:tcBorders>
              <w:top w:val="nil"/>
              <w:left w:val="nil"/>
              <w:bottom w:val="single" w:sz="4" w:space="0" w:color="BFBFBF"/>
              <w:right w:val="single" w:sz="4" w:space="0" w:color="BFBFBF"/>
            </w:tcBorders>
            <w:shd w:val="clear" w:color="auto" w:fill="auto"/>
            <w:vAlign w:val="center"/>
            <w:hideMark/>
          </w:tcPr>
          <w:p w14:paraId="0EA43D8E"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hideMark/>
          </w:tcPr>
          <w:p w14:paraId="4DDA3B4A"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19/08/2021</w:t>
            </w:r>
          </w:p>
        </w:tc>
        <w:tc>
          <w:tcPr>
            <w:tcW w:w="1186" w:type="dxa"/>
            <w:tcBorders>
              <w:top w:val="nil"/>
              <w:left w:val="nil"/>
              <w:bottom w:val="single" w:sz="4" w:space="0" w:color="BFBFBF"/>
              <w:right w:val="nil"/>
            </w:tcBorders>
            <w:shd w:val="clear" w:color="auto" w:fill="auto"/>
            <w:vAlign w:val="center"/>
            <w:hideMark/>
          </w:tcPr>
          <w:p w14:paraId="48216365"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No</w:t>
            </w:r>
          </w:p>
        </w:tc>
      </w:tr>
      <w:tr w:rsidR="00AC5B3D" w:rsidRPr="00FE452F" w14:paraId="5B77A4A2" w14:textId="77777777" w:rsidTr="00022964">
        <w:trPr>
          <w:trHeight w:val="2542"/>
        </w:trPr>
        <w:tc>
          <w:tcPr>
            <w:tcW w:w="3931" w:type="dxa"/>
            <w:tcBorders>
              <w:top w:val="nil"/>
              <w:left w:val="nil"/>
              <w:bottom w:val="single" w:sz="4" w:space="0" w:color="BFBFBF"/>
              <w:right w:val="single" w:sz="4" w:space="0" w:color="BFBFBF"/>
            </w:tcBorders>
            <w:shd w:val="clear" w:color="auto" w:fill="auto"/>
            <w:hideMark/>
          </w:tcPr>
          <w:p w14:paraId="3F358EC5" w14:textId="77777777" w:rsidR="00AC5B3D" w:rsidRPr="00FE452F" w:rsidRDefault="00AC5B3D" w:rsidP="00022964">
            <w:pPr>
              <w:spacing w:after="240" w:line="240" w:lineRule="auto"/>
              <w:rPr>
                <w:rFonts w:eastAsia="Times New Roman" w:cstheme="minorHAnsi"/>
                <w:color w:val="000000"/>
                <w:sz w:val="18"/>
                <w:szCs w:val="18"/>
              </w:rPr>
            </w:pPr>
            <w:r w:rsidRPr="00FE452F">
              <w:rPr>
                <w:rFonts w:eastAsia="Times New Roman" w:cstheme="minorHAnsi"/>
                <w:color w:val="000000"/>
                <w:sz w:val="18"/>
                <w:szCs w:val="18"/>
              </w:rPr>
              <w:t xml:space="preserve">Due to several outcomes relying on the capabilities and efficiencies of deliver partners such as UN-ESCAP, UNSEEA, and UNSC to hit deadlines, there is a risk that low capacity, bureaucracy and other delays could result in an inability for GOAP to deliver on some outcomes. </w:t>
            </w:r>
          </w:p>
        </w:tc>
        <w:tc>
          <w:tcPr>
            <w:tcW w:w="1264" w:type="dxa"/>
            <w:tcBorders>
              <w:top w:val="nil"/>
              <w:left w:val="nil"/>
              <w:bottom w:val="single" w:sz="4" w:space="0" w:color="BFBFBF"/>
              <w:right w:val="single" w:sz="4" w:space="0" w:color="BFBFBF"/>
            </w:tcBorders>
            <w:shd w:val="clear" w:color="auto" w:fill="auto"/>
            <w:vAlign w:val="center"/>
            <w:hideMark/>
          </w:tcPr>
          <w:p w14:paraId="04B2FC27" w14:textId="77777777" w:rsidR="00AC5B3D" w:rsidRPr="00FE452F" w:rsidRDefault="00AC5B3D" w:rsidP="00022964">
            <w:pPr>
              <w:spacing w:after="0" w:line="240" w:lineRule="auto"/>
              <w:jc w:val="center"/>
              <w:rPr>
                <w:rFonts w:eastAsia="Times New Roman" w:cstheme="minorHAnsi"/>
                <w:color w:val="000000"/>
                <w:sz w:val="18"/>
                <w:szCs w:val="18"/>
              </w:rPr>
            </w:pPr>
            <w:r w:rsidRPr="00FE452F">
              <w:rPr>
                <w:rFonts w:eastAsia="Times New Roman" w:cstheme="minorHAnsi"/>
                <w:color w:val="000000"/>
                <w:sz w:val="18"/>
                <w:szCs w:val="18"/>
              </w:rPr>
              <w:t>Operational</w:t>
            </w:r>
          </w:p>
        </w:tc>
        <w:tc>
          <w:tcPr>
            <w:tcW w:w="84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801CD0"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11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DE3DB1"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974"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AF178E2" w14:textId="77777777" w:rsidR="00AC5B3D" w:rsidRPr="00FE452F" w:rsidRDefault="00AC5B3D" w:rsidP="00022964">
            <w:pPr>
              <w:spacing w:after="0" w:line="240" w:lineRule="auto"/>
              <w:jc w:val="center"/>
              <w:rPr>
                <w:rFonts w:eastAsia="Times New Roman" w:cstheme="minorHAnsi"/>
                <w:b/>
                <w:bCs/>
                <w:sz w:val="18"/>
                <w:szCs w:val="18"/>
              </w:rPr>
            </w:pPr>
            <w:r w:rsidRPr="00FE452F">
              <w:rPr>
                <w:rFonts w:eastAsia="Times New Roman" w:cstheme="minorHAnsi"/>
                <w:b/>
                <w:bCs/>
                <w:sz w:val="18"/>
                <w:szCs w:val="18"/>
              </w:rPr>
              <w:t>9</w:t>
            </w:r>
          </w:p>
        </w:tc>
        <w:tc>
          <w:tcPr>
            <w:tcW w:w="3402" w:type="dxa"/>
            <w:tcBorders>
              <w:top w:val="nil"/>
              <w:left w:val="nil"/>
              <w:bottom w:val="single" w:sz="4" w:space="0" w:color="BFBFBF"/>
              <w:right w:val="single" w:sz="4" w:space="0" w:color="BFBFBF"/>
            </w:tcBorders>
            <w:shd w:val="clear" w:color="auto" w:fill="auto"/>
            <w:hideMark/>
          </w:tcPr>
          <w:p w14:paraId="6CB737D0"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We have deliberately selected a delivery partner that is well-integrated into UN systems. These existing professional relationships will save time and ensure these UN bodies are accountable to GOAP.</w:t>
            </w:r>
          </w:p>
        </w:tc>
        <w:tc>
          <w:tcPr>
            <w:tcW w:w="849" w:type="dxa"/>
            <w:tcBorders>
              <w:top w:val="nil"/>
              <w:left w:val="nil"/>
              <w:bottom w:val="single" w:sz="4" w:space="0" w:color="BFBFBF"/>
              <w:right w:val="single" w:sz="4" w:space="0" w:color="BFBFBF"/>
            </w:tcBorders>
            <w:shd w:val="clear" w:color="auto" w:fill="auto"/>
            <w:vAlign w:val="center"/>
            <w:hideMark/>
          </w:tcPr>
          <w:p w14:paraId="4BE50BDD"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hideMark/>
          </w:tcPr>
          <w:p w14:paraId="2D050D4E"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07/04/2021</w:t>
            </w:r>
          </w:p>
        </w:tc>
        <w:tc>
          <w:tcPr>
            <w:tcW w:w="1186" w:type="dxa"/>
            <w:tcBorders>
              <w:top w:val="nil"/>
              <w:left w:val="nil"/>
              <w:bottom w:val="single" w:sz="4" w:space="0" w:color="BFBFBF"/>
              <w:right w:val="nil"/>
            </w:tcBorders>
            <w:shd w:val="clear" w:color="auto" w:fill="auto"/>
            <w:vAlign w:val="center"/>
            <w:hideMark/>
          </w:tcPr>
          <w:p w14:paraId="35DC3204"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No</w:t>
            </w:r>
          </w:p>
        </w:tc>
      </w:tr>
      <w:tr w:rsidR="00AC5B3D" w:rsidRPr="00FE452F" w14:paraId="2CC0D56B" w14:textId="77777777" w:rsidTr="00022964">
        <w:trPr>
          <w:trHeight w:val="1598"/>
        </w:trPr>
        <w:tc>
          <w:tcPr>
            <w:tcW w:w="3931" w:type="dxa"/>
            <w:tcBorders>
              <w:top w:val="nil"/>
              <w:left w:val="nil"/>
              <w:bottom w:val="single" w:sz="4" w:space="0" w:color="BFBFBF"/>
              <w:right w:val="single" w:sz="4" w:space="0" w:color="BFBFBF"/>
            </w:tcBorders>
            <w:shd w:val="clear" w:color="auto" w:fill="auto"/>
            <w:hideMark/>
          </w:tcPr>
          <w:p w14:paraId="17F3CB3F" w14:textId="77777777" w:rsidR="00AC5B3D" w:rsidRPr="00FE452F" w:rsidRDefault="00AC5B3D" w:rsidP="00022964">
            <w:pPr>
              <w:spacing w:after="240" w:line="240" w:lineRule="auto"/>
              <w:rPr>
                <w:rFonts w:eastAsia="Times New Roman" w:cstheme="minorHAnsi"/>
                <w:color w:val="000000"/>
                <w:sz w:val="18"/>
                <w:szCs w:val="18"/>
              </w:rPr>
            </w:pPr>
            <w:r w:rsidRPr="00FE452F">
              <w:rPr>
                <w:rFonts w:eastAsia="Times New Roman" w:cstheme="minorHAnsi"/>
                <w:color w:val="000000"/>
                <w:sz w:val="18"/>
                <w:szCs w:val="18"/>
              </w:rPr>
              <w:lastRenderedPageBreak/>
              <w:t>Due to: GOAP being a relatively new initiative founded in 2019, there is a risk that it will be unable to meet KPIs due to relative inexperience or lack of capacity and coordination. This will result in a failure of GOAP to deliver the project.</w:t>
            </w:r>
          </w:p>
        </w:tc>
        <w:tc>
          <w:tcPr>
            <w:tcW w:w="1264" w:type="dxa"/>
            <w:tcBorders>
              <w:top w:val="nil"/>
              <w:left w:val="nil"/>
              <w:bottom w:val="single" w:sz="4" w:space="0" w:color="BFBFBF"/>
              <w:right w:val="single" w:sz="4" w:space="0" w:color="BFBFBF"/>
            </w:tcBorders>
            <w:shd w:val="clear" w:color="auto" w:fill="auto"/>
            <w:vAlign w:val="center"/>
            <w:hideMark/>
          </w:tcPr>
          <w:p w14:paraId="7EC8F50B" w14:textId="77777777" w:rsidR="00AC5B3D" w:rsidRPr="00FE452F" w:rsidRDefault="00AC5B3D" w:rsidP="00022964">
            <w:pPr>
              <w:spacing w:after="0" w:line="240" w:lineRule="auto"/>
              <w:jc w:val="center"/>
              <w:rPr>
                <w:rFonts w:eastAsia="Times New Roman" w:cstheme="minorHAnsi"/>
                <w:color w:val="000000"/>
                <w:sz w:val="18"/>
                <w:szCs w:val="18"/>
              </w:rPr>
            </w:pPr>
            <w:r w:rsidRPr="00FE452F">
              <w:rPr>
                <w:rFonts w:eastAsia="Times New Roman" w:cstheme="minorHAnsi"/>
                <w:color w:val="000000"/>
                <w:sz w:val="18"/>
                <w:szCs w:val="18"/>
              </w:rPr>
              <w:t>Operational</w:t>
            </w:r>
          </w:p>
        </w:tc>
        <w:tc>
          <w:tcPr>
            <w:tcW w:w="84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6D99EF" w14:textId="77777777" w:rsidR="00AC5B3D" w:rsidRPr="00FE452F" w:rsidRDefault="00AC5B3D" w:rsidP="00022964">
            <w:pPr>
              <w:spacing w:after="0" w:line="240" w:lineRule="auto"/>
              <w:jc w:val="center"/>
              <w:rPr>
                <w:rFonts w:eastAsia="Times New Roman" w:cstheme="minorHAnsi"/>
                <w:color w:val="92D050"/>
                <w:sz w:val="18"/>
                <w:szCs w:val="18"/>
              </w:rPr>
            </w:pPr>
            <w:r w:rsidRPr="00FE452F">
              <w:rPr>
                <w:rFonts w:eastAsia="Times New Roman" w:cstheme="minorHAnsi"/>
                <w:color w:val="92D050"/>
                <w:sz w:val="18"/>
                <w:szCs w:val="18"/>
              </w:rPr>
              <w:t>Low</w:t>
            </w:r>
          </w:p>
        </w:tc>
        <w:tc>
          <w:tcPr>
            <w:tcW w:w="11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B7583D"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974"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DC10417" w14:textId="77777777" w:rsidR="00AC5B3D" w:rsidRPr="00FE452F" w:rsidRDefault="00AC5B3D" w:rsidP="00022964">
            <w:pPr>
              <w:spacing w:after="0" w:line="240" w:lineRule="auto"/>
              <w:jc w:val="center"/>
              <w:rPr>
                <w:rFonts w:eastAsia="Times New Roman" w:cstheme="minorHAnsi"/>
                <w:b/>
                <w:bCs/>
                <w:sz w:val="18"/>
                <w:szCs w:val="18"/>
              </w:rPr>
            </w:pPr>
            <w:r w:rsidRPr="00FE452F">
              <w:rPr>
                <w:rFonts w:eastAsia="Times New Roman" w:cstheme="minorHAnsi"/>
                <w:b/>
                <w:bCs/>
                <w:sz w:val="18"/>
                <w:szCs w:val="18"/>
              </w:rPr>
              <w:t>6</w:t>
            </w:r>
          </w:p>
        </w:tc>
        <w:tc>
          <w:tcPr>
            <w:tcW w:w="3402" w:type="dxa"/>
            <w:tcBorders>
              <w:top w:val="nil"/>
              <w:left w:val="nil"/>
              <w:bottom w:val="single" w:sz="4" w:space="0" w:color="BFBFBF"/>
              <w:right w:val="single" w:sz="4" w:space="0" w:color="BFBFBF"/>
            </w:tcBorders>
            <w:shd w:val="clear" w:color="auto" w:fill="auto"/>
            <w:hideMark/>
          </w:tcPr>
          <w:p w14:paraId="40C6975C"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Defra recognises this risk. As mitigation, investment into GOAP is one year initially. To test the success of delivery, the project will deliver pilots in year one. Any further investments over subsequent years of the BPF are not confirmed and are dependent on performance in year one.</w:t>
            </w:r>
          </w:p>
        </w:tc>
        <w:tc>
          <w:tcPr>
            <w:tcW w:w="849" w:type="dxa"/>
            <w:tcBorders>
              <w:top w:val="nil"/>
              <w:left w:val="nil"/>
              <w:bottom w:val="single" w:sz="4" w:space="0" w:color="BFBFBF"/>
              <w:right w:val="single" w:sz="4" w:space="0" w:color="BFBFBF"/>
            </w:tcBorders>
            <w:shd w:val="clear" w:color="auto" w:fill="auto"/>
            <w:vAlign w:val="center"/>
            <w:hideMark/>
          </w:tcPr>
          <w:p w14:paraId="1DA97652"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hideMark/>
          </w:tcPr>
          <w:p w14:paraId="092CEFB9"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19/08/2021</w:t>
            </w:r>
          </w:p>
        </w:tc>
        <w:tc>
          <w:tcPr>
            <w:tcW w:w="1186" w:type="dxa"/>
            <w:tcBorders>
              <w:top w:val="nil"/>
              <w:left w:val="nil"/>
              <w:bottom w:val="single" w:sz="4" w:space="0" w:color="BFBFBF"/>
              <w:right w:val="nil"/>
            </w:tcBorders>
            <w:shd w:val="clear" w:color="auto" w:fill="auto"/>
            <w:vAlign w:val="center"/>
            <w:hideMark/>
          </w:tcPr>
          <w:p w14:paraId="1BF54E12"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No</w:t>
            </w:r>
          </w:p>
        </w:tc>
      </w:tr>
      <w:tr w:rsidR="00AC5B3D" w:rsidRPr="00FE452F" w14:paraId="7FCD7B72" w14:textId="77777777" w:rsidTr="00022964">
        <w:trPr>
          <w:trHeight w:val="1643"/>
        </w:trPr>
        <w:tc>
          <w:tcPr>
            <w:tcW w:w="3931" w:type="dxa"/>
            <w:tcBorders>
              <w:top w:val="nil"/>
              <w:left w:val="nil"/>
              <w:bottom w:val="single" w:sz="4" w:space="0" w:color="BFBFBF"/>
              <w:right w:val="single" w:sz="4" w:space="0" w:color="BFBFBF"/>
            </w:tcBorders>
            <w:shd w:val="clear" w:color="auto" w:fill="auto"/>
            <w:hideMark/>
          </w:tcPr>
          <w:p w14:paraId="7CC82B48"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Due to: The unexpected death of the co-Chair of GOAP Michael Bordt in August 2021.</w:t>
            </w:r>
            <w:r w:rsidRPr="00FE452F">
              <w:rPr>
                <w:rFonts w:eastAsia="Times New Roman" w:cstheme="minorHAnsi"/>
                <w:color w:val="000000"/>
                <w:sz w:val="18"/>
                <w:szCs w:val="18"/>
              </w:rPr>
              <w:br/>
              <w:t>There is a risk that: the output he was leading on - the global expert panel might not be delivered to milestones</w:t>
            </w:r>
            <w:r w:rsidRPr="00FE452F">
              <w:rPr>
                <w:rFonts w:eastAsia="Times New Roman" w:cstheme="minorHAnsi"/>
                <w:color w:val="000000"/>
                <w:sz w:val="18"/>
                <w:szCs w:val="18"/>
              </w:rPr>
              <w:br/>
              <w:t>Which will result in: GOAP missing some milestones delaying payment.</w:t>
            </w:r>
          </w:p>
        </w:tc>
        <w:tc>
          <w:tcPr>
            <w:tcW w:w="1264" w:type="dxa"/>
            <w:tcBorders>
              <w:top w:val="nil"/>
              <w:left w:val="nil"/>
              <w:bottom w:val="single" w:sz="4" w:space="0" w:color="BFBFBF"/>
              <w:right w:val="single" w:sz="4" w:space="0" w:color="BFBFBF"/>
            </w:tcBorders>
            <w:shd w:val="clear" w:color="auto" w:fill="auto"/>
            <w:vAlign w:val="center"/>
            <w:hideMark/>
          </w:tcPr>
          <w:p w14:paraId="263158F3" w14:textId="77777777" w:rsidR="00AC5B3D" w:rsidRPr="00FE452F" w:rsidRDefault="00AC5B3D" w:rsidP="00022964">
            <w:pPr>
              <w:spacing w:after="0" w:line="240" w:lineRule="auto"/>
              <w:jc w:val="center"/>
              <w:rPr>
                <w:rFonts w:eastAsia="Times New Roman" w:cstheme="minorHAnsi"/>
                <w:color w:val="000000"/>
                <w:sz w:val="18"/>
                <w:szCs w:val="18"/>
              </w:rPr>
            </w:pPr>
            <w:r w:rsidRPr="00FE452F">
              <w:rPr>
                <w:rFonts w:eastAsia="Times New Roman" w:cstheme="minorHAnsi"/>
                <w:color w:val="000000"/>
                <w:sz w:val="18"/>
                <w:szCs w:val="18"/>
              </w:rPr>
              <w:t>Operational</w:t>
            </w:r>
          </w:p>
        </w:tc>
        <w:tc>
          <w:tcPr>
            <w:tcW w:w="84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2E3C6A"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11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D09C0D" w14:textId="77777777" w:rsidR="00AC5B3D" w:rsidRPr="00FE452F" w:rsidRDefault="00AC5B3D" w:rsidP="00022964">
            <w:pPr>
              <w:spacing w:after="0" w:line="240" w:lineRule="auto"/>
              <w:jc w:val="center"/>
              <w:rPr>
                <w:rFonts w:eastAsia="Times New Roman" w:cstheme="minorHAnsi"/>
                <w:color w:val="FFC000"/>
                <w:sz w:val="18"/>
                <w:szCs w:val="18"/>
              </w:rPr>
            </w:pPr>
            <w:r w:rsidRPr="00FE452F">
              <w:rPr>
                <w:rFonts w:eastAsia="Times New Roman" w:cstheme="minorHAnsi"/>
                <w:color w:val="FFC000"/>
                <w:sz w:val="18"/>
                <w:szCs w:val="18"/>
              </w:rPr>
              <w:t>Medium</w:t>
            </w:r>
          </w:p>
        </w:tc>
        <w:tc>
          <w:tcPr>
            <w:tcW w:w="974"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3FF8DFF" w14:textId="77777777" w:rsidR="00AC5B3D" w:rsidRPr="00FE452F" w:rsidRDefault="00AC5B3D" w:rsidP="00022964">
            <w:pPr>
              <w:spacing w:after="0" w:line="240" w:lineRule="auto"/>
              <w:jc w:val="center"/>
              <w:rPr>
                <w:rFonts w:eastAsia="Times New Roman" w:cstheme="minorHAnsi"/>
                <w:b/>
                <w:bCs/>
                <w:sz w:val="18"/>
                <w:szCs w:val="18"/>
              </w:rPr>
            </w:pPr>
            <w:r w:rsidRPr="00FE452F">
              <w:rPr>
                <w:rFonts w:eastAsia="Times New Roman" w:cstheme="minorHAnsi"/>
                <w:b/>
                <w:bCs/>
                <w:sz w:val="18"/>
                <w:szCs w:val="18"/>
              </w:rPr>
              <w:t>9</w:t>
            </w:r>
          </w:p>
        </w:tc>
        <w:tc>
          <w:tcPr>
            <w:tcW w:w="3402" w:type="dxa"/>
            <w:tcBorders>
              <w:top w:val="nil"/>
              <w:left w:val="nil"/>
              <w:bottom w:val="single" w:sz="4" w:space="0" w:color="BFBFBF"/>
              <w:right w:val="single" w:sz="4" w:space="0" w:color="BFBFBF"/>
            </w:tcBorders>
            <w:shd w:val="clear" w:color="auto" w:fill="auto"/>
            <w:hideMark/>
          </w:tcPr>
          <w:p w14:paraId="7DF718FE" w14:textId="77777777" w:rsidR="00AC5B3D" w:rsidRPr="00FE452F" w:rsidRDefault="00AC5B3D" w:rsidP="00022964">
            <w:pPr>
              <w:spacing w:after="0" w:line="240" w:lineRule="auto"/>
              <w:rPr>
                <w:rFonts w:eastAsia="Times New Roman" w:cstheme="minorHAnsi"/>
                <w:color w:val="000000"/>
                <w:sz w:val="18"/>
                <w:szCs w:val="18"/>
              </w:rPr>
            </w:pPr>
            <w:r w:rsidRPr="00FE452F">
              <w:rPr>
                <w:rFonts w:eastAsia="Times New Roman" w:cstheme="minorHAnsi"/>
                <w:color w:val="000000"/>
                <w:sz w:val="18"/>
                <w:szCs w:val="18"/>
              </w:rPr>
              <w:t>Defra will ask for an update on Michael's replacement at the monthly check-in meeting scheduled for the 31 August. Defra will re-evaluate the risk based on discussions at the meeting.</w:t>
            </w:r>
          </w:p>
        </w:tc>
        <w:tc>
          <w:tcPr>
            <w:tcW w:w="849" w:type="dxa"/>
            <w:tcBorders>
              <w:top w:val="nil"/>
              <w:left w:val="nil"/>
              <w:bottom w:val="single" w:sz="4" w:space="0" w:color="BFBFBF"/>
              <w:right w:val="single" w:sz="4" w:space="0" w:color="BFBFBF"/>
            </w:tcBorders>
            <w:shd w:val="clear" w:color="auto" w:fill="auto"/>
            <w:vAlign w:val="center"/>
            <w:hideMark/>
          </w:tcPr>
          <w:p w14:paraId="0B86D2AB"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Closed</w:t>
            </w:r>
          </w:p>
        </w:tc>
        <w:tc>
          <w:tcPr>
            <w:tcW w:w="1282" w:type="dxa"/>
            <w:tcBorders>
              <w:top w:val="nil"/>
              <w:left w:val="nil"/>
              <w:bottom w:val="single" w:sz="4" w:space="0" w:color="BFBFBF"/>
              <w:right w:val="single" w:sz="4" w:space="0" w:color="BFBFBF"/>
            </w:tcBorders>
            <w:shd w:val="clear" w:color="auto" w:fill="auto"/>
            <w:vAlign w:val="center"/>
            <w:hideMark/>
          </w:tcPr>
          <w:p w14:paraId="4E4CB07A"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19/08/2021</w:t>
            </w:r>
          </w:p>
        </w:tc>
        <w:tc>
          <w:tcPr>
            <w:tcW w:w="1186" w:type="dxa"/>
            <w:tcBorders>
              <w:top w:val="nil"/>
              <w:left w:val="nil"/>
              <w:bottom w:val="single" w:sz="4" w:space="0" w:color="BFBFBF"/>
              <w:right w:val="nil"/>
            </w:tcBorders>
            <w:shd w:val="clear" w:color="auto" w:fill="auto"/>
            <w:vAlign w:val="center"/>
            <w:hideMark/>
          </w:tcPr>
          <w:p w14:paraId="6F1B27A9" w14:textId="77777777" w:rsidR="00AC5B3D" w:rsidRPr="00FE452F" w:rsidRDefault="00AC5B3D" w:rsidP="00022964">
            <w:pPr>
              <w:spacing w:after="0" w:line="240" w:lineRule="auto"/>
              <w:jc w:val="center"/>
              <w:rPr>
                <w:rFonts w:ascii="Calibri" w:eastAsia="Times New Roman" w:hAnsi="Calibri" w:cs="Calibri"/>
                <w:color w:val="000000"/>
                <w:sz w:val="18"/>
                <w:szCs w:val="18"/>
              </w:rPr>
            </w:pPr>
            <w:r w:rsidRPr="00FE452F">
              <w:rPr>
                <w:rFonts w:ascii="Calibri" w:eastAsia="Times New Roman" w:hAnsi="Calibri" w:cs="Calibri"/>
                <w:color w:val="000000"/>
                <w:sz w:val="18"/>
                <w:szCs w:val="18"/>
              </w:rPr>
              <w:t>No</w:t>
            </w:r>
          </w:p>
        </w:tc>
      </w:tr>
    </w:tbl>
    <w:p w14:paraId="0905CAC4" w14:textId="77777777" w:rsidR="00AC5B3D" w:rsidRPr="00BF148D" w:rsidRDefault="00AC5B3D" w:rsidP="00AC5B3D"/>
    <w:p w14:paraId="2378D804" w14:textId="1904387E" w:rsidR="002D0FB1" w:rsidRDefault="002D0FB1">
      <w:r>
        <w:br w:type="page"/>
      </w:r>
    </w:p>
    <w:p w14:paraId="51F7F7BD" w14:textId="2EA0AA00" w:rsidR="0002251B" w:rsidRDefault="002D0FB1" w:rsidP="002D0FB1">
      <w:pPr>
        <w:pStyle w:val="Heading1"/>
      </w:pPr>
      <w:r>
        <w:lastRenderedPageBreak/>
        <w:t>ANNEX C</w:t>
      </w:r>
    </w:p>
    <w:p w14:paraId="6AD5F0D3" w14:textId="14F272CF" w:rsidR="002D0FB1" w:rsidRPr="002D0FB1" w:rsidRDefault="002D0FB1" w:rsidP="002D0FB1">
      <w:pPr>
        <w:spacing w:after="0" w:line="240" w:lineRule="auto"/>
        <w:jc w:val="both"/>
        <w:textAlignment w:val="baseline"/>
        <w:rPr>
          <w:rFonts w:ascii="Segoe UI" w:eastAsia="Times New Roman" w:hAnsi="Segoe UI" w:cs="Segoe UI"/>
          <w:sz w:val="18"/>
          <w:szCs w:val="18"/>
        </w:rPr>
      </w:pPr>
      <w:r w:rsidRPr="002D0FB1">
        <w:rPr>
          <w:rFonts w:ascii="Calibri" w:eastAsia="Times New Roman" w:hAnsi="Calibri" w:cs="Calibri"/>
          <w:sz w:val="24"/>
          <w:szCs w:val="24"/>
        </w:rPr>
        <w:t>Table of assumptions used in modelling </w:t>
      </w:r>
      <w:r>
        <w:rPr>
          <w:rFonts w:ascii="Calibri" w:eastAsia="Times New Roman" w:hAnsi="Calibri" w:cs="Calibri"/>
          <w:sz w:val="24"/>
          <w:szCs w:val="24"/>
        </w:rPr>
        <w:t xml:space="preserve">– </w:t>
      </w:r>
      <w:r w:rsidRPr="002D0FB1">
        <w:rPr>
          <w:rFonts w:ascii="Calibri" w:eastAsia="Times New Roman" w:hAnsi="Calibri" w:cs="Calibri"/>
          <w:i/>
          <w:iCs/>
          <w:sz w:val="24"/>
          <w:szCs w:val="24"/>
        </w:rPr>
        <w:t>Taken from Business Case</w:t>
      </w:r>
    </w:p>
    <w:p w14:paraId="2C84B947" w14:textId="77777777" w:rsidR="002D0FB1" w:rsidRPr="002D0FB1" w:rsidRDefault="002D0FB1" w:rsidP="002D0FB1">
      <w:pPr>
        <w:spacing w:after="0" w:line="240" w:lineRule="auto"/>
        <w:jc w:val="both"/>
        <w:textAlignment w:val="baseline"/>
        <w:rPr>
          <w:rFonts w:ascii="Segoe UI" w:eastAsia="Times New Roman" w:hAnsi="Segoe UI" w:cs="Segoe UI"/>
          <w:sz w:val="18"/>
          <w:szCs w:val="18"/>
        </w:rPr>
      </w:pPr>
      <w:r w:rsidRPr="002D0FB1">
        <w:rPr>
          <w:rFonts w:ascii="Calibri" w:eastAsia="Times New Roman" w:hAnsi="Calibri" w:cs="Calibri"/>
          <w:sz w:val="24"/>
          <w:szCs w:val="24"/>
        </w:rPr>
        <w:t>This table has a list of assumptions made for the illustrative BCR analysis across the different strands.  For the appraisal of the option an appraisal of 30 years and the recommended 10% discount rate for ODA were used.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225"/>
        <w:gridCol w:w="3390"/>
        <w:gridCol w:w="3615"/>
        <w:gridCol w:w="1605"/>
      </w:tblGrid>
      <w:tr w:rsidR="002D0FB1" w:rsidRPr="002D0FB1" w14:paraId="706B7330" w14:textId="77777777" w:rsidTr="00A300A7">
        <w:trPr>
          <w:trHeight w:val="528"/>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AC49E8C"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Assumptions</w:t>
            </w:r>
            <w:r w:rsidRPr="002D0FB1">
              <w:rPr>
                <w:rFonts w:ascii="Calibri" w:eastAsia="Times New Roman" w:hAnsi="Calibri" w:cs="Calibri"/>
                <w:sz w:val="20"/>
                <w:szCs w:val="20"/>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403652E"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Details </w:t>
            </w:r>
            <w:r w:rsidRPr="002D0FB1">
              <w:rPr>
                <w:rFonts w:ascii="Calibri" w:eastAsia="Times New Roman" w:hAnsi="Calibri" w:cs="Calibri"/>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14D8D85"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Confidence </w:t>
            </w:r>
            <w:r w:rsidRPr="002D0FB1">
              <w:rPr>
                <w:rFonts w:ascii="Calibri" w:eastAsia="Times New Roman" w:hAnsi="Calibri" w:cs="Calibri"/>
                <w:sz w:val="20"/>
                <w:szCs w:val="20"/>
              </w:rPr>
              <w:t> </w:t>
            </w:r>
          </w:p>
          <w:p w14:paraId="473B122A"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(low, medium, high)</w:t>
            </w:r>
            <w:r w:rsidRPr="002D0FB1">
              <w:rPr>
                <w:rFonts w:ascii="Calibri" w:eastAsia="Times New Roman" w:hAnsi="Calibri" w:cs="Calibri"/>
                <w:sz w:val="20"/>
                <w:szCs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034AFFF"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Influence of assumption on BCR</w:t>
            </w:r>
            <w:r w:rsidRPr="002D0FB1">
              <w:rPr>
                <w:rFonts w:ascii="Calibri" w:eastAsia="Times New Roman" w:hAnsi="Calibri" w:cs="Calibri"/>
                <w:sz w:val="20"/>
                <w:szCs w:val="20"/>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050A234"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How incorporated in analysis</w:t>
            </w:r>
            <w:r w:rsidRPr="002D0FB1">
              <w:rPr>
                <w:rFonts w:ascii="Calibri" w:eastAsia="Times New Roman" w:hAnsi="Calibri" w:cs="Calibri"/>
                <w:sz w:val="20"/>
                <w:szCs w:val="20"/>
              </w:rPr>
              <w:t> </w:t>
            </w:r>
          </w:p>
        </w:tc>
      </w:tr>
      <w:tr w:rsidR="002D0FB1" w:rsidRPr="002D0FB1" w14:paraId="54F46989" w14:textId="77777777" w:rsidTr="002D0FB1">
        <w:trPr>
          <w:trHeight w:val="375"/>
        </w:trPr>
        <w:tc>
          <w:tcPr>
            <w:tcW w:w="13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52EF185" w14:textId="77777777" w:rsidR="002D0FB1" w:rsidRPr="002D0FB1" w:rsidRDefault="002D0FB1" w:rsidP="002D0FB1">
            <w:pPr>
              <w:spacing w:after="0" w:line="240" w:lineRule="auto"/>
              <w:jc w:val="center"/>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Marine litter – for marine pollution </w:t>
            </w:r>
          </w:p>
        </w:tc>
      </w:tr>
      <w:tr w:rsidR="002D0FB1" w:rsidRPr="002D0FB1" w14:paraId="386404D2" w14:textId="77777777" w:rsidTr="00A300A7">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F818E07"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Mismanaged waste reduced due to marine litter programme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832738A"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Over 10 years:  </w:t>
            </w:r>
          </w:p>
          <w:p w14:paraId="72875C88"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1% waste reduced for a national programme   </w:t>
            </w:r>
          </w:p>
          <w:p w14:paraId="4DF5C0B8"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0.1% waste reduced for a region in country programme   </w:t>
            </w:r>
          </w:p>
          <w:p w14:paraId="67EF41A9"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 xml:space="preserve">Projected mismanaged waste based on Jambeck et al </w:t>
            </w:r>
            <w:r w:rsidRPr="002D0FB1">
              <w:rPr>
                <w:rFonts w:ascii="Calibri" w:eastAsia="Times New Roman" w:hAnsi="Calibri" w:cs="Calibri"/>
                <w:sz w:val="16"/>
                <w:szCs w:val="16"/>
                <w:vertAlign w:val="superscript"/>
              </w:rPr>
              <w:t>6</w:t>
            </w:r>
            <w:r w:rsidRPr="002D0FB1">
              <w:rPr>
                <w:rFonts w:ascii="Calibri" w:eastAsia="Times New Roman" w:hAnsi="Calibri" w:cs="Calibri"/>
              </w:rPr>
              <w:t> </w:t>
            </w:r>
          </w:p>
        </w:tc>
        <w:tc>
          <w:tcPr>
            <w:tcW w:w="339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60B6E308"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 high dependency on country commitment and action.  </w:t>
            </w:r>
          </w:p>
          <w:p w14:paraId="6330A6A9"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However, figures used are likely to be conservative given previous evaluations of CLiP: an optimism bias has been applied compared to previous evaluations.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C768BCB"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Medium</w:t>
            </w:r>
            <w:r w:rsidRPr="002D0FB1">
              <w:rPr>
                <w:rFonts w:ascii="Calibri" w:eastAsia="Times New Roman" w:hAnsi="Calibri" w:cs="Calibri"/>
                <w:sz w:val="20"/>
                <w:szCs w:val="20"/>
              </w:rPr>
              <w:t xml:space="preserve"> impact - a change in % reduced for national, little change on BCR but if a change is % for regional programmes assumed for large countries, larger impact on BCR as larger change in mismanaged waste reduced.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ADDC1E3"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optimism bias incorporated across both ranges (conservative estimate used) </w:t>
            </w:r>
          </w:p>
        </w:tc>
      </w:tr>
      <w:tr w:rsidR="002D0FB1" w:rsidRPr="002D0FB1" w14:paraId="2DC24136" w14:textId="77777777" w:rsidTr="00A300A7">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019C095"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Ecosystems benefits of reducing marine plastic ($)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6FDFB3B"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Use a third of the lower and upper bound global estimate from the Beaumont et al</w:t>
            </w:r>
            <w:r w:rsidRPr="002D0FB1">
              <w:rPr>
                <w:rFonts w:ascii="Calibri" w:eastAsia="Times New Roman" w:hAnsi="Calibri" w:cs="Calibri"/>
                <w:sz w:val="16"/>
                <w:szCs w:val="16"/>
                <w:vertAlign w:val="superscript"/>
              </w:rPr>
              <w:t>7</w:t>
            </w:r>
            <w:r w:rsidRPr="002D0FB1">
              <w:rPr>
                <w:rFonts w:ascii="Calibri" w:eastAsia="Times New Roman" w:hAnsi="Calibri" w:cs="Calibri"/>
                <w:sz w:val="20"/>
                <w:szCs w:val="20"/>
              </w:rPr>
              <w:t xml:space="preserve"> study.  </w:t>
            </w:r>
          </w:p>
          <w:p w14:paraId="789BDDDF"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rPr>
              <w:t> </w:t>
            </w:r>
          </w:p>
        </w:tc>
        <w:tc>
          <w:tcPr>
            <w:tcW w:w="339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0E9BB33E"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 will value from country to country. By using a range, it should mitigate some uncertainty.  </w:t>
            </w:r>
          </w:p>
          <w:p w14:paraId="0638157D"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09D0639"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High</w:t>
            </w:r>
            <w:r w:rsidRPr="002D0FB1">
              <w:rPr>
                <w:rFonts w:ascii="Calibri" w:eastAsia="Times New Roman" w:hAnsi="Calibri" w:cs="Calibri"/>
                <w:sz w:val="20"/>
                <w:szCs w:val="20"/>
              </w:rPr>
              <w:t xml:space="preserve"> influence on BCR, hence a range used to cover the different values of ecosystems for, different degrees of marine dependencies and community value in countries the OCPP may work in.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30479D3"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This provides the range of low to high estimates </w:t>
            </w:r>
          </w:p>
        </w:tc>
      </w:tr>
      <w:tr w:rsidR="002D0FB1" w:rsidRPr="002D0FB1" w14:paraId="42547E44" w14:textId="77777777" w:rsidTr="00A300A7">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04C78E1"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When benefits start to occur after programme implementation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0C6156B"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Benefits occur 5 years after first year of programming. There are a range of benefits, from economic to nutritional, when these materialise are unknown and depend on host country commitment.  </w:t>
            </w:r>
          </w:p>
        </w:tc>
        <w:tc>
          <w:tcPr>
            <w:tcW w:w="339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2A30A73A"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 due to lack of evidence.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78C317E"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Low</w:t>
            </w:r>
            <w:r w:rsidRPr="002D0FB1">
              <w:rPr>
                <w:rFonts w:ascii="Calibri" w:eastAsia="Times New Roman" w:hAnsi="Calibri" w:cs="Calibri"/>
                <w:sz w:val="20"/>
                <w:szCs w:val="20"/>
              </w:rPr>
              <w:t xml:space="preserve"> influence on BCR if the benefits start accruing a few years earlier or later. We believe the benefits of reducing plastic on ecosystems will be lower than the time it takes to fully restore habitat benefits which evidence suggest is 5-8 years.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85364F2"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rPr>
              <w:t> </w:t>
            </w:r>
          </w:p>
        </w:tc>
      </w:tr>
      <w:tr w:rsidR="002D0FB1" w:rsidRPr="002D0FB1" w14:paraId="724D4DE3" w14:textId="77777777" w:rsidTr="00A300A7">
        <w:trPr>
          <w:trHeight w:val="1686"/>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E7CD530"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Cost per country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60B6E26"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Split the budget for the strand equally per country per year. As this is unknown and depends on country need.  </w:t>
            </w:r>
          </w:p>
        </w:tc>
        <w:tc>
          <w:tcPr>
            <w:tcW w:w="3390" w:type="dxa"/>
            <w:tcBorders>
              <w:top w:val="single" w:sz="6" w:space="0" w:color="auto"/>
              <w:left w:val="single" w:sz="6" w:space="0" w:color="auto"/>
              <w:bottom w:val="single" w:sz="6" w:space="0" w:color="auto"/>
              <w:right w:val="single" w:sz="6" w:space="0" w:color="auto"/>
            </w:tcBorders>
            <w:shd w:val="clear" w:color="auto" w:fill="FF9797"/>
            <w:hideMark/>
          </w:tcPr>
          <w:p w14:paraId="0F8D8E3C"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Low- may be higher or lower given activity needed.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49652E3" w14:textId="5F7709B0"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Low influence on the BCR- Whilst what is spent in each country and year on year my vary it is unlikely based previous spending on CLi</w:t>
            </w:r>
            <w:r w:rsidR="00DD463B">
              <w:rPr>
                <w:rFonts w:ascii="Calibri" w:eastAsia="Times New Roman" w:hAnsi="Calibri" w:cs="Calibri"/>
                <w:sz w:val="20"/>
                <w:szCs w:val="20"/>
              </w:rPr>
              <w:t>P</w:t>
            </w:r>
            <w:r w:rsidRPr="002D0FB1">
              <w:rPr>
                <w:rFonts w:ascii="Calibri" w:eastAsia="Times New Roman" w:hAnsi="Calibri" w:cs="Calibri"/>
                <w:sz w:val="20"/>
                <w:szCs w:val="20"/>
              </w:rPr>
              <w:t xml:space="preserve"> that costs may be higher or significantly lower.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5F6A60E"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 xml:space="preserve">Potentially overestimated at country level, which would </w:t>
            </w:r>
            <w:r w:rsidRPr="002D0FB1">
              <w:rPr>
                <w:rFonts w:ascii="Calibri" w:eastAsia="Times New Roman" w:hAnsi="Calibri" w:cs="Calibri"/>
                <w:i/>
                <w:iCs/>
                <w:sz w:val="20"/>
                <w:szCs w:val="20"/>
              </w:rPr>
              <w:t>under</w:t>
            </w:r>
            <w:r w:rsidRPr="002D0FB1">
              <w:rPr>
                <w:rFonts w:ascii="Calibri" w:eastAsia="Times New Roman" w:hAnsi="Calibri" w:cs="Calibri"/>
                <w:sz w:val="20"/>
                <w:szCs w:val="20"/>
              </w:rPr>
              <w:t>estimate the BCR  </w:t>
            </w:r>
          </w:p>
        </w:tc>
      </w:tr>
      <w:tr w:rsidR="002D0FB1" w:rsidRPr="002D0FB1" w14:paraId="64E6A17A" w14:textId="77777777" w:rsidTr="002D0FB1">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AB1DF66"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lastRenderedPageBreak/>
              <w:t>Countries used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4D40F1E"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Existing countries are based on commitment to continue in year one. New country example and how long they are in the OCPP is an assumption. </w:t>
            </w:r>
          </w:p>
        </w:tc>
        <w:tc>
          <w:tcPr>
            <w:tcW w:w="3390" w:type="dxa"/>
            <w:tcBorders>
              <w:top w:val="single" w:sz="6" w:space="0" w:color="auto"/>
              <w:left w:val="single" w:sz="6" w:space="0" w:color="auto"/>
              <w:bottom w:val="single" w:sz="6" w:space="0" w:color="auto"/>
              <w:right w:val="single" w:sz="6" w:space="0" w:color="auto"/>
            </w:tcBorders>
            <w:shd w:val="clear" w:color="auto" w:fill="FFD966"/>
            <w:hideMark/>
          </w:tcPr>
          <w:p w14:paraId="4654BB2E"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 most countries used will continue receiving support. Less confidence of new country partners.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B9D9FEA"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Medium</w:t>
            </w:r>
            <w:r w:rsidRPr="002D0FB1">
              <w:rPr>
                <w:rFonts w:ascii="Calibri" w:eastAsia="Times New Roman" w:hAnsi="Calibri" w:cs="Calibri"/>
                <w:sz w:val="20"/>
                <w:szCs w:val="20"/>
              </w:rPr>
              <w:t xml:space="preserve"> impact- There will be an impact on the BCR if the new country has comparatively high volumes of mismanaged waste, impacting potential costs and benefits. The country used determines whether a national or regional programme is likely and the % of mismanaged waste reduced.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90CA36F"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Range of countries have been chosen </w:t>
            </w:r>
          </w:p>
        </w:tc>
      </w:tr>
      <w:tr w:rsidR="002D0FB1" w:rsidRPr="002D0FB1" w14:paraId="36A99CA8" w14:textId="77777777" w:rsidTr="002D0FB1">
        <w:tc>
          <w:tcPr>
            <w:tcW w:w="13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ECDC272" w14:textId="77777777" w:rsidR="002D0FB1" w:rsidRPr="002D0FB1" w:rsidRDefault="002D0FB1" w:rsidP="002D0FB1">
            <w:pPr>
              <w:spacing w:after="0" w:line="240" w:lineRule="auto"/>
              <w:jc w:val="center"/>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One Health Aquaculture </w:t>
            </w:r>
          </w:p>
        </w:tc>
      </w:tr>
      <w:tr w:rsidR="002D0FB1" w:rsidRPr="002D0FB1" w14:paraId="45E70024" w14:textId="77777777" w:rsidTr="002D0FB1">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3EB9BA5"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Countries used in example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0BECEC7"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New programme, only Bangladesh guaranteed, depends on interest from countries.  </w:t>
            </w:r>
          </w:p>
        </w:tc>
        <w:tc>
          <w:tcPr>
            <w:tcW w:w="3390" w:type="dxa"/>
            <w:tcBorders>
              <w:top w:val="single" w:sz="6" w:space="0" w:color="auto"/>
              <w:left w:val="single" w:sz="6" w:space="0" w:color="auto"/>
              <w:bottom w:val="single" w:sz="6" w:space="0" w:color="auto"/>
              <w:right w:val="single" w:sz="6" w:space="0" w:color="auto"/>
            </w:tcBorders>
            <w:shd w:val="clear" w:color="auto" w:fill="FF9797"/>
            <w:hideMark/>
          </w:tcPr>
          <w:p w14:paraId="530F66DB"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Low- of the three countries we are only sure of continuing work in Bangladesh.  </w:t>
            </w:r>
          </w:p>
          <w:p w14:paraId="10E9D31A"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However, countries have been chosen to be representative of those we are likely to be working in.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554435D"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For the options that include new countries there is a high impact on the BCR, if there a smaller nation the OCPP might have a larger impact and vice versa, impacting potential costs and benefits.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CA94C75"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Range of countries have been chosen </w:t>
            </w:r>
          </w:p>
        </w:tc>
      </w:tr>
      <w:tr w:rsidR="002D0FB1" w:rsidRPr="002D0FB1" w14:paraId="7BB362B1" w14:textId="77777777" w:rsidTr="002D0FB1">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9FD4489"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Price of aquaculture production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43B2559"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Used retail price of fish in Bangladesh, assumed the same for Indonesia and India as domestic data was unavailable.  </w:t>
            </w:r>
          </w:p>
        </w:tc>
        <w:tc>
          <w:tcPr>
            <w:tcW w:w="3390" w:type="dxa"/>
            <w:tcBorders>
              <w:top w:val="single" w:sz="6" w:space="0" w:color="auto"/>
              <w:left w:val="single" w:sz="6" w:space="0" w:color="auto"/>
              <w:bottom w:val="single" w:sz="6" w:space="0" w:color="auto"/>
              <w:right w:val="single" w:sz="6" w:space="0" w:color="auto"/>
            </w:tcBorders>
            <w:shd w:val="clear" w:color="auto" w:fill="FFD966"/>
            <w:hideMark/>
          </w:tcPr>
          <w:p w14:paraId="3C147830"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Price is sensible for only one country, as there is a difference in fish produced per country therefore price could not be evidenced.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8538D65"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 xml:space="preserve">This has a proportionate impact on the BCR. Prices do always fluctuate; </w:t>
            </w:r>
            <w:proofErr w:type="gramStart"/>
            <w:r w:rsidRPr="002D0FB1">
              <w:rPr>
                <w:rFonts w:ascii="Calibri" w:eastAsia="Times New Roman" w:hAnsi="Calibri" w:cs="Calibri"/>
                <w:sz w:val="20"/>
                <w:szCs w:val="20"/>
              </w:rPr>
              <w:t>however</w:t>
            </w:r>
            <w:proofErr w:type="gramEnd"/>
            <w:r w:rsidRPr="002D0FB1">
              <w:rPr>
                <w:rFonts w:ascii="Calibri" w:eastAsia="Times New Roman" w:hAnsi="Calibri" w:cs="Calibri"/>
                <w:sz w:val="20"/>
                <w:szCs w:val="20"/>
              </w:rPr>
              <w:t xml:space="preserve"> we have taken the average data for the key country we will be working in in year 1: Bangladesh.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864523B"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rPr>
              <w:t> </w:t>
            </w:r>
          </w:p>
        </w:tc>
      </w:tr>
      <w:tr w:rsidR="002D0FB1" w:rsidRPr="002D0FB1" w14:paraId="20F673C5" w14:textId="77777777" w:rsidTr="002D0FB1">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BDE2886"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 that can be improved due to One Health initiative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4C558DA"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A range is considered for each Option in the appraisal case.  This is a new programme therefore assumption is based on no evidence.  </w:t>
            </w:r>
          </w:p>
          <w:p w14:paraId="21EE5134"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Option A: 1%-2% </w:t>
            </w:r>
          </w:p>
          <w:p w14:paraId="4EADFF99"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Option B: 0.4%-0.8% </w:t>
            </w:r>
          </w:p>
          <w:p w14:paraId="043363E8"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Option C: 0.2%-0.3% </w:t>
            </w:r>
          </w:p>
        </w:tc>
        <w:tc>
          <w:tcPr>
            <w:tcW w:w="3390" w:type="dxa"/>
            <w:tcBorders>
              <w:top w:val="single" w:sz="6" w:space="0" w:color="auto"/>
              <w:left w:val="single" w:sz="6" w:space="0" w:color="auto"/>
              <w:bottom w:val="single" w:sz="6" w:space="0" w:color="auto"/>
              <w:right w:val="single" w:sz="6" w:space="0" w:color="auto"/>
            </w:tcBorders>
            <w:shd w:val="clear" w:color="auto" w:fill="FF9797"/>
            <w:hideMark/>
          </w:tcPr>
          <w:p w14:paraId="428C6E28"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Low- New programme, no evidence of success therefore using conservative scenarios.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06ADB2F"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 xml:space="preserve">Because of its </w:t>
            </w:r>
            <w:r w:rsidRPr="002D0FB1">
              <w:rPr>
                <w:rFonts w:ascii="Calibri" w:eastAsia="Times New Roman" w:hAnsi="Calibri" w:cs="Calibri"/>
                <w:b/>
                <w:bCs/>
                <w:sz w:val="20"/>
                <w:szCs w:val="20"/>
              </w:rPr>
              <w:t xml:space="preserve">high </w:t>
            </w:r>
            <w:r w:rsidRPr="002D0FB1">
              <w:rPr>
                <w:rFonts w:ascii="Calibri" w:eastAsia="Times New Roman" w:hAnsi="Calibri" w:cs="Calibri"/>
                <w:sz w:val="20"/>
                <w:szCs w:val="20"/>
              </w:rPr>
              <w:t>influence on the BCR, it is used to present a low and high scenario as part of the appraisal. This assumption determines the range of the BCR as is.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E676E12"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proofErr w:type="gramStart"/>
            <w:r w:rsidRPr="002D0FB1">
              <w:rPr>
                <w:rFonts w:ascii="Calibri" w:eastAsia="Times New Roman" w:hAnsi="Calibri" w:cs="Calibri"/>
                <w:sz w:val="20"/>
                <w:szCs w:val="20"/>
              </w:rPr>
              <w:t>Range  and</w:t>
            </w:r>
            <w:proofErr w:type="gramEnd"/>
            <w:r w:rsidRPr="002D0FB1">
              <w:rPr>
                <w:rFonts w:ascii="Calibri" w:eastAsia="Times New Roman" w:hAnsi="Calibri" w:cs="Calibri"/>
                <w:sz w:val="20"/>
                <w:szCs w:val="20"/>
              </w:rPr>
              <w:t xml:space="preserve"> conservative scenarios applied </w:t>
            </w:r>
          </w:p>
        </w:tc>
      </w:tr>
      <w:tr w:rsidR="002D0FB1" w:rsidRPr="002D0FB1" w14:paraId="615EDF5A" w14:textId="77777777" w:rsidTr="002D0FB1">
        <w:tc>
          <w:tcPr>
            <w:tcW w:w="13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9C40E21" w14:textId="77777777" w:rsidR="002D0FB1" w:rsidRPr="002D0FB1" w:rsidRDefault="002D0FB1" w:rsidP="002D0FB1">
            <w:pPr>
              <w:spacing w:after="0" w:line="240" w:lineRule="auto"/>
              <w:jc w:val="center"/>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MPAs  </w:t>
            </w:r>
          </w:p>
        </w:tc>
      </w:tr>
      <w:tr w:rsidR="002D0FB1" w:rsidRPr="002D0FB1" w14:paraId="2B0AA7DB" w14:textId="77777777" w:rsidTr="00A300A7">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FAB77F5"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Countries used in example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025B9EF"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Illustrative, based on likely priority (scale of challenge, FCDO Strategic Framework for ODA, existing interest) </w:t>
            </w:r>
          </w:p>
        </w:tc>
        <w:tc>
          <w:tcPr>
            <w:tcW w:w="339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025AEE0E"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Countries may not be the exact countries, but they have been chosen to be representative of different sizes and regions.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56B3599"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Large differences in BCRs for different countries: which is the rationale for using a range of different country sizes and regions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CF4165D"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Incorporated in figures </w:t>
            </w:r>
          </w:p>
        </w:tc>
      </w:tr>
      <w:tr w:rsidR="002D0FB1" w:rsidRPr="002D0FB1" w14:paraId="0146BDAF" w14:textId="77777777" w:rsidTr="00A300A7">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2D64DA1"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Values of ecosystem services provided by habitats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26D07DD"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Used Ecosystem Services Valuation Database (2020), for specific country where available and using averages were not available. </w:t>
            </w:r>
          </w:p>
        </w:tc>
        <w:tc>
          <w:tcPr>
            <w:tcW w:w="339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2BD34BC1"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ESVD is the best available evidence and where possible, is country-specific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40DF3DE"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Low-medium.</w:t>
            </w:r>
            <w:r w:rsidRPr="002D0FB1">
              <w:rPr>
                <w:rFonts w:ascii="Calibri" w:eastAsia="Times New Roman" w:hAnsi="Calibri" w:cs="Calibri"/>
                <w:sz w:val="20"/>
                <w:szCs w:val="20"/>
              </w:rPr>
              <w:t xml:space="preserve"> Influencing factor, but figures are country specific and changes in one country has small impact on overall BCR.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6518ACE"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rPr>
              <w:t> </w:t>
            </w:r>
          </w:p>
        </w:tc>
      </w:tr>
      <w:tr w:rsidR="002D0FB1" w:rsidRPr="002D0FB1" w14:paraId="5001533C" w14:textId="77777777" w:rsidTr="00A300A7">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1E78292"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lastRenderedPageBreak/>
              <w:t>Rate of loss of habitats in absence of intervention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988E404"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Mangroves: country specific data, based on average of past 20-year data from Global Mangrove watch </w:t>
            </w:r>
          </w:p>
          <w:p w14:paraId="13A07603"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Seagrass: worldwide average, based on loss over past three decades (IPCC): 1%. Low scenario: 0.25% </w:t>
            </w:r>
          </w:p>
          <w:p w14:paraId="0DDC1966"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Reefs: lack of data and based on assumption of 0.25%. Low scenario: 0.1% </w:t>
            </w:r>
          </w:p>
        </w:tc>
        <w:tc>
          <w:tcPr>
            <w:tcW w:w="339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4FC71C65"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(for mangroves) </w:t>
            </w:r>
          </w:p>
          <w:p w14:paraId="24992D54"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Low (for seagrass and corals)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36CB2CE"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Low</w:t>
            </w:r>
            <w:r w:rsidRPr="002D0FB1">
              <w:rPr>
                <w:rFonts w:ascii="Calibri" w:eastAsia="Times New Roman" w:hAnsi="Calibri" w:cs="Calibri"/>
                <w:sz w:val="20"/>
                <w:szCs w:val="20"/>
              </w:rPr>
              <w:t xml:space="preserve"> impact on BCR. In high scenario, BCR increases 1% when assumed rate of loss of seagrass doubles, 0.2% when rate of loss of coral reefs quadruples.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C1440A9"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Incorporated in range </w:t>
            </w:r>
          </w:p>
        </w:tc>
      </w:tr>
      <w:tr w:rsidR="002D0FB1" w:rsidRPr="002D0FB1" w14:paraId="5FC2FD95" w14:textId="77777777" w:rsidTr="00A300A7">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DE2F558"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Avoided reduction through MPAs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6EB14EC"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Assumed 40% of habitat loss is reduced when MPAs are in place. MPAs will focus where there are greatest potential gains (and where reduction is highest), but 100% is not applied since optimism bias has been applied: programmes may not be as effective as assessed. Plus, some pressures causing decline include the impacts of climate change, which will not be directly reduced through the establishment of MPAs </w:t>
            </w:r>
          </w:p>
        </w:tc>
        <w:tc>
          <w:tcPr>
            <w:tcW w:w="339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638E8769"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Optimism bias has been applied.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DEDB3A3"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Influences BCR, but considered to be incorporated within the attribution of avoided reduction below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3117504"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Incorporated in range (as part of below) </w:t>
            </w:r>
          </w:p>
        </w:tc>
      </w:tr>
      <w:tr w:rsidR="002D0FB1" w:rsidRPr="002D0FB1" w14:paraId="3960C698" w14:textId="77777777" w:rsidTr="00A300A7">
        <w:trPr>
          <w:trHeight w:val="1403"/>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68722E1" w14:textId="77777777" w:rsidR="002D0FB1" w:rsidRPr="002D0FB1" w:rsidRDefault="002D0FB1" w:rsidP="002D0FB1">
            <w:pPr>
              <w:spacing w:after="0" w:line="240" w:lineRule="auto"/>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Attribution of MPA technical assistance programme to effectively implemented and managed MPAs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9520535"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Assumed 5-10% attribution </w:t>
            </w:r>
          </w:p>
        </w:tc>
        <w:tc>
          <w:tcPr>
            <w:tcW w:w="339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7A9E7234"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Medium. New programme, with no existing evaluations. However, given that a lack of expertise / technical capabilities has been identified as a key barrier, the programme could be assessed to be an enabling factor and 5-10% attribution could be assessed to be reasonable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B903EAF"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b/>
                <w:bCs/>
                <w:sz w:val="20"/>
                <w:szCs w:val="20"/>
              </w:rPr>
              <w:t>High</w:t>
            </w:r>
            <w:r w:rsidRPr="002D0FB1">
              <w:rPr>
                <w:rFonts w:ascii="Calibri" w:eastAsia="Times New Roman" w:hAnsi="Calibri" w:cs="Calibri"/>
                <w:sz w:val="20"/>
                <w:szCs w:val="20"/>
              </w:rPr>
              <w:t xml:space="preserve"> importance for BCR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7C19AE9" w14:textId="77777777" w:rsidR="002D0FB1" w:rsidRPr="002D0FB1" w:rsidRDefault="002D0FB1" w:rsidP="002D0FB1">
            <w:pPr>
              <w:spacing w:after="0" w:line="240" w:lineRule="auto"/>
              <w:jc w:val="both"/>
              <w:textAlignment w:val="baseline"/>
              <w:rPr>
                <w:rFonts w:ascii="Times New Roman" w:eastAsia="Times New Roman" w:hAnsi="Times New Roman" w:cs="Times New Roman"/>
                <w:sz w:val="24"/>
                <w:szCs w:val="24"/>
              </w:rPr>
            </w:pPr>
            <w:r w:rsidRPr="002D0FB1">
              <w:rPr>
                <w:rFonts w:ascii="Calibri" w:eastAsia="Times New Roman" w:hAnsi="Calibri" w:cs="Calibri"/>
                <w:sz w:val="20"/>
                <w:szCs w:val="20"/>
              </w:rPr>
              <w:t>Key assumption influencing range </w:t>
            </w:r>
          </w:p>
        </w:tc>
      </w:tr>
    </w:tbl>
    <w:p w14:paraId="64A698B1" w14:textId="5752D808" w:rsidR="002D0FB1" w:rsidRPr="00A300A7" w:rsidRDefault="002D0FB1" w:rsidP="00A300A7">
      <w:pPr>
        <w:spacing w:after="0" w:line="240" w:lineRule="auto"/>
        <w:jc w:val="both"/>
        <w:textAlignment w:val="baseline"/>
        <w:rPr>
          <w:rFonts w:ascii="Segoe UI" w:eastAsia="Times New Roman" w:hAnsi="Segoe UI" w:cs="Segoe UI"/>
          <w:sz w:val="18"/>
          <w:szCs w:val="18"/>
        </w:rPr>
      </w:pPr>
    </w:p>
    <w:sectPr w:rsidR="002D0FB1" w:rsidRPr="00A300A7" w:rsidSect="00CD144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3C636" w14:textId="77777777" w:rsidR="003F5141" w:rsidRDefault="003F5141">
      <w:pPr>
        <w:spacing w:after="0" w:line="240" w:lineRule="auto"/>
      </w:pPr>
      <w:r>
        <w:separator/>
      </w:r>
    </w:p>
  </w:endnote>
  <w:endnote w:type="continuationSeparator" w:id="0">
    <w:p w14:paraId="7C2934B6" w14:textId="77777777" w:rsidR="003F5141" w:rsidRDefault="003F5141">
      <w:pPr>
        <w:spacing w:after="0" w:line="240" w:lineRule="auto"/>
      </w:pPr>
      <w:r>
        <w:continuationSeparator/>
      </w:r>
    </w:p>
  </w:endnote>
  <w:endnote w:type="continuationNotice" w:id="1">
    <w:p w14:paraId="2435FC0F" w14:textId="77777777" w:rsidR="003F5141" w:rsidRDefault="003F5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9C51" w14:textId="77777777" w:rsidR="00000000" w:rsidRPr="005016DF" w:rsidRDefault="00B02D58" w:rsidP="005016DF">
    <w:pPr>
      <w:pStyle w:val="Footer"/>
      <w:jc w:val="center"/>
      <w:rPr>
        <w:sz w:val="20"/>
        <w:szCs w:val="20"/>
      </w:rPr>
    </w:pPr>
    <w:r w:rsidRPr="005016DF">
      <w:rPr>
        <w:rStyle w:val="PageNumber"/>
        <w:sz w:val="20"/>
        <w:szCs w:val="20"/>
      </w:rPr>
      <w:fldChar w:fldCharType="begin"/>
    </w:r>
    <w:r w:rsidRPr="005016DF">
      <w:rPr>
        <w:rStyle w:val="PageNumber"/>
        <w:sz w:val="20"/>
        <w:szCs w:val="20"/>
      </w:rPr>
      <w:instrText xml:space="preserve"> PAGE </w:instrText>
    </w:r>
    <w:r w:rsidRPr="005016DF">
      <w:rPr>
        <w:rStyle w:val="PageNumber"/>
        <w:sz w:val="20"/>
        <w:szCs w:val="20"/>
      </w:rPr>
      <w:fldChar w:fldCharType="separate"/>
    </w:r>
    <w:r w:rsidRPr="005016DF">
      <w:rPr>
        <w:rStyle w:val="PageNumber"/>
        <w:noProof/>
        <w:sz w:val="20"/>
        <w:szCs w:val="20"/>
      </w:rPr>
      <w:t>1</w:t>
    </w:r>
    <w:r w:rsidRPr="005016D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53D6" w14:textId="77777777" w:rsidR="003F5141" w:rsidRDefault="003F5141">
      <w:pPr>
        <w:spacing w:after="0" w:line="240" w:lineRule="auto"/>
      </w:pPr>
      <w:r>
        <w:separator/>
      </w:r>
    </w:p>
  </w:footnote>
  <w:footnote w:type="continuationSeparator" w:id="0">
    <w:p w14:paraId="62E82E3F" w14:textId="77777777" w:rsidR="003F5141" w:rsidRDefault="003F5141">
      <w:pPr>
        <w:spacing w:after="0" w:line="240" w:lineRule="auto"/>
      </w:pPr>
      <w:r>
        <w:continuationSeparator/>
      </w:r>
    </w:p>
  </w:footnote>
  <w:footnote w:type="continuationNotice" w:id="1">
    <w:p w14:paraId="2984C2F2" w14:textId="77777777" w:rsidR="003F5141" w:rsidRDefault="003F5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BEBF" w14:textId="77777777" w:rsidR="00000000" w:rsidRDefault="00000000">
    <w:pPr>
      <w:pStyle w:val="Header"/>
    </w:pPr>
    <w:fldSimple w:instr="FILENAME   \* MERGEFORMAT">
      <w:r w:rsidR="00B02D58">
        <w:rPr>
          <w:noProof/>
        </w:rPr>
        <w:t>OCPP_AR_21.22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DEF"/>
    <w:multiLevelType w:val="hybridMultilevel"/>
    <w:tmpl w:val="D0C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2F7"/>
    <w:multiLevelType w:val="hybridMultilevel"/>
    <w:tmpl w:val="E7F8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D1773"/>
    <w:multiLevelType w:val="hybridMultilevel"/>
    <w:tmpl w:val="AEEC127C"/>
    <w:lvl w:ilvl="0" w:tplc="844E0274">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76EE7"/>
    <w:multiLevelType w:val="hybridMultilevel"/>
    <w:tmpl w:val="E282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33524"/>
    <w:multiLevelType w:val="hybridMultilevel"/>
    <w:tmpl w:val="C282B1B0"/>
    <w:lvl w:ilvl="0" w:tplc="434E6FAC">
      <w:start w:val="1"/>
      <w:numFmt w:val="decimal"/>
      <w:lvlText w:val="%1."/>
      <w:lvlJc w:val="left"/>
      <w:pPr>
        <w:tabs>
          <w:tab w:val="num" w:pos="720"/>
        </w:tabs>
        <w:ind w:left="720" w:hanging="360"/>
      </w:pPr>
    </w:lvl>
    <w:lvl w:ilvl="1" w:tplc="8A8A40AC" w:tentative="1">
      <w:start w:val="1"/>
      <w:numFmt w:val="decimal"/>
      <w:lvlText w:val="%2."/>
      <w:lvlJc w:val="left"/>
      <w:pPr>
        <w:tabs>
          <w:tab w:val="num" w:pos="1440"/>
        </w:tabs>
        <w:ind w:left="1440" w:hanging="360"/>
      </w:pPr>
    </w:lvl>
    <w:lvl w:ilvl="2" w:tplc="715441AC" w:tentative="1">
      <w:start w:val="1"/>
      <w:numFmt w:val="decimal"/>
      <w:lvlText w:val="%3."/>
      <w:lvlJc w:val="left"/>
      <w:pPr>
        <w:tabs>
          <w:tab w:val="num" w:pos="2160"/>
        </w:tabs>
        <w:ind w:left="2160" w:hanging="360"/>
      </w:pPr>
    </w:lvl>
    <w:lvl w:ilvl="3" w:tplc="C5E69B6E" w:tentative="1">
      <w:start w:val="1"/>
      <w:numFmt w:val="decimal"/>
      <w:lvlText w:val="%4."/>
      <w:lvlJc w:val="left"/>
      <w:pPr>
        <w:tabs>
          <w:tab w:val="num" w:pos="2880"/>
        </w:tabs>
        <w:ind w:left="2880" w:hanging="360"/>
      </w:pPr>
    </w:lvl>
    <w:lvl w:ilvl="4" w:tplc="48705B8E" w:tentative="1">
      <w:start w:val="1"/>
      <w:numFmt w:val="decimal"/>
      <w:lvlText w:val="%5."/>
      <w:lvlJc w:val="left"/>
      <w:pPr>
        <w:tabs>
          <w:tab w:val="num" w:pos="3600"/>
        </w:tabs>
        <w:ind w:left="3600" w:hanging="360"/>
      </w:pPr>
    </w:lvl>
    <w:lvl w:ilvl="5" w:tplc="C4E2C30A" w:tentative="1">
      <w:start w:val="1"/>
      <w:numFmt w:val="decimal"/>
      <w:lvlText w:val="%6."/>
      <w:lvlJc w:val="left"/>
      <w:pPr>
        <w:tabs>
          <w:tab w:val="num" w:pos="4320"/>
        </w:tabs>
        <w:ind w:left="4320" w:hanging="360"/>
      </w:pPr>
    </w:lvl>
    <w:lvl w:ilvl="6" w:tplc="00FAD700" w:tentative="1">
      <w:start w:val="1"/>
      <w:numFmt w:val="decimal"/>
      <w:lvlText w:val="%7."/>
      <w:lvlJc w:val="left"/>
      <w:pPr>
        <w:tabs>
          <w:tab w:val="num" w:pos="5040"/>
        </w:tabs>
        <w:ind w:left="5040" w:hanging="360"/>
      </w:pPr>
    </w:lvl>
    <w:lvl w:ilvl="7" w:tplc="A41AE22A" w:tentative="1">
      <w:start w:val="1"/>
      <w:numFmt w:val="decimal"/>
      <w:lvlText w:val="%8."/>
      <w:lvlJc w:val="left"/>
      <w:pPr>
        <w:tabs>
          <w:tab w:val="num" w:pos="5760"/>
        </w:tabs>
        <w:ind w:left="5760" w:hanging="360"/>
      </w:pPr>
    </w:lvl>
    <w:lvl w:ilvl="8" w:tplc="2516096A" w:tentative="1">
      <w:start w:val="1"/>
      <w:numFmt w:val="decimal"/>
      <w:lvlText w:val="%9."/>
      <w:lvlJc w:val="left"/>
      <w:pPr>
        <w:tabs>
          <w:tab w:val="num" w:pos="6480"/>
        </w:tabs>
        <w:ind w:left="6480" w:hanging="360"/>
      </w:pPr>
    </w:lvl>
  </w:abstractNum>
  <w:abstractNum w:abstractNumId="5" w15:restartNumberingAfterBreak="0">
    <w:nsid w:val="18E66E89"/>
    <w:multiLevelType w:val="hybridMultilevel"/>
    <w:tmpl w:val="956C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D381A"/>
    <w:multiLevelType w:val="hybridMultilevel"/>
    <w:tmpl w:val="01EE7808"/>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DA4E68"/>
    <w:multiLevelType w:val="hybridMultilevel"/>
    <w:tmpl w:val="6514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F7F0D"/>
    <w:multiLevelType w:val="hybridMultilevel"/>
    <w:tmpl w:val="B9F8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95900"/>
    <w:multiLevelType w:val="hybridMultilevel"/>
    <w:tmpl w:val="3308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D77FE"/>
    <w:multiLevelType w:val="hybridMultilevel"/>
    <w:tmpl w:val="631CC30A"/>
    <w:lvl w:ilvl="0" w:tplc="08090011">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9363F"/>
    <w:multiLevelType w:val="hybridMultilevel"/>
    <w:tmpl w:val="86C2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49ED"/>
    <w:multiLevelType w:val="hybridMultilevel"/>
    <w:tmpl w:val="042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C9F5C"/>
    <w:multiLevelType w:val="hybridMultilevel"/>
    <w:tmpl w:val="FFFFFFFF"/>
    <w:lvl w:ilvl="0" w:tplc="2000E64A">
      <w:start w:val="1"/>
      <w:numFmt w:val="bullet"/>
      <w:lvlText w:val="-"/>
      <w:lvlJc w:val="left"/>
      <w:pPr>
        <w:ind w:left="720" w:hanging="360"/>
      </w:pPr>
      <w:rPr>
        <w:rFonts w:ascii="Calibri" w:hAnsi="Calibri" w:hint="default"/>
      </w:rPr>
    </w:lvl>
    <w:lvl w:ilvl="1" w:tplc="49640D1C">
      <w:start w:val="1"/>
      <w:numFmt w:val="bullet"/>
      <w:lvlText w:val="o"/>
      <w:lvlJc w:val="left"/>
      <w:pPr>
        <w:ind w:left="1440" w:hanging="360"/>
      </w:pPr>
      <w:rPr>
        <w:rFonts w:ascii="Courier New" w:hAnsi="Courier New" w:hint="default"/>
      </w:rPr>
    </w:lvl>
    <w:lvl w:ilvl="2" w:tplc="5E3A6D24">
      <w:start w:val="1"/>
      <w:numFmt w:val="bullet"/>
      <w:lvlText w:val=""/>
      <w:lvlJc w:val="left"/>
      <w:pPr>
        <w:ind w:left="2160" w:hanging="360"/>
      </w:pPr>
      <w:rPr>
        <w:rFonts w:ascii="Wingdings" w:hAnsi="Wingdings" w:hint="default"/>
      </w:rPr>
    </w:lvl>
    <w:lvl w:ilvl="3" w:tplc="766C7C94">
      <w:start w:val="1"/>
      <w:numFmt w:val="bullet"/>
      <w:lvlText w:val=""/>
      <w:lvlJc w:val="left"/>
      <w:pPr>
        <w:ind w:left="2880" w:hanging="360"/>
      </w:pPr>
      <w:rPr>
        <w:rFonts w:ascii="Symbol" w:hAnsi="Symbol" w:hint="default"/>
      </w:rPr>
    </w:lvl>
    <w:lvl w:ilvl="4" w:tplc="BB7E56F4">
      <w:start w:val="1"/>
      <w:numFmt w:val="bullet"/>
      <w:lvlText w:val="o"/>
      <w:lvlJc w:val="left"/>
      <w:pPr>
        <w:ind w:left="3600" w:hanging="360"/>
      </w:pPr>
      <w:rPr>
        <w:rFonts w:ascii="Courier New" w:hAnsi="Courier New" w:hint="default"/>
      </w:rPr>
    </w:lvl>
    <w:lvl w:ilvl="5" w:tplc="689A6B60">
      <w:start w:val="1"/>
      <w:numFmt w:val="bullet"/>
      <w:lvlText w:val=""/>
      <w:lvlJc w:val="left"/>
      <w:pPr>
        <w:ind w:left="4320" w:hanging="360"/>
      </w:pPr>
      <w:rPr>
        <w:rFonts w:ascii="Wingdings" w:hAnsi="Wingdings" w:hint="default"/>
      </w:rPr>
    </w:lvl>
    <w:lvl w:ilvl="6" w:tplc="B5D2CAC4">
      <w:start w:val="1"/>
      <w:numFmt w:val="bullet"/>
      <w:lvlText w:val=""/>
      <w:lvlJc w:val="left"/>
      <w:pPr>
        <w:ind w:left="5040" w:hanging="360"/>
      </w:pPr>
      <w:rPr>
        <w:rFonts w:ascii="Symbol" w:hAnsi="Symbol" w:hint="default"/>
      </w:rPr>
    </w:lvl>
    <w:lvl w:ilvl="7" w:tplc="539E5AAA">
      <w:start w:val="1"/>
      <w:numFmt w:val="bullet"/>
      <w:lvlText w:val="o"/>
      <w:lvlJc w:val="left"/>
      <w:pPr>
        <w:ind w:left="5760" w:hanging="360"/>
      </w:pPr>
      <w:rPr>
        <w:rFonts w:ascii="Courier New" w:hAnsi="Courier New" w:hint="default"/>
      </w:rPr>
    </w:lvl>
    <w:lvl w:ilvl="8" w:tplc="A10E2C54">
      <w:start w:val="1"/>
      <w:numFmt w:val="bullet"/>
      <w:lvlText w:val=""/>
      <w:lvlJc w:val="left"/>
      <w:pPr>
        <w:ind w:left="6480" w:hanging="360"/>
      </w:pPr>
      <w:rPr>
        <w:rFonts w:ascii="Wingdings" w:hAnsi="Wingdings" w:hint="default"/>
      </w:rPr>
    </w:lvl>
  </w:abstractNum>
  <w:abstractNum w:abstractNumId="14" w15:restartNumberingAfterBreak="0">
    <w:nsid w:val="38B7083A"/>
    <w:multiLevelType w:val="hybridMultilevel"/>
    <w:tmpl w:val="B54484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2776F1"/>
    <w:multiLevelType w:val="hybridMultilevel"/>
    <w:tmpl w:val="9D68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735B7"/>
    <w:multiLevelType w:val="hybridMultilevel"/>
    <w:tmpl w:val="FA7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E3393"/>
    <w:multiLevelType w:val="hybridMultilevel"/>
    <w:tmpl w:val="D9169D70"/>
    <w:lvl w:ilvl="0" w:tplc="51E42A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012CF"/>
    <w:multiLevelType w:val="hybridMultilevel"/>
    <w:tmpl w:val="68228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821EA2"/>
    <w:multiLevelType w:val="hybridMultilevel"/>
    <w:tmpl w:val="0F00D196"/>
    <w:lvl w:ilvl="0" w:tplc="08090001">
      <w:start w:val="1"/>
      <w:numFmt w:val="bullet"/>
      <w:lvlText w:val=""/>
      <w:lvlJc w:val="left"/>
      <w:pPr>
        <w:ind w:left="720" w:hanging="360"/>
      </w:pPr>
      <w:rPr>
        <w:rFonts w:ascii="Symbol" w:hAnsi="Symbol" w:hint="default"/>
      </w:rPr>
    </w:lvl>
    <w:lvl w:ilvl="1" w:tplc="EF1EF25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9164B"/>
    <w:multiLevelType w:val="hybridMultilevel"/>
    <w:tmpl w:val="EC1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65E0E"/>
    <w:multiLevelType w:val="hybridMultilevel"/>
    <w:tmpl w:val="FF70F276"/>
    <w:lvl w:ilvl="0" w:tplc="2EA4B5FE">
      <w:start w:val="1"/>
      <w:numFmt w:val="bullet"/>
      <w:lvlText w:val="•"/>
      <w:lvlJc w:val="left"/>
      <w:pPr>
        <w:tabs>
          <w:tab w:val="num" w:pos="720"/>
        </w:tabs>
        <w:ind w:left="720" w:hanging="360"/>
      </w:pPr>
      <w:rPr>
        <w:rFonts w:ascii="Arial" w:hAnsi="Arial" w:hint="default"/>
      </w:rPr>
    </w:lvl>
    <w:lvl w:ilvl="1" w:tplc="48CACB84" w:tentative="1">
      <w:start w:val="1"/>
      <w:numFmt w:val="bullet"/>
      <w:lvlText w:val="•"/>
      <w:lvlJc w:val="left"/>
      <w:pPr>
        <w:tabs>
          <w:tab w:val="num" w:pos="1440"/>
        </w:tabs>
        <w:ind w:left="1440" w:hanging="360"/>
      </w:pPr>
      <w:rPr>
        <w:rFonts w:ascii="Arial" w:hAnsi="Arial" w:hint="default"/>
      </w:rPr>
    </w:lvl>
    <w:lvl w:ilvl="2" w:tplc="0FCA3B54" w:tentative="1">
      <w:start w:val="1"/>
      <w:numFmt w:val="bullet"/>
      <w:lvlText w:val="•"/>
      <w:lvlJc w:val="left"/>
      <w:pPr>
        <w:tabs>
          <w:tab w:val="num" w:pos="2160"/>
        </w:tabs>
        <w:ind w:left="2160" w:hanging="360"/>
      </w:pPr>
      <w:rPr>
        <w:rFonts w:ascii="Arial" w:hAnsi="Arial" w:hint="default"/>
      </w:rPr>
    </w:lvl>
    <w:lvl w:ilvl="3" w:tplc="5F942CFA" w:tentative="1">
      <w:start w:val="1"/>
      <w:numFmt w:val="bullet"/>
      <w:lvlText w:val="•"/>
      <w:lvlJc w:val="left"/>
      <w:pPr>
        <w:tabs>
          <w:tab w:val="num" w:pos="2880"/>
        </w:tabs>
        <w:ind w:left="2880" w:hanging="360"/>
      </w:pPr>
      <w:rPr>
        <w:rFonts w:ascii="Arial" w:hAnsi="Arial" w:hint="default"/>
      </w:rPr>
    </w:lvl>
    <w:lvl w:ilvl="4" w:tplc="EE48FA3E" w:tentative="1">
      <w:start w:val="1"/>
      <w:numFmt w:val="bullet"/>
      <w:lvlText w:val="•"/>
      <w:lvlJc w:val="left"/>
      <w:pPr>
        <w:tabs>
          <w:tab w:val="num" w:pos="3600"/>
        </w:tabs>
        <w:ind w:left="3600" w:hanging="360"/>
      </w:pPr>
      <w:rPr>
        <w:rFonts w:ascii="Arial" w:hAnsi="Arial" w:hint="default"/>
      </w:rPr>
    </w:lvl>
    <w:lvl w:ilvl="5" w:tplc="CFD82DB4" w:tentative="1">
      <w:start w:val="1"/>
      <w:numFmt w:val="bullet"/>
      <w:lvlText w:val="•"/>
      <w:lvlJc w:val="left"/>
      <w:pPr>
        <w:tabs>
          <w:tab w:val="num" w:pos="4320"/>
        </w:tabs>
        <w:ind w:left="4320" w:hanging="360"/>
      </w:pPr>
      <w:rPr>
        <w:rFonts w:ascii="Arial" w:hAnsi="Arial" w:hint="default"/>
      </w:rPr>
    </w:lvl>
    <w:lvl w:ilvl="6" w:tplc="DA021BCE" w:tentative="1">
      <w:start w:val="1"/>
      <w:numFmt w:val="bullet"/>
      <w:lvlText w:val="•"/>
      <w:lvlJc w:val="left"/>
      <w:pPr>
        <w:tabs>
          <w:tab w:val="num" w:pos="5040"/>
        </w:tabs>
        <w:ind w:left="5040" w:hanging="360"/>
      </w:pPr>
      <w:rPr>
        <w:rFonts w:ascii="Arial" w:hAnsi="Arial" w:hint="default"/>
      </w:rPr>
    </w:lvl>
    <w:lvl w:ilvl="7" w:tplc="019068CE" w:tentative="1">
      <w:start w:val="1"/>
      <w:numFmt w:val="bullet"/>
      <w:lvlText w:val="•"/>
      <w:lvlJc w:val="left"/>
      <w:pPr>
        <w:tabs>
          <w:tab w:val="num" w:pos="5760"/>
        </w:tabs>
        <w:ind w:left="5760" w:hanging="360"/>
      </w:pPr>
      <w:rPr>
        <w:rFonts w:ascii="Arial" w:hAnsi="Arial" w:hint="default"/>
      </w:rPr>
    </w:lvl>
    <w:lvl w:ilvl="8" w:tplc="2354C2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6C2011"/>
    <w:multiLevelType w:val="hybridMultilevel"/>
    <w:tmpl w:val="D67A98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C5865"/>
    <w:multiLevelType w:val="hybridMultilevel"/>
    <w:tmpl w:val="E0D8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91170"/>
    <w:multiLevelType w:val="hybridMultilevel"/>
    <w:tmpl w:val="53D4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76828"/>
    <w:multiLevelType w:val="hybridMultilevel"/>
    <w:tmpl w:val="55B2F744"/>
    <w:lvl w:ilvl="0" w:tplc="8C529B7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25DC1"/>
    <w:multiLevelType w:val="hybridMultilevel"/>
    <w:tmpl w:val="0EEC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159A6"/>
    <w:multiLevelType w:val="hybridMultilevel"/>
    <w:tmpl w:val="1130B3AA"/>
    <w:lvl w:ilvl="0" w:tplc="A052107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90469C"/>
    <w:multiLevelType w:val="hybridMultilevel"/>
    <w:tmpl w:val="35EE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C6903"/>
    <w:multiLevelType w:val="hybridMultilevel"/>
    <w:tmpl w:val="AA3A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4462A"/>
    <w:multiLevelType w:val="hybridMultilevel"/>
    <w:tmpl w:val="0ADCDEB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4B0B63"/>
    <w:multiLevelType w:val="hybridMultilevel"/>
    <w:tmpl w:val="30C2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E05CA"/>
    <w:multiLevelType w:val="hybridMultilevel"/>
    <w:tmpl w:val="79428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EA414C"/>
    <w:multiLevelType w:val="hybridMultilevel"/>
    <w:tmpl w:val="F858EEFA"/>
    <w:lvl w:ilvl="0" w:tplc="A05210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E0EC9"/>
    <w:multiLevelType w:val="hybridMultilevel"/>
    <w:tmpl w:val="D6BCA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BF4DB9"/>
    <w:multiLevelType w:val="hybridMultilevel"/>
    <w:tmpl w:val="C9C4F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C07496"/>
    <w:multiLevelType w:val="hybridMultilevel"/>
    <w:tmpl w:val="F790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143F4"/>
    <w:multiLevelType w:val="hybridMultilevel"/>
    <w:tmpl w:val="3E9A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94AE9"/>
    <w:multiLevelType w:val="hybridMultilevel"/>
    <w:tmpl w:val="183AE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2A0929"/>
    <w:multiLevelType w:val="multilevel"/>
    <w:tmpl w:val="4176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42B75"/>
    <w:multiLevelType w:val="hybridMultilevel"/>
    <w:tmpl w:val="B13A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06EBD"/>
    <w:multiLevelType w:val="hybridMultilevel"/>
    <w:tmpl w:val="1214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A058D"/>
    <w:multiLevelType w:val="hybridMultilevel"/>
    <w:tmpl w:val="36EA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6F1818"/>
    <w:multiLevelType w:val="hybridMultilevel"/>
    <w:tmpl w:val="1A406DCC"/>
    <w:lvl w:ilvl="0" w:tplc="B7B2C742">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EA646C"/>
    <w:multiLevelType w:val="hybridMultilevel"/>
    <w:tmpl w:val="8C2C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561030">
    <w:abstractNumId w:val="28"/>
  </w:num>
  <w:num w:numId="2" w16cid:durableId="1100874058">
    <w:abstractNumId w:val="16"/>
  </w:num>
  <w:num w:numId="3" w16cid:durableId="490559567">
    <w:abstractNumId w:val="26"/>
  </w:num>
  <w:num w:numId="4" w16cid:durableId="1925189879">
    <w:abstractNumId w:val="44"/>
  </w:num>
  <w:num w:numId="5" w16cid:durableId="61998373">
    <w:abstractNumId w:val="0"/>
  </w:num>
  <w:num w:numId="6" w16cid:durableId="1002783896">
    <w:abstractNumId w:val="19"/>
  </w:num>
  <w:num w:numId="7" w16cid:durableId="1258371092">
    <w:abstractNumId w:val="12"/>
  </w:num>
  <w:num w:numId="8" w16cid:durableId="450367967">
    <w:abstractNumId w:val="23"/>
  </w:num>
  <w:num w:numId="9" w16cid:durableId="776757314">
    <w:abstractNumId w:val="42"/>
  </w:num>
  <w:num w:numId="10" w16cid:durableId="829443715">
    <w:abstractNumId w:val="15"/>
  </w:num>
  <w:num w:numId="11" w16cid:durableId="509223866">
    <w:abstractNumId w:val="34"/>
  </w:num>
  <w:num w:numId="12" w16cid:durableId="1271469981">
    <w:abstractNumId w:val="1"/>
  </w:num>
  <w:num w:numId="13" w16cid:durableId="210925941">
    <w:abstractNumId w:val="35"/>
  </w:num>
  <w:num w:numId="14" w16cid:durableId="1608809566">
    <w:abstractNumId w:val="40"/>
  </w:num>
  <w:num w:numId="15" w16cid:durableId="551578811">
    <w:abstractNumId w:val="20"/>
  </w:num>
  <w:num w:numId="16" w16cid:durableId="947472621">
    <w:abstractNumId w:val="39"/>
  </w:num>
  <w:num w:numId="17" w16cid:durableId="920649775">
    <w:abstractNumId w:val="25"/>
  </w:num>
  <w:num w:numId="18" w16cid:durableId="859858378">
    <w:abstractNumId w:val="17"/>
  </w:num>
  <w:num w:numId="19" w16cid:durableId="1858959908">
    <w:abstractNumId w:val="9"/>
  </w:num>
  <w:num w:numId="20" w16cid:durableId="1056314611">
    <w:abstractNumId w:val="22"/>
  </w:num>
  <w:num w:numId="21" w16cid:durableId="559486855">
    <w:abstractNumId w:val="2"/>
  </w:num>
  <w:num w:numId="22" w16cid:durableId="1072115848">
    <w:abstractNumId w:val="18"/>
  </w:num>
  <w:num w:numId="23" w16cid:durableId="965812391">
    <w:abstractNumId w:val="32"/>
  </w:num>
  <w:num w:numId="24" w16cid:durableId="1506507775">
    <w:abstractNumId w:val="38"/>
  </w:num>
  <w:num w:numId="25" w16cid:durableId="1666057418">
    <w:abstractNumId w:val="31"/>
  </w:num>
  <w:num w:numId="26" w16cid:durableId="418336964">
    <w:abstractNumId w:val="33"/>
  </w:num>
  <w:num w:numId="27" w16cid:durableId="937563735">
    <w:abstractNumId w:val="24"/>
  </w:num>
  <w:num w:numId="28" w16cid:durableId="229191362">
    <w:abstractNumId w:val="36"/>
  </w:num>
  <w:num w:numId="29" w16cid:durableId="396786151">
    <w:abstractNumId w:val="5"/>
  </w:num>
  <w:num w:numId="30" w16cid:durableId="1459571872">
    <w:abstractNumId w:val="8"/>
  </w:num>
  <w:num w:numId="31" w16cid:durableId="1646618252">
    <w:abstractNumId w:val="43"/>
  </w:num>
  <w:num w:numId="32" w16cid:durableId="52198071">
    <w:abstractNumId w:val="4"/>
  </w:num>
  <w:num w:numId="33" w16cid:durableId="218708902">
    <w:abstractNumId w:val="21"/>
  </w:num>
  <w:num w:numId="34" w16cid:durableId="906260661">
    <w:abstractNumId w:val="10"/>
  </w:num>
  <w:num w:numId="35" w16cid:durableId="702444939">
    <w:abstractNumId w:val="13"/>
  </w:num>
  <w:num w:numId="36" w16cid:durableId="1861158491">
    <w:abstractNumId w:val="14"/>
  </w:num>
  <w:num w:numId="37" w16cid:durableId="2085251632">
    <w:abstractNumId w:val="30"/>
  </w:num>
  <w:num w:numId="38" w16cid:durableId="2071077536">
    <w:abstractNumId w:val="27"/>
  </w:num>
  <w:num w:numId="39" w16cid:durableId="250355485">
    <w:abstractNumId w:val="41"/>
  </w:num>
  <w:num w:numId="40" w16cid:durableId="760373261">
    <w:abstractNumId w:val="7"/>
  </w:num>
  <w:num w:numId="41" w16cid:durableId="598611520">
    <w:abstractNumId w:val="11"/>
  </w:num>
  <w:num w:numId="42" w16cid:durableId="211235224">
    <w:abstractNumId w:val="3"/>
  </w:num>
  <w:num w:numId="43" w16cid:durableId="1761296798">
    <w:abstractNumId w:val="29"/>
  </w:num>
  <w:num w:numId="44" w16cid:durableId="2078743796">
    <w:abstractNumId w:val="37"/>
  </w:num>
  <w:num w:numId="45" w16cid:durableId="638268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B"/>
    <w:rsid w:val="00014944"/>
    <w:rsid w:val="000213AC"/>
    <w:rsid w:val="0002251B"/>
    <w:rsid w:val="00030BC2"/>
    <w:rsid w:val="00032B2E"/>
    <w:rsid w:val="00055A8B"/>
    <w:rsid w:val="000877AD"/>
    <w:rsid w:val="000B087E"/>
    <w:rsid w:val="000B3990"/>
    <w:rsid w:val="000B4DEC"/>
    <w:rsid w:val="000B7DF5"/>
    <w:rsid w:val="000E5D49"/>
    <w:rsid w:val="00122059"/>
    <w:rsid w:val="00124145"/>
    <w:rsid w:val="001A7515"/>
    <w:rsid w:val="001B1C8A"/>
    <w:rsid w:val="001B3707"/>
    <w:rsid w:val="001D039A"/>
    <w:rsid w:val="001D1B66"/>
    <w:rsid w:val="001E24ED"/>
    <w:rsid w:val="001F0BE4"/>
    <w:rsid w:val="001F5279"/>
    <w:rsid w:val="001F603A"/>
    <w:rsid w:val="00206750"/>
    <w:rsid w:val="0020798C"/>
    <w:rsid w:val="00207D43"/>
    <w:rsid w:val="002116C0"/>
    <w:rsid w:val="002135FF"/>
    <w:rsid w:val="00230E50"/>
    <w:rsid w:val="0024386A"/>
    <w:rsid w:val="002441C6"/>
    <w:rsid w:val="002541AE"/>
    <w:rsid w:val="00256C7F"/>
    <w:rsid w:val="00272D80"/>
    <w:rsid w:val="00285120"/>
    <w:rsid w:val="00294287"/>
    <w:rsid w:val="002C79B0"/>
    <w:rsid w:val="002D0FB1"/>
    <w:rsid w:val="002E3495"/>
    <w:rsid w:val="002E3B8F"/>
    <w:rsid w:val="002E4132"/>
    <w:rsid w:val="002F4D67"/>
    <w:rsid w:val="003077C7"/>
    <w:rsid w:val="003214F3"/>
    <w:rsid w:val="00325BC1"/>
    <w:rsid w:val="0033160F"/>
    <w:rsid w:val="00337880"/>
    <w:rsid w:val="00351FCA"/>
    <w:rsid w:val="0036586F"/>
    <w:rsid w:val="00374E94"/>
    <w:rsid w:val="0038051C"/>
    <w:rsid w:val="003C7F84"/>
    <w:rsid w:val="003D1FE0"/>
    <w:rsid w:val="003D4CCC"/>
    <w:rsid w:val="003D4FE5"/>
    <w:rsid w:val="003E1D1C"/>
    <w:rsid w:val="003E7BB3"/>
    <w:rsid w:val="003F0BE7"/>
    <w:rsid w:val="003F5141"/>
    <w:rsid w:val="004106B4"/>
    <w:rsid w:val="00412AE3"/>
    <w:rsid w:val="00427EE4"/>
    <w:rsid w:val="00435E93"/>
    <w:rsid w:val="00440DDF"/>
    <w:rsid w:val="00453FDE"/>
    <w:rsid w:val="00454236"/>
    <w:rsid w:val="00454D99"/>
    <w:rsid w:val="0046594B"/>
    <w:rsid w:val="00472798"/>
    <w:rsid w:val="00473AD0"/>
    <w:rsid w:val="00474453"/>
    <w:rsid w:val="00491E7C"/>
    <w:rsid w:val="00492A2D"/>
    <w:rsid w:val="005308BF"/>
    <w:rsid w:val="00544855"/>
    <w:rsid w:val="00556E08"/>
    <w:rsid w:val="00561994"/>
    <w:rsid w:val="00564366"/>
    <w:rsid w:val="00583895"/>
    <w:rsid w:val="00587A43"/>
    <w:rsid w:val="005B2D7F"/>
    <w:rsid w:val="005C659E"/>
    <w:rsid w:val="005D6CF3"/>
    <w:rsid w:val="005F0226"/>
    <w:rsid w:val="005F7B04"/>
    <w:rsid w:val="0060554E"/>
    <w:rsid w:val="00606C29"/>
    <w:rsid w:val="0061110B"/>
    <w:rsid w:val="00617412"/>
    <w:rsid w:val="00633016"/>
    <w:rsid w:val="006469C3"/>
    <w:rsid w:val="006620C5"/>
    <w:rsid w:val="00663EF9"/>
    <w:rsid w:val="00671A9B"/>
    <w:rsid w:val="006823C2"/>
    <w:rsid w:val="006A4227"/>
    <w:rsid w:val="006D08DA"/>
    <w:rsid w:val="006F005A"/>
    <w:rsid w:val="00700168"/>
    <w:rsid w:val="00704CD2"/>
    <w:rsid w:val="00725726"/>
    <w:rsid w:val="0072746B"/>
    <w:rsid w:val="00750F8C"/>
    <w:rsid w:val="00752BD9"/>
    <w:rsid w:val="007903C0"/>
    <w:rsid w:val="00794CA1"/>
    <w:rsid w:val="007B62BB"/>
    <w:rsid w:val="007C62BC"/>
    <w:rsid w:val="007D08C7"/>
    <w:rsid w:val="007E4BEA"/>
    <w:rsid w:val="007F227F"/>
    <w:rsid w:val="0080214F"/>
    <w:rsid w:val="00813F42"/>
    <w:rsid w:val="00823793"/>
    <w:rsid w:val="00896154"/>
    <w:rsid w:val="00897B94"/>
    <w:rsid w:val="008A7DB5"/>
    <w:rsid w:val="008B2209"/>
    <w:rsid w:val="008C09D7"/>
    <w:rsid w:val="008E19E2"/>
    <w:rsid w:val="008F3D33"/>
    <w:rsid w:val="00903BDF"/>
    <w:rsid w:val="00912BA9"/>
    <w:rsid w:val="009419C4"/>
    <w:rsid w:val="00946D37"/>
    <w:rsid w:val="00966313"/>
    <w:rsid w:val="009813B9"/>
    <w:rsid w:val="009965D4"/>
    <w:rsid w:val="009A0542"/>
    <w:rsid w:val="009B0151"/>
    <w:rsid w:val="009B25A6"/>
    <w:rsid w:val="009B5972"/>
    <w:rsid w:val="009E4180"/>
    <w:rsid w:val="009F0E5F"/>
    <w:rsid w:val="00A05B53"/>
    <w:rsid w:val="00A06FC2"/>
    <w:rsid w:val="00A300A7"/>
    <w:rsid w:val="00AA593C"/>
    <w:rsid w:val="00AB4D47"/>
    <w:rsid w:val="00AC5B3D"/>
    <w:rsid w:val="00AC6A2F"/>
    <w:rsid w:val="00AF5728"/>
    <w:rsid w:val="00B02D58"/>
    <w:rsid w:val="00B03926"/>
    <w:rsid w:val="00B111B4"/>
    <w:rsid w:val="00B1485B"/>
    <w:rsid w:val="00B24684"/>
    <w:rsid w:val="00B4391A"/>
    <w:rsid w:val="00B645E9"/>
    <w:rsid w:val="00B71197"/>
    <w:rsid w:val="00B970D9"/>
    <w:rsid w:val="00BA5929"/>
    <w:rsid w:val="00BE6BCB"/>
    <w:rsid w:val="00C047C1"/>
    <w:rsid w:val="00C12351"/>
    <w:rsid w:val="00C54C79"/>
    <w:rsid w:val="00CA0594"/>
    <w:rsid w:val="00CA466D"/>
    <w:rsid w:val="00CB5CEB"/>
    <w:rsid w:val="00CC2D39"/>
    <w:rsid w:val="00CC6C2A"/>
    <w:rsid w:val="00CD4342"/>
    <w:rsid w:val="00CD53AE"/>
    <w:rsid w:val="00CD7187"/>
    <w:rsid w:val="00CF0CE8"/>
    <w:rsid w:val="00D018C0"/>
    <w:rsid w:val="00D04C61"/>
    <w:rsid w:val="00D1511B"/>
    <w:rsid w:val="00D21073"/>
    <w:rsid w:val="00D32FB6"/>
    <w:rsid w:val="00D84F3B"/>
    <w:rsid w:val="00DA5E7B"/>
    <w:rsid w:val="00DC1391"/>
    <w:rsid w:val="00DD1CFC"/>
    <w:rsid w:val="00DD463B"/>
    <w:rsid w:val="00DF51ED"/>
    <w:rsid w:val="00E0431B"/>
    <w:rsid w:val="00E112BF"/>
    <w:rsid w:val="00E35F23"/>
    <w:rsid w:val="00E42BA8"/>
    <w:rsid w:val="00E54FED"/>
    <w:rsid w:val="00E55CFC"/>
    <w:rsid w:val="00E577EB"/>
    <w:rsid w:val="00E6701A"/>
    <w:rsid w:val="00E70787"/>
    <w:rsid w:val="00E83ACB"/>
    <w:rsid w:val="00EA3011"/>
    <w:rsid w:val="00EC0D1B"/>
    <w:rsid w:val="00ED0F8A"/>
    <w:rsid w:val="00EF16DB"/>
    <w:rsid w:val="00EF436E"/>
    <w:rsid w:val="00F12DDE"/>
    <w:rsid w:val="00F4284B"/>
    <w:rsid w:val="00F44BF0"/>
    <w:rsid w:val="00F51262"/>
    <w:rsid w:val="00F74C6D"/>
    <w:rsid w:val="00FA06E7"/>
    <w:rsid w:val="00FB6509"/>
    <w:rsid w:val="00FD1E57"/>
    <w:rsid w:val="00FD2007"/>
    <w:rsid w:val="00FD372B"/>
    <w:rsid w:val="00FD3957"/>
    <w:rsid w:val="00FE7D0B"/>
    <w:rsid w:val="00FF14CD"/>
    <w:rsid w:val="6107720D"/>
    <w:rsid w:val="6BDD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D804"/>
  <w15:docId w15:val="{5B37EAE6-C27C-41D3-A97F-D61B6343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B3D"/>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AC5B3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AC5B3D"/>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styleId="Heading4">
    <w:name w:val="heading 4"/>
    <w:basedOn w:val="Normal"/>
    <w:next w:val="Normal"/>
    <w:link w:val="Heading4Char"/>
    <w:uiPriority w:val="9"/>
    <w:unhideWhenUsed/>
    <w:qFormat/>
    <w:rsid w:val="00AC5B3D"/>
    <w:pPr>
      <w:keepNext/>
      <w:keepLines/>
      <w:spacing w:before="40" w:after="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3D"/>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AC5B3D"/>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AC5B3D"/>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rsid w:val="00AC5B3D"/>
    <w:rPr>
      <w:rFonts w:asciiTheme="majorHAnsi" w:eastAsiaTheme="majorEastAsia" w:hAnsiTheme="majorHAnsi" w:cstheme="majorBidi"/>
      <w:i/>
      <w:iCs/>
      <w:color w:val="2F5496" w:themeColor="accent1" w:themeShade="BF"/>
      <w:lang w:eastAsia="en-US"/>
    </w:rPr>
  </w:style>
  <w:style w:type="table" w:styleId="TableGrid">
    <w:name w:val="Table Grid"/>
    <w:basedOn w:val="TableNormal"/>
    <w:rsid w:val="00AC5B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5B3D"/>
    <w:rPr>
      <w:sz w:val="16"/>
      <w:szCs w:val="16"/>
    </w:rPr>
  </w:style>
  <w:style w:type="paragraph" w:styleId="CommentText">
    <w:name w:val="annotation text"/>
    <w:basedOn w:val="Normal"/>
    <w:link w:val="CommentTextChar"/>
    <w:uiPriority w:val="99"/>
    <w:unhideWhenUsed/>
    <w:rsid w:val="00AC5B3D"/>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AC5B3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C5B3D"/>
    <w:rPr>
      <w:b/>
      <w:bCs/>
    </w:rPr>
  </w:style>
  <w:style w:type="character" w:customStyle="1" w:styleId="CommentSubjectChar">
    <w:name w:val="Comment Subject Char"/>
    <w:basedOn w:val="CommentTextChar"/>
    <w:link w:val="CommentSubject"/>
    <w:uiPriority w:val="99"/>
    <w:semiHidden/>
    <w:rsid w:val="00AC5B3D"/>
    <w:rPr>
      <w:rFonts w:eastAsiaTheme="minorHAnsi"/>
      <w:b/>
      <w:bCs/>
      <w:sz w:val="20"/>
      <w:szCs w:val="20"/>
      <w:lang w:eastAsia="en-US"/>
    </w:rPr>
  </w:style>
  <w:style w:type="paragraph" w:styleId="ListParagraph">
    <w:name w:val="List Paragraph"/>
    <w:basedOn w:val="Normal"/>
    <w:uiPriority w:val="34"/>
    <w:qFormat/>
    <w:rsid w:val="00AC5B3D"/>
    <w:pPr>
      <w:ind w:left="720"/>
      <w:contextualSpacing/>
    </w:pPr>
    <w:rPr>
      <w:rFonts w:eastAsiaTheme="minorHAnsi"/>
      <w:lang w:eastAsia="en-US"/>
    </w:rPr>
  </w:style>
  <w:style w:type="character" w:customStyle="1" w:styleId="normaltextrun">
    <w:name w:val="normaltextrun"/>
    <w:basedOn w:val="DefaultParagraphFont"/>
    <w:rsid w:val="00AC5B3D"/>
  </w:style>
  <w:style w:type="character" w:customStyle="1" w:styleId="eop">
    <w:name w:val="eop"/>
    <w:basedOn w:val="DefaultParagraphFont"/>
    <w:rsid w:val="00AC5B3D"/>
  </w:style>
  <w:style w:type="paragraph" w:styleId="NormalWeb">
    <w:name w:val="Normal (Web)"/>
    <w:basedOn w:val="Normal"/>
    <w:uiPriority w:val="99"/>
    <w:semiHidden/>
    <w:unhideWhenUsed/>
    <w:rsid w:val="00AC5B3D"/>
    <w:rPr>
      <w:rFonts w:ascii="Times New Roman" w:eastAsiaTheme="minorHAnsi" w:hAnsi="Times New Roman" w:cs="Times New Roman"/>
      <w:sz w:val="24"/>
      <w:szCs w:val="24"/>
      <w:lang w:eastAsia="en-US"/>
    </w:rPr>
  </w:style>
  <w:style w:type="paragraph" w:styleId="Header">
    <w:name w:val="header"/>
    <w:basedOn w:val="Normal"/>
    <w:link w:val="HeaderChar"/>
    <w:uiPriority w:val="99"/>
    <w:unhideWhenUsed/>
    <w:rsid w:val="00AC5B3D"/>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AC5B3D"/>
    <w:rPr>
      <w:rFonts w:eastAsiaTheme="minorHAnsi"/>
      <w:lang w:eastAsia="en-US"/>
    </w:rPr>
  </w:style>
  <w:style w:type="paragraph" w:styleId="Footer">
    <w:name w:val="footer"/>
    <w:basedOn w:val="Normal"/>
    <w:link w:val="FooterChar"/>
    <w:uiPriority w:val="99"/>
    <w:unhideWhenUsed/>
    <w:rsid w:val="00AC5B3D"/>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AC5B3D"/>
    <w:rPr>
      <w:rFonts w:eastAsiaTheme="minorHAnsi"/>
      <w:lang w:eastAsia="en-US"/>
    </w:rPr>
  </w:style>
  <w:style w:type="character" w:styleId="PageNumber">
    <w:name w:val="page number"/>
    <w:basedOn w:val="DefaultParagraphFont"/>
    <w:uiPriority w:val="99"/>
    <w:semiHidden/>
    <w:unhideWhenUsed/>
    <w:rsid w:val="00AC5B3D"/>
  </w:style>
  <w:style w:type="paragraph" w:styleId="TOCHeading">
    <w:name w:val="TOC Heading"/>
    <w:basedOn w:val="Heading1"/>
    <w:next w:val="Normal"/>
    <w:uiPriority w:val="39"/>
    <w:unhideWhenUsed/>
    <w:qFormat/>
    <w:rsid w:val="00AC5B3D"/>
    <w:pPr>
      <w:outlineLvl w:val="9"/>
    </w:pPr>
    <w:rPr>
      <w:lang w:val="en-US"/>
    </w:rPr>
  </w:style>
  <w:style w:type="paragraph" w:styleId="TOC1">
    <w:name w:val="toc 1"/>
    <w:basedOn w:val="Normal"/>
    <w:next w:val="Normal"/>
    <w:autoRedefine/>
    <w:uiPriority w:val="39"/>
    <w:unhideWhenUsed/>
    <w:rsid w:val="00AC5B3D"/>
    <w:pPr>
      <w:spacing w:after="100"/>
    </w:pPr>
    <w:rPr>
      <w:rFonts w:eastAsiaTheme="minorHAnsi"/>
      <w:lang w:eastAsia="en-US"/>
    </w:rPr>
  </w:style>
  <w:style w:type="paragraph" w:styleId="TOC2">
    <w:name w:val="toc 2"/>
    <w:basedOn w:val="Normal"/>
    <w:next w:val="Normal"/>
    <w:autoRedefine/>
    <w:uiPriority w:val="39"/>
    <w:unhideWhenUsed/>
    <w:rsid w:val="00AC5B3D"/>
    <w:pPr>
      <w:spacing w:after="100"/>
      <w:ind w:left="220"/>
    </w:pPr>
    <w:rPr>
      <w:rFonts w:eastAsiaTheme="minorHAnsi"/>
      <w:lang w:eastAsia="en-US"/>
    </w:rPr>
  </w:style>
  <w:style w:type="paragraph" w:styleId="TOC3">
    <w:name w:val="toc 3"/>
    <w:basedOn w:val="Normal"/>
    <w:next w:val="Normal"/>
    <w:autoRedefine/>
    <w:uiPriority w:val="39"/>
    <w:unhideWhenUsed/>
    <w:rsid w:val="00AC5B3D"/>
    <w:pPr>
      <w:spacing w:after="100"/>
      <w:ind w:left="440"/>
    </w:pPr>
    <w:rPr>
      <w:rFonts w:eastAsiaTheme="minorHAnsi"/>
      <w:lang w:eastAsia="en-US"/>
    </w:rPr>
  </w:style>
  <w:style w:type="character" w:styleId="Hyperlink">
    <w:name w:val="Hyperlink"/>
    <w:basedOn w:val="DefaultParagraphFont"/>
    <w:uiPriority w:val="99"/>
    <w:unhideWhenUsed/>
    <w:rsid w:val="00AC5B3D"/>
    <w:rPr>
      <w:color w:val="0563C1" w:themeColor="hyperlink"/>
      <w:u w:val="single"/>
    </w:rPr>
  </w:style>
  <w:style w:type="character" w:customStyle="1" w:styleId="font01">
    <w:name w:val="font01"/>
    <w:basedOn w:val="DefaultParagraphFont"/>
    <w:rsid w:val="00AC5B3D"/>
    <w:rPr>
      <w:rFonts w:ascii="Calibri" w:hAnsi="Calibri" w:cs="Calibri" w:hint="default"/>
      <w:b w:val="0"/>
      <w:bCs w:val="0"/>
      <w:i w:val="0"/>
      <w:iCs w:val="0"/>
      <w:strike w:val="0"/>
      <w:dstrike w:val="0"/>
      <w:color w:val="000000"/>
      <w:sz w:val="22"/>
      <w:szCs w:val="22"/>
      <w:u w:val="none"/>
      <w:effect w:val="none"/>
    </w:rPr>
  </w:style>
  <w:style w:type="paragraph" w:customStyle="1" w:styleId="paragraph">
    <w:name w:val="paragraph"/>
    <w:basedOn w:val="Normal"/>
    <w:rsid w:val="002D0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D0FB1"/>
  </w:style>
  <w:style w:type="character" w:styleId="FollowedHyperlink">
    <w:name w:val="FollowedHyperlink"/>
    <w:basedOn w:val="DefaultParagraphFont"/>
    <w:uiPriority w:val="99"/>
    <w:semiHidden/>
    <w:unhideWhenUsed/>
    <w:rsid w:val="00966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643409">
      <w:bodyDiv w:val="1"/>
      <w:marLeft w:val="0"/>
      <w:marRight w:val="0"/>
      <w:marTop w:val="0"/>
      <w:marBottom w:val="0"/>
      <w:divBdr>
        <w:top w:val="none" w:sz="0" w:space="0" w:color="auto"/>
        <w:left w:val="none" w:sz="0" w:space="0" w:color="auto"/>
        <w:bottom w:val="none" w:sz="0" w:space="0" w:color="auto"/>
        <w:right w:val="none" w:sz="0" w:space="0" w:color="auto"/>
      </w:divBdr>
      <w:divsChild>
        <w:div w:id="1927105802">
          <w:marLeft w:val="0"/>
          <w:marRight w:val="0"/>
          <w:marTop w:val="0"/>
          <w:marBottom w:val="0"/>
          <w:divBdr>
            <w:top w:val="none" w:sz="0" w:space="0" w:color="auto"/>
            <w:left w:val="none" w:sz="0" w:space="0" w:color="auto"/>
            <w:bottom w:val="none" w:sz="0" w:space="0" w:color="auto"/>
            <w:right w:val="none" w:sz="0" w:space="0" w:color="auto"/>
          </w:divBdr>
        </w:div>
        <w:div w:id="140998661">
          <w:marLeft w:val="0"/>
          <w:marRight w:val="0"/>
          <w:marTop w:val="0"/>
          <w:marBottom w:val="0"/>
          <w:divBdr>
            <w:top w:val="none" w:sz="0" w:space="0" w:color="auto"/>
            <w:left w:val="none" w:sz="0" w:space="0" w:color="auto"/>
            <w:bottom w:val="none" w:sz="0" w:space="0" w:color="auto"/>
            <w:right w:val="none" w:sz="0" w:space="0" w:color="auto"/>
          </w:divBdr>
        </w:div>
        <w:div w:id="742143025">
          <w:marLeft w:val="0"/>
          <w:marRight w:val="0"/>
          <w:marTop w:val="0"/>
          <w:marBottom w:val="0"/>
          <w:divBdr>
            <w:top w:val="none" w:sz="0" w:space="0" w:color="auto"/>
            <w:left w:val="none" w:sz="0" w:space="0" w:color="auto"/>
            <w:bottom w:val="none" w:sz="0" w:space="0" w:color="auto"/>
            <w:right w:val="none" w:sz="0" w:space="0" w:color="auto"/>
          </w:divBdr>
          <w:divsChild>
            <w:div w:id="348026943">
              <w:marLeft w:val="-75"/>
              <w:marRight w:val="0"/>
              <w:marTop w:val="30"/>
              <w:marBottom w:val="30"/>
              <w:divBdr>
                <w:top w:val="none" w:sz="0" w:space="0" w:color="auto"/>
                <w:left w:val="none" w:sz="0" w:space="0" w:color="auto"/>
                <w:bottom w:val="none" w:sz="0" w:space="0" w:color="auto"/>
                <w:right w:val="none" w:sz="0" w:space="0" w:color="auto"/>
              </w:divBdr>
              <w:divsChild>
                <w:div w:id="1460685777">
                  <w:marLeft w:val="0"/>
                  <w:marRight w:val="0"/>
                  <w:marTop w:val="0"/>
                  <w:marBottom w:val="0"/>
                  <w:divBdr>
                    <w:top w:val="none" w:sz="0" w:space="0" w:color="auto"/>
                    <w:left w:val="none" w:sz="0" w:space="0" w:color="auto"/>
                    <w:bottom w:val="none" w:sz="0" w:space="0" w:color="auto"/>
                    <w:right w:val="none" w:sz="0" w:space="0" w:color="auto"/>
                  </w:divBdr>
                  <w:divsChild>
                    <w:div w:id="2112162078">
                      <w:marLeft w:val="0"/>
                      <w:marRight w:val="0"/>
                      <w:marTop w:val="0"/>
                      <w:marBottom w:val="0"/>
                      <w:divBdr>
                        <w:top w:val="none" w:sz="0" w:space="0" w:color="auto"/>
                        <w:left w:val="none" w:sz="0" w:space="0" w:color="auto"/>
                        <w:bottom w:val="none" w:sz="0" w:space="0" w:color="auto"/>
                        <w:right w:val="none" w:sz="0" w:space="0" w:color="auto"/>
                      </w:divBdr>
                    </w:div>
                  </w:divsChild>
                </w:div>
                <w:div w:id="742408768">
                  <w:marLeft w:val="0"/>
                  <w:marRight w:val="0"/>
                  <w:marTop w:val="0"/>
                  <w:marBottom w:val="0"/>
                  <w:divBdr>
                    <w:top w:val="none" w:sz="0" w:space="0" w:color="auto"/>
                    <w:left w:val="none" w:sz="0" w:space="0" w:color="auto"/>
                    <w:bottom w:val="none" w:sz="0" w:space="0" w:color="auto"/>
                    <w:right w:val="none" w:sz="0" w:space="0" w:color="auto"/>
                  </w:divBdr>
                  <w:divsChild>
                    <w:div w:id="892228645">
                      <w:marLeft w:val="0"/>
                      <w:marRight w:val="0"/>
                      <w:marTop w:val="0"/>
                      <w:marBottom w:val="0"/>
                      <w:divBdr>
                        <w:top w:val="none" w:sz="0" w:space="0" w:color="auto"/>
                        <w:left w:val="none" w:sz="0" w:space="0" w:color="auto"/>
                        <w:bottom w:val="none" w:sz="0" w:space="0" w:color="auto"/>
                        <w:right w:val="none" w:sz="0" w:space="0" w:color="auto"/>
                      </w:divBdr>
                    </w:div>
                  </w:divsChild>
                </w:div>
                <w:div w:id="1071658460">
                  <w:marLeft w:val="0"/>
                  <w:marRight w:val="0"/>
                  <w:marTop w:val="0"/>
                  <w:marBottom w:val="0"/>
                  <w:divBdr>
                    <w:top w:val="none" w:sz="0" w:space="0" w:color="auto"/>
                    <w:left w:val="none" w:sz="0" w:space="0" w:color="auto"/>
                    <w:bottom w:val="none" w:sz="0" w:space="0" w:color="auto"/>
                    <w:right w:val="none" w:sz="0" w:space="0" w:color="auto"/>
                  </w:divBdr>
                  <w:divsChild>
                    <w:div w:id="432674929">
                      <w:marLeft w:val="0"/>
                      <w:marRight w:val="0"/>
                      <w:marTop w:val="0"/>
                      <w:marBottom w:val="0"/>
                      <w:divBdr>
                        <w:top w:val="none" w:sz="0" w:space="0" w:color="auto"/>
                        <w:left w:val="none" w:sz="0" w:space="0" w:color="auto"/>
                        <w:bottom w:val="none" w:sz="0" w:space="0" w:color="auto"/>
                        <w:right w:val="none" w:sz="0" w:space="0" w:color="auto"/>
                      </w:divBdr>
                    </w:div>
                    <w:div w:id="967197559">
                      <w:marLeft w:val="0"/>
                      <w:marRight w:val="0"/>
                      <w:marTop w:val="0"/>
                      <w:marBottom w:val="0"/>
                      <w:divBdr>
                        <w:top w:val="none" w:sz="0" w:space="0" w:color="auto"/>
                        <w:left w:val="none" w:sz="0" w:space="0" w:color="auto"/>
                        <w:bottom w:val="none" w:sz="0" w:space="0" w:color="auto"/>
                        <w:right w:val="none" w:sz="0" w:space="0" w:color="auto"/>
                      </w:divBdr>
                    </w:div>
                  </w:divsChild>
                </w:div>
                <w:div w:id="1679966055">
                  <w:marLeft w:val="0"/>
                  <w:marRight w:val="0"/>
                  <w:marTop w:val="0"/>
                  <w:marBottom w:val="0"/>
                  <w:divBdr>
                    <w:top w:val="none" w:sz="0" w:space="0" w:color="auto"/>
                    <w:left w:val="none" w:sz="0" w:space="0" w:color="auto"/>
                    <w:bottom w:val="none" w:sz="0" w:space="0" w:color="auto"/>
                    <w:right w:val="none" w:sz="0" w:space="0" w:color="auto"/>
                  </w:divBdr>
                  <w:divsChild>
                    <w:div w:id="1486579879">
                      <w:marLeft w:val="0"/>
                      <w:marRight w:val="0"/>
                      <w:marTop w:val="0"/>
                      <w:marBottom w:val="0"/>
                      <w:divBdr>
                        <w:top w:val="none" w:sz="0" w:space="0" w:color="auto"/>
                        <w:left w:val="none" w:sz="0" w:space="0" w:color="auto"/>
                        <w:bottom w:val="none" w:sz="0" w:space="0" w:color="auto"/>
                        <w:right w:val="none" w:sz="0" w:space="0" w:color="auto"/>
                      </w:divBdr>
                    </w:div>
                  </w:divsChild>
                </w:div>
                <w:div w:id="1030179317">
                  <w:marLeft w:val="0"/>
                  <w:marRight w:val="0"/>
                  <w:marTop w:val="0"/>
                  <w:marBottom w:val="0"/>
                  <w:divBdr>
                    <w:top w:val="none" w:sz="0" w:space="0" w:color="auto"/>
                    <w:left w:val="none" w:sz="0" w:space="0" w:color="auto"/>
                    <w:bottom w:val="none" w:sz="0" w:space="0" w:color="auto"/>
                    <w:right w:val="none" w:sz="0" w:space="0" w:color="auto"/>
                  </w:divBdr>
                  <w:divsChild>
                    <w:div w:id="1525483749">
                      <w:marLeft w:val="0"/>
                      <w:marRight w:val="0"/>
                      <w:marTop w:val="0"/>
                      <w:marBottom w:val="0"/>
                      <w:divBdr>
                        <w:top w:val="none" w:sz="0" w:space="0" w:color="auto"/>
                        <w:left w:val="none" w:sz="0" w:space="0" w:color="auto"/>
                        <w:bottom w:val="none" w:sz="0" w:space="0" w:color="auto"/>
                        <w:right w:val="none" w:sz="0" w:space="0" w:color="auto"/>
                      </w:divBdr>
                    </w:div>
                  </w:divsChild>
                </w:div>
                <w:div w:id="1509708700">
                  <w:marLeft w:val="0"/>
                  <w:marRight w:val="0"/>
                  <w:marTop w:val="0"/>
                  <w:marBottom w:val="0"/>
                  <w:divBdr>
                    <w:top w:val="none" w:sz="0" w:space="0" w:color="auto"/>
                    <w:left w:val="none" w:sz="0" w:space="0" w:color="auto"/>
                    <w:bottom w:val="none" w:sz="0" w:space="0" w:color="auto"/>
                    <w:right w:val="none" w:sz="0" w:space="0" w:color="auto"/>
                  </w:divBdr>
                  <w:divsChild>
                    <w:div w:id="1618635282">
                      <w:marLeft w:val="0"/>
                      <w:marRight w:val="0"/>
                      <w:marTop w:val="0"/>
                      <w:marBottom w:val="0"/>
                      <w:divBdr>
                        <w:top w:val="none" w:sz="0" w:space="0" w:color="auto"/>
                        <w:left w:val="none" w:sz="0" w:space="0" w:color="auto"/>
                        <w:bottom w:val="none" w:sz="0" w:space="0" w:color="auto"/>
                        <w:right w:val="none" w:sz="0" w:space="0" w:color="auto"/>
                      </w:divBdr>
                    </w:div>
                  </w:divsChild>
                </w:div>
                <w:div w:id="1286161154">
                  <w:marLeft w:val="0"/>
                  <w:marRight w:val="0"/>
                  <w:marTop w:val="0"/>
                  <w:marBottom w:val="0"/>
                  <w:divBdr>
                    <w:top w:val="none" w:sz="0" w:space="0" w:color="auto"/>
                    <w:left w:val="none" w:sz="0" w:space="0" w:color="auto"/>
                    <w:bottom w:val="none" w:sz="0" w:space="0" w:color="auto"/>
                    <w:right w:val="none" w:sz="0" w:space="0" w:color="auto"/>
                  </w:divBdr>
                  <w:divsChild>
                    <w:div w:id="935867751">
                      <w:marLeft w:val="0"/>
                      <w:marRight w:val="0"/>
                      <w:marTop w:val="0"/>
                      <w:marBottom w:val="0"/>
                      <w:divBdr>
                        <w:top w:val="none" w:sz="0" w:space="0" w:color="auto"/>
                        <w:left w:val="none" w:sz="0" w:space="0" w:color="auto"/>
                        <w:bottom w:val="none" w:sz="0" w:space="0" w:color="auto"/>
                        <w:right w:val="none" w:sz="0" w:space="0" w:color="auto"/>
                      </w:divBdr>
                    </w:div>
                  </w:divsChild>
                </w:div>
                <w:div w:id="505482937">
                  <w:marLeft w:val="0"/>
                  <w:marRight w:val="0"/>
                  <w:marTop w:val="0"/>
                  <w:marBottom w:val="0"/>
                  <w:divBdr>
                    <w:top w:val="none" w:sz="0" w:space="0" w:color="auto"/>
                    <w:left w:val="none" w:sz="0" w:space="0" w:color="auto"/>
                    <w:bottom w:val="none" w:sz="0" w:space="0" w:color="auto"/>
                    <w:right w:val="none" w:sz="0" w:space="0" w:color="auto"/>
                  </w:divBdr>
                  <w:divsChild>
                    <w:div w:id="1303847730">
                      <w:marLeft w:val="0"/>
                      <w:marRight w:val="0"/>
                      <w:marTop w:val="0"/>
                      <w:marBottom w:val="0"/>
                      <w:divBdr>
                        <w:top w:val="none" w:sz="0" w:space="0" w:color="auto"/>
                        <w:left w:val="none" w:sz="0" w:space="0" w:color="auto"/>
                        <w:bottom w:val="none" w:sz="0" w:space="0" w:color="auto"/>
                        <w:right w:val="none" w:sz="0" w:space="0" w:color="auto"/>
                      </w:divBdr>
                    </w:div>
                    <w:div w:id="925655821">
                      <w:marLeft w:val="0"/>
                      <w:marRight w:val="0"/>
                      <w:marTop w:val="0"/>
                      <w:marBottom w:val="0"/>
                      <w:divBdr>
                        <w:top w:val="none" w:sz="0" w:space="0" w:color="auto"/>
                        <w:left w:val="none" w:sz="0" w:space="0" w:color="auto"/>
                        <w:bottom w:val="none" w:sz="0" w:space="0" w:color="auto"/>
                        <w:right w:val="none" w:sz="0" w:space="0" w:color="auto"/>
                      </w:divBdr>
                    </w:div>
                    <w:div w:id="2120446749">
                      <w:marLeft w:val="0"/>
                      <w:marRight w:val="0"/>
                      <w:marTop w:val="0"/>
                      <w:marBottom w:val="0"/>
                      <w:divBdr>
                        <w:top w:val="none" w:sz="0" w:space="0" w:color="auto"/>
                        <w:left w:val="none" w:sz="0" w:space="0" w:color="auto"/>
                        <w:bottom w:val="none" w:sz="0" w:space="0" w:color="auto"/>
                        <w:right w:val="none" w:sz="0" w:space="0" w:color="auto"/>
                      </w:divBdr>
                    </w:div>
                    <w:div w:id="925844916">
                      <w:marLeft w:val="0"/>
                      <w:marRight w:val="0"/>
                      <w:marTop w:val="0"/>
                      <w:marBottom w:val="0"/>
                      <w:divBdr>
                        <w:top w:val="none" w:sz="0" w:space="0" w:color="auto"/>
                        <w:left w:val="none" w:sz="0" w:space="0" w:color="auto"/>
                        <w:bottom w:val="none" w:sz="0" w:space="0" w:color="auto"/>
                        <w:right w:val="none" w:sz="0" w:space="0" w:color="auto"/>
                      </w:divBdr>
                    </w:div>
                  </w:divsChild>
                </w:div>
                <w:div w:id="522668514">
                  <w:marLeft w:val="0"/>
                  <w:marRight w:val="0"/>
                  <w:marTop w:val="0"/>
                  <w:marBottom w:val="0"/>
                  <w:divBdr>
                    <w:top w:val="none" w:sz="0" w:space="0" w:color="auto"/>
                    <w:left w:val="none" w:sz="0" w:space="0" w:color="auto"/>
                    <w:bottom w:val="none" w:sz="0" w:space="0" w:color="auto"/>
                    <w:right w:val="none" w:sz="0" w:space="0" w:color="auto"/>
                  </w:divBdr>
                  <w:divsChild>
                    <w:div w:id="1818450093">
                      <w:marLeft w:val="0"/>
                      <w:marRight w:val="0"/>
                      <w:marTop w:val="0"/>
                      <w:marBottom w:val="0"/>
                      <w:divBdr>
                        <w:top w:val="none" w:sz="0" w:space="0" w:color="auto"/>
                        <w:left w:val="none" w:sz="0" w:space="0" w:color="auto"/>
                        <w:bottom w:val="none" w:sz="0" w:space="0" w:color="auto"/>
                        <w:right w:val="none" w:sz="0" w:space="0" w:color="auto"/>
                      </w:divBdr>
                    </w:div>
                    <w:div w:id="227427297">
                      <w:marLeft w:val="0"/>
                      <w:marRight w:val="0"/>
                      <w:marTop w:val="0"/>
                      <w:marBottom w:val="0"/>
                      <w:divBdr>
                        <w:top w:val="none" w:sz="0" w:space="0" w:color="auto"/>
                        <w:left w:val="none" w:sz="0" w:space="0" w:color="auto"/>
                        <w:bottom w:val="none" w:sz="0" w:space="0" w:color="auto"/>
                        <w:right w:val="none" w:sz="0" w:space="0" w:color="auto"/>
                      </w:divBdr>
                    </w:div>
                  </w:divsChild>
                </w:div>
                <w:div w:id="2069062894">
                  <w:marLeft w:val="0"/>
                  <w:marRight w:val="0"/>
                  <w:marTop w:val="0"/>
                  <w:marBottom w:val="0"/>
                  <w:divBdr>
                    <w:top w:val="none" w:sz="0" w:space="0" w:color="auto"/>
                    <w:left w:val="none" w:sz="0" w:space="0" w:color="auto"/>
                    <w:bottom w:val="none" w:sz="0" w:space="0" w:color="auto"/>
                    <w:right w:val="none" w:sz="0" w:space="0" w:color="auto"/>
                  </w:divBdr>
                  <w:divsChild>
                    <w:div w:id="202835014">
                      <w:marLeft w:val="0"/>
                      <w:marRight w:val="0"/>
                      <w:marTop w:val="0"/>
                      <w:marBottom w:val="0"/>
                      <w:divBdr>
                        <w:top w:val="none" w:sz="0" w:space="0" w:color="auto"/>
                        <w:left w:val="none" w:sz="0" w:space="0" w:color="auto"/>
                        <w:bottom w:val="none" w:sz="0" w:space="0" w:color="auto"/>
                        <w:right w:val="none" w:sz="0" w:space="0" w:color="auto"/>
                      </w:divBdr>
                    </w:div>
                  </w:divsChild>
                </w:div>
                <w:div w:id="1321421104">
                  <w:marLeft w:val="0"/>
                  <w:marRight w:val="0"/>
                  <w:marTop w:val="0"/>
                  <w:marBottom w:val="0"/>
                  <w:divBdr>
                    <w:top w:val="none" w:sz="0" w:space="0" w:color="auto"/>
                    <w:left w:val="none" w:sz="0" w:space="0" w:color="auto"/>
                    <w:bottom w:val="none" w:sz="0" w:space="0" w:color="auto"/>
                    <w:right w:val="none" w:sz="0" w:space="0" w:color="auto"/>
                  </w:divBdr>
                  <w:divsChild>
                    <w:div w:id="757481335">
                      <w:marLeft w:val="0"/>
                      <w:marRight w:val="0"/>
                      <w:marTop w:val="0"/>
                      <w:marBottom w:val="0"/>
                      <w:divBdr>
                        <w:top w:val="none" w:sz="0" w:space="0" w:color="auto"/>
                        <w:left w:val="none" w:sz="0" w:space="0" w:color="auto"/>
                        <w:bottom w:val="none" w:sz="0" w:space="0" w:color="auto"/>
                        <w:right w:val="none" w:sz="0" w:space="0" w:color="auto"/>
                      </w:divBdr>
                    </w:div>
                  </w:divsChild>
                </w:div>
                <w:div w:id="1953587483">
                  <w:marLeft w:val="0"/>
                  <w:marRight w:val="0"/>
                  <w:marTop w:val="0"/>
                  <w:marBottom w:val="0"/>
                  <w:divBdr>
                    <w:top w:val="none" w:sz="0" w:space="0" w:color="auto"/>
                    <w:left w:val="none" w:sz="0" w:space="0" w:color="auto"/>
                    <w:bottom w:val="none" w:sz="0" w:space="0" w:color="auto"/>
                    <w:right w:val="none" w:sz="0" w:space="0" w:color="auto"/>
                  </w:divBdr>
                  <w:divsChild>
                    <w:div w:id="1322930989">
                      <w:marLeft w:val="0"/>
                      <w:marRight w:val="0"/>
                      <w:marTop w:val="0"/>
                      <w:marBottom w:val="0"/>
                      <w:divBdr>
                        <w:top w:val="none" w:sz="0" w:space="0" w:color="auto"/>
                        <w:left w:val="none" w:sz="0" w:space="0" w:color="auto"/>
                        <w:bottom w:val="none" w:sz="0" w:space="0" w:color="auto"/>
                        <w:right w:val="none" w:sz="0" w:space="0" w:color="auto"/>
                      </w:divBdr>
                    </w:div>
                  </w:divsChild>
                </w:div>
                <w:div w:id="51123552">
                  <w:marLeft w:val="0"/>
                  <w:marRight w:val="0"/>
                  <w:marTop w:val="0"/>
                  <w:marBottom w:val="0"/>
                  <w:divBdr>
                    <w:top w:val="none" w:sz="0" w:space="0" w:color="auto"/>
                    <w:left w:val="none" w:sz="0" w:space="0" w:color="auto"/>
                    <w:bottom w:val="none" w:sz="0" w:space="0" w:color="auto"/>
                    <w:right w:val="none" w:sz="0" w:space="0" w:color="auto"/>
                  </w:divBdr>
                  <w:divsChild>
                    <w:div w:id="1572233611">
                      <w:marLeft w:val="0"/>
                      <w:marRight w:val="0"/>
                      <w:marTop w:val="0"/>
                      <w:marBottom w:val="0"/>
                      <w:divBdr>
                        <w:top w:val="none" w:sz="0" w:space="0" w:color="auto"/>
                        <w:left w:val="none" w:sz="0" w:space="0" w:color="auto"/>
                        <w:bottom w:val="none" w:sz="0" w:space="0" w:color="auto"/>
                        <w:right w:val="none" w:sz="0" w:space="0" w:color="auto"/>
                      </w:divBdr>
                    </w:div>
                    <w:div w:id="643197766">
                      <w:marLeft w:val="0"/>
                      <w:marRight w:val="0"/>
                      <w:marTop w:val="0"/>
                      <w:marBottom w:val="0"/>
                      <w:divBdr>
                        <w:top w:val="none" w:sz="0" w:space="0" w:color="auto"/>
                        <w:left w:val="none" w:sz="0" w:space="0" w:color="auto"/>
                        <w:bottom w:val="none" w:sz="0" w:space="0" w:color="auto"/>
                        <w:right w:val="none" w:sz="0" w:space="0" w:color="auto"/>
                      </w:divBdr>
                    </w:div>
                  </w:divsChild>
                </w:div>
                <w:div w:id="308946289">
                  <w:marLeft w:val="0"/>
                  <w:marRight w:val="0"/>
                  <w:marTop w:val="0"/>
                  <w:marBottom w:val="0"/>
                  <w:divBdr>
                    <w:top w:val="none" w:sz="0" w:space="0" w:color="auto"/>
                    <w:left w:val="none" w:sz="0" w:space="0" w:color="auto"/>
                    <w:bottom w:val="none" w:sz="0" w:space="0" w:color="auto"/>
                    <w:right w:val="none" w:sz="0" w:space="0" w:color="auto"/>
                  </w:divBdr>
                  <w:divsChild>
                    <w:div w:id="137768491">
                      <w:marLeft w:val="0"/>
                      <w:marRight w:val="0"/>
                      <w:marTop w:val="0"/>
                      <w:marBottom w:val="0"/>
                      <w:divBdr>
                        <w:top w:val="none" w:sz="0" w:space="0" w:color="auto"/>
                        <w:left w:val="none" w:sz="0" w:space="0" w:color="auto"/>
                        <w:bottom w:val="none" w:sz="0" w:space="0" w:color="auto"/>
                        <w:right w:val="none" w:sz="0" w:space="0" w:color="auto"/>
                      </w:divBdr>
                    </w:div>
                    <w:div w:id="1191407891">
                      <w:marLeft w:val="0"/>
                      <w:marRight w:val="0"/>
                      <w:marTop w:val="0"/>
                      <w:marBottom w:val="0"/>
                      <w:divBdr>
                        <w:top w:val="none" w:sz="0" w:space="0" w:color="auto"/>
                        <w:left w:val="none" w:sz="0" w:space="0" w:color="auto"/>
                        <w:bottom w:val="none" w:sz="0" w:space="0" w:color="auto"/>
                        <w:right w:val="none" w:sz="0" w:space="0" w:color="auto"/>
                      </w:divBdr>
                    </w:div>
                  </w:divsChild>
                </w:div>
                <w:div w:id="1702585722">
                  <w:marLeft w:val="0"/>
                  <w:marRight w:val="0"/>
                  <w:marTop w:val="0"/>
                  <w:marBottom w:val="0"/>
                  <w:divBdr>
                    <w:top w:val="none" w:sz="0" w:space="0" w:color="auto"/>
                    <w:left w:val="none" w:sz="0" w:space="0" w:color="auto"/>
                    <w:bottom w:val="none" w:sz="0" w:space="0" w:color="auto"/>
                    <w:right w:val="none" w:sz="0" w:space="0" w:color="auto"/>
                  </w:divBdr>
                  <w:divsChild>
                    <w:div w:id="1627396154">
                      <w:marLeft w:val="0"/>
                      <w:marRight w:val="0"/>
                      <w:marTop w:val="0"/>
                      <w:marBottom w:val="0"/>
                      <w:divBdr>
                        <w:top w:val="none" w:sz="0" w:space="0" w:color="auto"/>
                        <w:left w:val="none" w:sz="0" w:space="0" w:color="auto"/>
                        <w:bottom w:val="none" w:sz="0" w:space="0" w:color="auto"/>
                        <w:right w:val="none" w:sz="0" w:space="0" w:color="auto"/>
                      </w:divBdr>
                    </w:div>
                  </w:divsChild>
                </w:div>
                <w:div w:id="346828383">
                  <w:marLeft w:val="0"/>
                  <w:marRight w:val="0"/>
                  <w:marTop w:val="0"/>
                  <w:marBottom w:val="0"/>
                  <w:divBdr>
                    <w:top w:val="none" w:sz="0" w:space="0" w:color="auto"/>
                    <w:left w:val="none" w:sz="0" w:space="0" w:color="auto"/>
                    <w:bottom w:val="none" w:sz="0" w:space="0" w:color="auto"/>
                    <w:right w:val="none" w:sz="0" w:space="0" w:color="auto"/>
                  </w:divBdr>
                  <w:divsChild>
                    <w:div w:id="677736640">
                      <w:marLeft w:val="0"/>
                      <w:marRight w:val="0"/>
                      <w:marTop w:val="0"/>
                      <w:marBottom w:val="0"/>
                      <w:divBdr>
                        <w:top w:val="none" w:sz="0" w:space="0" w:color="auto"/>
                        <w:left w:val="none" w:sz="0" w:space="0" w:color="auto"/>
                        <w:bottom w:val="none" w:sz="0" w:space="0" w:color="auto"/>
                        <w:right w:val="none" w:sz="0" w:space="0" w:color="auto"/>
                      </w:divBdr>
                    </w:div>
                  </w:divsChild>
                </w:div>
                <w:div w:id="1009018814">
                  <w:marLeft w:val="0"/>
                  <w:marRight w:val="0"/>
                  <w:marTop w:val="0"/>
                  <w:marBottom w:val="0"/>
                  <w:divBdr>
                    <w:top w:val="none" w:sz="0" w:space="0" w:color="auto"/>
                    <w:left w:val="none" w:sz="0" w:space="0" w:color="auto"/>
                    <w:bottom w:val="none" w:sz="0" w:space="0" w:color="auto"/>
                    <w:right w:val="none" w:sz="0" w:space="0" w:color="auto"/>
                  </w:divBdr>
                  <w:divsChild>
                    <w:div w:id="1975745169">
                      <w:marLeft w:val="0"/>
                      <w:marRight w:val="0"/>
                      <w:marTop w:val="0"/>
                      <w:marBottom w:val="0"/>
                      <w:divBdr>
                        <w:top w:val="none" w:sz="0" w:space="0" w:color="auto"/>
                        <w:left w:val="none" w:sz="0" w:space="0" w:color="auto"/>
                        <w:bottom w:val="none" w:sz="0" w:space="0" w:color="auto"/>
                        <w:right w:val="none" w:sz="0" w:space="0" w:color="auto"/>
                      </w:divBdr>
                    </w:div>
                  </w:divsChild>
                </w:div>
                <w:div w:id="272443186">
                  <w:marLeft w:val="0"/>
                  <w:marRight w:val="0"/>
                  <w:marTop w:val="0"/>
                  <w:marBottom w:val="0"/>
                  <w:divBdr>
                    <w:top w:val="none" w:sz="0" w:space="0" w:color="auto"/>
                    <w:left w:val="none" w:sz="0" w:space="0" w:color="auto"/>
                    <w:bottom w:val="none" w:sz="0" w:space="0" w:color="auto"/>
                    <w:right w:val="none" w:sz="0" w:space="0" w:color="auto"/>
                  </w:divBdr>
                  <w:divsChild>
                    <w:div w:id="29038634">
                      <w:marLeft w:val="0"/>
                      <w:marRight w:val="0"/>
                      <w:marTop w:val="0"/>
                      <w:marBottom w:val="0"/>
                      <w:divBdr>
                        <w:top w:val="none" w:sz="0" w:space="0" w:color="auto"/>
                        <w:left w:val="none" w:sz="0" w:space="0" w:color="auto"/>
                        <w:bottom w:val="none" w:sz="0" w:space="0" w:color="auto"/>
                        <w:right w:val="none" w:sz="0" w:space="0" w:color="auto"/>
                      </w:divBdr>
                    </w:div>
                  </w:divsChild>
                </w:div>
                <w:div w:id="721707630">
                  <w:marLeft w:val="0"/>
                  <w:marRight w:val="0"/>
                  <w:marTop w:val="0"/>
                  <w:marBottom w:val="0"/>
                  <w:divBdr>
                    <w:top w:val="none" w:sz="0" w:space="0" w:color="auto"/>
                    <w:left w:val="none" w:sz="0" w:space="0" w:color="auto"/>
                    <w:bottom w:val="none" w:sz="0" w:space="0" w:color="auto"/>
                    <w:right w:val="none" w:sz="0" w:space="0" w:color="auto"/>
                  </w:divBdr>
                  <w:divsChild>
                    <w:div w:id="1327050536">
                      <w:marLeft w:val="0"/>
                      <w:marRight w:val="0"/>
                      <w:marTop w:val="0"/>
                      <w:marBottom w:val="0"/>
                      <w:divBdr>
                        <w:top w:val="none" w:sz="0" w:space="0" w:color="auto"/>
                        <w:left w:val="none" w:sz="0" w:space="0" w:color="auto"/>
                        <w:bottom w:val="none" w:sz="0" w:space="0" w:color="auto"/>
                        <w:right w:val="none" w:sz="0" w:space="0" w:color="auto"/>
                      </w:divBdr>
                    </w:div>
                  </w:divsChild>
                </w:div>
                <w:div w:id="726226965">
                  <w:marLeft w:val="0"/>
                  <w:marRight w:val="0"/>
                  <w:marTop w:val="0"/>
                  <w:marBottom w:val="0"/>
                  <w:divBdr>
                    <w:top w:val="none" w:sz="0" w:space="0" w:color="auto"/>
                    <w:left w:val="none" w:sz="0" w:space="0" w:color="auto"/>
                    <w:bottom w:val="none" w:sz="0" w:space="0" w:color="auto"/>
                    <w:right w:val="none" w:sz="0" w:space="0" w:color="auto"/>
                  </w:divBdr>
                  <w:divsChild>
                    <w:div w:id="1025251671">
                      <w:marLeft w:val="0"/>
                      <w:marRight w:val="0"/>
                      <w:marTop w:val="0"/>
                      <w:marBottom w:val="0"/>
                      <w:divBdr>
                        <w:top w:val="none" w:sz="0" w:space="0" w:color="auto"/>
                        <w:left w:val="none" w:sz="0" w:space="0" w:color="auto"/>
                        <w:bottom w:val="none" w:sz="0" w:space="0" w:color="auto"/>
                        <w:right w:val="none" w:sz="0" w:space="0" w:color="auto"/>
                      </w:divBdr>
                    </w:div>
                  </w:divsChild>
                </w:div>
                <w:div w:id="1867059708">
                  <w:marLeft w:val="0"/>
                  <w:marRight w:val="0"/>
                  <w:marTop w:val="0"/>
                  <w:marBottom w:val="0"/>
                  <w:divBdr>
                    <w:top w:val="none" w:sz="0" w:space="0" w:color="auto"/>
                    <w:left w:val="none" w:sz="0" w:space="0" w:color="auto"/>
                    <w:bottom w:val="none" w:sz="0" w:space="0" w:color="auto"/>
                    <w:right w:val="none" w:sz="0" w:space="0" w:color="auto"/>
                  </w:divBdr>
                  <w:divsChild>
                    <w:div w:id="1113090732">
                      <w:marLeft w:val="0"/>
                      <w:marRight w:val="0"/>
                      <w:marTop w:val="0"/>
                      <w:marBottom w:val="0"/>
                      <w:divBdr>
                        <w:top w:val="none" w:sz="0" w:space="0" w:color="auto"/>
                        <w:left w:val="none" w:sz="0" w:space="0" w:color="auto"/>
                        <w:bottom w:val="none" w:sz="0" w:space="0" w:color="auto"/>
                        <w:right w:val="none" w:sz="0" w:space="0" w:color="auto"/>
                      </w:divBdr>
                    </w:div>
                  </w:divsChild>
                </w:div>
                <w:div w:id="1744523834">
                  <w:marLeft w:val="0"/>
                  <w:marRight w:val="0"/>
                  <w:marTop w:val="0"/>
                  <w:marBottom w:val="0"/>
                  <w:divBdr>
                    <w:top w:val="none" w:sz="0" w:space="0" w:color="auto"/>
                    <w:left w:val="none" w:sz="0" w:space="0" w:color="auto"/>
                    <w:bottom w:val="none" w:sz="0" w:space="0" w:color="auto"/>
                    <w:right w:val="none" w:sz="0" w:space="0" w:color="auto"/>
                  </w:divBdr>
                  <w:divsChild>
                    <w:div w:id="37435969">
                      <w:marLeft w:val="0"/>
                      <w:marRight w:val="0"/>
                      <w:marTop w:val="0"/>
                      <w:marBottom w:val="0"/>
                      <w:divBdr>
                        <w:top w:val="none" w:sz="0" w:space="0" w:color="auto"/>
                        <w:left w:val="none" w:sz="0" w:space="0" w:color="auto"/>
                        <w:bottom w:val="none" w:sz="0" w:space="0" w:color="auto"/>
                        <w:right w:val="none" w:sz="0" w:space="0" w:color="auto"/>
                      </w:divBdr>
                    </w:div>
                  </w:divsChild>
                </w:div>
                <w:div w:id="598297414">
                  <w:marLeft w:val="0"/>
                  <w:marRight w:val="0"/>
                  <w:marTop w:val="0"/>
                  <w:marBottom w:val="0"/>
                  <w:divBdr>
                    <w:top w:val="none" w:sz="0" w:space="0" w:color="auto"/>
                    <w:left w:val="none" w:sz="0" w:space="0" w:color="auto"/>
                    <w:bottom w:val="none" w:sz="0" w:space="0" w:color="auto"/>
                    <w:right w:val="none" w:sz="0" w:space="0" w:color="auto"/>
                  </w:divBdr>
                  <w:divsChild>
                    <w:div w:id="433747690">
                      <w:marLeft w:val="0"/>
                      <w:marRight w:val="0"/>
                      <w:marTop w:val="0"/>
                      <w:marBottom w:val="0"/>
                      <w:divBdr>
                        <w:top w:val="none" w:sz="0" w:space="0" w:color="auto"/>
                        <w:left w:val="none" w:sz="0" w:space="0" w:color="auto"/>
                        <w:bottom w:val="none" w:sz="0" w:space="0" w:color="auto"/>
                        <w:right w:val="none" w:sz="0" w:space="0" w:color="auto"/>
                      </w:divBdr>
                    </w:div>
                  </w:divsChild>
                </w:div>
                <w:div w:id="1171288434">
                  <w:marLeft w:val="0"/>
                  <w:marRight w:val="0"/>
                  <w:marTop w:val="0"/>
                  <w:marBottom w:val="0"/>
                  <w:divBdr>
                    <w:top w:val="none" w:sz="0" w:space="0" w:color="auto"/>
                    <w:left w:val="none" w:sz="0" w:space="0" w:color="auto"/>
                    <w:bottom w:val="none" w:sz="0" w:space="0" w:color="auto"/>
                    <w:right w:val="none" w:sz="0" w:space="0" w:color="auto"/>
                  </w:divBdr>
                  <w:divsChild>
                    <w:div w:id="1540124952">
                      <w:marLeft w:val="0"/>
                      <w:marRight w:val="0"/>
                      <w:marTop w:val="0"/>
                      <w:marBottom w:val="0"/>
                      <w:divBdr>
                        <w:top w:val="none" w:sz="0" w:space="0" w:color="auto"/>
                        <w:left w:val="none" w:sz="0" w:space="0" w:color="auto"/>
                        <w:bottom w:val="none" w:sz="0" w:space="0" w:color="auto"/>
                        <w:right w:val="none" w:sz="0" w:space="0" w:color="auto"/>
                      </w:divBdr>
                    </w:div>
                  </w:divsChild>
                </w:div>
                <w:div w:id="1595894088">
                  <w:marLeft w:val="0"/>
                  <w:marRight w:val="0"/>
                  <w:marTop w:val="0"/>
                  <w:marBottom w:val="0"/>
                  <w:divBdr>
                    <w:top w:val="none" w:sz="0" w:space="0" w:color="auto"/>
                    <w:left w:val="none" w:sz="0" w:space="0" w:color="auto"/>
                    <w:bottom w:val="none" w:sz="0" w:space="0" w:color="auto"/>
                    <w:right w:val="none" w:sz="0" w:space="0" w:color="auto"/>
                  </w:divBdr>
                  <w:divsChild>
                    <w:div w:id="1073435773">
                      <w:marLeft w:val="0"/>
                      <w:marRight w:val="0"/>
                      <w:marTop w:val="0"/>
                      <w:marBottom w:val="0"/>
                      <w:divBdr>
                        <w:top w:val="none" w:sz="0" w:space="0" w:color="auto"/>
                        <w:left w:val="none" w:sz="0" w:space="0" w:color="auto"/>
                        <w:bottom w:val="none" w:sz="0" w:space="0" w:color="auto"/>
                        <w:right w:val="none" w:sz="0" w:space="0" w:color="auto"/>
                      </w:divBdr>
                    </w:div>
                  </w:divsChild>
                </w:div>
                <w:div w:id="1267956722">
                  <w:marLeft w:val="0"/>
                  <w:marRight w:val="0"/>
                  <w:marTop w:val="0"/>
                  <w:marBottom w:val="0"/>
                  <w:divBdr>
                    <w:top w:val="none" w:sz="0" w:space="0" w:color="auto"/>
                    <w:left w:val="none" w:sz="0" w:space="0" w:color="auto"/>
                    <w:bottom w:val="none" w:sz="0" w:space="0" w:color="auto"/>
                    <w:right w:val="none" w:sz="0" w:space="0" w:color="auto"/>
                  </w:divBdr>
                  <w:divsChild>
                    <w:div w:id="117990826">
                      <w:marLeft w:val="0"/>
                      <w:marRight w:val="0"/>
                      <w:marTop w:val="0"/>
                      <w:marBottom w:val="0"/>
                      <w:divBdr>
                        <w:top w:val="none" w:sz="0" w:space="0" w:color="auto"/>
                        <w:left w:val="none" w:sz="0" w:space="0" w:color="auto"/>
                        <w:bottom w:val="none" w:sz="0" w:space="0" w:color="auto"/>
                        <w:right w:val="none" w:sz="0" w:space="0" w:color="auto"/>
                      </w:divBdr>
                    </w:div>
                  </w:divsChild>
                </w:div>
                <w:div w:id="1960606882">
                  <w:marLeft w:val="0"/>
                  <w:marRight w:val="0"/>
                  <w:marTop w:val="0"/>
                  <w:marBottom w:val="0"/>
                  <w:divBdr>
                    <w:top w:val="none" w:sz="0" w:space="0" w:color="auto"/>
                    <w:left w:val="none" w:sz="0" w:space="0" w:color="auto"/>
                    <w:bottom w:val="none" w:sz="0" w:space="0" w:color="auto"/>
                    <w:right w:val="none" w:sz="0" w:space="0" w:color="auto"/>
                  </w:divBdr>
                  <w:divsChild>
                    <w:div w:id="541137121">
                      <w:marLeft w:val="0"/>
                      <w:marRight w:val="0"/>
                      <w:marTop w:val="0"/>
                      <w:marBottom w:val="0"/>
                      <w:divBdr>
                        <w:top w:val="none" w:sz="0" w:space="0" w:color="auto"/>
                        <w:left w:val="none" w:sz="0" w:space="0" w:color="auto"/>
                        <w:bottom w:val="none" w:sz="0" w:space="0" w:color="auto"/>
                        <w:right w:val="none" w:sz="0" w:space="0" w:color="auto"/>
                      </w:divBdr>
                    </w:div>
                  </w:divsChild>
                </w:div>
                <w:div w:id="9991933">
                  <w:marLeft w:val="0"/>
                  <w:marRight w:val="0"/>
                  <w:marTop w:val="0"/>
                  <w:marBottom w:val="0"/>
                  <w:divBdr>
                    <w:top w:val="none" w:sz="0" w:space="0" w:color="auto"/>
                    <w:left w:val="none" w:sz="0" w:space="0" w:color="auto"/>
                    <w:bottom w:val="none" w:sz="0" w:space="0" w:color="auto"/>
                    <w:right w:val="none" w:sz="0" w:space="0" w:color="auto"/>
                  </w:divBdr>
                  <w:divsChild>
                    <w:div w:id="2063556875">
                      <w:marLeft w:val="0"/>
                      <w:marRight w:val="0"/>
                      <w:marTop w:val="0"/>
                      <w:marBottom w:val="0"/>
                      <w:divBdr>
                        <w:top w:val="none" w:sz="0" w:space="0" w:color="auto"/>
                        <w:left w:val="none" w:sz="0" w:space="0" w:color="auto"/>
                        <w:bottom w:val="none" w:sz="0" w:space="0" w:color="auto"/>
                        <w:right w:val="none" w:sz="0" w:space="0" w:color="auto"/>
                      </w:divBdr>
                    </w:div>
                  </w:divsChild>
                </w:div>
                <w:div w:id="559095179">
                  <w:marLeft w:val="0"/>
                  <w:marRight w:val="0"/>
                  <w:marTop w:val="0"/>
                  <w:marBottom w:val="0"/>
                  <w:divBdr>
                    <w:top w:val="none" w:sz="0" w:space="0" w:color="auto"/>
                    <w:left w:val="none" w:sz="0" w:space="0" w:color="auto"/>
                    <w:bottom w:val="none" w:sz="0" w:space="0" w:color="auto"/>
                    <w:right w:val="none" w:sz="0" w:space="0" w:color="auto"/>
                  </w:divBdr>
                  <w:divsChild>
                    <w:div w:id="1712877200">
                      <w:marLeft w:val="0"/>
                      <w:marRight w:val="0"/>
                      <w:marTop w:val="0"/>
                      <w:marBottom w:val="0"/>
                      <w:divBdr>
                        <w:top w:val="none" w:sz="0" w:space="0" w:color="auto"/>
                        <w:left w:val="none" w:sz="0" w:space="0" w:color="auto"/>
                        <w:bottom w:val="none" w:sz="0" w:space="0" w:color="auto"/>
                        <w:right w:val="none" w:sz="0" w:space="0" w:color="auto"/>
                      </w:divBdr>
                    </w:div>
                  </w:divsChild>
                </w:div>
                <w:div w:id="1066614129">
                  <w:marLeft w:val="0"/>
                  <w:marRight w:val="0"/>
                  <w:marTop w:val="0"/>
                  <w:marBottom w:val="0"/>
                  <w:divBdr>
                    <w:top w:val="none" w:sz="0" w:space="0" w:color="auto"/>
                    <w:left w:val="none" w:sz="0" w:space="0" w:color="auto"/>
                    <w:bottom w:val="none" w:sz="0" w:space="0" w:color="auto"/>
                    <w:right w:val="none" w:sz="0" w:space="0" w:color="auto"/>
                  </w:divBdr>
                  <w:divsChild>
                    <w:div w:id="1833793486">
                      <w:marLeft w:val="0"/>
                      <w:marRight w:val="0"/>
                      <w:marTop w:val="0"/>
                      <w:marBottom w:val="0"/>
                      <w:divBdr>
                        <w:top w:val="none" w:sz="0" w:space="0" w:color="auto"/>
                        <w:left w:val="none" w:sz="0" w:space="0" w:color="auto"/>
                        <w:bottom w:val="none" w:sz="0" w:space="0" w:color="auto"/>
                        <w:right w:val="none" w:sz="0" w:space="0" w:color="auto"/>
                      </w:divBdr>
                    </w:div>
                  </w:divsChild>
                </w:div>
                <w:div w:id="2141023503">
                  <w:marLeft w:val="0"/>
                  <w:marRight w:val="0"/>
                  <w:marTop w:val="0"/>
                  <w:marBottom w:val="0"/>
                  <w:divBdr>
                    <w:top w:val="none" w:sz="0" w:space="0" w:color="auto"/>
                    <w:left w:val="none" w:sz="0" w:space="0" w:color="auto"/>
                    <w:bottom w:val="none" w:sz="0" w:space="0" w:color="auto"/>
                    <w:right w:val="none" w:sz="0" w:space="0" w:color="auto"/>
                  </w:divBdr>
                  <w:divsChild>
                    <w:div w:id="549077230">
                      <w:marLeft w:val="0"/>
                      <w:marRight w:val="0"/>
                      <w:marTop w:val="0"/>
                      <w:marBottom w:val="0"/>
                      <w:divBdr>
                        <w:top w:val="none" w:sz="0" w:space="0" w:color="auto"/>
                        <w:left w:val="none" w:sz="0" w:space="0" w:color="auto"/>
                        <w:bottom w:val="none" w:sz="0" w:space="0" w:color="auto"/>
                        <w:right w:val="none" w:sz="0" w:space="0" w:color="auto"/>
                      </w:divBdr>
                    </w:div>
                  </w:divsChild>
                </w:div>
                <w:div w:id="648051012">
                  <w:marLeft w:val="0"/>
                  <w:marRight w:val="0"/>
                  <w:marTop w:val="0"/>
                  <w:marBottom w:val="0"/>
                  <w:divBdr>
                    <w:top w:val="none" w:sz="0" w:space="0" w:color="auto"/>
                    <w:left w:val="none" w:sz="0" w:space="0" w:color="auto"/>
                    <w:bottom w:val="none" w:sz="0" w:space="0" w:color="auto"/>
                    <w:right w:val="none" w:sz="0" w:space="0" w:color="auto"/>
                  </w:divBdr>
                  <w:divsChild>
                    <w:div w:id="235827899">
                      <w:marLeft w:val="0"/>
                      <w:marRight w:val="0"/>
                      <w:marTop w:val="0"/>
                      <w:marBottom w:val="0"/>
                      <w:divBdr>
                        <w:top w:val="none" w:sz="0" w:space="0" w:color="auto"/>
                        <w:left w:val="none" w:sz="0" w:space="0" w:color="auto"/>
                        <w:bottom w:val="none" w:sz="0" w:space="0" w:color="auto"/>
                        <w:right w:val="none" w:sz="0" w:space="0" w:color="auto"/>
                      </w:divBdr>
                    </w:div>
                  </w:divsChild>
                </w:div>
                <w:div w:id="548104668">
                  <w:marLeft w:val="0"/>
                  <w:marRight w:val="0"/>
                  <w:marTop w:val="0"/>
                  <w:marBottom w:val="0"/>
                  <w:divBdr>
                    <w:top w:val="none" w:sz="0" w:space="0" w:color="auto"/>
                    <w:left w:val="none" w:sz="0" w:space="0" w:color="auto"/>
                    <w:bottom w:val="none" w:sz="0" w:space="0" w:color="auto"/>
                    <w:right w:val="none" w:sz="0" w:space="0" w:color="auto"/>
                  </w:divBdr>
                  <w:divsChild>
                    <w:div w:id="1634094300">
                      <w:marLeft w:val="0"/>
                      <w:marRight w:val="0"/>
                      <w:marTop w:val="0"/>
                      <w:marBottom w:val="0"/>
                      <w:divBdr>
                        <w:top w:val="none" w:sz="0" w:space="0" w:color="auto"/>
                        <w:left w:val="none" w:sz="0" w:space="0" w:color="auto"/>
                        <w:bottom w:val="none" w:sz="0" w:space="0" w:color="auto"/>
                        <w:right w:val="none" w:sz="0" w:space="0" w:color="auto"/>
                      </w:divBdr>
                    </w:div>
                  </w:divsChild>
                </w:div>
                <w:div w:id="317000398">
                  <w:marLeft w:val="0"/>
                  <w:marRight w:val="0"/>
                  <w:marTop w:val="0"/>
                  <w:marBottom w:val="0"/>
                  <w:divBdr>
                    <w:top w:val="none" w:sz="0" w:space="0" w:color="auto"/>
                    <w:left w:val="none" w:sz="0" w:space="0" w:color="auto"/>
                    <w:bottom w:val="none" w:sz="0" w:space="0" w:color="auto"/>
                    <w:right w:val="none" w:sz="0" w:space="0" w:color="auto"/>
                  </w:divBdr>
                  <w:divsChild>
                    <w:div w:id="1049651238">
                      <w:marLeft w:val="0"/>
                      <w:marRight w:val="0"/>
                      <w:marTop w:val="0"/>
                      <w:marBottom w:val="0"/>
                      <w:divBdr>
                        <w:top w:val="none" w:sz="0" w:space="0" w:color="auto"/>
                        <w:left w:val="none" w:sz="0" w:space="0" w:color="auto"/>
                        <w:bottom w:val="none" w:sz="0" w:space="0" w:color="auto"/>
                        <w:right w:val="none" w:sz="0" w:space="0" w:color="auto"/>
                      </w:divBdr>
                    </w:div>
                  </w:divsChild>
                </w:div>
                <w:div w:id="540636563">
                  <w:marLeft w:val="0"/>
                  <w:marRight w:val="0"/>
                  <w:marTop w:val="0"/>
                  <w:marBottom w:val="0"/>
                  <w:divBdr>
                    <w:top w:val="none" w:sz="0" w:space="0" w:color="auto"/>
                    <w:left w:val="none" w:sz="0" w:space="0" w:color="auto"/>
                    <w:bottom w:val="none" w:sz="0" w:space="0" w:color="auto"/>
                    <w:right w:val="none" w:sz="0" w:space="0" w:color="auto"/>
                  </w:divBdr>
                  <w:divsChild>
                    <w:div w:id="2140608592">
                      <w:marLeft w:val="0"/>
                      <w:marRight w:val="0"/>
                      <w:marTop w:val="0"/>
                      <w:marBottom w:val="0"/>
                      <w:divBdr>
                        <w:top w:val="none" w:sz="0" w:space="0" w:color="auto"/>
                        <w:left w:val="none" w:sz="0" w:space="0" w:color="auto"/>
                        <w:bottom w:val="none" w:sz="0" w:space="0" w:color="auto"/>
                        <w:right w:val="none" w:sz="0" w:space="0" w:color="auto"/>
                      </w:divBdr>
                    </w:div>
                    <w:div w:id="1353803140">
                      <w:marLeft w:val="0"/>
                      <w:marRight w:val="0"/>
                      <w:marTop w:val="0"/>
                      <w:marBottom w:val="0"/>
                      <w:divBdr>
                        <w:top w:val="none" w:sz="0" w:space="0" w:color="auto"/>
                        <w:left w:val="none" w:sz="0" w:space="0" w:color="auto"/>
                        <w:bottom w:val="none" w:sz="0" w:space="0" w:color="auto"/>
                        <w:right w:val="none" w:sz="0" w:space="0" w:color="auto"/>
                      </w:divBdr>
                    </w:div>
                  </w:divsChild>
                </w:div>
                <w:div w:id="1631665798">
                  <w:marLeft w:val="0"/>
                  <w:marRight w:val="0"/>
                  <w:marTop w:val="0"/>
                  <w:marBottom w:val="0"/>
                  <w:divBdr>
                    <w:top w:val="none" w:sz="0" w:space="0" w:color="auto"/>
                    <w:left w:val="none" w:sz="0" w:space="0" w:color="auto"/>
                    <w:bottom w:val="none" w:sz="0" w:space="0" w:color="auto"/>
                    <w:right w:val="none" w:sz="0" w:space="0" w:color="auto"/>
                  </w:divBdr>
                  <w:divsChild>
                    <w:div w:id="1108430676">
                      <w:marLeft w:val="0"/>
                      <w:marRight w:val="0"/>
                      <w:marTop w:val="0"/>
                      <w:marBottom w:val="0"/>
                      <w:divBdr>
                        <w:top w:val="none" w:sz="0" w:space="0" w:color="auto"/>
                        <w:left w:val="none" w:sz="0" w:space="0" w:color="auto"/>
                        <w:bottom w:val="none" w:sz="0" w:space="0" w:color="auto"/>
                        <w:right w:val="none" w:sz="0" w:space="0" w:color="auto"/>
                      </w:divBdr>
                    </w:div>
                  </w:divsChild>
                </w:div>
                <w:div w:id="694161883">
                  <w:marLeft w:val="0"/>
                  <w:marRight w:val="0"/>
                  <w:marTop w:val="0"/>
                  <w:marBottom w:val="0"/>
                  <w:divBdr>
                    <w:top w:val="none" w:sz="0" w:space="0" w:color="auto"/>
                    <w:left w:val="none" w:sz="0" w:space="0" w:color="auto"/>
                    <w:bottom w:val="none" w:sz="0" w:space="0" w:color="auto"/>
                    <w:right w:val="none" w:sz="0" w:space="0" w:color="auto"/>
                  </w:divBdr>
                  <w:divsChild>
                    <w:div w:id="607737376">
                      <w:marLeft w:val="0"/>
                      <w:marRight w:val="0"/>
                      <w:marTop w:val="0"/>
                      <w:marBottom w:val="0"/>
                      <w:divBdr>
                        <w:top w:val="none" w:sz="0" w:space="0" w:color="auto"/>
                        <w:left w:val="none" w:sz="0" w:space="0" w:color="auto"/>
                        <w:bottom w:val="none" w:sz="0" w:space="0" w:color="auto"/>
                        <w:right w:val="none" w:sz="0" w:space="0" w:color="auto"/>
                      </w:divBdr>
                    </w:div>
                  </w:divsChild>
                </w:div>
                <w:div w:id="1256211335">
                  <w:marLeft w:val="0"/>
                  <w:marRight w:val="0"/>
                  <w:marTop w:val="0"/>
                  <w:marBottom w:val="0"/>
                  <w:divBdr>
                    <w:top w:val="none" w:sz="0" w:space="0" w:color="auto"/>
                    <w:left w:val="none" w:sz="0" w:space="0" w:color="auto"/>
                    <w:bottom w:val="none" w:sz="0" w:space="0" w:color="auto"/>
                    <w:right w:val="none" w:sz="0" w:space="0" w:color="auto"/>
                  </w:divBdr>
                  <w:divsChild>
                    <w:div w:id="271401847">
                      <w:marLeft w:val="0"/>
                      <w:marRight w:val="0"/>
                      <w:marTop w:val="0"/>
                      <w:marBottom w:val="0"/>
                      <w:divBdr>
                        <w:top w:val="none" w:sz="0" w:space="0" w:color="auto"/>
                        <w:left w:val="none" w:sz="0" w:space="0" w:color="auto"/>
                        <w:bottom w:val="none" w:sz="0" w:space="0" w:color="auto"/>
                        <w:right w:val="none" w:sz="0" w:space="0" w:color="auto"/>
                      </w:divBdr>
                    </w:div>
                  </w:divsChild>
                </w:div>
                <w:div w:id="2034065712">
                  <w:marLeft w:val="0"/>
                  <w:marRight w:val="0"/>
                  <w:marTop w:val="0"/>
                  <w:marBottom w:val="0"/>
                  <w:divBdr>
                    <w:top w:val="none" w:sz="0" w:space="0" w:color="auto"/>
                    <w:left w:val="none" w:sz="0" w:space="0" w:color="auto"/>
                    <w:bottom w:val="none" w:sz="0" w:space="0" w:color="auto"/>
                    <w:right w:val="none" w:sz="0" w:space="0" w:color="auto"/>
                  </w:divBdr>
                  <w:divsChild>
                    <w:div w:id="1035231569">
                      <w:marLeft w:val="0"/>
                      <w:marRight w:val="0"/>
                      <w:marTop w:val="0"/>
                      <w:marBottom w:val="0"/>
                      <w:divBdr>
                        <w:top w:val="none" w:sz="0" w:space="0" w:color="auto"/>
                        <w:left w:val="none" w:sz="0" w:space="0" w:color="auto"/>
                        <w:bottom w:val="none" w:sz="0" w:space="0" w:color="auto"/>
                        <w:right w:val="none" w:sz="0" w:space="0" w:color="auto"/>
                      </w:divBdr>
                    </w:div>
                  </w:divsChild>
                </w:div>
                <w:div w:id="88043162">
                  <w:marLeft w:val="0"/>
                  <w:marRight w:val="0"/>
                  <w:marTop w:val="0"/>
                  <w:marBottom w:val="0"/>
                  <w:divBdr>
                    <w:top w:val="none" w:sz="0" w:space="0" w:color="auto"/>
                    <w:left w:val="none" w:sz="0" w:space="0" w:color="auto"/>
                    <w:bottom w:val="none" w:sz="0" w:space="0" w:color="auto"/>
                    <w:right w:val="none" w:sz="0" w:space="0" w:color="auto"/>
                  </w:divBdr>
                  <w:divsChild>
                    <w:div w:id="294069577">
                      <w:marLeft w:val="0"/>
                      <w:marRight w:val="0"/>
                      <w:marTop w:val="0"/>
                      <w:marBottom w:val="0"/>
                      <w:divBdr>
                        <w:top w:val="none" w:sz="0" w:space="0" w:color="auto"/>
                        <w:left w:val="none" w:sz="0" w:space="0" w:color="auto"/>
                        <w:bottom w:val="none" w:sz="0" w:space="0" w:color="auto"/>
                        <w:right w:val="none" w:sz="0" w:space="0" w:color="auto"/>
                      </w:divBdr>
                    </w:div>
                  </w:divsChild>
                </w:div>
                <w:div w:id="1113669560">
                  <w:marLeft w:val="0"/>
                  <w:marRight w:val="0"/>
                  <w:marTop w:val="0"/>
                  <w:marBottom w:val="0"/>
                  <w:divBdr>
                    <w:top w:val="none" w:sz="0" w:space="0" w:color="auto"/>
                    <w:left w:val="none" w:sz="0" w:space="0" w:color="auto"/>
                    <w:bottom w:val="none" w:sz="0" w:space="0" w:color="auto"/>
                    <w:right w:val="none" w:sz="0" w:space="0" w:color="auto"/>
                  </w:divBdr>
                  <w:divsChild>
                    <w:div w:id="866867768">
                      <w:marLeft w:val="0"/>
                      <w:marRight w:val="0"/>
                      <w:marTop w:val="0"/>
                      <w:marBottom w:val="0"/>
                      <w:divBdr>
                        <w:top w:val="none" w:sz="0" w:space="0" w:color="auto"/>
                        <w:left w:val="none" w:sz="0" w:space="0" w:color="auto"/>
                        <w:bottom w:val="none" w:sz="0" w:space="0" w:color="auto"/>
                        <w:right w:val="none" w:sz="0" w:space="0" w:color="auto"/>
                      </w:divBdr>
                    </w:div>
                  </w:divsChild>
                </w:div>
                <w:div w:id="1082990961">
                  <w:marLeft w:val="0"/>
                  <w:marRight w:val="0"/>
                  <w:marTop w:val="0"/>
                  <w:marBottom w:val="0"/>
                  <w:divBdr>
                    <w:top w:val="none" w:sz="0" w:space="0" w:color="auto"/>
                    <w:left w:val="none" w:sz="0" w:space="0" w:color="auto"/>
                    <w:bottom w:val="none" w:sz="0" w:space="0" w:color="auto"/>
                    <w:right w:val="none" w:sz="0" w:space="0" w:color="auto"/>
                  </w:divBdr>
                  <w:divsChild>
                    <w:div w:id="512650322">
                      <w:marLeft w:val="0"/>
                      <w:marRight w:val="0"/>
                      <w:marTop w:val="0"/>
                      <w:marBottom w:val="0"/>
                      <w:divBdr>
                        <w:top w:val="none" w:sz="0" w:space="0" w:color="auto"/>
                        <w:left w:val="none" w:sz="0" w:space="0" w:color="auto"/>
                        <w:bottom w:val="none" w:sz="0" w:space="0" w:color="auto"/>
                        <w:right w:val="none" w:sz="0" w:space="0" w:color="auto"/>
                      </w:divBdr>
                    </w:div>
                  </w:divsChild>
                </w:div>
                <w:div w:id="2034914363">
                  <w:marLeft w:val="0"/>
                  <w:marRight w:val="0"/>
                  <w:marTop w:val="0"/>
                  <w:marBottom w:val="0"/>
                  <w:divBdr>
                    <w:top w:val="none" w:sz="0" w:space="0" w:color="auto"/>
                    <w:left w:val="none" w:sz="0" w:space="0" w:color="auto"/>
                    <w:bottom w:val="none" w:sz="0" w:space="0" w:color="auto"/>
                    <w:right w:val="none" w:sz="0" w:space="0" w:color="auto"/>
                  </w:divBdr>
                  <w:divsChild>
                    <w:div w:id="2064256798">
                      <w:marLeft w:val="0"/>
                      <w:marRight w:val="0"/>
                      <w:marTop w:val="0"/>
                      <w:marBottom w:val="0"/>
                      <w:divBdr>
                        <w:top w:val="none" w:sz="0" w:space="0" w:color="auto"/>
                        <w:left w:val="none" w:sz="0" w:space="0" w:color="auto"/>
                        <w:bottom w:val="none" w:sz="0" w:space="0" w:color="auto"/>
                        <w:right w:val="none" w:sz="0" w:space="0" w:color="auto"/>
                      </w:divBdr>
                    </w:div>
                  </w:divsChild>
                </w:div>
                <w:div w:id="1560744821">
                  <w:marLeft w:val="0"/>
                  <w:marRight w:val="0"/>
                  <w:marTop w:val="0"/>
                  <w:marBottom w:val="0"/>
                  <w:divBdr>
                    <w:top w:val="none" w:sz="0" w:space="0" w:color="auto"/>
                    <w:left w:val="none" w:sz="0" w:space="0" w:color="auto"/>
                    <w:bottom w:val="none" w:sz="0" w:space="0" w:color="auto"/>
                    <w:right w:val="none" w:sz="0" w:space="0" w:color="auto"/>
                  </w:divBdr>
                  <w:divsChild>
                    <w:div w:id="7223676">
                      <w:marLeft w:val="0"/>
                      <w:marRight w:val="0"/>
                      <w:marTop w:val="0"/>
                      <w:marBottom w:val="0"/>
                      <w:divBdr>
                        <w:top w:val="none" w:sz="0" w:space="0" w:color="auto"/>
                        <w:left w:val="none" w:sz="0" w:space="0" w:color="auto"/>
                        <w:bottom w:val="none" w:sz="0" w:space="0" w:color="auto"/>
                        <w:right w:val="none" w:sz="0" w:space="0" w:color="auto"/>
                      </w:divBdr>
                    </w:div>
                    <w:div w:id="1810515317">
                      <w:marLeft w:val="0"/>
                      <w:marRight w:val="0"/>
                      <w:marTop w:val="0"/>
                      <w:marBottom w:val="0"/>
                      <w:divBdr>
                        <w:top w:val="none" w:sz="0" w:space="0" w:color="auto"/>
                        <w:left w:val="none" w:sz="0" w:space="0" w:color="auto"/>
                        <w:bottom w:val="none" w:sz="0" w:space="0" w:color="auto"/>
                        <w:right w:val="none" w:sz="0" w:space="0" w:color="auto"/>
                      </w:divBdr>
                    </w:div>
                    <w:div w:id="1150945737">
                      <w:marLeft w:val="0"/>
                      <w:marRight w:val="0"/>
                      <w:marTop w:val="0"/>
                      <w:marBottom w:val="0"/>
                      <w:divBdr>
                        <w:top w:val="none" w:sz="0" w:space="0" w:color="auto"/>
                        <w:left w:val="none" w:sz="0" w:space="0" w:color="auto"/>
                        <w:bottom w:val="none" w:sz="0" w:space="0" w:color="auto"/>
                        <w:right w:val="none" w:sz="0" w:space="0" w:color="auto"/>
                      </w:divBdr>
                    </w:div>
                    <w:div w:id="1957373203">
                      <w:marLeft w:val="0"/>
                      <w:marRight w:val="0"/>
                      <w:marTop w:val="0"/>
                      <w:marBottom w:val="0"/>
                      <w:divBdr>
                        <w:top w:val="none" w:sz="0" w:space="0" w:color="auto"/>
                        <w:left w:val="none" w:sz="0" w:space="0" w:color="auto"/>
                        <w:bottom w:val="none" w:sz="0" w:space="0" w:color="auto"/>
                        <w:right w:val="none" w:sz="0" w:space="0" w:color="auto"/>
                      </w:divBdr>
                    </w:div>
                  </w:divsChild>
                </w:div>
                <w:div w:id="729041794">
                  <w:marLeft w:val="0"/>
                  <w:marRight w:val="0"/>
                  <w:marTop w:val="0"/>
                  <w:marBottom w:val="0"/>
                  <w:divBdr>
                    <w:top w:val="none" w:sz="0" w:space="0" w:color="auto"/>
                    <w:left w:val="none" w:sz="0" w:space="0" w:color="auto"/>
                    <w:bottom w:val="none" w:sz="0" w:space="0" w:color="auto"/>
                    <w:right w:val="none" w:sz="0" w:space="0" w:color="auto"/>
                  </w:divBdr>
                  <w:divsChild>
                    <w:div w:id="2059864509">
                      <w:marLeft w:val="0"/>
                      <w:marRight w:val="0"/>
                      <w:marTop w:val="0"/>
                      <w:marBottom w:val="0"/>
                      <w:divBdr>
                        <w:top w:val="none" w:sz="0" w:space="0" w:color="auto"/>
                        <w:left w:val="none" w:sz="0" w:space="0" w:color="auto"/>
                        <w:bottom w:val="none" w:sz="0" w:space="0" w:color="auto"/>
                        <w:right w:val="none" w:sz="0" w:space="0" w:color="auto"/>
                      </w:divBdr>
                    </w:div>
                  </w:divsChild>
                </w:div>
                <w:div w:id="1660108363">
                  <w:marLeft w:val="0"/>
                  <w:marRight w:val="0"/>
                  <w:marTop w:val="0"/>
                  <w:marBottom w:val="0"/>
                  <w:divBdr>
                    <w:top w:val="none" w:sz="0" w:space="0" w:color="auto"/>
                    <w:left w:val="none" w:sz="0" w:space="0" w:color="auto"/>
                    <w:bottom w:val="none" w:sz="0" w:space="0" w:color="auto"/>
                    <w:right w:val="none" w:sz="0" w:space="0" w:color="auto"/>
                  </w:divBdr>
                  <w:divsChild>
                    <w:div w:id="1677346320">
                      <w:marLeft w:val="0"/>
                      <w:marRight w:val="0"/>
                      <w:marTop w:val="0"/>
                      <w:marBottom w:val="0"/>
                      <w:divBdr>
                        <w:top w:val="none" w:sz="0" w:space="0" w:color="auto"/>
                        <w:left w:val="none" w:sz="0" w:space="0" w:color="auto"/>
                        <w:bottom w:val="none" w:sz="0" w:space="0" w:color="auto"/>
                        <w:right w:val="none" w:sz="0" w:space="0" w:color="auto"/>
                      </w:divBdr>
                    </w:div>
                  </w:divsChild>
                </w:div>
                <w:div w:id="367075137">
                  <w:marLeft w:val="0"/>
                  <w:marRight w:val="0"/>
                  <w:marTop w:val="0"/>
                  <w:marBottom w:val="0"/>
                  <w:divBdr>
                    <w:top w:val="none" w:sz="0" w:space="0" w:color="auto"/>
                    <w:left w:val="none" w:sz="0" w:space="0" w:color="auto"/>
                    <w:bottom w:val="none" w:sz="0" w:space="0" w:color="auto"/>
                    <w:right w:val="none" w:sz="0" w:space="0" w:color="auto"/>
                  </w:divBdr>
                  <w:divsChild>
                    <w:div w:id="1585525557">
                      <w:marLeft w:val="0"/>
                      <w:marRight w:val="0"/>
                      <w:marTop w:val="0"/>
                      <w:marBottom w:val="0"/>
                      <w:divBdr>
                        <w:top w:val="none" w:sz="0" w:space="0" w:color="auto"/>
                        <w:left w:val="none" w:sz="0" w:space="0" w:color="auto"/>
                        <w:bottom w:val="none" w:sz="0" w:space="0" w:color="auto"/>
                        <w:right w:val="none" w:sz="0" w:space="0" w:color="auto"/>
                      </w:divBdr>
                    </w:div>
                  </w:divsChild>
                </w:div>
                <w:div w:id="930621891">
                  <w:marLeft w:val="0"/>
                  <w:marRight w:val="0"/>
                  <w:marTop w:val="0"/>
                  <w:marBottom w:val="0"/>
                  <w:divBdr>
                    <w:top w:val="none" w:sz="0" w:space="0" w:color="auto"/>
                    <w:left w:val="none" w:sz="0" w:space="0" w:color="auto"/>
                    <w:bottom w:val="none" w:sz="0" w:space="0" w:color="auto"/>
                    <w:right w:val="none" w:sz="0" w:space="0" w:color="auto"/>
                  </w:divBdr>
                  <w:divsChild>
                    <w:div w:id="609820706">
                      <w:marLeft w:val="0"/>
                      <w:marRight w:val="0"/>
                      <w:marTop w:val="0"/>
                      <w:marBottom w:val="0"/>
                      <w:divBdr>
                        <w:top w:val="none" w:sz="0" w:space="0" w:color="auto"/>
                        <w:left w:val="none" w:sz="0" w:space="0" w:color="auto"/>
                        <w:bottom w:val="none" w:sz="0" w:space="0" w:color="auto"/>
                        <w:right w:val="none" w:sz="0" w:space="0" w:color="auto"/>
                      </w:divBdr>
                    </w:div>
                  </w:divsChild>
                </w:div>
                <w:div w:id="1309281434">
                  <w:marLeft w:val="0"/>
                  <w:marRight w:val="0"/>
                  <w:marTop w:val="0"/>
                  <w:marBottom w:val="0"/>
                  <w:divBdr>
                    <w:top w:val="none" w:sz="0" w:space="0" w:color="auto"/>
                    <w:left w:val="none" w:sz="0" w:space="0" w:color="auto"/>
                    <w:bottom w:val="none" w:sz="0" w:space="0" w:color="auto"/>
                    <w:right w:val="none" w:sz="0" w:space="0" w:color="auto"/>
                  </w:divBdr>
                  <w:divsChild>
                    <w:div w:id="710113107">
                      <w:marLeft w:val="0"/>
                      <w:marRight w:val="0"/>
                      <w:marTop w:val="0"/>
                      <w:marBottom w:val="0"/>
                      <w:divBdr>
                        <w:top w:val="none" w:sz="0" w:space="0" w:color="auto"/>
                        <w:left w:val="none" w:sz="0" w:space="0" w:color="auto"/>
                        <w:bottom w:val="none" w:sz="0" w:space="0" w:color="auto"/>
                        <w:right w:val="none" w:sz="0" w:space="0" w:color="auto"/>
                      </w:divBdr>
                    </w:div>
                  </w:divsChild>
                </w:div>
                <w:div w:id="1861120509">
                  <w:marLeft w:val="0"/>
                  <w:marRight w:val="0"/>
                  <w:marTop w:val="0"/>
                  <w:marBottom w:val="0"/>
                  <w:divBdr>
                    <w:top w:val="none" w:sz="0" w:space="0" w:color="auto"/>
                    <w:left w:val="none" w:sz="0" w:space="0" w:color="auto"/>
                    <w:bottom w:val="none" w:sz="0" w:space="0" w:color="auto"/>
                    <w:right w:val="none" w:sz="0" w:space="0" w:color="auto"/>
                  </w:divBdr>
                  <w:divsChild>
                    <w:div w:id="191263408">
                      <w:marLeft w:val="0"/>
                      <w:marRight w:val="0"/>
                      <w:marTop w:val="0"/>
                      <w:marBottom w:val="0"/>
                      <w:divBdr>
                        <w:top w:val="none" w:sz="0" w:space="0" w:color="auto"/>
                        <w:left w:val="none" w:sz="0" w:space="0" w:color="auto"/>
                        <w:bottom w:val="none" w:sz="0" w:space="0" w:color="auto"/>
                        <w:right w:val="none" w:sz="0" w:space="0" w:color="auto"/>
                      </w:divBdr>
                    </w:div>
                  </w:divsChild>
                </w:div>
                <w:div w:id="2050832275">
                  <w:marLeft w:val="0"/>
                  <w:marRight w:val="0"/>
                  <w:marTop w:val="0"/>
                  <w:marBottom w:val="0"/>
                  <w:divBdr>
                    <w:top w:val="none" w:sz="0" w:space="0" w:color="auto"/>
                    <w:left w:val="none" w:sz="0" w:space="0" w:color="auto"/>
                    <w:bottom w:val="none" w:sz="0" w:space="0" w:color="auto"/>
                    <w:right w:val="none" w:sz="0" w:space="0" w:color="auto"/>
                  </w:divBdr>
                  <w:divsChild>
                    <w:div w:id="545072537">
                      <w:marLeft w:val="0"/>
                      <w:marRight w:val="0"/>
                      <w:marTop w:val="0"/>
                      <w:marBottom w:val="0"/>
                      <w:divBdr>
                        <w:top w:val="none" w:sz="0" w:space="0" w:color="auto"/>
                        <w:left w:val="none" w:sz="0" w:space="0" w:color="auto"/>
                        <w:bottom w:val="none" w:sz="0" w:space="0" w:color="auto"/>
                        <w:right w:val="none" w:sz="0" w:space="0" w:color="auto"/>
                      </w:divBdr>
                    </w:div>
                  </w:divsChild>
                </w:div>
                <w:div w:id="14355781">
                  <w:marLeft w:val="0"/>
                  <w:marRight w:val="0"/>
                  <w:marTop w:val="0"/>
                  <w:marBottom w:val="0"/>
                  <w:divBdr>
                    <w:top w:val="none" w:sz="0" w:space="0" w:color="auto"/>
                    <w:left w:val="none" w:sz="0" w:space="0" w:color="auto"/>
                    <w:bottom w:val="none" w:sz="0" w:space="0" w:color="auto"/>
                    <w:right w:val="none" w:sz="0" w:space="0" w:color="auto"/>
                  </w:divBdr>
                  <w:divsChild>
                    <w:div w:id="482964775">
                      <w:marLeft w:val="0"/>
                      <w:marRight w:val="0"/>
                      <w:marTop w:val="0"/>
                      <w:marBottom w:val="0"/>
                      <w:divBdr>
                        <w:top w:val="none" w:sz="0" w:space="0" w:color="auto"/>
                        <w:left w:val="none" w:sz="0" w:space="0" w:color="auto"/>
                        <w:bottom w:val="none" w:sz="0" w:space="0" w:color="auto"/>
                        <w:right w:val="none" w:sz="0" w:space="0" w:color="auto"/>
                      </w:divBdr>
                    </w:div>
                  </w:divsChild>
                </w:div>
                <w:div w:id="106779175">
                  <w:marLeft w:val="0"/>
                  <w:marRight w:val="0"/>
                  <w:marTop w:val="0"/>
                  <w:marBottom w:val="0"/>
                  <w:divBdr>
                    <w:top w:val="none" w:sz="0" w:space="0" w:color="auto"/>
                    <w:left w:val="none" w:sz="0" w:space="0" w:color="auto"/>
                    <w:bottom w:val="none" w:sz="0" w:space="0" w:color="auto"/>
                    <w:right w:val="none" w:sz="0" w:space="0" w:color="auto"/>
                  </w:divBdr>
                  <w:divsChild>
                    <w:div w:id="433093634">
                      <w:marLeft w:val="0"/>
                      <w:marRight w:val="0"/>
                      <w:marTop w:val="0"/>
                      <w:marBottom w:val="0"/>
                      <w:divBdr>
                        <w:top w:val="none" w:sz="0" w:space="0" w:color="auto"/>
                        <w:left w:val="none" w:sz="0" w:space="0" w:color="auto"/>
                        <w:bottom w:val="none" w:sz="0" w:space="0" w:color="auto"/>
                        <w:right w:val="none" w:sz="0" w:space="0" w:color="auto"/>
                      </w:divBdr>
                    </w:div>
                  </w:divsChild>
                </w:div>
                <w:div w:id="1014184093">
                  <w:marLeft w:val="0"/>
                  <w:marRight w:val="0"/>
                  <w:marTop w:val="0"/>
                  <w:marBottom w:val="0"/>
                  <w:divBdr>
                    <w:top w:val="none" w:sz="0" w:space="0" w:color="auto"/>
                    <w:left w:val="none" w:sz="0" w:space="0" w:color="auto"/>
                    <w:bottom w:val="none" w:sz="0" w:space="0" w:color="auto"/>
                    <w:right w:val="none" w:sz="0" w:space="0" w:color="auto"/>
                  </w:divBdr>
                  <w:divsChild>
                    <w:div w:id="1107971349">
                      <w:marLeft w:val="0"/>
                      <w:marRight w:val="0"/>
                      <w:marTop w:val="0"/>
                      <w:marBottom w:val="0"/>
                      <w:divBdr>
                        <w:top w:val="none" w:sz="0" w:space="0" w:color="auto"/>
                        <w:left w:val="none" w:sz="0" w:space="0" w:color="auto"/>
                        <w:bottom w:val="none" w:sz="0" w:space="0" w:color="auto"/>
                        <w:right w:val="none" w:sz="0" w:space="0" w:color="auto"/>
                      </w:divBdr>
                    </w:div>
                  </w:divsChild>
                </w:div>
                <w:div w:id="1120146627">
                  <w:marLeft w:val="0"/>
                  <w:marRight w:val="0"/>
                  <w:marTop w:val="0"/>
                  <w:marBottom w:val="0"/>
                  <w:divBdr>
                    <w:top w:val="none" w:sz="0" w:space="0" w:color="auto"/>
                    <w:left w:val="none" w:sz="0" w:space="0" w:color="auto"/>
                    <w:bottom w:val="none" w:sz="0" w:space="0" w:color="auto"/>
                    <w:right w:val="none" w:sz="0" w:space="0" w:color="auto"/>
                  </w:divBdr>
                  <w:divsChild>
                    <w:div w:id="1743869336">
                      <w:marLeft w:val="0"/>
                      <w:marRight w:val="0"/>
                      <w:marTop w:val="0"/>
                      <w:marBottom w:val="0"/>
                      <w:divBdr>
                        <w:top w:val="none" w:sz="0" w:space="0" w:color="auto"/>
                        <w:left w:val="none" w:sz="0" w:space="0" w:color="auto"/>
                        <w:bottom w:val="none" w:sz="0" w:space="0" w:color="auto"/>
                        <w:right w:val="none" w:sz="0" w:space="0" w:color="auto"/>
                      </w:divBdr>
                    </w:div>
                  </w:divsChild>
                </w:div>
                <w:div w:id="582641988">
                  <w:marLeft w:val="0"/>
                  <w:marRight w:val="0"/>
                  <w:marTop w:val="0"/>
                  <w:marBottom w:val="0"/>
                  <w:divBdr>
                    <w:top w:val="none" w:sz="0" w:space="0" w:color="auto"/>
                    <w:left w:val="none" w:sz="0" w:space="0" w:color="auto"/>
                    <w:bottom w:val="none" w:sz="0" w:space="0" w:color="auto"/>
                    <w:right w:val="none" w:sz="0" w:space="0" w:color="auto"/>
                  </w:divBdr>
                  <w:divsChild>
                    <w:div w:id="354960456">
                      <w:marLeft w:val="0"/>
                      <w:marRight w:val="0"/>
                      <w:marTop w:val="0"/>
                      <w:marBottom w:val="0"/>
                      <w:divBdr>
                        <w:top w:val="none" w:sz="0" w:space="0" w:color="auto"/>
                        <w:left w:val="none" w:sz="0" w:space="0" w:color="auto"/>
                        <w:bottom w:val="none" w:sz="0" w:space="0" w:color="auto"/>
                        <w:right w:val="none" w:sz="0" w:space="0" w:color="auto"/>
                      </w:divBdr>
                    </w:div>
                  </w:divsChild>
                </w:div>
                <w:div w:id="1399330030">
                  <w:marLeft w:val="0"/>
                  <w:marRight w:val="0"/>
                  <w:marTop w:val="0"/>
                  <w:marBottom w:val="0"/>
                  <w:divBdr>
                    <w:top w:val="none" w:sz="0" w:space="0" w:color="auto"/>
                    <w:left w:val="none" w:sz="0" w:space="0" w:color="auto"/>
                    <w:bottom w:val="none" w:sz="0" w:space="0" w:color="auto"/>
                    <w:right w:val="none" w:sz="0" w:space="0" w:color="auto"/>
                  </w:divBdr>
                  <w:divsChild>
                    <w:div w:id="1929267748">
                      <w:marLeft w:val="0"/>
                      <w:marRight w:val="0"/>
                      <w:marTop w:val="0"/>
                      <w:marBottom w:val="0"/>
                      <w:divBdr>
                        <w:top w:val="none" w:sz="0" w:space="0" w:color="auto"/>
                        <w:left w:val="none" w:sz="0" w:space="0" w:color="auto"/>
                        <w:bottom w:val="none" w:sz="0" w:space="0" w:color="auto"/>
                        <w:right w:val="none" w:sz="0" w:space="0" w:color="auto"/>
                      </w:divBdr>
                    </w:div>
                  </w:divsChild>
                </w:div>
                <w:div w:id="182481251">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0"/>
                      <w:divBdr>
                        <w:top w:val="none" w:sz="0" w:space="0" w:color="auto"/>
                        <w:left w:val="none" w:sz="0" w:space="0" w:color="auto"/>
                        <w:bottom w:val="none" w:sz="0" w:space="0" w:color="auto"/>
                        <w:right w:val="none" w:sz="0" w:space="0" w:color="auto"/>
                      </w:divBdr>
                    </w:div>
                  </w:divsChild>
                </w:div>
                <w:div w:id="468208234">
                  <w:marLeft w:val="0"/>
                  <w:marRight w:val="0"/>
                  <w:marTop w:val="0"/>
                  <w:marBottom w:val="0"/>
                  <w:divBdr>
                    <w:top w:val="none" w:sz="0" w:space="0" w:color="auto"/>
                    <w:left w:val="none" w:sz="0" w:space="0" w:color="auto"/>
                    <w:bottom w:val="none" w:sz="0" w:space="0" w:color="auto"/>
                    <w:right w:val="none" w:sz="0" w:space="0" w:color="auto"/>
                  </w:divBdr>
                  <w:divsChild>
                    <w:div w:id="2080320919">
                      <w:marLeft w:val="0"/>
                      <w:marRight w:val="0"/>
                      <w:marTop w:val="0"/>
                      <w:marBottom w:val="0"/>
                      <w:divBdr>
                        <w:top w:val="none" w:sz="0" w:space="0" w:color="auto"/>
                        <w:left w:val="none" w:sz="0" w:space="0" w:color="auto"/>
                        <w:bottom w:val="none" w:sz="0" w:space="0" w:color="auto"/>
                        <w:right w:val="none" w:sz="0" w:space="0" w:color="auto"/>
                      </w:divBdr>
                    </w:div>
                  </w:divsChild>
                </w:div>
                <w:div w:id="196088482">
                  <w:marLeft w:val="0"/>
                  <w:marRight w:val="0"/>
                  <w:marTop w:val="0"/>
                  <w:marBottom w:val="0"/>
                  <w:divBdr>
                    <w:top w:val="none" w:sz="0" w:space="0" w:color="auto"/>
                    <w:left w:val="none" w:sz="0" w:space="0" w:color="auto"/>
                    <w:bottom w:val="none" w:sz="0" w:space="0" w:color="auto"/>
                    <w:right w:val="none" w:sz="0" w:space="0" w:color="auto"/>
                  </w:divBdr>
                  <w:divsChild>
                    <w:div w:id="1355958418">
                      <w:marLeft w:val="0"/>
                      <w:marRight w:val="0"/>
                      <w:marTop w:val="0"/>
                      <w:marBottom w:val="0"/>
                      <w:divBdr>
                        <w:top w:val="none" w:sz="0" w:space="0" w:color="auto"/>
                        <w:left w:val="none" w:sz="0" w:space="0" w:color="auto"/>
                        <w:bottom w:val="none" w:sz="0" w:space="0" w:color="auto"/>
                        <w:right w:val="none" w:sz="0" w:space="0" w:color="auto"/>
                      </w:divBdr>
                    </w:div>
                    <w:div w:id="681512136">
                      <w:marLeft w:val="0"/>
                      <w:marRight w:val="0"/>
                      <w:marTop w:val="0"/>
                      <w:marBottom w:val="0"/>
                      <w:divBdr>
                        <w:top w:val="none" w:sz="0" w:space="0" w:color="auto"/>
                        <w:left w:val="none" w:sz="0" w:space="0" w:color="auto"/>
                        <w:bottom w:val="none" w:sz="0" w:space="0" w:color="auto"/>
                        <w:right w:val="none" w:sz="0" w:space="0" w:color="auto"/>
                      </w:divBdr>
                    </w:div>
                    <w:div w:id="1372075002">
                      <w:marLeft w:val="0"/>
                      <w:marRight w:val="0"/>
                      <w:marTop w:val="0"/>
                      <w:marBottom w:val="0"/>
                      <w:divBdr>
                        <w:top w:val="none" w:sz="0" w:space="0" w:color="auto"/>
                        <w:left w:val="none" w:sz="0" w:space="0" w:color="auto"/>
                        <w:bottom w:val="none" w:sz="0" w:space="0" w:color="auto"/>
                        <w:right w:val="none" w:sz="0" w:space="0" w:color="auto"/>
                      </w:divBdr>
                    </w:div>
                  </w:divsChild>
                </w:div>
                <w:div w:id="1579024980">
                  <w:marLeft w:val="0"/>
                  <w:marRight w:val="0"/>
                  <w:marTop w:val="0"/>
                  <w:marBottom w:val="0"/>
                  <w:divBdr>
                    <w:top w:val="none" w:sz="0" w:space="0" w:color="auto"/>
                    <w:left w:val="none" w:sz="0" w:space="0" w:color="auto"/>
                    <w:bottom w:val="none" w:sz="0" w:space="0" w:color="auto"/>
                    <w:right w:val="none" w:sz="0" w:space="0" w:color="auto"/>
                  </w:divBdr>
                  <w:divsChild>
                    <w:div w:id="1802724352">
                      <w:marLeft w:val="0"/>
                      <w:marRight w:val="0"/>
                      <w:marTop w:val="0"/>
                      <w:marBottom w:val="0"/>
                      <w:divBdr>
                        <w:top w:val="none" w:sz="0" w:space="0" w:color="auto"/>
                        <w:left w:val="none" w:sz="0" w:space="0" w:color="auto"/>
                        <w:bottom w:val="none" w:sz="0" w:space="0" w:color="auto"/>
                        <w:right w:val="none" w:sz="0" w:space="0" w:color="auto"/>
                      </w:divBdr>
                    </w:div>
                    <w:div w:id="198903197">
                      <w:marLeft w:val="0"/>
                      <w:marRight w:val="0"/>
                      <w:marTop w:val="0"/>
                      <w:marBottom w:val="0"/>
                      <w:divBdr>
                        <w:top w:val="none" w:sz="0" w:space="0" w:color="auto"/>
                        <w:left w:val="none" w:sz="0" w:space="0" w:color="auto"/>
                        <w:bottom w:val="none" w:sz="0" w:space="0" w:color="auto"/>
                        <w:right w:val="none" w:sz="0" w:space="0" w:color="auto"/>
                      </w:divBdr>
                    </w:div>
                  </w:divsChild>
                </w:div>
                <w:div w:id="1322394771">
                  <w:marLeft w:val="0"/>
                  <w:marRight w:val="0"/>
                  <w:marTop w:val="0"/>
                  <w:marBottom w:val="0"/>
                  <w:divBdr>
                    <w:top w:val="none" w:sz="0" w:space="0" w:color="auto"/>
                    <w:left w:val="none" w:sz="0" w:space="0" w:color="auto"/>
                    <w:bottom w:val="none" w:sz="0" w:space="0" w:color="auto"/>
                    <w:right w:val="none" w:sz="0" w:space="0" w:color="auto"/>
                  </w:divBdr>
                  <w:divsChild>
                    <w:div w:id="1173496690">
                      <w:marLeft w:val="0"/>
                      <w:marRight w:val="0"/>
                      <w:marTop w:val="0"/>
                      <w:marBottom w:val="0"/>
                      <w:divBdr>
                        <w:top w:val="none" w:sz="0" w:space="0" w:color="auto"/>
                        <w:left w:val="none" w:sz="0" w:space="0" w:color="auto"/>
                        <w:bottom w:val="none" w:sz="0" w:space="0" w:color="auto"/>
                        <w:right w:val="none" w:sz="0" w:space="0" w:color="auto"/>
                      </w:divBdr>
                    </w:div>
                  </w:divsChild>
                </w:div>
                <w:div w:id="1642031536">
                  <w:marLeft w:val="0"/>
                  <w:marRight w:val="0"/>
                  <w:marTop w:val="0"/>
                  <w:marBottom w:val="0"/>
                  <w:divBdr>
                    <w:top w:val="none" w:sz="0" w:space="0" w:color="auto"/>
                    <w:left w:val="none" w:sz="0" w:space="0" w:color="auto"/>
                    <w:bottom w:val="none" w:sz="0" w:space="0" w:color="auto"/>
                    <w:right w:val="none" w:sz="0" w:space="0" w:color="auto"/>
                  </w:divBdr>
                  <w:divsChild>
                    <w:div w:id="673726171">
                      <w:marLeft w:val="0"/>
                      <w:marRight w:val="0"/>
                      <w:marTop w:val="0"/>
                      <w:marBottom w:val="0"/>
                      <w:divBdr>
                        <w:top w:val="none" w:sz="0" w:space="0" w:color="auto"/>
                        <w:left w:val="none" w:sz="0" w:space="0" w:color="auto"/>
                        <w:bottom w:val="none" w:sz="0" w:space="0" w:color="auto"/>
                        <w:right w:val="none" w:sz="0" w:space="0" w:color="auto"/>
                      </w:divBdr>
                    </w:div>
                  </w:divsChild>
                </w:div>
                <w:div w:id="1774323800">
                  <w:marLeft w:val="0"/>
                  <w:marRight w:val="0"/>
                  <w:marTop w:val="0"/>
                  <w:marBottom w:val="0"/>
                  <w:divBdr>
                    <w:top w:val="none" w:sz="0" w:space="0" w:color="auto"/>
                    <w:left w:val="none" w:sz="0" w:space="0" w:color="auto"/>
                    <w:bottom w:val="none" w:sz="0" w:space="0" w:color="auto"/>
                    <w:right w:val="none" w:sz="0" w:space="0" w:color="auto"/>
                  </w:divBdr>
                  <w:divsChild>
                    <w:div w:id="948509714">
                      <w:marLeft w:val="0"/>
                      <w:marRight w:val="0"/>
                      <w:marTop w:val="0"/>
                      <w:marBottom w:val="0"/>
                      <w:divBdr>
                        <w:top w:val="none" w:sz="0" w:space="0" w:color="auto"/>
                        <w:left w:val="none" w:sz="0" w:space="0" w:color="auto"/>
                        <w:bottom w:val="none" w:sz="0" w:space="0" w:color="auto"/>
                        <w:right w:val="none" w:sz="0" w:space="0" w:color="auto"/>
                      </w:divBdr>
                    </w:div>
                  </w:divsChild>
                </w:div>
                <w:div w:id="1065182794">
                  <w:marLeft w:val="0"/>
                  <w:marRight w:val="0"/>
                  <w:marTop w:val="0"/>
                  <w:marBottom w:val="0"/>
                  <w:divBdr>
                    <w:top w:val="none" w:sz="0" w:space="0" w:color="auto"/>
                    <w:left w:val="none" w:sz="0" w:space="0" w:color="auto"/>
                    <w:bottom w:val="none" w:sz="0" w:space="0" w:color="auto"/>
                    <w:right w:val="none" w:sz="0" w:space="0" w:color="auto"/>
                  </w:divBdr>
                  <w:divsChild>
                    <w:div w:id="872425116">
                      <w:marLeft w:val="0"/>
                      <w:marRight w:val="0"/>
                      <w:marTop w:val="0"/>
                      <w:marBottom w:val="0"/>
                      <w:divBdr>
                        <w:top w:val="none" w:sz="0" w:space="0" w:color="auto"/>
                        <w:left w:val="none" w:sz="0" w:space="0" w:color="auto"/>
                        <w:bottom w:val="none" w:sz="0" w:space="0" w:color="auto"/>
                        <w:right w:val="none" w:sz="0" w:space="0" w:color="auto"/>
                      </w:divBdr>
                    </w:div>
                  </w:divsChild>
                </w:div>
                <w:div w:id="1286081994">
                  <w:marLeft w:val="0"/>
                  <w:marRight w:val="0"/>
                  <w:marTop w:val="0"/>
                  <w:marBottom w:val="0"/>
                  <w:divBdr>
                    <w:top w:val="none" w:sz="0" w:space="0" w:color="auto"/>
                    <w:left w:val="none" w:sz="0" w:space="0" w:color="auto"/>
                    <w:bottom w:val="none" w:sz="0" w:space="0" w:color="auto"/>
                    <w:right w:val="none" w:sz="0" w:space="0" w:color="auto"/>
                  </w:divBdr>
                  <w:divsChild>
                    <w:div w:id="1445033197">
                      <w:marLeft w:val="0"/>
                      <w:marRight w:val="0"/>
                      <w:marTop w:val="0"/>
                      <w:marBottom w:val="0"/>
                      <w:divBdr>
                        <w:top w:val="none" w:sz="0" w:space="0" w:color="auto"/>
                        <w:left w:val="none" w:sz="0" w:space="0" w:color="auto"/>
                        <w:bottom w:val="none" w:sz="0" w:space="0" w:color="auto"/>
                        <w:right w:val="none" w:sz="0" w:space="0" w:color="auto"/>
                      </w:divBdr>
                    </w:div>
                  </w:divsChild>
                </w:div>
                <w:div w:id="920986616">
                  <w:marLeft w:val="0"/>
                  <w:marRight w:val="0"/>
                  <w:marTop w:val="0"/>
                  <w:marBottom w:val="0"/>
                  <w:divBdr>
                    <w:top w:val="none" w:sz="0" w:space="0" w:color="auto"/>
                    <w:left w:val="none" w:sz="0" w:space="0" w:color="auto"/>
                    <w:bottom w:val="none" w:sz="0" w:space="0" w:color="auto"/>
                    <w:right w:val="none" w:sz="0" w:space="0" w:color="auto"/>
                  </w:divBdr>
                  <w:divsChild>
                    <w:div w:id="451674514">
                      <w:marLeft w:val="0"/>
                      <w:marRight w:val="0"/>
                      <w:marTop w:val="0"/>
                      <w:marBottom w:val="0"/>
                      <w:divBdr>
                        <w:top w:val="none" w:sz="0" w:space="0" w:color="auto"/>
                        <w:left w:val="none" w:sz="0" w:space="0" w:color="auto"/>
                        <w:bottom w:val="none" w:sz="0" w:space="0" w:color="auto"/>
                        <w:right w:val="none" w:sz="0" w:space="0" w:color="auto"/>
                      </w:divBdr>
                    </w:div>
                  </w:divsChild>
                </w:div>
                <w:div w:id="908147833">
                  <w:marLeft w:val="0"/>
                  <w:marRight w:val="0"/>
                  <w:marTop w:val="0"/>
                  <w:marBottom w:val="0"/>
                  <w:divBdr>
                    <w:top w:val="none" w:sz="0" w:space="0" w:color="auto"/>
                    <w:left w:val="none" w:sz="0" w:space="0" w:color="auto"/>
                    <w:bottom w:val="none" w:sz="0" w:space="0" w:color="auto"/>
                    <w:right w:val="none" w:sz="0" w:space="0" w:color="auto"/>
                  </w:divBdr>
                  <w:divsChild>
                    <w:div w:id="1885411491">
                      <w:marLeft w:val="0"/>
                      <w:marRight w:val="0"/>
                      <w:marTop w:val="0"/>
                      <w:marBottom w:val="0"/>
                      <w:divBdr>
                        <w:top w:val="none" w:sz="0" w:space="0" w:color="auto"/>
                        <w:left w:val="none" w:sz="0" w:space="0" w:color="auto"/>
                        <w:bottom w:val="none" w:sz="0" w:space="0" w:color="auto"/>
                        <w:right w:val="none" w:sz="0" w:space="0" w:color="auto"/>
                      </w:divBdr>
                    </w:div>
                  </w:divsChild>
                </w:div>
                <w:div w:id="1596985737">
                  <w:marLeft w:val="0"/>
                  <w:marRight w:val="0"/>
                  <w:marTop w:val="0"/>
                  <w:marBottom w:val="0"/>
                  <w:divBdr>
                    <w:top w:val="none" w:sz="0" w:space="0" w:color="auto"/>
                    <w:left w:val="none" w:sz="0" w:space="0" w:color="auto"/>
                    <w:bottom w:val="none" w:sz="0" w:space="0" w:color="auto"/>
                    <w:right w:val="none" w:sz="0" w:space="0" w:color="auto"/>
                  </w:divBdr>
                  <w:divsChild>
                    <w:div w:id="13654371">
                      <w:marLeft w:val="0"/>
                      <w:marRight w:val="0"/>
                      <w:marTop w:val="0"/>
                      <w:marBottom w:val="0"/>
                      <w:divBdr>
                        <w:top w:val="none" w:sz="0" w:space="0" w:color="auto"/>
                        <w:left w:val="none" w:sz="0" w:space="0" w:color="auto"/>
                        <w:bottom w:val="none" w:sz="0" w:space="0" w:color="auto"/>
                        <w:right w:val="none" w:sz="0" w:space="0" w:color="auto"/>
                      </w:divBdr>
                    </w:div>
                  </w:divsChild>
                </w:div>
                <w:div w:id="184683104">
                  <w:marLeft w:val="0"/>
                  <w:marRight w:val="0"/>
                  <w:marTop w:val="0"/>
                  <w:marBottom w:val="0"/>
                  <w:divBdr>
                    <w:top w:val="none" w:sz="0" w:space="0" w:color="auto"/>
                    <w:left w:val="none" w:sz="0" w:space="0" w:color="auto"/>
                    <w:bottom w:val="none" w:sz="0" w:space="0" w:color="auto"/>
                    <w:right w:val="none" w:sz="0" w:space="0" w:color="auto"/>
                  </w:divBdr>
                  <w:divsChild>
                    <w:div w:id="1257010638">
                      <w:marLeft w:val="0"/>
                      <w:marRight w:val="0"/>
                      <w:marTop w:val="0"/>
                      <w:marBottom w:val="0"/>
                      <w:divBdr>
                        <w:top w:val="none" w:sz="0" w:space="0" w:color="auto"/>
                        <w:left w:val="none" w:sz="0" w:space="0" w:color="auto"/>
                        <w:bottom w:val="none" w:sz="0" w:space="0" w:color="auto"/>
                        <w:right w:val="none" w:sz="0" w:space="0" w:color="auto"/>
                      </w:divBdr>
                    </w:div>
                  </w:divsChild>
                </w:div>
                <w:div w:id="1680960901">
                  <w:marLeft w:val="0"/>
                  <w:marRight w:val="0"/>
                  <w:marTop w:val="0"/>
                  <w:marBottom w:val="0"/>
                  <w:divBdr>
                    <w:top w:val="none" w:sz="0" w:space="0" w:color="auto"/>
                    <w:left w:val="none" w:sz="0" w:space="0" w:color="auto"/>
                    <w:bottom w:val="none" w:sz="0" w:space="0" w:color="auto"/>
                    <w:right w:val="none" w:sz="0" w:space="0" w:color="auto"/>
                  </w:divBdr>
                  <w:divsChild>
                    <w:div w:id="23139369">
                      <w:marLeft w:val="0"/>
                      <w:marRight w:val="0"/>
                      <w:marTop w:val="0"/>
                      <w:marBottom w:val="0"/>
                      <w:divBdr>
                        <w:top w:val="none" w:sz="0" w:space="0" w:color="auto"/>
                        <w:left w:val="none" w:sz="0" w:space="0" w:color="auto"/>
                        <w:bottom w:val="none" w:sz="0" w:space="0" w:color="auto"/>
                        <w:right w:val="none" w:sz="0" w:space="0" w:color="auto"/>
                      </w:divBdr>
                    </w:div>
                  </w:divsChild>
                </w:div>
                <w:div w:id="1215703631">
                  <w:marLeft w:val="0"/>
                  <w:marRight w:val="0"/>
                  <w:marTop w:val="0"/>
                  <w:marBottom w:val="0"/>
                  <w:divBdr>
                    <w:top w:val="none" w:sz="0" w:space="0" w:color="auto"/>
                    <w:left w:val="none" w:sz="0" w:space="0" w:color="auto"/>
                    <w:bottom w:val="none" w:sz="0" w:space="0" w:color="auto"/>
                    <w:right w:val="none" w:sz="0" w:space="0" w:color="auto"/>
                  </w:divBdr>
                  <w:divsChild>
                    <w:div w:id="839808217">
                      <w:marLeft w:val="0"/>
                      <w:marRight w:val="0"/>
                      <w:marTop w:val="0"/>
                      <w:marBottom w:val="0"/>
                      <w:divBdr>
                        <w:top w:val="none" w:sz="0" w:space="0" w:color="auto"/>
                        <w:left w:val="none" w:sz="0" w:space="0" w:color="auto"/>
                        <w:bottom w:val="none" w:sz="0" w:space="0" w:color="auto"/>
                        <w:right w:val="none" w:sz="0" w:space="0" w:color="auto"/>
                      </w:divBdr>
                    </w:div>
                  </w:divsChild>
                </w:div>
                <w:div w:id="527641845">
                  <w:marLeft w:val="0"/>
                  <w:marRight w:val="0"/>
                  <w:marTop w:val="0"/>
                  <w:marBottom w:val="0"/>
                  <w:divBdr>
                    <w:top w:val="none" w:sz="0" w:space="0" w:color="auto"/>
                    <w:left w:val="none" w:sz="0" w:space="0" w:color="auto"/>
                    <w:bottom w:val="none" w:sz="0" w:space="0" w:color="auto"/>
                    <w:right w:val="none" w:sz="0" w:space="0" w:color="auto"/>
                  </w:divBdr>
                  <w:divsChild>
                    <w:div w:id="7619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35135">
          <w:marLeft w:val="0"/>
          <w:marRight w:val="0"/>
          <w:marTop w:val="0"/>
          <w:marBottom w:val="0"/>
          <w:divBdr>
            <w:top w:val="none" w:sz="0" w:space="0" w:color="auto"/>
            <w:left w:val="none" w:sz="0" w:space="0" w:color="auto"/>
            <w:bottom w:val="none" w:sz="0" w:space="0" w:color="auto"/>
            <w:right w:val="none" w:sz="0" w:space="0" w:color="auto"/>
          </w:divBdr>
        </w:div>
        <w:div w:id="20854927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devtracker.fcdo.gov.uk/projects/GB-GOV-7-BPFOCPP/summary"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tracker.fcdo.gov.uk/projects/GB-GOV-7-BPFOCPP/summary"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A191E-E683-4872-BACF-DA07DE7D6AEC}" type="doc">
      <dgm:prSet loTypeId="urn:microsoft.com/office/officeart/2005/8/layout/chevron1" loCatId="process" qsTypeId="urn:microsoft.com/office/officeart/2005/8/quickstyle/simple1" qsCatId="simple" csTypeId="urn:microsoft.com/office/officeart/2005/8/colors/accent1_2" csCatId="accent1" phldr="1"/>
      <dgm:spPr/>
    </dgm:pt>
    <dgm:pt modelId="{459E5146-CF36-45A7-BF4D-EA6B49920B48}">
      <dgm:prSet phldrT="[Text]" custT="1"/>
      <dgm:spPr/>
      <dgm:t>
        <a:bodyPr/>
        <a:lstStyle/>
        <a:p>
          <a:r>
            <a:rPr lang="en-GB" sz="1200"/>
            <a:t>During active partnership</a:t>
          </a:r>
        </a:p>
      </dgm:t>
    </dgm:pt>
    <dgm:pt modelId="{B7B0B4E0-D374-4EF6-9145-A7EE1FD4AC69}" type="parTrans" cxnId="{B08D3D7C-8ECF-45F3-AE08-26A7E00B6D10}">
      <dgm:prSet/>
      <dgm:spPr/>
      <dgm:t>
        <a:bodyPr/>
        <a:lstStyle/>
        <a:p>
          <a:endParaRPr lang="en-GB" sz="1200"/>
        </a:p>
      </dgm:t>
    </dgm:pt>
    <dgm:pt modelId="{8D0B8826-8CB7-487E-9264-12D461DFAC43}" type="sibTrans" cxnId="{B08D3D7C-8ECF-45F3-AE08-26A7E00B6D10}">
      <dgm:prSet/>
      <dgm:spPr/>
      <dgm:t>
        <a:bodyPr/>
        <a:lstStyle/>
        <a:p>
          <a:endParaRPr lang="en-GB" sz="1200"/>
        </a:p>
      </dgm:t>
    </dgm:pt>
    <dgm:pt modelId="{BCFB7A0C-5786-4553-905B-268202154CDC}">
      <dgm:prSet phldrT="[Text]" custT="1"/>
      <dgm:spPr/>
      <dgm:t>
        <a:bodyPr/>
        <a:lstStyle/>
        <a:p>
          <a:pPr algn="l"/>
          <a:r>
            <a:rPr lang="en-GB" sz="1200"/>
            <a:t>Two years post-active partnership</a:t>
          </a:r>
        </a:p>
      </dgm:t>
    </dgm:pt>
    <dgm:pt modelId="{DEF00B94-8B1F-4224-95EA-9704D48EB468}" type="parTrans" cxnId="{E367C842-D52E-4639-97C1-363AC5712787}">
      <dgm:prSet/>
      <dgm:spPr/>
      <dgm:t>
        <a:bodyPr/>
        <a:lstStyle/>
        <a:p>
          <a:endParaRPr lang="en-GB" sz="1200"/>
        </a:p>
      </dgm:t>
    </dgm:pt>
    <dgm:pt modelId="{8701D695-3E53-4039-877A-AAE0341917A8}" type="sibTrans" cxnId="{E367C842-D52E-4639-97C1-363AC5712787}">
      <dgm:prSet/>
      <dgm:spPr/>
      <dgm:t>
        <a:bodyPr/>
        <a:lstStyle/>
        <a:p>
          <a:endParaRPr lang="en-GB" sz="1200"/>
        </a:p>
      </dgm:t>
    </dgm:pt>
    <dgm:pt modelId="{CDE798DB-C87F-40CC-9BC6-9AF0A36302CC}">
      <dgm:prSet phldrT="[Text]" custT="1"/>
      <dgm:spPr/>
      <dgm:t>
        <a:bodyPr/>
        <a:lstStyle/>
        <a:p>
          <a:r>
            <a:rPr lang="en-GB" sz="1200"/>
            <a:t>Five years post-active partnership</a:t>
          </a:r>
        </a:p>
      </dgm:t>
    </dgm:pt>
    <dgm:pt modelId="{B63865CE-C1A0-4B8B-B60D-B83D3C02FB46}" type="parTrans" cxnId="{FDD564D8-EDB5-4CD1-9D8C-1A3A3B668247}">
      <dgm:prSet/>
      <dgm:spPr/>
      <dgm:t>
        <a:bodyPr/>
        <a:lstStyle/>
        <a:p>
          <a:endParaRPr lang="en-GB" sz="1200"/>
        </a:p>
      </dgm:t>
    </dgm:pt>
    <dgm:pt modelId="{BEE013BE-26AB-448D-A91C-95D910779FA2}" type="sibTrans" cxnId="{FDD564D8-EDB5-4CD1-9D8C-1A3A3B668247}">
      <dgm:prSet/>
      <dgm:spPr/>
      <dgm:t>
        <a:bodyPr/>
        <a:lstStyle/>
        <a:p>
          <a:endParaRPr lang="en-GB" sz="1200"/>
        </a:p>
      </dgm:t>
    </dgm:pt>
    <dgm:pt modelId="{543B3280-7075-4C3F-953F-2718E11610F0}" type="pres">
      <dgm:prSet presAssocID="{861A191E-E683-4872-BACF-DA07DE7D6AEC}" presName="Name0" presStyleCnt="0">
        <dgm:presLayoutVars>
          <dgm:dir/>
          <dgm:animLvl val="lvl"/>
          <dgm:resizeHandles val="exact"/>
        </dgm:presLayoutVars>
      </dgm:prSet>
      <dgm:spPr/>
    </dgm:pt>
    <dgm:pt modelId="{F7C42706-ED26-4DA0-A07A-661388EFDE6B}" type="pres">
      <dgm:prSet presAssocID="{459E5146-CF36-45A7-BF4D-EA6B49920B48}" presName="parTxOnly" presStyleLbl="node1" presStyleIdx="0" presStyleCnt="3" custScaleX="84466">
        <dgm:presLayoutVars>
          <dgm:chMax val="0"/>
          <dgm:chPref val="0"/>
          <dgm:bulletEnabled val="1"/>
        </dgm:presLayoutVars>
      </dgm:prSet>
      <dgm:spPr/>
    </dgm:pt>
    <dgm:pt modelId="{E5AE4F59-6616-4141-9F04-E4543AB1E655}" type="pres">
      <dgm:prSet presAssocID="{8D0B8826-8CB7-487E-9264-12D461DFAC43}" presName="parTxOnlySpace" presStyleCnt="0"/>
      <dgm:spPr/>
    </dgm:pt>
    <dgm:pt modelId="{FE978E4D-3AFD-479F-B87F-71A247788266}" type="pres">
      <dgm:prSet presAssocID="{BCFB7A0C-5786-4553-905B-268202154CDC}" presName="parTxOnly" presStyleLbl="node1" presStyleIdx="1" presStyleCnt="3" custScaleX="65991" custLinFactNeighborX="53313" custLinFactNeighborY="3804">
        <dgm:presLayoutVars>
          <dgm:chMax val="0"/>
          <dgm:chPref val="0"/>
          <dgm:bulletEnabled val="1"/>
        </dgm:presLayoutVars>
      </dgm:prSet>
      <dgm:spPr/>
    </dgm:pt>
    <dgm:pt modelId="{A214EEFC-E066-4A15-ADE5-0813241EB727}" type="pres">
      <dgm:prSet presAssocID="{8701D695-3E53-4039-877A-AAE0341917A8}" presName="parTxOnlySpace" presStyleCnt="0"/>
      <dgm:spPr/>
    </dgm:pt>
    <dgm:pt modelId="{C27BB30D-FD14-49E5-BF81-162EA96433C0}" type="pres">
      <dgm:prSet presAssocID="{CDE798DB-C87F-40CC-9BC6-9AF0A36302CC}" presName="parTxOnly" presStyleLbl="node1" presStyleIdx="2" presStyleCnt="3" custScaleX="57695">
        <dgm:presLayoutVars>
          <dgm:chMax val="0"/>
          <dgm:chPref val="0"/>
          <dgm:bulletEnabled val="1"/>
        </dgm:presLayoutVars>
      </dgm:prSet>
      <dgm:spPr/>
    </dgm:pt>
  </dgm:ptLst>
  <dgm:cxnLst>
    <dgm:cxn modelId="{85A0882D-9904-468B-A743-D9823BE8D8E3}" type="presOf" srcId="{CDE798DB-C87F-40CC-9BC6-9AF0A36302CC}" destId="{C27BB30D-FD14-49E5-BF81-162EA96433C0}" srcOrd="0" destOrd="0" presId="urn:microsoft.com/office/officeart/2005/8/layout/chevron1"/>
    <dgm:cxn modelId="{357ADA3D-E921-4D6C-B6E0-FEB19DA9804B}" type="presOf" srcId="{BCFB7A0C-5786-4553-905B-268202154CDC}" destId="{FE978E4D-3AFD-479F-B87F-71A247788266}" srcOrd="0" destOrd="0" presId="urn:microsoft.com/office/officeart/2005/8/layout/chevron1"/>
    <dgm:cxn modelId="{E367C842-D52E-4639-97C1-363AC5712787}" srcId="{861A191E-E683-4872-BACF-DA07DE7D6AEC}" destId="{BCFB7A0C-5786-4553-905B-268202154CDC}" srcOrd="1" destOrd="0" parTransId="{DEF00B94-8B1F-4224-95EA-9704D48EB468}" sibTransId="{8701D695-3E53-4039-877A-AAE0341917A8}"/>
    <dgm:cxn modelId="{392C4B47-6A10-441F-97D1-860A98BC78C1}" type="presOf" srcId="{861A191E-E683-4872-BACF-DA07DE7D6AEC}" destId="{543B3280-7075-4C3F-953F-2718E11610F0}" srcOrd="0" destOrd="0" presId="urn:microsoft.com/office/officeart/2005/8/layout/chevron1"/>
    <dgm:cxn modelId="{B08D3D7C-8ECF-45F3-AE08-26A7E00B6D10}" srcId="{861A191E-E683-4872-BACF-DA07DE7D6AEC}" destId="{459E5146-CF36-45A7-BF4D-EA6B49920B48}" srcOrd="0" destOrd="0" parTransId="{B7B0B4E0-D374-4EF6-9145-A7EE1FD4AC69}" sibTransId="{8D0B8826-8CB7-487E-9264-12D461DFAC43}"/>
    <dgm:cxn modelId="{EAB0D684-16ED-4FC9-B298-1F41639CAE0D}" type="presOf" srcId="{459E5146-CF36-45A7-BF4D-EA6B49920B48}" destId="{F7C42706-ED26-4DA0-A07A-661388EFDE6B}" srcOrd="0" destOrd="0" presId="urn:microsoft.com/office/officeart/2005/8/layout/chevron1"/>
    <dgm:cxn modelId="{FDD564D8-EDB5-4CD1-9D8C-1A3A3B668247}" srcId="{861A191E-E683-4872-BACF-DA07DE7D6AEC}" destId="{CDE798DB-C87F-40CC-9BC6-9AF0A36302CC}" srcOrd="2" destOrd="0" parTransId="{B63865CE-C1A0-4B8B-B60D-B83D3C02FB46}" sibTransId="{BEE013BE-26AB-448D-A91C-95D910779FA2}"/>
    <dgm:cxn modelId="{C7A16EE8-CCFE-474F-9BD3-A4B4A65753AB}" type="presParOf" srcId="{543B3280-7075-4C3F-953F-2718E11610F0}" destId="{F7C42706-ED26-4DA0-A07A-661388EFDE6B}" srcOrd="0" destOrd="0" presId="urn:microsoft.com/office/officeart/2005/8/layout/chevron1"/>
    <dgm:cxn modelId="{0C2F5C57-498B-4241-AA48-FED64773F785}" type="presParOf" srcId="{543B3280-7075-4C3F-953F-2718E11610F0}" destId="{E5AE4F59-6616-4141-9F04-E4543AB1E655}" srcOrd="1" destOrd="0" presId="urn:microsoft.com/office/officeart/2005/8/layout/chevron1"/>
    <dgm:cxn modelId="{9BE23EDF-F561-4F9B-943B-E43631091E40}" type="presParOf" srcId="{543B3280-7075-4C3F-953F-2718E11610F0}" destId="{FE978E4D-3AFD-479F-B87F-71A247788266}" srcOrd="2" destOrd="0" presId="urn:microsoft.com/office/officeart/2005/8/layout/chevron1"/>
    <dgm:cxn modelId="{7B25288D-3136-450D-ACD9-60C510103B78}" type="presParOf" srcId="{543B3280-7075-4C3F-953F-2718E11610F0}" destId="{A214EEFC-E066-4A15-ADE5-0813241EB727}" srcOrd="3" destOrd="0" presId="urn:microsoft.com/office/officeart/2005/8/layout/chevron1"/>
    <dgm:cxn modelId="{85187AF6-7C0A-4FE0-BD8D-A52D671CA245}" type="presParOf" srcId="{543B3280-7075-4C3F-953F-2718E11610F0}" destId="{C27BB30D-FD14-49E5-BF81-162EA96433C0}"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42706-ED26-4DA0-A07A-661388EFDE6B}">
      <dsp:nvSpPr>
        <dsp:cNvPr id="0" name=""/>
        <dsp:cNvSpPr/>
      </dsp:nvSpPr>
      <dsp:spPr>
        <a:xfrm>
          <a:off x="2261" y="0"/>
          <a:ext cx="4587243" cy="3857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t>During active partnership</a:t>
          </a:r>
        </a:p>
      </dsp:txBody>
      <dsp:txXfrm>
        <a:off x="195147" y="0"/>
        <a:ext cx="4201471" cy="385772"/>
      </dsp:txXfrm>
    </dsp:sp>
    <dsp:sp modelId="{FE978E4D-3AFD-479F-B87F-71A247788266}">
      <dsp:nvSpPr>
        <dsp:cNvPr id="0" name=""/>
        <dsp:cNvSpPr/>
      </dsp:nvSpPr>
      <dsp:spPr>
        <a:xfrm>
          <a:off x="4335954" y="0"/>
          <a:ext cx="3583889" cy="3857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l" defTabSz="533400">
            <a:lnSpc>
              <a:spcPct val="90000"/>
            </a:lnSpc>
            <a:spcBef>
              <a:spcPct val="0"/>
            </a:spcBef>
            <a:spcAft>
              <a:spcPct val="35000"/>
            </a:spcAft>
            <a:buNone/>
          </a:pPr>
          <a:r>
            <a:rPr lang="en-GB" sz="1200" kern="1200"/>
            <a:t>Two years post-active partnership</a:t>
          </a:r>
        </a:p>
      </dsp:txBody>
      <dsp:txXfrm>
        <a:off x="4528840" y="0"/>
        <a:ext cx="3198117" cy="385772"/>
      </dsp:txXfrm>
    </dsp:sp>
    <dsp:sp modelId="{C27BB30D-FD14-49E5-BF81-162EA96433C0}">
      <dsp:nvSpPr>
        <dsp:cNvPr id="0" name=""/>
        <dsp:cNvSpPr/>
      </dsp:nvSpPr>
      <dsp:spPr>
        <a:xfrm>
          <a:off x="7087219" y="0"/>
          <a:ext cx="3133343" cy="38577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t>Five years post-active partnership</a:t>
          </a:r>
        </a:p>
      </dsp:txBody>
      <dsp:txXfrm>
        <a:off x="7280105" y="0"/>
        <a:ext cx="2747571" cy="3857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International_Blue_Finance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Marine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b13ba871-742c-4918-997e-010f5a8d91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058C510DC0EC04B89C7292E1DAEB953" ma:contentTypeVersion="20" ma:contentTypeDescription="Create a new document." ma:contentTypeScope="" ma:versionID="b2f7a5d545979b2d87897e72f58423c0">
  <xsd:schema xmlns:xsd="http://www.w3.org/2001/XMLSchema" xmlns:xs="http://www.w3.org/2001/XMLSchema" xmlns:p="http://schemas.microsoft.com/office/2006/metadata/properties" xmlns:ns2="662745e8-e224-48e8-a2e3-254862b8c2f5" xmlns:ns3="b13ba871-742c-4918-997e-010f5a8d916a" xmlns:ns4="01f5ea41-7e48-4e68-91b3-675ca7359689" targetNamespace="http://schemas.microsoft.com/office/2006/metadata/properties" ma:root="true" ma:fieldsID="66ca0ae40c52583b7f74304fd76b157e" ns2:_="" ns3:_="" ns4:_="">
    <xsd:import namespace="662745e8-e224-48e8-a2e3-254862b8c2f5"/>
    <xsd:import namespace="b13ba871-742c-4918-997e-010f5a8d916a"/>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430912-0a6c-449f-b02c-9cd993c0bbb3}"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430912-0a6c-449f-b02c-9cd993c0bbb3}"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ma:internalName="Team">
      <xsd:simpleType>
        <xsd:restriction base="dms:Text"/>
      </xsd:simpleType>
    </xsd:element>
    <xsd:element name="Topic" ma:index="20" nillable="true" ma:displayName="Topic" ma:default="International_Blue_Fina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3ba871-742c-4918-997e-010f5a8d91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437EE-345F-41B8-ACC1-5F7E8144E378}">
  <ds:schemaRefs>
    <ds:schemaRef ds:uri="Microsoft.SharePoint.Taxonomy.ContentTypeSync"/>
  </ds:schemaRefs>
</ds:datastoreItem>
</file>

<file path=customXml/itemProps2.xml><?xml version="1.0" encoding="utf-8"?>
<ds:datastoreItem xmlns:ds="http://schemas.openxmlformats.org/officeDocument/2006/customXml" ds:itemID="{66ABDEC4-E753-4E11-AE3D-35203615A7E4}">
  <ds:schemaRefs>
    <ds:schemaRef ds:uri="http://schemas.microsoft.com/sharepoint/v3/contenttype/forms"/>
  </ds:schemaRefs>
</ds:datastoreItem>
</file>

<file path=customXml/itemProps3.xml><?xml version="1.0" encoding="utf-8"?>
<ds:datastoreItem xmlns:ds="http://schemas.openxmlformats.org/officeDocument/2006/customXml" ds:itemID="{C727F46B-281F-45CC-BC01-0B8E38F0051A}">
  <ds:schemaRefs>
    <ds:schemaRef ds:uri="http://schemas.microsoft.com/office/2006/metadata/properties"/>
    <ds:schemaRef ds:uri="http://schemas.microsoft.com/office/infopath/2007/PartnerControls"/>
    <ds:schemaRef ds:uri="662745e8-e224-48e8-a2e3-254862b8c2f5"/>
    <ds:schemaRef ds:uri="b13ba871-742c-4918-997e-010f5a8d916a"/>
  </ds:schemaRefs>
</ds:datastoreItem>
</file>

<file path=customXml/itemProps4.xml><?xml version="1.0" encoding="utf-8"?>
<ds:datastoreItem xmlns:ds="http://schemas.openxmlformats.org/officeDocument/2006/customXml" ds:itemID="{33584098-5609-4688-8D0B-6730B06D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13ba871-742c-4918-997e-010f5a8d916a"/>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11426</Words>
  <Characters>65130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Pye, Tom (DEFRA)</dc:creator>
  <cp:lastModifiedBy>Jenner, Christopher</cp:lastModifiedBy>
  <cp:revision>6</cp:revision>
  <dcterms:created xsi:type="dcterms:W3CDTF">2024-08-29T10:11:00Z</dcterms:created>
  <dcterms:modified xsi:type="dcterms:W3CDTF">2024-08-29T10:15:00Z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0x010100A5BF1C78D9F64B679A5EBDE1C6598EBC01003058C510DC0EC04B89C7292E1DAEB953</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MediaServiceImageTags">
    <vt:lpwstr/>
  </property>
</Properties>
</file>