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AF30" w14:textId="77777777" w:rsidR="002F407C" w:rsidRDefault="002F407C">
      <w:pPr>
        <w:jc w:val="center"/>
        <w:rPr>
          <w:b/>
        </w:rPr>
      </w:pPr>
    </w:p>
    <w:p w14:paraId="0914FCE5" w14:textId="77777777" w:rsidR="002F407C" w:rsidRDefault="002F407C">
      <w:pPr>
        <w:rPr>
          <w:b/>
        </w:rPr>
      </w:pPr>
    </w:p>
    <w:tbl>
      <w:tblPr>
        <w:tblW w:w="10138" w:type="dxa"/>
        <w:tblInd w:w="-115" w:type="dxa"/>
        <w:tblBorders>
          <w:top w:val="single" w:sz="4" w:space="0" w:color="auto"/>
          <w:left w:val="single" w:sz="4" w:space="0" w:color="auto"/>
          <w:bottom w:val="single" w:sz="4" w:space="0" w:color="auto"/>
          <w:right w:val="single" w:sz="4" w:space="0" w:color="auto"/>
          <w:insideH w:val="dotted" w:sz="4" w:space="0" w:color="000000"/>
          <w:insideV w:val="dotted" w:sz="4" w:space="0" w:color="000000"/>
        </w:tblBorders>
        <w:tblLayout w:type="fixed"/>
        <w:tblCellMar>
          <w:left w:w="10" w:type="dxa"/>
          <w:right w:w="10" w:type="dxa"/>
        </w:tblCellMar>
        <w:tblLook w:val="04A0" w:firstRow="1" w:lastRow="0" w:firstColumn="1" w:lastColumn="0" w:noHBand="0" w:noVBand="1"/>
      </w:tblPr>
      <w:tblGrid>
        <w:gridCol w:w="3349"/>
        <w:gridCol w:w="2835"/>
        <w:gridCol w:w="3954"/>
      </w:tblGrid>
      <w:tr w:rsidR="002F407C" w14:paraId="1BABC706" w14:textId="77777777" w:rsidTr="0041744E">
        <w:trPr>
          <w:trHeight w:val="680"/>
        </w:trPr>
        <w:tc>
          <w:tcPr>
            <w:tcW w:w="10138" w:type="dxa"/>
            <w:gridSpan w:val="3"/>
            <w:shd w:val="clear" w:color="auto" w:fill="FFFFFF"/>
            <w:tcMar>
              <w:top w:w="0" w:type="dxa"/>
              <w:left w:w="115" w:type="dxa"/>
              <w:bottom w:w="0" w:type="dxa"/>
              <w:right w:w="115" w:type="dxa"/>
            </w:tcMar>
          </w:tcPr>
          <w:p w14:paraId="0536A02E" w14:textId="628036BE" w:rsidR="002F407C" w:rsidRPr="00D86B53" w:rsidRDefault="00AD029B">
            <w:pPr>
              <w:rPr>
                <w:rFonts w:ascii="Arial" w:hAnsi="Arial" w:cs="Arial"/>
                <w:b/>
              </w:rPr>
            </w:pPr>
            <w:r w:rsidRPr="00D86B53">
              <w:rPr>
                <w:rFonts w:ascii="Arial" w:hAnsi="Arial" w:cs="Arial"/>
                <w:b/>
              </w:rPr>
              <w:t xml:space="preserve">Title:  </w:t>
            </w:r>
            <w:r w:rsidR="0013223D">
              <w:rPr>
                <w:rFonts w:ascii="Arial" w:hAnsi="Arial" w:cs="Arial"/>
                <w:b/>
              </w:rPr>
              <w:t xml:space="preserve">Business Case for </w:t>
            </w:r>
            <w:r w:rsidR="006C3326" w:rsidRPr="00D86B53">
              <w:rPr>
                <w:rFonts w:ascii="Arial" w:hAnsi="Arial" w:cs="Arial"/>
                <w:b/>
              </w:rPr>
              <w:t>Office for National Statistics</w:t>
            </w:r>
            <w:r w:rsidRPr="00D86B53">
              <w:rPr>
                <w:rFonts w:ascii="Arial" w:hAnsi="Arial" w:cs="Arial"/>
                <w:b/>
              </w:rPr>
              <w:t xml:space="preserve"> Partnership Programme for the Modernisation of Official Statistics </w:t>
            </w:r>
          </w:p>
        </w:tc>
      </w:tr>
      <w:tr w:rsidR="002F407C" w14:paraId="7CE980E9" w14:textId="77777777" w:rsidTr="0041744E">
        <w:trPr>
          <w:trHeight w:val="400"/>
        </w:trPr>
        <w:tc>
          <w:tcPr>
            <w:tcW w:w="10138" w:type="dxa"/>
            <w:gridSpan w:val="3"/>
            <w:shd w:val="clear" w:color="auto" w:fill="FFFFFF"/>
            <w:tcMar>
              <w:top w:w="0" w:type="dxa"/>
              <w:left w:w="115" w:type="dxa"/>
              <w:bottom w:w="0" w:type="dxa"/>
              <w:right w:w="115" w:type="dxa"/>
            </w:tcMar>
          </w:tcPr>
          <w:p w14:paraId="27FF0181" w14:textId="4E2965A6" w:rsidR="002F407C" w:rsidRPr="00D86B53" w:rsidRDefault="00AD029B">
            <w:pPr>
              <w:rPr>
                <w:rFonts w:ascii="Arial" w:hAnsi="Arial" w:cs="Arial"/>
              </w:rPr>
            </w:pPr>
            <w:r w:rsidRPr="00D86B53">
              <w:rPr>
                <w:rFonts w:ascii="Arial" w:hAnsi="Arial" w:cs="Arial"/>
                <w:b/>
              </w:rPr>
              <w:t xml:space="preserve">Programme Summary: </w:t>
            </w:r>
            <w:r w:rsidR="006C3326" w:rsidRPr="00D86B53">
              <w:rPr>
                <w:rFonts w:ascii="Arial" w:hAnsi="Arial" w:cs="Arial"/>
                <w:b/>
              </w:rPr>
              <w:t xml:space="preserve">ONS </w:t>
            </w:r>
            <w:r w:rsidRPr="00D86B53">
              <w:rPr>
                <w:rFonts w:ascii="Arial" w:hAnsi="Arial" w:cs="Arial"/>
              </w:rPr>
              <w:t xml:space="preserve">Partnership Programme with </w:t>
            </w:r>
            <w:r w:rsidR="006C3326" w:rsidRPr="00D86B53">
              <w:rPr>
                <w:rFonts w:ascii="Arial" w:hAnsi="Arial" w:cs="Arial"/>
              </w:rPr>
              <w:t>international National Statistics Institutes</w:t>
            </w:r>
            <w:r w:rsidRPr="00D86B53">
              <w:rPr>
                <w:rFonts w:ascii="Arial" w:hAnsi="Arial" w:cs="Arial"/>
              </w:rPr>
              <w:t xml:space="preserve"> for the modernisation of official statistics.  </w:t>
            </w:r>
          </w:p>
        </w:tc>
      </w:tr>
      <w:tr w:rsidR="002F407C" w14:paraId="765638A8" w14:textId="77777777" w:rsidTr="0041744E">
        <w:trPr>
          <w:trHeight w:val="400"/>
        </w:trPr>
        <w:tc>
          <w:tcPr>
            <w:tcW w:w="6184" w:type="dxa"/>
            <w:gridSpan w:val="2"/>
            <w:shd w:val="clear" w:color="auto" w:fill="FFFFFF"/>
            <w:tcMar>
              <w:top w:w="0" w:type="dxa"/>
              <w:left w:w="115" w:type="dxa"/>
              <w:bottom w:w="0" w:type="dxa"/>
              <w:right w:w="115" w:type="dxa"/>
            </w:tcMar>
          </w:tcPr>
          <w:p w14:paraId="25035CB0" w14:textId="232F74E8" w:rsidR="002F407C" w:rsidRPr="00D86B53" w:rsidRDefault="00AD029B">
            <w:pPr>
              <w:rPr>
                <w:rFonts w:ascii="Arial" w:hAnsi="Arial" w:cs="Arial"/>
              </w:rPr>
            </w:pPr>
            <w:r w:rsidRPr="00D86B53">
              <w:rPr>
                <w:rFonts w:ascii="Arial" w:hAnsi="Arial" w:cs="Arial"/>
                <w:b/>
              </w:rPr>
              <w:t>Programme Value:</w:t>
            </w:r>
            <w:r w:rsidRPr="00D86B53">
              <w:rPr>
                <w:rFonts w:ascii="Arial" w:hAnsi="Arial" w:cs="Arial"/>
              </w:rPr>
              <w:t xml:space="preserve"> Up to £</w:t>
            </w:r>
            <w:r w:rsidR="006C3326" w:rsidRPr="00D86B53">
              <w:rPr>
                <w:rFonts w:ascii="Arial" w:hAnsi="Arial" w:cs="Arial"/>
              </w:rPr>
              <w:t>3.0</w:t>
            </w:r>
            <w:r w:rsidRPr="00D86B53">
              <w:rPr>
                <w:rFonts w:ascii="Arial" w:hAnsi="Arial" w:cs="Arial"/>
              </w:rPr>
              <w:t xml:space="preserve"> million</w:t>
            </w:r>
          </w:p>
        </w:tc>
        <w:tc>
          <w:tcPr>
            <w:tcW w:w="3954" w:type="dxa"/>
            <w:shd w:val="clear" w:color="auto" w:fill="FFFFFF"/>
            <w:tcMar>
              <w:top w:w="0" w:type="dxa"/>
              <w:left w:w="115" w:type="dxa"/>
              <w:bottom w:w="0" w:type="dxa"/>
              <w:right w:w="115" w:type="dxa"/>
            </w:tcMar>
          </w:tcPr>
          <w:p w14:paraId="0D07911A" w14:textId="77777777" w:rsidR="002F407C" w:rsidRPr="00D86B53" w:rsidRDefault="00AD029B">
            <w:pPr>
              <w:rPr>
                <w:rFonts w:ascii="Arial" w:hAnsi="Arial" w:cs="Arial"/>
              </w:rPr>
            </w:pPr>
            <w:r w:rsidRPr="00D86B53">
              <w:rPr>
                <w:rFonts w:ascii="Arial" w:hAnsi="Arial" w:cs="Arial"/>
                <w:b/>
              </w:rPr>
              <w:t xml:space="preserve">Country/ Region: </w:t>
            </w:r>
            <w:r w:rsidRPr="00D86B53">
              <w:rPr>
                <w:rFonts w:ascii="Arial" w:hAnsi="Arial" w:cs="Arial"/>
              </w:rPr>
              <w:t xml:space="preserve">Global </w:t>
            </w:r>
          </w:p>
        </w:tc>
      </w:tr>
      <w:tr w:rsidR="002F407C" w14:paraId="2D940E54" w14:textId="77777777" w:rsidTr="0041744E">
        <w:trPr>
          <w:trHeight w:val="300"/>
        </w:trPr>
        <w:tc>
          <w:tcPr>
            <w:tcW w:w="3349" w:type="dxa"/>
            <w:shd w:val="clear" w:color="auto" w:fill="FFFFFF"/>
            <w:tcMar>
              <w:top w:w="0" w:type="dxa"/>
              <w:left w:w="115" w:type="dxa"/>
              <w:bottom w:w="0" w:type="dxa"/>
              <w:right w:w="115" w:type="dxa"/>
            </w:tcMar>
          </w:tcPr>
          <w:p w14:paraId="64C8774C" w14:textId="063BAABD" w:rsidR="002F407C" w:rsidRPr="00D86B53" w:rsidRDefault="00AD029B">
            <w:pPr>
              <w:rPr>
                <w:rFonts w:ascii="Arial" w:hAnsi="Arial" w:cs="Arial"/>
              </w:rPr>
            </w:pPr>
            <w:r w:rsidRPr="00D86B53">
              <w:rPr>
                <w:rFonts w:ascii="Arial" w:hAnsi="Arial" w:cs="Arial"/>
                <w:b/>
              </w:rPr>
              <w:t xml:space="preserve">Programme Code: </w:t>
            </w:r>
            <w:r w:rsidR="006C3326" w:rsidRPr="00D86B53">
              <w:rPr>
                <w:rFonts w:ascii="Arial" w:hAnsi="Arial" w:cs="Arial"/>
              </w:rPr>
              <w:t>001</w:t>
            </w:r>
          </w:p>
          <w:p w14:paraId="79957898" w14:textId="77777777" w:rsidR="002F407C" w:rsidRPr="00D86B53" w:rsidRDefault="002F407C">
            <w:pPr>
              <w:rPr>
                <w:rFonts w:ascii="Arial" w:hAnsi="Arial" w:cs="Arial"/>
                <w:b/>
              </w:rPr>
            </w:pPr>
          </w:p>
        </w:tc>
        <w:tc>
          <w:tcPr>
            <w:tcW w:w="2835" w:type="dxa"/>
            <w:shd w:val="clear" w:color="auto" w:fill="FFFFFF"/>
            <w:tcMar>
              <w:top w:w="0" w:type="dxa"/>
              <w:left w:w="115" w:type="dxa"/>
              <w:bottom w:w="0" w:type="dxa"/>
              <w:right w:w="115" w:type="dxa"/>
            </w:tcMar>
          </w:tcPr>
          <w:p w14:paraId="76406530" w14:textId="13ABA37E" w:rsidR="002F407C" w:rsidRPr="00D86B53" w:rsidRDefault="00AD029B">
            <w:pPr>
              <w:rPr>
                <w:rFonts w:ascii="Arial" w:hAnsi="Arial" w:cs="Arial"/>
              </w:rPr>
            </w:pPr>
            <w:r w:rsidRPr="00D86B53">
              <w:rPr>
                <w:rFonts w:ascii="Arial" w:hAnsi="Arial" w:cs="Arial"/>
                <w:b/>
              </w:rPr>
              <w:t xml:space="preserve">Start Date: </w:t>
            </w:r>
            <w:r w:rsidRPr="00D86B53">
              <w:rPr>
                <w:rFonts w:ascii="Arial" w:hAnsi="Arial" w:cs="Arial"/>
              </w:rPr>
              <w:t xml:space="preserve"> </w:t>
            </w:r>
            <w:r w:rsidR="006C3326" w:rsidRPr="00D86B53">
              <w:rPr>
                <w:rFonts w:ascii="Arial" w:hAnsi="Arial" w:cs="Arial"/>
              </w:rPr>
              <w:t>01</w:t>
            </w:r>
            <w:r w:rsidRPr="00D86B53">
              <w:rPr>
                <w:rFonts w:ascii="Arial" w:hAnsi="Arial" w:cs="Arial"/>
              </w:rPr>
              <w:t xml:space="preserve"> A</w:t>
            </w:r>
            <w:r w:rsidR="006C3326" w:rsidRPr="00D86B53">
              <w:rPr>
                <w:rFonts w:ascii="Arial" w:hAnsi="Arial" w:cs="Arial"/>
              </w:rPr>
              <w:t>pril</w:t>
            </w:r>
            <w:r w:rsidRPr="00D86B53">
              <w:rPr>
                <w:rFonts w:ascii="Arial" w:hAnsi="Arial" w:cs="Arial"/>
              </w:rPr>
              <w:t xml:space="preserve"> 20</w:t>
            </w:r>
            <w:r w:rsidR="006C3326" w:rsidRPr="00D86B53">
              <w:rPr>
                <w:rFonts w:ascii="Arial" w:hAnsi="Arial" w:cs="Arial"/>
              </w:rPr>
              <w:t>21</w:t>
            </w:r>
          </w:p>
        </w:tc>
        <w:tc>
          <w:tcPr>
            <w:tcW w:w="3954" w:type="dxa"/>
            <w:shd w:val="clear" w:color="auto" w:fill="FFFFFF"/>
            <w:tcMar>
              <w:top w:w="0" w:type="dxa"/>
              <w:left w:w="115" w:type="dxa"/>
              <w:bottom w:w="0" w:type="dxa"/>
              <w:right w:w="115" w:type="dxa"/>
            </w:tcMar>
          </w:tcPr>
          <w:p w14:paraId="1F76D9F3" w14:textId="6B77088A" w:rsidR="002F407C" w:rsidRPr="00D86B53" w:rsidRDefault="00AD029B">
            <w:pPr>
              <w:rPr>
                <w:rFonts w:ascii="Arial" w:hAnsi="Arial" w:cs="Arial"/>
              </w:rPr>
            </w:pPr>
            <w:r w:rsidRPr="00D86B53">
              <w:rPr>
                <w:rFonts w:ascii="Arial" w:hAnsi="Arial" w:cs="Arial"/>
                <w:b/>
              </w:rPr>
              <w:t xml:space="preserve">End Date: </w:t>
            </w:r>
            <w:r w:rsidRPr="00D86B53">
              <w:rPr>
                <w:rFonts w:ascii="Arial" w:hAnsi="Arial" w:cs="Arial"/>
              </w:rPr>
              <w:t>31 March 202</w:t>
            </w:r>
            <w:r w:rsidR="006C3326" w:rsidRPr="00D86B53">
              <w:rPr>
                <w:rFonts w:ascii="Arial" w:hAnsi="Arial" w:cs="Arial"/>
              </w:rPr>
              <w:t>2</w:t>
            </w:r>
          </w:p>
        </w:tc>
      </w:tr>
      <w:tr w:rsidR="002F407C" w14:paraId="2E7E0BFD" w14:textId="77777777" w:rsidTr="0041744E">
        <w:trPr>
          <w:trHeight w:val="300"/>
        </w:trPr>
        <w:tc>
          <w:tcPr>
            <w:tcW w:w="3349" w:type="dxa"/>
            <w:shd w:val="clear" w:color="auto" w:fill="FFFFFF"/>
            <w:tcMar>
              <w:top w:w="0" w:type="dxa"/>
              <w:left w:w="115" w:type="dxa"/>
              <w:bottom w:w="0" w:type="dxa"/>
              <w:right w:w="115" w:type="dxa"/>
            </w:tcMar>
          </w:tcPr>
          <w:p w14:paraId="23F67832" w14:textId="77777777" w:rsidR="002F407C" w:rsidRPr="00D86B53" w:rsidRDefault="00AD029B">
            <w:pPr>
              <w:rPr>
                <w:rFonts w:ascii="Arial" w:hAnsi="Arial" w:cs="Arial"/>
                <w:b/>
              </w:rPr>
            </w:pPr>
            <w:r w:rsidRPr="00D86B53">
              <w:rPr>
                <w:rFonts w:ascii="Arial" w:hAnsi="Arial" w:cs="Arial"/>
                <w:b/>
              </w:rPr>
              <w:t xml:space="preserve">Overall programme risk rating: </w:t>
            </w:r>
          </w:p>
        </w:tc>
        <w:tc>
          <w:tcPr>
            <w:tcW w:w="6789" w:type="dxa"/>
            <w:gridSpan w:val="2"/>
            <w:shd w:val="clear" w:color="auto" w:fill="FFFFFF"/>
            <w:tcMar>
              <w:top w:w="0" w:type="dxa"/>
              <w:left w:w="115" w:type="dxa"/>
              <w:bottom w:w="0" w:type="dxa"/>
              <w:right w:w="115" w:type="dxa"/>
            </w:tcMar>
          </w:tcPr>
          <w:p w14:paraId="416DDB2C" w14:textId="77777777" w:rsidR="002F407C" w:rsidRPr="00D86B53" w:rsidRDefault="00AD029B">
            <w:pPr>
              <w:rPr>
                <w:rFonts w:ascii="Arial" w:hAnsi="Arial" w:cs="Arial"/>
              </w:rPr>
            </w:pPr>
            <w:r w:rsidRPr="00D86B53">
              <w:rPr>
                <w:rFonts w:ascii="Arial" w:hAnsi="Arial" w:cs="Arial"/>
              </w:rPr>
              <w:t>Low</w:t>
            </w:r>
          </w:p>
        </w:tc>
      </w:tr>
    </w:tbl>
    <w:p w14:paraId="5058FAB3" w14:textId="6AC457C5" w:rsidR="002F407C" w:rsidRDefault="002F407C">
      <w:pPr>
        <w:spacing w:after="0"/>
      </w:pPr>
    </w:p>
    <w:p w14:paraId="096802A7" w14:textId="763A6B4D" w:rsidR="0091745E" w:rsidRDefault="0091745E">
      <w:pPr>
        <w:spacing w:after="0"/>
      </w:pPr>
    </w:p>
    <w:p w14:paraId="00967355" w14:textId="77777777" w:rsidR="002F407C" w:rsidRDefault="00AD029B">
      <w:pPr>
        <w:numPr>
          <w:ilvl w:val="0"/>
          <w:numId w:val="1"/>
        </w:numPr>
        <w:pBdr>
          <w:top w:val="single" w:sz="4" w:space="1" w:color="000000"/>
          <w:left w:val="single" w:sz="4" w:space="4" w:color="000000"/>
          <w:bottom w:val="single" w:sz="4" w:space="1" w:color="000000"/>
          <w:right w:val="single" w:sz="4" w:space="4" w:color="000000"/>
        </w:pBdr>
        <w:shd w:val="clear" w:color="auto" w:fill="DBE5F1"/>
        <w:spacing w:before="40"/>
        <w:ind w:hanging="360"/>
        <w:jc w:val="left"/>
        <w:rPr>
          <w:rFonts w:ascii="Arial" w:eastAsia="Arial" w:hAnsi="Arial" w:cs="Arial"/>
          <w:b/>
          <w:sz w:val="28"/>
          <w:szCs w:val="28"/>
        </w:rPr>
      </w:pPr>
      <w:r>
        <w:rPr>
          <w:rFonts w:ascii="Arial" w:eastAsia="Arial" w:hAnsi="Arial" w:cs="Arial"/>
          <w:b/>
          <w:sz w:val="28"/>
          <w:szCs w:val="28"/>
        </w:rPr>
        <w:t xml:space="preserve"> Strategic Case</w:t>
      </w:r>
    </w:p>
    <w:p w14:paraId="38A5801F" w14:textId="1E81A85C" w:rsidR="00D86B53" w:rsidRDefault="00D86B53" w:rsidP="00AD029B">
      <w:pPr>
        <w:pStyle w:val="paragraph"/>
        <w:spacing w:before="0" w:beforeAutospacing="0" w:after="0" w:afterAutospacing="0"/>
        <w:textAlignment w:val="baseline"/>
        <w:rPr>
          <w:rStyle w:val="normaltextrun"/>
          <w:rFonts w:ascii="Arial" w:hAnsi="Arial" w:cs="Arial"/>
          <w:sz w:val="22"/>
          <w:szCs w:val="22"/>
        </w:rPr>
      </w:pPr>
    </w:p>
    <w:p w14:paraId="6F24A2CB" w14:textId="04A298E2" w:rsidR="0041744E" w:rsidRPr="0041744E" w:rsidRDefault="0041744E" w:rsidP="0041744E">
      <w:pPr>
        <w:pStyle w:val="paragraph"/>
        <w:spacing w:before="0" w:beforeAutospacing="0" w:after="0" w:afterAutospacing="0"/>
        <w:textAlignment w:val="baseline"/>
        <w:rPr>
          <w:rStyle w:val="normaltextrun"/>
          <w:rFonts w:ascii="Arial" w:hAnsi="Arial" w:cs="Arial"/>
          <w:b/>
          <w:bCs/>
          <w:sz w:val="22"/>
          <w:szCs w:val="22"/>
        </w:rPr>
      </w:pPr>
      <w:r w:rsidRPr="0041744E">
        <w:rPr>
          <w:rStyle w:val="normaltextrun"/>
          <w:rFonts w:ascii="Arial" w:hAnsi="Arial" w:cs="Arial"/>
          <w:b/>
          <w:bCs/>
          <w:sz w:val="22"/>
          <w:szCs w:val="22"/>
        </w:rPr>
        <w:t>A</w:t>
      </w:r>
      <w:r w:rsidR="0013223D">
        <w:rPr>
          <w:rStyle w:val="normaltextrun"/>
          <w:rFonts w:ascii="Arial" w:hAnsi="Arial" w:cs="Arial"/>
          <w:b/>
          <w:bCs/>
          <w:sz w:val="22"/>
          <w:szCs w:val="22"/>
        </w:rPr>
        <w:t xml:space="preserve">.  </w:t>
      </w:r>
      <w:r w:rsidRPr="0041744E">
        <w:rPr>
          <w:rStyle w:val="normaltextrun"/>
          <w:rFonts w:ascii="Arial" w:hAnsi="Arial" w:cs="Arial"/>
          <w:b/>
          <w:bCs/>
          <w:sz w:val="22"/>
          <w:szCs w:val="22"/>
        </w:rPr>
        <w:t>Context</w:t>
      </w:r>
    </w:p>
    <w:p w14:paraId="14F7BDEA" w14:textId="77777777" w:rsidR="0041744E" w:rsidRDefault="0041744E" w:rsidP="00AD029B">
      <w:pPr>
        <w:pStyle w:val="paragraph"/>
        <w:spacing w:before="0" w:beforeAutospacing="0" w:after="0" w:afterAutospacing="0"/>
        <w:textAlignment w:val="baseline"/>
        <w:rPr>
          <w:rStyle w:val="normaltextrun"/>
          <w:rFonts w:ascii="Arial" w:hAnsi="Arial" w:cs="Arial"/>
          <w:sz w:val="22"/>
          <w:szCs w:val="22"/>
        </w:rPr>
      </w:pPr>
    </w:p>
    <w:p w14:paraId="636D6CD1" w14:textId="038B5369" w:rsidR="00AD029B" w:rsidRDefault="00AD029B" w:rsidP="00AD02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ONS is the UK’s largest independent producer of official statistics, the recognised National Statistical </w:t>
      </w:r>
      <w:r w:rsidR="0013223D">
        <w:rPr>
          <w:rStyle w:val="normaltextrun"/>
          <w:rFonts w:ascii="Arial" w:hAnsi="Arial" w:cs="Arial"/>
          <w:sz w:val="22"/>
          <w:szCs w:val="22"/>
        </w:rPr>
        <w:t>Institute,</w:t>
      </w:r>
      <w:r>
        <w:rPr>
          <w:rStyle w:val="normaltextrun"/>
          <w:rFonts w:ascii="Arial" w:hAnsi="Arial" w:cs="Arial"/>
          <w:sz w:val="22"/>
          <w:szCs w:val="22"/>
        </w:rPr>
        <w:t> and the heart of the Government Statistical Service (GSS). The National Statistician is the government’s principal adviser on official statistics as well as being head of the GSS and the Government Analysis Function. </w:t>
      </w:r>
      <w:r>
        <w:rPr>
          <w:rStyle w:val="eop"/>
          <w:rFonts w:ascii="Arial" w:hAnsi="Arial" w:cs="Arial"/>
          <w:sz w:val="22"/>
          <w:szCs w:val="22"/>
        </w:rPr>
        <w:t> </w:t>
      </w:r>
    </w:p>
    <w:p w14:paraId="77F47540" w14:textId="77777777" w:rsidR="00AD029B" w:rsidRDefault="00AD029B" w:rsidP="00AD02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430498" w14:textId="04D260EE" w:rsidR="00AD029B" w:rsidRDefault="0091745E" w:rsidP="00AD02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Between </w:t>
      </w:r>
      <w:r w:rsidR="00AD029B">
        <w:rPr>
          <w:rStyle w:val="normaltextrun"/>
          <w:rFonts w:ascii="Arial" w:hAnsi="Arial" w:cs="Arial"/>
          <w:sz w:val="22"/>
          <w:szCs w:val="22"/>
        </w:rPr>
        <w:t>2017</w:t>
      </w:r>
      <w:r>
        <w:rPr>
          <w:rStyle w:val="normaltextrun"/>
          <w:rFonts w:ascii="Arial" w:hAnsi="Arial" w:cs="Arial"/>
          <w:sz w:val="22"/>
          <w:szCs w:val="22"/>
        </w:rPr>
        <w:t xml:space="preserve"> and 2021</w:t>
      </w:r>
      <w:r w:rsidR="00AD029B">
        <w:rPr>
          <w:rStyle w:val="normaltextrun"/>
          <w:rFonts w:ascii="Arial" w:hAnsi="Arial" w:cs="Arial"/>
          <w:sz w:val="22"/>
          <w:szCs w:val="22"/>
        </w:rPr>
        <w:t xml:space="preserve"> we have been funded through a </w:t>
      </w:r>
      <w:hyperlink r:id="rId11" w:tgtFrame="_blank" w:history="1">
        <w:r w:rsidR="00AD029B">
          <w:rPr>
            <w:rStyle w:val="normaltextrun"/>
            <w:rFonts w:ascii="Arial" w:hAnsi="Arial" w:cs="Arial"/>
            <w:color w:val="206095"/>
            <w:sz w:val="22"/>
            <w:szCs w:val="22"/>
            <w:u w:val="single"/>
          </w:rPr>
          <w:t>F</w:t>
        </w:r>
        <w:r>
          <w:rPr>
            <w:rStyle w:val="normaltextrun"/>
            <w:rFonts w:ascii="Arial" w:hAnsi="Arial" w:cs="Arial"/>
            <w:color w:val="206095"/>
            <w:sz w:val="22"/>
            <w:szCs w:val="22"/>
            <w:u w:val="single"/>
          </w:rPr>
          <w:t xml:space="preserve">oreign, </w:t>
        </w:r>
        <w:r w:rsidR="00AD029B">
          <w:rPr>
            <w:rStyle w:val="normaltextrun"/>
            <w:rFonts w:ascii="Arial" w:hAnsi="Arial" w:cs="Arial"/>
            <w:color w:val="206095"/>
            <w:sz w:val="22"/>
            <w:szCs w:val="22"/>
            <w:u w:val="single"/>
          </w:rPr>
          <w:t>C</w:t>
        </w:r>
        <w:r>
          <w:rPr>
            <w:rStyle w:val="normaltextrun"/>
            <w:rFonts w:ascii="Arial" w:hAnsi="Arial" w:cs="Arial"/>
            <w:color w:val="206095"/>
            <w:sz w:val="22"/>
            <w:szCs w:val="22"/>
            <w:u w:val="single"/>
          </w:rPr>
          <w:t xml:space="preserve">ommonwealth and </w:t>
        </w:r>
        <w:r w:rsidR="00AD029B">
          <w:rPr>
            <w:rStyle w:val="normaltextrun"/>
            <w:rFonts w:ascii="Arial" w:hAnsi="Arial" w:cs="Arial"/>
            <w:color w:val="206095"/>
            <w:sz w:val="22"/>
            <w:szCs w:val="22"/>
            <w:u w:val="single"/>
          </w:rPr>
          <w:t>D</w:t>
        </w:r>
        <w:r>
          <w:rPr>
            <w:rStyle w:val="normaltextrun"/>
            <w:rFonts w:ascii="Arial" w:hAnsi="Arial" w:cs="Arial"/>
            <w:color w:val="206095"/>
            <w:sz w:val="22"/>
            <w:szCs w:val="22"/>
            <w:u w:val="single"/>
          </w:rPr>
          <w:t xml:space="preserve">evelopment Office (FCDO) </w:t>
        </w:r>
        <w:r w:rsidR="00AD029B">
          <w:rPr>
            <w:rStyle w:val="normaltextrun"/>
            <w:rFonts w:ascii="Arial" w:hAnsi="Arial" w:cs="Arial"/>
            <w:color w:val="206095"/>
            <w:sz w:val="22"/>
            <w:szCs w:val="22"/>
            <w:u w:val="single"/>
          </w:rPr>
          <w:t xml:space="preserve"> grant</w:t>
        </w:r>
      </w:hyperlink>
      <w:r w:rsidR="00AD029B">
        <w:rPr>
          <w:rStyle w:val="normaltextrun"/>
          <w:rFonts w:ascii="Arial" w:hAnsi="Arial" w:cs="Arial"/>
          <w:color w:val="323132"/>
          <w:sz w:val="22"/>
          <w:szCs w:val="22"/>
        </w:rPr>
        <w:t> </w:t>
      </w:r>
      <w:r w:rsidR="00AD029B">
        <w:rPr>
          <w:rStyle w:val="normaltextrun"/>
          <w:rFonts w:ascii="Arial" w:hAnsi="Arial" w:cs="Arial"/>
          <w:sz w:val="22"/>
          <w:szCs w:val="22"/>
        </w:rPr>
        <w:t>to support statistical modernisation in FCDO partner countries. The purpose of the programme was to support N</w:t>
      </w:r>
      <w:r>
        <w:rPr>
          <w:rStyle w:val="normaltextrun"/>
          <w:rFonts w:ascii="Arial" w:hAnsi="Arial" w:cs="Arial"/>
          <w:sz w:val="22"/>
          <w:szCs w:val="22"/>
        </w:rPr>
        <w:t xml:space="preserve">ational </w:t>
      </w:r>
      <w:r w:rsidR="00AD029B">
        <w:rPr>
          <w:rStyle w:val="normaltextrun"/>
          <w:rFonts w:ascii="Arial" w:hAnsi="Arial" w:cs="Arial"/>
          <w:sz w:val="22"/>
          <w:szCs w:val="22"/>
        </w:rPr>
        <w:t>S</w:t>
      </w:r>
      <w:r>
        <w:rPr>
          <w:rStyle w:val="normaltextrun"/>
          <w:rFonts w:ascii="Arial" w:hAnsi="Arial" w:cs="Arial"/>
          <w:sz w:val="22"/>
          <w:szCs w:val="22"/>
        </w:rPr>
        <w:t xml:space="preserve">tatistics </w:t>
      </w:r>
      <w:r w:rsidR="00AD029B">
        <w:rPr>
          <w:rStyle w:val="normaltextrun"/>
          <w:rFonts w:ascii="Arial" w:hAnsi="Arial" w:cs="Arial"/>
          <w:sz w:val="22"/>
          <w:szCs w:val="22"/>
        </w:rPr>
        <w:t>I</w:t>
      </w:r>
      <w:r>
        <w:rPr>
          <w:rStyle w:val="normaltextrun"/>
          <w:rFonts w:ascii="Arial" w:hAnsi="Arial" w:cs="Arial"/>
          <w:sz w:val="22"/>
          <w:szCs w:val="22"/>
        </w:rPr>
        <w:t>nstitutes (NSI)</w:t>
      </w:r>
      <w:r w:rsidR="00AD029B">
        <w:rPr>
          <w:rStyle w:val="normaltextrun"/>
          <w:rFonts w:ascii="Arial" w:hAnsi="Arial" w:cs="Arial"/>
          <w:sz w:val="22"/>
          <w:szCs w:val="22"/>
        </w:rPr>
        <w:t xml:space="preserve"> in their ambitions to modernise their institutions, improve the quality and availability of data to support the </w:t>
      </w:r>
      <w:r w:rsidR="00AB0E7B" w:rsidRPr="00CA6270">
        <w:rPr>
          <w:rStyle w:val="normaltextrun"/>
          <w:sz w:val="22"/>
          <w:szCs w:val="22"/>
        </w:rPr>
        <w:t xml:space="preserve">Global Goals, also known as the Sustainable Development Goals (SDGs) </w:t>
      </w:r>
      <w:r w:rsidR="00AD029B">
        <w:rPr>
          <w:rStyle w:val="normaltextrun"/>
          <w:rFonts w:ascii="Arial" w:hAnsi="Arial" w:cs="Arial"/>
          <w:sz w:val="22"/>
          <w:szCs w:val="22"/>
        </w:rPr>
        <w:t>and ensure no one</w:t>
      </w:r>
      <w:r w:rsidR="00CA6270">
        <w:rPr>
          <w:rStyle w:val="normaltextrun"/>
          <w:rFonts w:ascii="Arial" w:hAnsi="Arial" w:cs="Arial"/>
          <w:sz w:val="22"/>
          <w:szCs w:val="22"/>
        </w:rPr>
        <w:t xml:space="preserve"> and </w:t>
      </w:r>
      <w:proofErr w:type="spellStart"/>
      <w:r w:rsidR="00CA6270">
        <w:rPr>
          <w:rStyle w:val="normaltextrun"/>
          <w:rFonts w:ascii="Arial" w:hAnsi="Arial" w:cs="Arial"/>
          <w:sz w:val="22"/>
          <w:szCs w:val="22"/>
        </w:rPr>
        <w:t>no where</w:t>
      </w:r>
      <w:proofErr w:type="spellEnd"/>
      <w:r w:rsidR="00AD029B">
        <w:rPr>
          <w:rStyle w:val="normaltextrun"/>
          <w:rFonts w:ascii="Arial" w:hAnsi="Arial" w:cs="Arial"/>
          <w:sz w:val="22"/>
          <w:szCs w:val="22"/>
        </w:rPr>
        <w:t xml:space="preserve"> is left behind. The ONS is well placed to offer this support as a world leading statistical institution, respected </w:t>
      </w:r>
      <w:r w:rsidR="0013223D">
        <w:rPr>
          <w:rStyle w:val="normaltextrun"/>
          <w:rFonts w:ascii="Arial" w:hAnsi="Arial" w:cs="Arial"/>
          <w:sz w:val="22"/>
          <w:szCs w:val="22"/>
        </w:rPr>
        <w:t>globally,</w:t>
      </w:r>
      <w:r w:rsidR="00AD029B">
        <w:rPr>
          <w:rStyle w:val="normaltextrun"/>
          <w:rFonts w:ascii="Arial" w:hAnsi="Arial" w:cs="Arial"/>
          <w:sz w:val="22"/>
          <w:szCs w:val="22"/>
        </w:rPr>
        <w:t xml:space="preserve"> and seen as a modernisation flag bearer.</w:t>
      </w:r>
      <w:r w:rsidR="00AD029B">
        <w:rPr>
          <w:rStyle w:val="eop"/>
          <w:rFonts w:ascii="Arial" w:hAnsi="Arial" w:cs="Arial"/>
          <w:sz w:val="22"/>
          <w:szCs w:val="22"/>
        </w:rPr>
        <w:t> </w:t>
      </w:r>
    </w:p>
    <w:p w14:paraId="3E142E3C" w14:textId="77777777" w:rsidR="00AD029B" w:rsidRDefault="00AD029B" w:rsidP="00AD02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3E86BF" w14:textId="7A75F59C" w:rsidR="00AD029B" w:rsidRDefault="00AD029B" w:rsidP="00AD029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w:t>
      </w:r>
      <w:r w:rsidR="0091745E">
        <w:rPr>
          <w:rStyle w:val="normaltextrun"/>
          <w:rFonts w:ascii="Arial" w:hAnsi="Arial" w:cs="Arial"/>
          <w:sz w:val="22"/>
          <w:szCs w:val="22"/>
        </w:rPr>
        <w:t xml:space="preserve">original </w:t>
      </w:r>
      <w:r>
        <w:rPr>
          <w:rStyle w:val="normaltextrun"/>
          <w:rFonts w:ascii="Arial" w:hAnsi="Arial" w:cs="Arial"/>
          <w:sz w:val="22"/>
          <w:szCs w:val="22"/>
        </w:rPr>
        <w:t xml:space="preserve">programme </w:t>
      </w:r>
      <w:r w:rsidR="0091745E">
        <w:rPr>
          <w:rStyle w:val="normaltextrun"/>
          <w:rFonts w:ascii="Arial" w:hAnsi="Arial" w:cs="Arial"/>
          <w:sz w:val="22"/>
          <w:szCs w:val="22"/>
        </w:rPr>
        <w:t xml:space="preserve">was </w:t>
      </w:r>
      <w:r>
        <w:rPr>
          <w:rStyle w:val="normaltextrun"/>
          <w:rFonts w:ascii="Arial" w:hAnsi="Arial" w:cs="Arial"/>
          <w:sz w:val="22"/>
          <w:szCs w:val="22"/>
        </w:rPr>
        <w:t>a pilot that enabled ONS to build its own capacity of operating internationally, during this time period, we have worked with the support of FCDO and Government Partnerships International (GPI) to </w:t>
      </w:r>
      <w:r>
        <w:rPr>
          <w:rStyle w:val="normaltextrun"/>
          <w:rFonts w:ascii="Arial" w:hAnsi="Arial" w:cs="Arial"/>
          <w:b/>
          <w:bCs/>
          <w:sz w:val="22"/>
          <w:szCs w:val="22"/>
        </w:rPr>
        <w:t>“actively build our aid-management capacity”</w:t>
      </w:r>
      <w:r>
        <w:rPr>
          <w:rStyle w:val="normaltextrun"/>
          <w:rFonts w:ascii="Arial" w:hAnsi="Arial" w:cs="Arial"/>
          <w:sz w:val="22"/>
          <w:szCs w:val="22"/>
        </w:rPr>
        <w:t> (ICAI </w:t>
      </w:r>
      <w:hyperlink r:id="rId12" w:tgtFrame="_blank" w:history="1">
        <w:r>
          <w:rPr>
            <w:rStyle w:val="normaltextrun"/>
            <w:rFonts w:ascii="Arial" w:hAnsi="Arial" w:cs="Arial"/>
            <w:color w:val="0563C1"/>
            <w:sz w:val="22"/>
            <w:szCs w:val="22"/>
            <w:u w:val="single"/>
          </w:rPr>
          <w:t>https://icai.independent.gov.uk/html-report/how-uk-aid-learns/</w:t>
        </w:r>
      </w:hyperlink>
      <w:r>
        <w:rPr>
          <w:rStyle w:val="normaltextrun"/>
          <w:rFonts w:ascii="Arial" w:hAnsi="Arial" w:cs="Arial"/>
          <w:sz w:val="22"/>
          <w:szCs w:val="22"/>
        </w:rPr>
        <w:t>) and have put significant focus on monitoring, in depth reviews, and learning. We have built up good evidence of what works. With our own ODA funding we will be able to scale up the technical assistance, to deepen our work with existing partners delivering more, and to develop more partnership based on a rigorous scoping criteria and to cover more countries with a broader range of work.</w:t>
      </w:r>
      <w:r>
        <w:rPr>
          <w:rStyle w:val="eop"/>
          <w:rFonts w:ascii="Arial" w:hAnsi="Arial" w:cs="Arial"/>
          <w:sz w:val="22"/>
          <w:szCs w:val="22"/>
        </w:rPr>
        <w:t> </w:t>
      </w:r>
    </w:p>
    <w:p w14:paraId="29F221E8" w14:textId="490B9893" w:rsidR="00AD029B" w:rsidRDefault="00AD029B" w:rsidP="00AD029B">
      <w:pPr>
        <w:pStyle w:val="paragraph"/>
        <w:spacing w:before="0" w:beforeAutospacing="0" w:after="0" w:afterAutospacing="0"/>
        <w:textAlignment w:val="baseline"/>
        <w:rPr>
          <w:rStyle w:val="eop"/>
          <w:rFonts w:ascii="Arial" w:hAnsi="Arial" w:cs="Arial"/>
          <w:sz w:val="22"/>
          <w:szCs w:val="22"/>
        </w:rPr>
      </w:pPr>
    </w:p>
    <w:p w14:paraId="32F5DC37" w14:textId="342D0DAA" w:rsidR="00AD029B" w:rsidRDefault="00AD029B" w:rsidP="00AD029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ONS international strategy establishes the ambition that the UK statistical system is shaping the debate in all areas of importance to the UK. In order to realise this, we will build and maintain sustainable and effective </w:t>
      </w:r>
      <w:r>
        <w:rPr>
          <w:rStyle w:val="normaltextrun"/>
          <w:rFonts w:ascii="Arial" w:hAnsi="Arial" w:cs="Arial"/>
          <w:sz w:val="22"/>
          <w:szCs w:val="22"/>
          <w:u w:val="single"/>
        </w:rPr>
        <w:t>bilateral and multilateral relationships and partnerships</w:t>
      </w:r>
      <w:r>
        <w:rPr>
          <w:rStyle w:val="normaltextrun"/>
          <w:rFonts w:ascii="Arial" w:hAnsi="Arial" w:cs="Arial"/>
          <w:sz w:val="22"/>
          <w:szCs w:val="22"/>
        </w:rPr>
        <w:t> to learn and share best practice and to work together to deliver shared action on the most pressing statistical challenges in support of the UK’s priorities. The ONS will build strong working relationships with multilateral organisations, shaping and strengthening the UKs global voice by working across the GSS, ensuring that post EU Exit the UK remains able to advance its interests. This pro</w:t>
      </w:r>
      <w:r w:rsidR="0091745E">
        <w:rPr>
          <w:rStyle w:val="normaltextrun"/>
          <w:rFonts w:ascii="Arial" w:hAnsi="Arial" w:cs="Arial"/>
          <w:sz w:val="22"/>
          <w:szCs w:val="22"/>
        </w:rPr>
        <w:t>gramme</w:t>
      </w:r>
      <w:r>
        <w:rPr>
          <w:rStyle w:val="normaltextrun"/>
          <w:rFonts w:ascii="Arial" w:hAnsi="Arial" w:cs="Arial"/>
          <w:sz w:val="22"/>
          <w:szCs w:val="22"/>
        </w:rPr>
        <w:t xml:space="preserve"> will enable us to deliver on this ambition by allowing us to develop the key ODA eligible partnerships.  </w:t>
      </w:r>
      <w:r>
        <w:rPr>
          <w:rStyle w:val="eop"/>
          <w:rFonts w:ascii="Arial" w:hAnsi="Arial" w:cs="Arial"/>
          <w:sz w:val="22"/>
          <w:szCs w:val="22"/>
        </w:rPr>
        <w:t> </w:t>
      </w:r>
    </w:p>
    <w:p w14:paraId="3F720BD9" w14:textId="153D5C8D" w:rsidR="003F193D" w:rsidRDefault="003F193D" w:rsidP="00AD029B">
      <w:pPr>
        <w:pStyle w:val="paragraph"/>
        <w:spacing w:before="0" w:beforeAutospacing="0" w:after="0" w:afterAutospacing="0"/>
        <w:textAlignment w:val="baseline"/>
        <w:rPr>
          <w:rStyle w:val="eop"/>
          <w:rFonts w:ascii="Arial" w:hAnsi="Arial" w:cs="Arial"/>
          <w:sz w:val="22"/>
          <w:szCs w:val="22"/>
        </w:rPr>
      </w:pPr>
    </w:p>
    <w:p w14:paraId="1A5EE090" w14:textId="77777777" w:rsidR="003F193D" w:rsidRDefault="003F193D" w:rsidP="003F193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Building on the success of the ONS’s existing peer-to-peer partnerships with National Statistical Institutes (NSIs)</w:t>
      </w:r>
      <w:r>
        <w:rPr>
          <w:rStyle w:val="normaltextrun"/>
          <w:rFonts w:ascii="Arial" w:hAnsi="Arial" w:cs="Arial"/>
          <w:b/>
          <w:bCs/>
          <w:sz w:val="22"/>
          <w:szCs w:val="22"/>
        </w:rPr>
        <w:t> – </w:t>
      </w:r>
      <w:r>
        <w:rPr>
          <w:rStyle w:val="normaltextrun"/>
          <w:rFonts w:ascii="Arial" w:hAnsi="Arial" w:cs="Arial"/>
          <w:sz w:val="22"/>
          <w:szCs w:val="22"/>
        </w:rPr>
        <w:t>at a country level the proposal will support the Foreign Commonwealth and Development Office’s (FCDO) single-country plans by achieving the following for partner countries: </w:t>
      </w:r>
      <w:r>
        <w:rPr>
          <w:rStyle w:val="eop"/>
          <w:rFonts w:ascii="Arial" w:hAnsi="Arial" w:cs="Arial"/>
          <w:sz w:val="22"/>
          <w:szCs w:val="22"/>
        </w:rPr>
        <w:t> </w:t>
      </w:r>
    </w:p>
    <w:p w14:paraId="44D9BD11" w14:textId="77777777" w:rsidR="003F193D" w:rsidRDefault="003F193D" w:rsidP="003F193D">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0371D53" w14:textId="77777777" w:rsidR="003F193D" w:rsidRDefault="003F193D" w:rsidP="0041744E">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Higher quality and more frequent data</w:t>
      </w:r>
      <w:r>
        <w:rPr>
          <w:rStyle w:val="normaltextrun"/>
          <w:rFonts w:ascii="Arial" w:hAnsi="Arial" w:cs="Arial"/>
          <w:sz w:val="22"/>
          <w:szCs w:val="22"/>
        </w:rPr>
        <w:t> being published and used for key decisions (including for example censuses and economic statistics)</w:t>
      </w:r>
      <w:r>
        <w:rPr>
          <w:rStyle w:val="eop"/>
          <w:rFonts w:ascii="Arial" w:hAnsi="Arial" w:cs="Arial"/>
          <w:sz w:val="22"/>
          <w:szCs w:val="22"/>
        </w:rPr>
        <w:t> </w:t>
      </w:r>
    </w:p>
    <w:p w14:paraId="0D6CE56D" w14:textId="77777777" w:rsidR="003F193D" w:rsidRDefault="003F193D" w:rsidP="0041744E">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Increased data literacy</w:t>
      </w:r>
      <w:r>
        <w:rPr>
          <w:rStyle w:val="normaltextrun"/>
          <w:rFonts w:ascii="Arial" w:hAnsi="Arial" w:cs="Arial"/>
          <w:sz w:val="22"/>
          <w:szCs w:val="22"/>
        </w:rPr>
        <w:t> and sharing, leading to better decision making and evidence-based policies;</w:t>
      </w:r>
      <w:r>
        <w:rPr>
          <w:rStyle w:val="eop"/>
          <w:rFonts w:ascii="Arial" w:hAnsi="Arial" w:cs="Arial"/>
          <w:sz w:val="22"/>
          <w:szCs w:val="22"/>
        </w:rPr>
        <w:t> </w:t>
      </w:r>
    </w:p>
    <w:p w14:paraId="25AA4C35" w14:textId="621E9577" w:rsidR="003F193D" w:rsidRDefault="003F193D" w:rsidP="0041744E">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More cost-effective data production through the use of </w:t>
      </w:r>
      <w:r>
        <w:rPr>
          <w:rStyle w:val="normaltextrun"/>
          <w:rFonts w:ascii="Arial" w:hAnsi="Arial" w:cs="Arial"/>
          <w:b/>
          <w:bCs/>
          <w:sz w:val="22"/>
          <w:szCs w:val="22"/>
        </w:rPr>
        <w:t>digital technology</w:t>
      </w:r>
      <w:r>
        <w:rPr>
          <w:rStyle w:val="normaltextrun"/>
          <w:rFonts w:ascii="Arial" w:hAnsi="Arial" w:cs="Arial"/>
          <w:sz w:val="22"/>
          <w:szCs w:val="22"/>
        </w:rPr>
        <w:t> and </w:t>
      </w:r>
      <w:r>
        <w:rPr>
          <w:rStyle w:val="normaltextrun"/>
          <w:rFonts w:ascii="Arial" w:hAnsi="Arial" w:cs="Arial"/>
          <w:b/>
          <w:bCs/>
          <w:sz w:val="22"/>
          <w:szCs w:val="22"/>
        </w:rPr>
        <w:t>data science </w:t>
      </w:r>
      <w:proofErr w:type="gramStart"/>
      <w:r>
        <w:rPr>
          <w:rStyle w:val="normaltextrun"/>
          <w:rFonts w:ascii="Arial" w:hAnsi="Arial" w:cs="Arial"/>
          <w:b/>
          <w:bCs/>
          <w:sz w:val="22"/>
          <w:szCs w:val="22"/>
        </w:rPr>
        <w:t>initiatives;</w:t>
      </w:r>
      <w:proofErr w:type="gramEnd"/>
      <w:r>
        <w:rPr>
          <w:rStyle w:val="normaltextrun"/>
          <w:rFonts w:ascii="Arial" w:hAnsi="Arial" w:cs="Arial"/>
          <w:sz w:val="22"/>
          <w:szCs w:val="22"/>
        </w:rPr>
        <w:t> </w:t>
      </w:r>
      <w:r>
        <w:rPr>
          <w:rStyle w:val="eop"/>
          <w:rFonts w:ascii="Arial" w:hAnsi="Arial" w:cs="Arial"/>
          <w:sz w:val="22"/>
          <w:szCs w:val="22"/>
        </w:rPr>
        <w:t> </w:t>
      </w:r>
    </w:p>
    <w:p w14:paraId="113A5D48" w14:textId="77777777" w:rsidR="003F193D" w:rsidRDefault="003F193D" w:rsidP="0041744E">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Greater public trust in data</w:t>
      </w:r>
      <w:r>
        <w:rPr>
          <w:rStyle w:val="normaltextrun"/>
          <w:rFonts w:ascii="Arial" w:hAnsi="Arial" w:cs="Arial"/>
          <w:sz w:val="22"/>
          <w:szCs w:val="22"/>
        </w:rPr>
        <w:t> which increases the utility of published data and analysis;</w:t>
      </w:r>
      <w:r>
        <w:rPr>
          <w:rStyle w:val="eop"/>
          <w:rFonts w:ascii="Arial" w:hAnsi="Arial" w:cs="Arial"/>
          <w:sz w:val="22"/>
          <w:szCs w:val="22"/>
        </w:rPr>
        <w:t> </w:t>
      </w:r>
    </w:p>
    <w:p w14:paraId="07194656" w14:textId="773083A6" w:rsidR="003F193D" w:rsidRDefault="003F193D" w:rsidP="0041744E">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More </w:t>
      </w:r>
      <w:r>
        <w:rPr>
          <w:rStyle w:val="normaltextrun"/>
          <w:rFonts w:ascii="Arial" w:hAnsi="Arial" w:cs="Arial"/>
          <w:b/>
          <w:bCs/>
          <w:sz w:val="22"/>
          <w:szCs w:val="22"/>
        </w:rPr>
        <w:t>effective leadership</w:t>
      </w:r>
      <w:r>
        <w:rPr>
          <w:rStyle w:val="normaltextrun"/>
          <w:rFonts w:ascii="Arial" w:hAnsi="Arial" w:cs="Arial"/>
          <w:sz w:val="22"/>
          <w:szCs w:val="22"/>
        </w:rPr>
        <w:t> increasing the rate</w:t>
      </w:r>
      <w:r w:rsidR="00CF6D33">
        <w:rPr>
          <w:rStyle w:val="normaltextrun"/>
          <w:rFonts w:ascii="Arial" w:hAnsi="Arial" w:cs="Arial"/>
          <w:sz w:val="22"/>
          <w:szCs w:val="22"/>
        </w:rPr>
        <w:t xml:space="preserve"> and quality</w:t>
      </w:r>
      <w:r>
        <w:rPr>
          <w:rStyle w:val="normaltextrun"/>
          <w:rFonts w:ascii="Arial" w:hAnsi="Arial" w:cs="Arial"/>
          <w:sz w:val="22"/>
          <w:szCs w:val="22"/>
        </w:rPr>
        <w:t xml:space="preserve"> of data production</w:t>
      </w:r>
      <w:r w:rsidR="00CF6D33">
        <w:rPr>
          <w:rStyle w:val="normaltextrun"/>
          <w:rFonts w:ascii="Arial" w:hAnsi="Arial" w:cs="Arial"/>
          <w:sz w:val="22"/>
          <w:szCs w:val="22"/>
        </w:rPr>
        <w:t>,</w:t>
      </w:r>
      <w:r>
        <w:rPr>
          <w:rStyle w:val="normaltextrun"/>
          <w:rFonts w:ascii="Arial" w:hAnsi="Arial" w:cs="Arial"/>
          <w:sz w:val="22"/>
          <w:szCs w:val="22"/>
        </w:rPr>
        <w:t xml:space="preserve"> and </w:t>
      </w:r>
      <w:r w:rsidR="00CF6D33">
        <w:rPr>
          <w:rStyle w:val="normaltextrun"/>
          <w:rFonts w:ascii="Arial" w:hAnsi="Arial" w:cs="Arial"/>
          <w:sz w:val="22"/>
          <w:szCs w:val="22"/>
        </w:rPr>
        <w:t xml:space="preserve">staff </w:t>
      </w:r>
      <w:proofErr w:type="gramStart"/>
      <w:r>
        <w:rPr>
          <w:rStyle w:val="normaltextrun"/>
          <w:rFonts w:ascii="Arial" w:hAnsi="Arial" w:cs="Arial"/>
          <w:sz w:val="22"/>
          <w:szCs w:val="22"/>
        </w:rPr>
        <w:t>morale;</w:t>
      </w:r>
      <w:proofErr w:type="gramEnd"/>
      <w:r>
        <w:rPr>
          <w:rStyle w:val="eop"/>
          <w:rFonts w:ascii="Arial" w:hAnsi="Arial" w:cs="Arial"/>
          <w:sz w:val="22"/>
          <w:szCs w:val="22"/>
        </w:rPr>
        <w:t> </w:t>
      </w:r>
    </w:p>
    <w:p w14:paraId="6FAC070A" w14:textId="590B9BB9" w:rsidR="003F193D" w:rsidRDefault="003F193D" w:rsidP="0041744E">
      <w:pPr>
        <w:pStyle w:val="paragraph"/>
        <w:numPr>
          <w:ilvl w:val="0"/>
          <w:numId w:val="3"/>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Adherence to international standards allowing for better cross-country comparison and improving efficiency</w:t>
      </w:r>
      <w:r w:rsidR="00CF6D33">
        <w:rPr>
          <w:rStyle w:val="normaltextrun"/>
          <w:rFonts w:ascii="Arial" w:hAnsi="Arial" w:cs="Arial"/>
          <w:sz w:val="22"/>
          <w:szCs w:val="22"/>
        </w:rPr>
        <w:t xml:space="preserve"> and quality</w:t>
      </w:r>
      <w:r>
        <w:rPr>
          <w:rStyle w:val="normaltextrun"/>
          <w:rFonts w:ascii="Arial" w:hAnsi="Arial" w:cs="Arial"/>
          <w:sz w:val="22"/>
          <w:szCs w:val="22"/>
        </w:rPr>
        <w:t>.</w:t>
      </w:r>
      <w:r>
        <w:rPr>
          <w:rStyle w:val="eop"/>
          <w:rFonts w:ascii="Arial" w:hAnsi="Arial" w:cs="Arial"/>
          <w:sz w:val="22"/>
          <w:szCs w:val="22"/>
        </w:rPr>
        <w:t> </w:t>
      </w:r>
    </w:p>
    <w:p w14:paraId="3596F482" w14:textId="77777777" w:rsidR="003F193D" w:rsidRDefault="003F193D" w:rsidP="003F193D">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7B2EEC06" w14:textId="77777777" w:rsidR="003F193D" w:rsidRDefault="003F193D" w:rsidP="003F193D">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At the global level the proposal will:</w:t>
      </w:r>
      <w:r>
        <w:rPr>
          <w:rStyle w:val="eop"/>
          <w:rFonts w:ascii="Arial" w:hAnsi="Arial" w:cs="Arial"/>
          <w:sz w:val="22"/>
          <w:szCs w:val="22"/>
        </w:rPr>
        <w:t> </w:t>
      </w:r>
    </w:p>
    <w:p w14:paraId="5221A959" w14:textId="77777777" w:rsidR="003F193D" w:rsidRDefault="003F193D" w:rsidP="003F193D">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706AAF3E" w14:textId="77777777" w:rsidR="003F193D" w:rsidRDefault="003F193D" w:rsidP="0041744E">
      <w:pPr>
        <w:pStyle w:val="paragraph"/>
        <w:numPr>
          <w:ilvl w:val="0"/>
          <w:numId w:val="4"/>
        </w:numPr>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Share UK expertise in digitally enabled, data driven decision making</w:t>
      </w:r>
      <w:r>
        <w:rPr>
          <w:rStyle w:val="normaltextrun"/>
          <w:rFonts w:ascii="Arial" w:hAnsi="Arial" w:cs="Arial"/>
          <w:sz w:val="22"/>
          <w:szCs w:val="22"/>
        </w:rPr>
        <w:t>, helping less developed and middle-income countries achieve the SDGs, while also establishing international influence for HMG priorities.</w:t>
      </w:r>
      <w:r>
        <w:rPr>
          <w:rStyle w:val="eop"/>
          <w:rFonts w:ascii="Arial" w:hAnsi="Arial" w:cs="Arial"/>
          <w:sz w:val="22"/>
          <w:szCs w:val="22"/>
        </w:rPr>
        <w:t> </w:t>
      </w:r>
    </w:p>
    <w:p w14:paraId="47D1DDA7" w14:textId="77777777" w:rsidR="003F193D" w:rsidRDefault="003F193D" w:rsidP="0041744E">
      <w:pPr>
        <w:pStyle w:val="paragraph"/>
        <w:numPr>
          <w:ilvl w:val="0"/>
          <w:numId w:val="4"/>
        </w:numPr>
        <w:spacing w:before="0" w:beforeAutospacing="0" w:after="0" w:afterAutospacing="0"/>
        <w:jc w:val="both"/>
        <w:textAlignment w:val="baseline"/>
        <w:rPr>
          <w:rFonts w:ascii="Humnst777 BT" w:hAnsi="Humnst777 BT" w:cs="Arial"/>
        </w:rPr>
      </w:pPr>
      <w:r w:rsidRPr="00D86B53">
        <w:rPr>
          <w:rStyle w:val="normaltextrun"/>
          <w:rFonts w:ascii="Arial" w:hAnsi="Arial" w:cs="Arial"/>
          <w:b/>
          <w:bCs/>
          <w:sz w:val="22"/>
          <w:szCs w:val="22"/>
        </w:rPr>
        <w:t>Ensure the UK is at the forefron</w:t>
      </w:r>
      <w:r>
        <w:rPr>
          <w:rStyle w:val="normaltextrun"/>
          <w:rFonts w:ascii="Arial" w:hAnsi="Arial" w:cs="Arial"/>
          <w:sz w:val="22"/>
          <w:szCs w:val="22"/>
        </w:rPr>
        <w:t>t of new digital and data innovations;</w:t>
      </w:r>
      <w:r>
        <w:rPr>
          <w:rStyle w:val="normaltextrun"/>
          <w:rFonts w:ascii="Humnst777 BT" w:hAnsi="Humnst777 BT" w:cs="Arial"/>
        </w:rPr>
        <w:t> </w:t>
      </w:r>
      <w:r>
        <w:rPr>
          <w:rStyle w:val="eop"/>
          <w:rFonts w:ascii="Humnst777 BT" w:hAnsi="Humnst777 BT" w:cs="Arial"/>
        </w:rPr>
        <w:t> </w:t>
      </w:r>
    </w:p>
    <w:p w14:paraId="59311A85" w14:textId="2361F71A" w:rsidR="003F193D" w:rsidRDefault="003F193D" w:rsidP="0041744E">
      <w:pPr>
        <w:pStyle w:val="paragraph"/>
        <w:numPr>
          <w:ilvl w:val="0"/>
          <w:numId w:val="4"/>
        </w:numPr>
        <w:spacing w:before="0" w:beforeAutospacing="0" w:after="0" w:afterAutospacing="0"/>
        <w:jc w:val="both"/>
        <w:textAlignment w:val="baseline"/>
        <w:rPr>
          <w:rFonts w:ascii="Arial" w:hAnsi="Arial" w:cs="Arial"/>
          <w:sz w:val="22"/>
          <w:szCs w:val="22"/>
        </w:rPr>
      </w:pPr>
      <w:r w:rsidRPr="00D86B53">
        <w:rPr>
          <w:rStyle w:val="normaltextrun"/>
          <w:rFonts w:ascii="Arial" w:hAnsi="Arial" w:cs="Arial"/>
          <w:b/>
          <w:bCs/>
          <w:color w:val="000000"/>
          <w:sz w:val="22"/>
          <w:szCs w:val="22"/>
        </w:rPr>
        <w:t>Drive the</w:t>
      </w:r>
      <w:r w:rsidRPr="00D86B53">
        <w:rPr>
          <w:rStyle w:val="normaltextrun"/>
          <w:rFonts w:ascii="Arial" w:hAnsi="Arial" w:cs="Arial"/>
          <w:b/>
          <w:bCs/>
          <w:sz w:val="22"/>
          <w:szCs w:val="22"/>
        </w:rPr>
        <w:t> use of Sustainable Development Goals (SDGs)</w:t>
      </w:r>
      <w:r>
        <w:rPr>
          <w:rStyle w:val="normaltextrun"/>
          <w:rFonts w:ascii="Arial" w:hAnsi="Arial" w:cs="Arial"/>
          <w:sz w:val="22"/>
          <w:szCs w:val="22"/>
        </w:rPr>
        <w:t xml:space="preserve"> and their central aim to put citizens first and “leave no one</w:t>
      </w:r>
      <w:r w:rsidR="00AB273F">
        <w:rPr>
          <w:rStyle w:val="normaltextrun"/>
          <w:rFonts w:ascii="Arial" w:hAnsi="Arial" w:cs="Arial"/>
          <w:sz w:val="22"/>
          <w:szCs w:val="22"/>
        </w:rPr>
        <w:t xml:space="preserve"> and </w:t>
      </w:r>
      <w:proofErr w:type="spellStart"/>
      <w:r w:rsidR="00AB273F">
        <w:rPr>
          <w:rStyle w:val="normaltextrun"/>
          <w:rFonts w:ascii="Arial" w:hAnsi="Arial" w:cs="Arial"/>
          <w:sz w:val="22"/>
          <w:szCs w:val="22"/>
        </w:rPr>
        <w:t>no where</w:t>
      </w:r>
      <w:proofErr w:type="spellEnd"/>
      <w:r>
        <w:rPr>
          <w:rStyle w:val="normaltextrun"/>
          <w:rFonts w:ascii="Arial" w:hAnsi="Arial" w:cs="Arial"/>
          <w:sz w:val="22"/>
          <w:szCs w:val="22"/>
        </w:rPr>
        <w:t xml:space="preserve"> behind</w:t>
      </w:r>
      <w:proofErr w:type="gramStart"/>
      <w:r>
        <w:rPr>
          <w:rStyle w:val="normaltextrun"/>
          <w:rFonts w:ascii="Arial" w:hAnsi="Arial" w:cs="Arial"/>
          <w:sz w:val="22"/>
          <w:szCs w:val="22"/>
        </w:rPr>
        <w:t>”;</w:t>
      </w:r>
      <w:proofErr w:type="gramEnd"/>
      <w:r>
        <w:rPr>
          <w:rStyle w:val="eop"/>
          <w:rFonts w:ascii="Arial" w:hAnsi="Arial" w:cs="Arial"/>
          <w:sz w:val="22"/>
          <w:szCs w:val="22"/>
        </w:rPr>
        <w:t> </w:t>
      </w:r>
    </w:p>
    <w:p w14:paraId="4BD34BC3" w14:textId="77777777" w:rsidR="003F193D" w:rsidRDefault="003F193D" w:rsidP="0041744E">
      <w:pPr>
        <w:pStyle w:val="paragraph"/>
        <w:numPr>
          <w:ilvl w:val="0"/>
          <w:numId w:val="4"/>
        </w:numPr>
        <w:spacing w:before="0" w:beforeAutospacing="0" w:after="0" w:afterAutospacing="0"/>
        <w:jc w:val="both"/>
        <w:textAlignment w:val="baseline"/>
        <w:rPr>
          <w:rFonts w:ascii="Arial" w:hAnsi="Arial" w:cs="Arial"/>
          <w:sz w:val="22"/>
          <w:szCs w:val="22"/>
        </w:rPr>
      </w:pPr>
      <w:r w:rsidRPr="00D86B53">
        <w:rPr>
          <w:rStyle w:val="normaltextrun"/>
          <w:rFonts w:ascii="Arial" w:hAnsi="Arial" w:cs="Arial"/>
          <w:b/>
          <w:bCs/>
          <w:color w:val="000000"/>
          <w:sz w:val="22"/>
          <w:szCs w:val="22"/>
        </w:rPr>
        <w:t>Support </w:t>
      </w:r>
      <w:r w:rsidRPr="00D86B53">
        <w:rPr>
          <w:rStyle w:val="normaltextrun"/>
          <w:rFonts w:ascii="Arial" w:hAnsi="Arial" w:cs="Arial"/>
          <w:b/>
          <w:bCs/>
          <w:sz w:val="22"/>
          <w:szCs w:val="22"/>
        </w:rPr>
        <w:t>emergency responses</w:t>
      </w:r>
      <w:r>
        <w:rPr>
          <w:rStyle w:val="normaltextrun"/>
          <w:rFonts w:ascii="Arial" w:hAnsi="Arial" w:cs="Arial"/>
          <w:sz w:val="22"/>
          <w:szCs w:val="22"/>
        </w:rPr>
        <w:t>, and the operational delivery of ODA programmes, making sure the FCDO itself has the capability so that data can be used to make evidence-based decisions;</w:t>
      </w:r>
      <w:r>
        <w:rPr>
          <w:rStyle w:val="eop"/>
          <w:rFonts w:ascii="Arial" w:hAnsi="Arial" w:cs="Arial"/>
          <w:sz w:val="22"/>
          <w:szCs w:val="22"/>
        </w:rPr>
        <w:t> </w:t>
      </w:r>
    </w:p>
    <w:p w14:paraId="040E63D1" w14:textId="2D398379" w:rsidR="003F193D" w:rsidRPr="00EE1163" w:rsidRDefault="003F193D" w:rsidP="0041744E">
      <w:pPr>
        <w:pStyle w:val="paragraph"/>
        <w:numPr>
          <w:ilvl w:val="0"/>
          <w:numId w:val="4"/>
        </w:numPr>
        <w:spacing w:before="0" w:beforeAutospacing="0" w:after="0" w:afterAutospacing="0"/>
        <w:jc w:val="both"/>
        <w:textAlignment w:val="baseline"/>
        <w:rPr>
          <w:rStyle w:val="eop"/>
          <w:rFonts w:ascii="Arial" w:hAnsi="Arial" w:cs="Arial"/>
          <w:sz w:val="22"/>
          <w:szCs w:val="22"/>
        </w:rPr>
      </w:pPr>
      <w:r w:rsidRPr="00D86B53">
        <w:rPr>
          <w:rStyle w:val="normaltextrun"/>
          <w:rFonts w:ascii="Arial" w:hAnsi="Arial" w:cs="Arial"/>
          <w:b/>
          <w:bCs/>
          <w:color w:val="000000"/>
          <w:sz w:val="22"/>
          <w:szCs w:val="22"/>
        </w:rPr>
        <w:t xml:space="preserve">Ensure the UK </w:t>
      </w:r>
      <w:r w:rsidR="00D86B53">
        <w:rPr>
          <w:rStyle w:val="normaltextrun"/>
          <w:rFonts w:ascii="Arial" w:hAnsi="Arial" w:cs="Arial"/>
          <w:b/>
          <w:bCs/>
          <w:color w:val="000000"/>
          <w:sz w:val="22"/>
          <w:szCs w:val="22"/>
        </w:rPr>
        <w:t>l</w:t>
      </w:r>
      <w:r w:rsidRPr="00D86B53">
        <w:rPr>
          <w:rStyle w:val="normaltextrun"/>
          <w:rFonts w:ascii="Arial" w:hAnsi="Arial" w:cs="Arial"/>
          <w:b/>
          <w:bCs/>
          <w:color w:val="000000"/>
          <w:sz w:val="22"/>
          <w:szCs w:val="22"/>
        </w:rPr>
        <w:t>eads</w:t>
      </w:r>
      <w:r>
        <w:rPr>
          <w:rStyle w:val="normaltextrun"/>
          <w:rFonts w:ascii="Arial" w:hAnsi="Arial" w:cs="Arial"/>
          <w:color w:val="000000"/>
          <w:sz w:val="22"/>
          <w:szCs w:val="22"/>
        </w:rPr>
        <w:t xml:space="preserve"> the way in data regulation, </w:t>
      </w:r>
      <w:r w:rsidR="00D86B53">
        <w:rPr>
          <w:rStyle w:val="normaltextrun"/>
          <w:rFonts w:ascii="Arial" w:hAnsi="Arial" w:cs="Arial"/>
          <w:color w:val="000000"/>
          <w:sz w:val="22"/>
          <w:szCs w:val="22"/>
        </w:rPr>
        <w:t>improve</w:t>
      </w:r>
      <w:r>
        <w:rPr>
          <w:rStyle w:val="normaltextrun"/>
          <w:rFonts w:ascii="Arial" w:hAnsi="Arial" w:cs="Arial"/>
          <w:color w:val="000000"/>
          <w:sz w:val="22"/>
          <w:szCs w:val="22"/>
        </w:rPr>
        <w:t xml:space="preserve"> standards and increase the use of ethics;</w:t>
      </w:r>
      <w:r>
        <w:rPr>
          <w:rStyle w:val="eop"/>
          <w:rFonts w:ascii="Arial" w:hAnsi="Arial" w:cs="Arial"/>
          <w:color w:val="000000"/>
          <w:sz w:val="22"/>
          <w:szCs w:val="22"/>
        </w:rPr>
        <w:t> </w:t>
      </w:r>
    </w:p>
    <w:p w14:paraId="3717F296" w14:textId="77777777" w:rsidR="003F193D" w:rsidRDefault="003F193D" w:rsidP="003F193D">
      <w:pPr>
        <w:pStyle w:val="paragraph"/>
        <w:spacing w:before="0" w:beforeAutospacing="0" w:after="0" w:afterAutospacing="0"/>
        <w:jc w:val="both"/>
        <w:textAlignment w:val="baseline"/>
        <w:rPr>
          <w:rStyle w:val="eop"/>
          <w:rFonts w:ascii="Arial" w:hAnsi="Arial" w:cs="Arial"/>
          <w:color w:val="000000"/>
          <w:sz w:val="22"/>
          <w:szCs w:val="22"/>
        </w:rPr>
      </w:pPr>
    </w:p>
    <w:p w14:paraId="1D0E0266" w14:textId="4B175FD8" w:rsidR="00AD029B" w:rsidRDefault="00AD029B" w:rsidP="00AD029B">
      <w:pPr>
        <w:pStyle w:val="paragraph"/>
        <w:spacing w:before="0" w:beforeAutospacing="0" w:after="0" w:afterAutospacing="0"/>
        <w:textAlignment w:val="baseline"/>
        <w:rPr>
          <w:rFonts w:ascii="Segoe UI" w:hAnsi="Segoe UI" w:cs="Segoe UI"/>
          <w:sz w:val="18"/>
          <w:szCs w:val="18"/>
        </w:rPr>
      </w:pPr>
    </w:p>
    <w:p w14:paraId="3667B8F7" w14:textId="7497EA74" w:rsidR="00B21F43" w:rsidRPr="00CE580C" w:rsidRDefault="0013223D" w:rsidP="0013223D">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 xml:space="preserve">B.  </w:t>
      </w:r>
      <w:r w:rsidR="00B21F43" w:rsidRPr="00CE580C">
        <w:rPr>
          <w:rStyle w:val="eop"/>
          <w:rFonts w:ascii="Arial" w:hAnsi="Arial" w:cs="Arial"/>
          <w:b/>
          <w:bCs/>
          <w:sz w:val="22"/>
          <w:szCs w:val="22"/>
        </w:rPr>
        <w:t xml:space="preserve">How support will </w:t>
      </w:r>
      <w:r w:rsidR="00CE580C" w:rsidRPr="00CE580C">
        <w:rPr>
          <w:rStyle w:val="eop"/>
          <w:rFonts w:ascii="Arial" w:hAnsi="Arial" w:cs="Arial"/>
          <w:b/>
          <w:bCs/>
          <w:sz w:val="22"/>
          <w:szCs w:val="22"/>
        </w:rPr>
        <w:t>be delivered</w:t>
      </w:r>
    </w:p>
    <w:p w14:paraId="7EC7682C" w14:textId="42F46D60" w:rsidR="00B21F43" w:rsidRPr="00CE580C" w:rsidRDefault="00B21F43" w:rsidP="00AD029B">
      <w:pPr>
        <w:pStyle w:val="paragraph"/>
        <w:spacing w:before="0" w:beforeAutospacing="0" w:after="0" w:afterAutospacing="0"/>
        <w:textAlignment w:val="baseline"/>
        <w:rPr>
          <w:rStyle w:val="eop"/>
          <w:rFonts w:ascii="Arial" w:hAnsi="Arial" w:cs="Arial"/>
          <w:b/>
          <w:bCs/>
          <w:sz w:val="22"/>
          <w:szCs w:val="22"/>
        </w:rPr>
      </w:pPr>
    </w:p>
    <w:p w14:paraId="59DF8261" w14:textId="77777777" w:rsidR="00B21F43" w:rsidRDefault="00B21F43" w:rsidP="00B21F4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have built up an effective model of:</w:t>
      </w:r>
      <w:r>
        <w:rPr>
          <w:rStyle w:val="eop"/>
          <w:rFonts w:ascii="Arial" w:hAnsi="Arial" w:cs="Arial"/>
          <w:sz w:val="22"/>
          <w:szCs w:val="22"/>
        </w:rPr>
        <w:t> </w:t>
      </w:r>
    </w:p>
    <w:p w14:paraId="6E99A88A" w14:textId="77777777" w:rsidR="00B21F43" w:rsidRDefault="00B21F43" w:rsidP="00B21F43">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7E3A627" w14:textId="1C66A1D2" w:rsidR="00B21F43" w:rsidRDefault="00B21F43" w:rsidP="0041744E">
      <w:pPr>
        <w:pStyle w:val="paragraph"/>
        <w:numPr>
          <w:ilvl w:val="0"/>
          <w:numId w:val="5"/>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“Tier 1 partnerships</w:t>
      </w:r>
      <w:r>
        <w:rPr>
          <w:rStyle w:val="normaltextrun"/>
          <w:rFonts w:ascii="Arial" w:hAnsi="Arial" w:cs="Arial"/>
          <w:sz w:val="22"/>
          <w:szCs w:val="22"/>
        </w:rPr>
        <w:t>” with NSIs in FCDO priority countries in Sub-Sahara Africa, and in one case with a pan African statistical body; these take a broad strategic approach to supporting statistical modernisation in the partner organisation and by working regionally we have been able to maximise impact.</w:t>
      </w:r>
      <w:r>
        <w:rPr>
          <w:rStyle w:val="eop"/>
          <w:rFonts w:ascii="Arial" w:hAnsi="Arial" w:cs="Arial"/>
          <w:sz w:val="22"/>
          <w:szCs w:val="22"/>
        </w:rPr>
        <w:t> </w:t>
      </w:r>
    </w:p>
    <w:p w14:paraId="285AC76A" w14:textId="77777777" w:rsidR="00CE580C" w:rsidRDefault="00CE580C" w:rsidP="00CE580C">
      <w:pPr>
        <w:pStyle w:val="paragraph"/>
        <w:spacing w:before="0" w:beforeAutospacing="0" w:after="0" w:afterAutospacing="0"/>
        <w:jc w:val="both"/>
        <w:textAlignment w:val="baseline"/>
        <w:rPr>
          <w:rFonts w:ascii="Arial" w:hAnsi="Arial" w:cs="Arial"/>
          <w:sz w:val="22"/>
          <w:szCs w:val="22"/>
        </w:rPr>
      </w:pPr>
    </w:p>
    <w:p w14:paraId="1369EEED" w14:textId="3DA0E3FB" w:rsidR="00B21F43" w:rsidRDefault="00B21F43" w:rsidP="0041744E">
      <w:pPr>
        <w:pStyle w:val="paragraph"/>
        <w:numPr>
          <w:ilvl w:val="0"/>
          <w:numId w:val="5"/>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“Tier 2 partnerships”</w:t>
      </w:r>
      <w:r>
        <w:rPr>
          <w:rStyle w:val="normaltextrun"/>
          <w:rFonts w:ascii="Arial" w:hAnsi="Arial" w:cs="Arial"/>
          <w:sz w:val="22"/>
          <w:szCs w:val="22"/>
        </w:rPr>
        <w:t> are more focussed scope, these are effective alongside larger FCDO or other donor projects – with the ONS bringing in specific peer-to-peer expertise. </w:t>
      </w:r>
      <w:r>
        <w:rPr>
          <w:rStyle w:val="eop"/>
          <w:rFonts w:ascii="Arial" w:hAnsi="Arial" w:cs="Arial"/>
          <w:sz w:val="22"/>
          <w:szCs w:val="22"/>
        </w:rPr>
        <w:t> </w:t>
      </w:r>
    </w:p>
    <w:p w14:paraId="6056F00B" w14:textId="77777777" w:rsidR="00CE580C" w:rsidRDefault="00CE580C" w:rsidP="00CE580C">
      <w:pPr>
        <w:pStyle w:val="paragraph"/>
        <w:spacing w:before="0" w:beforeAutospacing="0" w:after="0" w:afterAutospacing="0"/>
        <w:jc w:val="both"/>
        <w:textAlignment w:val="baseline"/>
        <w:rPr>
          <w:rFonts w:ascii="Arial" w:hAnsi="Arial" w:cs="Arial"/>
          <w:sz w:val="22"/>
          <w:szCs w:val="22"/>
        </w:rPr>
      </w:pPr>
    </w:p>
    <w:p w14:paraId="61FFBBE2" w14:textId="167A0610" w:rsidR="00B21F43" w:rsidRDefault="00B21F43" w:rsidP="0041744E">
      <w:pPr>
        <w:pStyle w:val="paragraph"/>
        <w:numPr>
          <w:ilvl w:val="0"/>
          <w:numId w:val="5"/>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“Global programmes”</w:t>
      </w:r>
      <w:r>
        <w:rPr>
          <w:rStyle w:val="normaltextrun"/>
          <w:rFonts w:ascii="Arial" w:hAnsi="Arial" w:cs="Arial"/>
          <w:sz w:val="22"/>
          <w:szCs w:val="22"/>
        </w:rPr>
        <w:t> where we are open to supporting other (ODA eligible) countries with ONS skills or ‘products’ which are in global demand; 4 main areas of support to date: </w:t>
      </w:r>
      <w:r>
        <w:rPr>
          <w:rStyle w:val="eop"/>
          <w:rFonts w:ascii="Arial" w:hAnsi="Arial" w:cs="Arial"/>
          <w:sz w:val="22"/>
          <w:szCs w:val="22"/>
        </w:rPr>
        <w:t> </w:t>
      </w:r>
    </w:p>
    <w:p w14:paraId="624756F2" w14:textId="77777777" w:rsidR="00CE580C" w:rsidRDefault="00CE580C" w:rsidP="00CE580C">
      <w:pPr>
        <w:pStyle w:val="paragraph"/>
        <w:spacing w:before="0" w:beforeAutospacing="0" w:after="0" w:afterAutospacing="0"/>
        <w:jc w:val="both"/>
        <w:textAlignment w:val="baseline"/>
        <w:rPr>
          <w:rFonts w:ascii="Arial" w:hAnsi="Arial" w:cs="Arial"/>
          <w:sz w:val="22"/>
          <w:szCs w:val="22"/>
        </w:rPr>
      </w:pPr>
    </w:p>
    <w:p w14:paraId="2AD7B960" w14:textId="5C8EEA6C" w:rsidR="00B21F43" w:rsidRDefault="00B21F43" w:rsidP="00026E73">
      <w:pPr>
        <w:pStyle w:val="paragraph"/>
        <w:numPr>
          <w:ilvl w:val="1"/>
          <w:numId w:val="5"/>
        </w:numPr>
        <w:spacing w:before="0" w:beforeAutospacing="0" w:after="0" w:afterAutospacing="0"/>
        <w:jc w:val="both"/>
        <w:textAlignment w:val="baseline"/>
        <w:rPr>
          <w:rStyle w:val="eop"/>
          <w:rFonts w:ascii="Arial" w:hAnsi="Arial" w:cs="Arial"/>
          <w:sz w:val="22"/>
          <w:szCs w:val="22"/>
        </w:rPr>
      </w:pPr>
      <w:r w:rsidRPr="0360E2C0">
        <w:rPr>
          <w:rStyle w:val="normaltextrun"/>
          <w:rFonts w:ascii="Arial" w:hAnsi="Arial" w:cs="Arial"/>
          <w:b/>
          <w:bCs/>
          <w:sz w:val="22"/>
          <w:szCs w:val="22"/>
        </w:rPr>
        <w:t>Data science</w:t>
      </w:r>
      <w:r w:rsidRPr="0360E2C0">
        <w:rPr>
          <w:rStyle w:val="normaltextrun"/>
          <w:rFonts w:ascii="Arial" w:hAnsi="Arial" w:cs="Arial"/>
          <w:sz w:val="22"/>
          <w:szCs w:val="22"/>
        </w:rPr>
        <w:t>: showcasing why data science is valuable for NSIs and for international development, including our well-received mentoring of new data science teams in ODA-eligible NSOs, government departments, and international organisations, </w:t>
      </w:r>
      <w:r w:rsidRPr="0360E2C0">
        <w:rPr>
          <w:rStyle w:val="eop"/>
          <w:rFonts w:ascii="Arial" w:hAnsi="Arial" w:cs="Arial"/>
          <w:sz w:val="22"/>
          <w:szCs w:val="22"/>
        </w:rPr>
        <w:t> </w:t>
      </w:r>
    </w:p>
    <w:p w14:paraId="71C41C3B" w14:textId="77777777" w:rsidR="00CE580C" w:rsidRDefault="00CE580C" w:rsidP="00026E73">
      <w:pPr>
        <w:pStyle w:val="paragraph"/>
        <w:spacing w:before="0" w:beforeAutospacing="0" w:after="0" w:afterAutospacing="0"/>
        <w:ind w:left="720"/>
        <w:jc w:val="both"/>
        <w:textAlignment w:val="baseline"/>
        <w:rPr>
          <w:rFonts w:ascii="Arial" w:hAnsi="Arial" w:cs="Arial"/>
          <w:sz w:val="22"/>
          <w:szCs w:val="22"/>
        </w:rPr>
      </w:pPr>
    </w:p>
    <w:p w14:paraId="30EF5D69" w14:textId="65DF7886" w:rsidR="00B21F43" w:rsidRDefault="00B21F43" w:rsidP="00026E73">
      <w:pPr>
        <w:pStyle w:val="paragraph"/>
        <w:numPr>
          <w:ilvl w:val="1"/>
          <w:numId w:val="5"/>
        </w:numPr>
        <w:spacing w:before="0" w:beforeAutospacing="0" w:after="0" w:afterAutospacing="0"/>
        <w:jc w:val="both"/>
        <w:textAlignment w:val="baseline"/>
        <w:rPr>
          <w:rFonts w:ascii="Arial" w:hAnsi="Arial" w:cs="Arial"/>
          <w:sz w:val="22"/>
          <w:szCs w:val="22"/>
        </w:rPr>
      </w:pPr>
      <w:r w:rsidRPr="0360E2C0">
        <w:rPr>
          <w:rStyle w:val="normaltextrun"/>
          <w:rFonts w:ascii="Arial" w:hAnsi="Arial" w:cs="Arial"/>
          <w:b/>
          <w:bCs/>
          <w:sz w:val="22"/>
          <w:szCs w:val="22"/>
        </w:rPr>
        <w:t>SDGs:</w:t>
      </w:r>
      <w:r w:rsidRPr="0360E2C0">
        <w:rPr>
          <w:rStyle w:val="normaltextrun"/>
          <w:rFonts w:ascii="Arial" w:hAnsi="Arial" w:cs="Arial"/>
          <w:sz w:val="22"/>
          <w:szCs w:val="22"/>
        </w:rPr>
        <w:t> UK/US </w:t>
      </w:r>
      <w:hyperlink r:id="rId13">
        <w:r w:rsidRPr="0360E2C0">
          <w:rPr>
            <w:rStyle w:val="normaltextrun"/>
            <w:rFonts w:ascii="Arial" w:hAnsi="Arial" w:cs="Arial"/>
            <w:color w:val="0563C1"/>
            <w:sz w:val="22"/>
            <w:szCs w:val="22"/>
            <w:u w:val="single"/>
          </w:rPr>
          <w:t>Open SDG platform</w:t>
        </w:r>
      </w:hyperlink>
      <w:r w:rsidRPr="0360E2C0">
        <w:rPr>
          <w:rStyle w:val="normaltextrun"/>
          <w:rFonts w:ascii="Arial" w:hAnsi="Arial" w:cs="Arial"/>
          <w:sz w:val="22"/>
          <w:szCs w:val="22"/>
        </w:rPr>
        <w:t> fully available for all to copy; support available for ODA eligible countries, support to countries developing and implementing Inclusive Data Action Plans;</w:t>
      </w:r>
      <w:r w:rsidRPr="0360E2C0">
        <w:rPr>
          <w:rStyle w:val="eop"/>
          <w:rFonts w:ascii="Arial" w:hAnsi="Arial" w:cs="Arial"/>
          <w:sz w:val="22"/>
          <w:szCs w:val="22"/>
        </w:rPr>
        <w:t> </w:t>
      </w:r>
    </w:p>
    <w:p w14:paraId="0373E67C" w14:textId="77777777" w:rsidR="00D86B53" w:rsidRDefault="00D86B53" w:rsidP="00026E73">
      <w:pPr>
        <w:pStyle w:val="paragraph"/>
        <w:spacing w:before="0" w:beforeAutospacing="0" w:after="0" w:afterAutospacing="0"/>
        <w:ind w:left="720"/>
        <w:jc w:val="both"/>
        <w:textAlignment w:val="baseline"/>
        <w:rPr>
          <w:rStyle w:val="normaltextrun"/>
          <w:rFonts w:ascii="Arial" w:hAnsi="Arial" w:cs="Arial"/>
          <w:b/>
          <w:bCs/>
          <w:sz w:val="22"/>
          <w:szCs w:val="22"/>
        </w:rPr>
      </w:pPr>
    </w:p>
    <w:p w14:paraId="69DF4E33" w14:textId="1D5FE8D5" w:rsidR="00B21F43" w:rsidRDefault="00B21F43" w:rsidP="00026E73">
      <w:pPr>
        <w:pStyle w:val="paragraph"/>
        <w:numPr>
          <w:ilvl w:val="1"/>
          <w:numId w:val="5"/>
        </w:numPr>
        <w:spacing w:before="0" w:beforeAutospacing="0" w:after="0" w:afterAutospacing="0"/>
        <w:jc w:val="both"/>
        <w:textAlignment w:val="baseline"/>
        <w:rPr>
          <w:rStyle w:val="eop"/>
          <w:rFonts w:ascii="Arial" w:hAnsi="Arial" w:cs="Arial"/>
          <w:sz w:val="22"/>
          <w:szCs w:val="22"/>
        </w:rPr>
      </w:pPr>
      <w:r w:rsidRPr="0360E2C0">
        <w:rPr>
          <w:rStyle w:val="normaltextrun"/>
          <w:rFonts w:ascii="Arial" w:hAnsi="Arial" w:cs="Arial"/>
          <w:b/>
          <w:bCs/>
          <w:sz w:val="22"/>
          <w:szCs w:val="22"/>
        </w:rPr>
        <w:t>Economic stats</w:t>
      </w:r>
      <w:r w:rsidRPr="0360E2C0">
        <w:rPr>
          <w:rStyle w:val="normaltextrun"/>
          <w:rFonts w:ascii="Arial" w:hAnsi="Arial" w:cs="Arial"/>
          <w:sz w:val="22"/>
          <w:szCs w:val="22"/>
        </w:rPr>
        <w:t>: ONS technical experts available to support global projects for building economic statistics capability.</w:t>
      </w:r>
      <w:r w:rsidRPr="0360E2C0">
        <w:rPr>
          <w:rStyle w:val="eop"/>
          <w:rFonts w:ascii="Arial" w:hAnsi="Arial" w:cs="Arial"/>
          <w:sz w:val="22"/>
          <w:szCs w:val="22"/>
        </w:rPr>
        <w:t> </w:t>
      </w:r>
    </w:p>
    <w:p w14:paraId="2C17FED5" w14:textId="77777777" w:rsidR="00CE580C" w:rsidRDefault="00CE580C" w:rsidP="00026E73">
      <w:pPr>
        <w:pStyle w:val="paragraph"/>
        <w:spacing w:before="0" w:beforeAutospacing="0" w:after="0" w:afterAutospacing="0"/>
        <w:ind w:left="720"/>
        <w:jc w:val="both"/>
        <w:textAlignment w:val="baseline"/>
        <w:rPr>
          <w:rFonts w:ascii="Arial" w:hAnsi="Arial" w:cs="Arial"/>
          <w:sz w:val="22"/>
          <w:szCs w:val="22"/>
        </w:rPr>
      </w:pPr>
    </w:p>
    <w:p w14:paraId="36C7D830" w14:textId="77777777" w:rsidR="00B21F43" w:rsidRDefault="00B21F43" w:rsidP="00026E73">
      <w:pPr>
        <w:pStyle w:val="paragraph"/>
        <w:numPr>
          <w:ilvl w:val="1"/>
          <w:numId w:val="5"/>
        </w:numPr>
        <w:spacing w:before="0" w:beforeAutospacing="0" w:after="0" w:afterAutospacing="0"/>
        <w:jc w:val="both"/>
        <w:textAlignment w:val="baseline"/>
        <w:rPr>
          <w:rFonts w:ascii="Arial" w:hAnsi="Arial" w:cs="Arial"/>
          <w:sz w:val="22"/>
          <w:szCs w:val="22"/>
        </w:rPr>
      </w:pPr>
      <w:r w:rsidRPr="0360E2C0">
        <w:rPr>
          <w:rStyle w:val="normaltextrun"/>
          <w:rFonts w:ascii="Arial" w:hAnsi="Arial" w:cs="Arial"/>
          <w:sz w:val="22"/>
          <w:szCs w:val="22"/>
        </w:rPr>
        <w:t>Support </w:t>
      </w:r>
      <w:r w:rsidRPr="0360E2C0">
        <w:rPr>
          <w:rStyle w:val="normaltextrun"/>
          <w:rFonts w:ascii="Arial" w:hAnsi="Arial" w:cs="Arial"/>
          <w:b/>
          <w:bCs/>
          <w:sz w:val="22"/>
          <w:szCs w:val="22"/>
        </w:rPr>
        <w:t>ONS engagement and leadership</w:t>
      </w:r>
      <w:r w:rsidRPr="0360E2C0">
        <w:rPr>
          <w:rStyle w:val="normaltextrun"/>
          <w:rFonts w:ascii="Arial" w:hAnsi="Arial" w:cs="Arial"/>
          <w:sz w:val="22"/>
          <w:szCs w:val="22"/>
        </w:rPr>
        <w:t> in key international events and in work on best practices, for the benefit of developing countries, for example the </w:t>
      </w:r>
      <w:hyperlink r:id="rId14">
        <w:r w:rsidRPr="0360E2C0">
          <w:rPr>
            <w:rStyle w:val="normaltextrun"/>
            <w:rFonts w:ascii="Arial" w:hAnsi="Arial" w:cs="Arial"/>
            <w:color w:val="0563C1"/>
            <w:sz w:val="22"/>
            <w:szCs w:val="22"/>
            <w:u w:val="single"/>
          </w:rPr>
          <w:t>Titchfield City Group on Ageing</w:t>
        </w:r>
      </w:hyperlink>
      <w:r w:rsidRPr="0360E2C0">
        <w:rPr>
          <w:rStyle w:val="eop"/>
          <w:rFonts w:ascii="Arial" w:hAnsi="Arial" w:cs="Arial"/>
          <w:sz w:val="22"/>
          <w:szCs w:val="22"/>
        </w:rPr>
        <w:t> </w:t>
      </w:r>
    </w:p>
    <w:p w14:paraId="3614CC6D" w14:textId="77777777" w:rsidR="00B21F43" w:rsidRDefault="00B21F43" w:rsidP="00AD029B">
      <w:pPr>
        <w:pStyle w:val="paragraph"/>
        <w:spacing w:before="0" w:beforeAutospacing="0" w:after="0" w:afterAutospacing="0"/>
        <w:textAlignment w:val="baseline"/>
        <w:rPr>
          <w:rStyle w:val="eop"/>
          <w:rFonts w:ascii="Arial" w:hAnsi="Arial" w:cs="Arial"/>
          <w:sz w:val="22"/>
          <w:szCs w:val="22"/>
        </w:rPr>
      </w:pPr>
    </w:p>
    <w:p w14:paraId="7DD233F2" w14:textId="041FB58A" w:rsidR="00B21F43" w:rsidRDefault="00B21F43" w:rsidP="00AD029B">
      <w:pPr>
        <w:pStyle w:val="paragraph"/>
        <w:spacing w:before="0" w:beforeAutospacing="0" w:after="0" w:afterAutospacing="0"/>
        <w:textAlignment w:val="baseline"/>
        <w:rPr>
          <w:rStyle w:val="eop"/>
          <w:rFonts w:ascii="Arial" w:hAnsi="Arial" w:cs="Arial"/>
          <w:sz w:val="22"/>
          <w:szCs w:val="22"/>
        </w:rPr>
      </w:pPr>
    </w:p>
    <w:p w14:paraId="7B14CEB5" w14:textId="77777777" w:rsidR="00CE580C" w:rsidRDefault="00B21F43" w:rsidP="00CE580C">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Our current Tier 1 partnerships are with Kenya (where our support was fundamental to the success of their first digital census</w:t>
      </w:r>
      <w:r>
        <w:rPr>
          <w:rStyle w:val="normaltextrun"/>
          <w:rFonts w:ascii="Calibri" w:hAnsi="Calibri" w:cs="Calibri"/>
          <w:color w:val="000000"/>
          <w:sz w:val="22"/>
          <w:szCs w:val="22"/>
        </w:rPr>
        <w:t>),</w:t>
      </w:r>
      <w:r>
        <w:rPr>
          <w:rStyle w:val="normaltextrun"/>
          <w:rFonts w:ascii="Arial" w:hAnsi="Arial" w:cs="Arial"/>
          <w:color w:val="000000"/>
          <w:sz w:val="22"/>
          <w:szCs w:val="22"/>
        </w:rPr>
        <w:t> Rwanda (where we have assisted them in all aspects of building a new sustainable data science team, leading the way in Africa) and Ghana (where we have supported the development and launch of their 2020-2024 strategy, ensuring an increased focus on users and on use of their data). We also have a partnership with the UN Economic Commission for Africa (UNECA), with their Africa Centre for Statistics. By supporting the UNECA, as well as three leading NSIs in Africa, we have been able to ensure ideas and progress can be shared and have a multiplier effect, this has particularly been evident in our work to support censuses across the continent</w:t>
      </w:r>
      <w:r w:rsidR="00CE580C">
        <w:rPr>
          <w:rStyle w:val="normaltextrun"/>
          <w:rFonts w:ascii="Arial" w:hAnsi="Arial" w:cs="Arial"/>
          <w:color w:val="000000"/>
          <w:sz w:val="22"/>
          <w:szCs w:val="22"/>
        </w:rPr>
        <w:t>.</w:t>
      </w:r>
    </w:p>
    <w:p w14:paraId="1D381BDC" w14:textId="77777777" w:rsidR="00CE580C" w:rsidRDefault="00CE580C" w:rsidP="00CE580C">
      <w:pPr>
        <w:pStyle w:val="paragraph"/>
        <w:spacing w:before="0" w:beforeAutospacing="0" w:after="0" w:afterAutospacing="0"/>
        <w:textAlignment w:val="baseline"/>
        <w:rPr>
          <w:rStyle w:val="normaltextrun"/>
          <w:rFonts w:ascii="Arial" w:hAnsi="Arial" w:cs="Arial"/>
          <w:color w:val="000000"/>
          <w:sz w:val="22"/>
          <w:szCs w:val="22"/>
        </w:rPr>
      </w:pPr>
    </w:p>
    <w:p w14:paraId="56358AFF" w14:textId="6F2692D5" w:rsidR="00B21F43" w:rsidRPr="00D86B53" w:rsidRDefault="00B21F43" w:rsidP="00CE580C">
      <w:pPr>
        <w:pStyle w:val="paragraph"/>
        <w:spacing w:before="0" w:beforeAutospacing="0" w:after="0" w:afterAutospacing="0"/>
        <w:textAlignment w:val="baseline"/>
        <w:rPr>
          <w:rStyle w:val="eop"/>
          <w:rFonts w:ascii="Arial" w:hAnsi="Arial" w:cs="Arial"/>
          <w:color w:val="000000"/>
          <w:sz w:val="22"/>
          <w:szCs w:val="22"/>
        </w:rPr>
      </w:pPr>
      <w:r w:rsidRPr="00D86B53">
        <w:rPr>
          <w:rStyle w:val="normaltextrun"/>
          <w:rFonts w:ascii="Arial" w:hAnsi="Arial" w:cs="Arial"/>
          <w:color w:val="000000"/>
          <w:sz w:val="22"/>
          <w:szCs w:val="22"/>
        </w:rPr>
        <w:t>The Data Science Hub has delivered mentoring to analysts within partner countries - helping to automate the production of statistics and shape projects including data science techniques and new sources of data. It is also working with FCDO colleagues and other development organisations - for example using global shipping data to explore port efficiency in East Africa and measuring livestock numbers using satellite imagery in South Sudan. The SDG team have co-developed </w:t>
      </w:r>
      <w:hyperlink r:id="rId15" w:tgtFrame="_blank" w:history="1">
        <w:r w:rsidRPr="00D86B53">
          <w:rPr>
            <w:rStyle w:val="normaltextrun"/>
            <w:rFonts w:ascii="Arial" w:hAnsi="Arial" w:cs="Arial"/>
            <w:color w:val="0000FF"/>
            <w:sz w:val="22"/>
            <w:szCs w:val="22"/>
            <w:u w:val="single"/>
          </w:rPr>
          <w:t>Open SDG</w:t>
        </w:r>
      </w:hyperlink>
      <w:r w:rsidRPr="00D86B53">
        <w:rPr>
          <w:rStyle w:val="normaltextrun"/>
          <w:rFonts w:ascii="Arial" w:hAnsi="Arial" w:cs="Arial"/>
          <w:color w:val="0000EE"/>
          <w:sz w:val="22"/>
          <w:szCs w:val="22"/>
          <w:u w:val="single"/>
        </w:rPr>
        <w:t>, </w:t>
      </w:r>
      <w:r w:rsidRPr="00D86B53">
        <w:rPr>
          <w:rStyle w:val="normaltextrun"/>
          <w:rFonts w:ascii="Arial" w:hAnsi="Arial" w:cs="Arial"/>
          <w:color w:val="000000"/>
          <w:sz w:val="22"/>
          <w:szCs w:val="22"/>
        </w:rPr>
        <w:t xml:space="preserve">an open source, free-to-reuse multilingual tool for collecting and reporting disaggregated SDG data, with the ODA funding they also support developing countries to set up their own data websites using Open SDG. Globally the tool is being used by at least 22 countries, </w:t>
      </w:r>
      <w:r w:rsidR="0013223D" w:rsidRPr="00D86B53">
        <w:rPr>
          <w:rStyle w:val="normaltextrun"/>
          <w:rFonts w:ascii="Arial" w:hAnsi="Arial" w:cs="Arial"/>
          <w:color w:val="000000"/>
          <w:sz w:val="22"/>
          <w:szCs w:val="22"/>
        </w:rPr>
        <w:t>regions,</w:t>
      </w:r>
      <w:r w:rsidRPr="00D86B53">
        <w:rPr>
          <w:rStyle w:val="normaltextrun"/>
          <w:rFonts w:ascii="Arial" w:hAnsi="Arial" w:cs="Arial"/>
          <w:color w:val="000000"/>
          <w:sz w:val="22"/>
          <w:szCs w:val="22"/>
        </w:rPr>
        <w:t xml:space="preserve"> and cities, ten of which are developing countries.</w:t>
      </w:r>
      <w:r w:rsidRPr="00D86B53">
        <w:rPr>
          <w:rStyle w:val="eop"/>
          <w:rFonts w:ascii="Arial" w:hAnsi="Arial" w:cs="Arial"/>
          <w:color w:val="000000"/>
          <w:sz w:val="22"/>
          <w:szCs w:val="22"/>
        </w:rPr>
        <w:t> </w:t>
      </w:r>
    </w:p>
    <w:p w14:paraId="4B49753B" w14:textId="5C232409" w:rsidR="003F193D" w:rsidRPr="00D86B53" w:rsidRDefault="003F193D" w:rsidP="00CE580C">
      <w:pPr>
        <w:pStyle w:val="paragraph"/>
        <w:spacing w:before="0" w:beforeAutospacing="0" w:after="0" w:afterAutospacing="0"/>
        <w:textAlignment w:val="baseline"/>
        <w:rPr>
          <w:rStyle w:val="eop"/>
          <w:rFonts w:ascii="Arial" w:hAnsi="Arial" w:cs="Arial"/>
          <w:color w:val="000000"/>
          <w:sz w:val="22"/>
          <w:szCs w:val="22"/>
        </w:rPr>
      </w:pPr>
    </w:p>
    <w:p w14:paraId="701FC2FE" w14:textId="251570CA" w:rsidR="005F4B87" w:rsidRPr="0041744E" w:rsidRDefault="0041744E" w:rsidP="005F4B87">
      <w:pPr>
        <w:rPr>
          <w:rFonts w:ascii="Arial" w:hAnsi="Arial" w:cs="Arial"/>
          <w:b/>
          <w:bCs/>
        </w:rPr>
      </w:pPr>
      <w:r w:rsidRPr="0041744E">
        <w:rPr>
          <w:rFonts w:ascii="Arial" w:hAnsi="Arial" w:cs="Arial"/>
          <w:b/>
          <w:bCs/>
        </w:rPr>
        <w:t>C.</w:t>
      </w:r>
      <w:r w:rsidR="0013223D">
        <w:rPr>
          <w:rFonts w:ascii="Arial" w:hAnsi="Arial" w:cs="Arial"/>
          <w:b/>
          <w:bCs/>
        </w:rPr>
        <w:t xml:space="preserve"> </w:t>
      </w:r>
      <w:r w:rsidR="005F4B87" w:rsidRPr="0041744E">
        <w:rPr>
          <w:rFonts w:ascii="Arial" w:hAnsi="Arial" w:cs="Arial"/>
          <w:b/>
          <w:bCs/>
        </w:rPr>
        <w:t xml:space="preserve">The programme aims to achieve the following impact and outcomes: </w:t>
      </w:r>
    </w:p>
    <w:p w14:paraId="47469E33" w14:textId="77777777" w:rsidR="005F4B87" w:rsidRPr="0041744E" w:rsidRDefault="005F4B87" w:rsidP="0360E2C0">
      <w:pPr>
        <w:pStyle w:val="paragraph"/>
        <w:spacing w:before="0" w:beforeAutospacing="0" w:after="0" w:afterAutospacing="0"/>
        <w:textAlignment w:val="baseline"/>
        <w:rPr>
          <w:rStyle w:val="normaltextrun"/>
          <w:rFonts w:ascii="Arial" w:hAnsi="Arial" w:cs="Arial"/>
          <w:b/>
          <w:bCs/>
          <w:sz w:val="22"/>
          <w:szCs w:val="22"/>
          <w:u w:val="single"/>
        </w:rPr>
      </w:pPr>
    </w:p>
    <w:tbl>
      <w:tblPr>
        <w:tblW w:w="10240" w:type="dxa"/>
        <w:tblLook w:val="04A0" w:firstRow="1" w:lastRow="0" w:firstColumn="1" w:lastColumn="0" w:noHBand="0" w:noVBand="1"/>
      </w:tblPr>
      <w:tblGrid>
        <w:gridCol w:w="567"/>
        <w:gridCol w:w="382"/>
        <w:gridCol w:w="2879"/>
        <w:gridCol w:w="992"/>
        <w:gridCol w:w="1298"/>
        <w:gridCol w:w="970"/>
        <w:gridCol w:w="709"/>
        <w:gridCol w:w="2443"/>
      </w:tblGrid>
      <w:tr w:rsidR="008233AE" w:rsidRPr="00026E73" w14:paraId="1160D254" w14:textId="77777777" w:rsidTr="008233AE">
        <w:trPr>
          <w:trHeight w:val="360"/>
        </w:trPr>
        <w:tc>
          <w:tcPr>
            <w:tcW w:w="949" w:type="dxa"/>
            <w:gridSpan w:val="2"/>
            <w:tcBorders>
              <w:top w:val="nil"/>
              <w:left w:val="nil"/>
              <w:bottom w:val="nil"/>
              <w:right w:val="nil"/>
            </w:tcBorders>
            <w:shd w:val="clear" w:color="000000" w:fill="FFFFFF"/>
            <w:vAlign w:val="center"/>
            <w:hideMark/>
          </w:tcPr>
          <w:p w14:paraId="47B7BECA" w14:textId="77777777" w:rsidR="00026E73" w:rsidRPr="00026E73" w:rsidRDefault="00026E73" w:rsidP="00026E73">
            <w:pPr>
              <w:widowControl/>
              <w:suppressAutoHyphens w:val="0"/>
              <w:autoSpaceDN/>
              <w:spacing w:before="0" w:after="0"/>
              <w:jc w:val="center"/>
              <w:textAlignment w:val="auto"/>
              <w:rPr>
                <w:rFonts w:ascii="Arial" w:eastAsia="Times New Roman" w:hAnsi="Arial" w:cs="Arial"/>
                <w:b/>
                <w:bCs/>
                <w:color w:val="auto"/>
                <w:sz w:val="20"/>
                <w:szCs w:val="20"/>
              </w:rPr>
            </w:pPr>
            <w:r w:rsidRPr="00026E73">
              <w:rPr>
                <w:rFonts w:ascii="Arial" w:eastAsia="Times New Roman" w:hAnsi="Arial" w:cs="Arial"/>
                <w:b/>
                <w:bCs/>
                <w:color w:val="auto"/>
                <w:sz w:val="20"/>
                <w:szCs w:val="20"/>
              </w:rPr>
              <w:t> </w:t>
            </w:r>
          </w:p>
        </w:tc>
        <w:tc>
          <w:tcPr>
            <w:tcW w:w="2879" w:type="dxa"/>
            <w:tcBorders>
              <w:top w:val="nil"/>
              <w:left w:val="nil"/>
              <w:bottom w:val="nil"/>
              <w:right w:val="nil"/>
            </w:tcBorders>
            <w:shd w:val="clear" w:color="000000" w:fill="FFFFFF"/>
            <w:vAlign w:val="center"/>
            <w:hideMark/>
          </w:tcPr>
          <w:p w14:paraId="6F1F3900" w14:textId="77777777" w:rsidR="00026E73" w:rsidRPr="00026E73" w:rsidRDefault="00026E73" w:rsidP="00026E73">
            <w:pPr>
              <w:widowControl/>
              <w:suppressAutoHyphens w:val="0"/>
              <w:autoSpaceDN/>
              <w:spacing w:before="0" w:after="0"/>
              <w:jc w:val="center"/>
              <w:textAlignment w:val="auto"/>
              <w:rPr>
                <w:rFonts w:ascii="Arial" w:eastAsia="Times New Roman" w:hAnsi="Arial" w:cs="Arial"/>
                <w:b/>
                <w:bCs/>
                <w:color w:val="auto"/>
                <w:sz w:val="28"/>
                <w:szCs w:val="28"/>
              </w:rPr>
            </w:pPr>
            <w:r w:rsidRPr="00026E73">
              <w:rPr>
                <w:rFonts w:ascii="Arial" w:eastAsia="Times New Roman" w:hAnsi="Arial" w:cs="Arial"/>
                <w:b/>
                <w:bCs/>
                <w:color w:val="auto"/>
                <w:sz w:val="28"/>
                <w:szCs w:val="28"/>
              </w:rPr>
              <w:t> </w:t>
            </w:r>
          </w:p>
        </w:tc>
        <w:tc>
          <w:tcPr>
            <w:tcW w:w="992" w:type="dxa"/>
            <w:tcBorders>
              <w:top w:val="nil"/>
              <w:left w:val="nil"/>
              <w:bottom w:val="nil"/>
              <w:right w:val="nil"/>
            </w:tcBorders>
            <w:shd w:val="clear" w:color="000000" w:fill="FFFFFF"/>
            <w:noWrap/>
            <w:vAlign w:val="bottom"/>
            <w:hideMark/>
          </w:tcPr>
          <w:p w14:paraId="1BDAAB3D"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1298" w:type="dxa"/>
            <w:tcBorders>
              <w:top w:val="nil"/>
              <w:left w:val="nil"/>
              <w:bottom w:val="nil"/>
              <w:right w:val="nil"/>
            </w:tcBorders>
            <w:shd w:val="clear" w:color="000000" w:fill="FFFFFF"/>
            <w:noWrap/>
            <w:vAlign w:val="bottom"/>
            <w:hideMark/>
          </w:tcPr>
          <w:p w14:paraId="2EE80EEA"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970" w:type="dxa"/>
            <w:tcBorders>
              <w:top w:val="nil"/>
              <w:left w:val="nil"/>
              <w:bottom w:val="nil"/>
              <w:right w:val="nil"/>
            </w:tcBorders>
            <w:shd w:val="clear" w:color="000000" w:fill="FFFFFF"/>
            <w:vAlign w:val="center"/>
            <w:hideMark/>
          </w:tcPr>
          <w:p w14:paraId="1790F2FD"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 </w:t>
            </w:r>
          </w:p>
        </w:tc>
        <w:tc>
          <w:tcPr>
            <w:tcW w:w="709" w:type="dxa"/>
            <w:tcBorders>
              <w:top w:val="nil"/>
              <w:left w:val="nil"/>
              <w:bottom w:val="nil"/>
              <w:right w:val="nil"/>
            </w:tcBorders>
            <w:shd w:val="clear" w:color="000000" w:fill="FFFFFF"/>
            <w:noWrap/>
            <w:vAlign w:val="bottom"/>
            <w:hideMark/>
          </w:tcPr>
          <w:p w14:paraId="2EC68E6E"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2443" w:type="dxa"/>
            <w:tcBorders>
              <w:top w:val="nil"/>
              <w:left w:val="nil"/>
              <w:bottom w:val="nil"/>
              <w:right w:val="nil"/>
            </w:tcBorders>
            <w:shd w:val="clear" w:color="000000" w:fill="FFFFFF"/>
            <w:vAlign w:val="center"/>
            <w:hideMark/>
          </w:tcPr>
          <w:p w14:paraId="1252E67C"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r>
      <w:tr w:rsidR="008233AE" w:rsidRPr="00026E73" w14:paraId="5BA8D2D5" w14:textId="77777777" w:rsidTr="008233AE">
        <w:trPr>
          <w:trHeight w:val="405"/>
        </w:trPr>
        <w:tc>
          <w:tcPr>
            <w:tcW w:w="3828" w:type="dxa"/>
            <w:gridSpan w:val="3"/>
            <w:tcBorders>
              <w:top w:val="nil"/>
              <w:left w:val="nil"/>
              <w:bottom w:val="nil"/>
              <w:right w:val="nil"/>
            </w:tcBorders>
            <w:shd w:val="clear" w:color="000000" w:fill="305496"/>
            <w:vAlign w:val="center"/>
            <w:hideMark/>
          </w:tcPr>
          <w:p w14:paraId="4A71AB98" w14:textId="77777777" w:rsidR="00026E73" w:rsidRPr="00026E73" w:rsidRDefault="00026E73" w:rsidP="00026E73">
            <w:pPr>
              <w:widowControl/>
              <w:suppressAutoHyphens w:val="0"/>
              <w:autoSpaceDN/>
              <w:spacing w:before="0" w:after="0"/>
              <w:jc w:val="center"/>
              <w:textAlignment w:val="auto"/>
              <w:rPr>
                <w:rFonts w:ascii="Arial" w:eastAsia="Times New Roman" w:hAnsi="Arial" w:cs="Arial"/>
                <w:b/>
                <w:bCs/>
                <w:color w:val="FFFFFF"/>
                <w:sz w:val="32"/>
                <w:szCs w:val="32"/>
              </w:rPr>
            </w:pPr>
            <w:r w:rsidRPr="00026E73">
              <w:rPr>
                <w:rFonts w:ascii="Arial" w:eastAsia="Times New Roman" w:hAnsi="Arial" w:cs="Arial"/>
                <w:b/>
                <w:bCs/>
                <w:color w:val="FFFFFF"/>
                <w:sz w:val="32"/>
                <w:szCs w:val="32"/>
              </w:rPr>
              <w:t>OUTPUTS</w:t>
            </w:r>
          </w:p>
        </w:tc>
        <w:tc>
          <w:tcPr>
            <w:tcW w:w="992" w:type="dxa"/>
            <w:tcBorders>
              <w:top w:val="nil"/>
              <w:left w:val="nil"/>
              <w:bottom w:val="nil"/>
              <w:right w:val="nil"/>
            </w:tcBorders>
            <w:shd w:val="clear" w:color="000000" w:fill="FFFFFF"/>
            <w:noWrap/>
            <w:vAlign w:val="bottom"/>
            <w:hideMark/>
          </w:tcPr>
          <w:p w14:paraId="05D0C036"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b/>
                <w:bCs/>
                <w:color w:val="auto"/>
                <w:sz w:val="20"/>
                <w:szCs w:val="20"/>
              </w:rPr>
            </w:pPr>
            <w:r w:rsidRPr="00026E73">
              <w:rPr>
                <w:rFonts w:ascii="Arial" w:eastAsia="Times New Roman" w:hAnsi="Arial" w:cs="Arial"/>
                <w:b/>
                <w:bCs/>
                <w:color w:val="auto"/>
                <w:sz w:val="20"/>
                <w:szCs w:val="20"/>
              </w:rPr>
              <w:t> </w:t>
            </w:r>
          </w:p>
        </w:tc>
        <w:tc>
          <w:tcPr>
            <w:tcW w:w="2268" w:type="dxa"/>
            <w:gridSpan w:val="2"/>
            <w:tcBorders>
              <w:top w:val="nil"/>
              <w:left w:val="nil"/>
              <w:bottom w:val="nil"/>
              <w:right w:val="nil"/>
            </w:tcBorders>
            <w:shd w:val="clear" w:color="000000" w:fill="305496"/>
            <w:noWrap/>
            <w:vAlign w:val="center"/>
            <w:hideMark/>
          </w:tcPr>
          <w:p w14:paraId="346A90DD" w14:textId="77777777" w:rsidR="00026E73" w:rsidRPr="00026E73" w:rsidRDefault="00026E73" w:rsidP="00026E73">
            <w:pPr>
              <w:widowControl/>
              <w:suppressAutoHyphens w:val="0"/>
              <w:autoSpaceDN/>
              <w:spacing w:before="0" w:after="0"/>
              <w:jc w:val="center"/>
              <w:textAlignment w:val="auto"/>
              <w:rPr>
                <w:rFonts w:ascii="Arial" w:eastAsia="Times New Roman" w:hAnsi="Arial" w:cs="Arial"/>
                <w:b/>
                <w:bCs/>
                <w:color w:val="FFFFFF"/>
                <w:sz w:val="32"/>
                <w:szCs w:val="32"/>
              </w:rPr>
            </w:pPr>
            <w:r w:rsidRPr="00026E73">
              <w:rPr>
                <w:rFonts w:ascii="Arial" w:eastAsia="Times New Roman" w:hAnsi="Arial" w:cs="Arial"/>
                <w:b/>
                <w:bCs/>
                <w:color w:val="FFFFFF"/>
                <w:sz w:val="32"/>
                <w:szCs w:val="32"/>
              </w:rPr>
              <w:t>OUTCOMES</w:t>
            </w:r>
          </w:p>
        </w:tc>
        <w:tc>
          <w:tcPr>
            <w:tcW w:w="709" w:type="dxa"/>
            <w:tcBorders>
              <w:top w:val="nil"/>
              <w:left w:val="nil"/>
              <w:bottom w:val="nil"/>
              <w:right w:val="nil"/>
            </w:tcBorders>
            <w:shd w:val="clear" w:color="000000" w:fill="FFFFFF"/>
            <w:noWrap/>
            <w:vAlign w:val="bottom"/>
            <w:hideMark/>
          </w:tcPr>
          <w:p w14:paraId="77443F6E"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b/>
                <w:bCs/>
                <w:color w:val="auto"/>
                <w:sz w:val="20"/>
                <w:szCs w:val="20"/>
              </w:rPr>
            </w:pPr>
            <w:r w:rsidRPr="00026E73">
              <w:rPr>
                <w:rFonts w:ascii="Arial" w:eastAsia="Times New Roman" w:hAnsi="Arial" w:cs="Arial"/>
                <w:b/>
                <w:bCs/>
                <w:color w:val="auto"/>
                <w:sz w:val="20"/>
                <w:szCs w:val="20"/>
              </w:rPr>
              <w:t> </w:t>
            </w:r>
          </w:p>
        </w:tc>
        <w:tc>
          <w:tcPr>
            <w:tcW w:w="2443" w:type="dxa"/>
            <w:tcBorders>
              <w:top w:val="nil"/>
              <w:left w:val="nil"/>
              <w:bottom w:val="nil"/>
              <w:right w:val="nil"/>
            </w:tcBorders>
            <w:shd w:val="clear" w:color="000000" w:fill="305496"/>
            <w:noWrap/>
            <w:vAlign w:val="center"/>
            <w:hideMark/>
          </w:tcPr>
          <w:p w14:paraId="1042544D" w14:textId="77777777" w:rsidR="00026E73" w:rsidRPr="00026E73" w:rsidRDefault="00026E73" w:rsidP="00026E73">
            <w:pPr>
              <w:widowControl/>
              <w:suppressAutoHyphens w:val="0"/>
              <w:autoSpaceDN/>
              <w:spacing w:before="0" w:after="0"/>
              <w:jc w:val="center"/>
              <w:textAlignment w:val="auto"/>
              <w:rPr>
                <w:rFonts w:ascii="Arial" w:eastAsia="Times New Roman" w:hAnsi="Arial" w:cs="Arial"/>
                <w:b/>
                <w:bCs/>
                <w:color w:val="FFFFFF"/>
                <w:sz w:val="32"/>
                <w:szCs w:val="32"/>
              </w:rPr>
            </w:pPr>
            <w:r w:rsidRPr="00026E73">
              <w:rPr>
                <w:rFonts w:ascii="Arial" w:eastAsia="Times New Roman" w:hAnsi="Arial" w:cs="Arial"/>
                <w:b/>
                <w:bCs/>
                <w:color w:val="FFFFFF"/>
                <w:sz w:val="32"/>
                <w:szCs w:val="32"/>
              </w:rPr>
              <w:t>IMPACT</w:t>
            </w:r>
          </w:p>
        </w:tc>
      </w:tr>
      <w:tr w:rsidR="008233AE" w:rsidRPr="00026E73" w14:paraId="23D0165F" w14:textId="77777777" w:rsidTr="008233AE">
        <w:trPr>
          <w:trHeight w:val="840"/>
        </w:trPr>
        <w:tc>
          <w:tcPr>
            <w:tcW w:w="567" w:type="dxa"/>
            <w:tcBorders>
              <w:top w:val="nil"/>
              <w:left w:val="nil"/>
              <w:bottom w:val="nil"/>
              <w:right w:val="nil"/>
            </w:tcBorders>
            <w:shd w:val="clear" w:color="000000" w:fill="D9E1F2"/>
            <w:vAlign w:val="center"/>
            <w:hideMark/>
          </w:tcPr>
          <w:p w14:paraId="76AD0C71"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1</w:t>
            </w:r>
          </w:p>
        </w:tc>
        <w:tc>
          <w:tcPr>
            <w:tcW w:w="3261" w:type="dxa"/>
            <w:gridSpan w:val="2"/>
            <w:tcBorders>
              <w:top w:val="nil"/>
              <w:left w:val="nil"/>
              <w:bottom w:val="nil"/>
              <w:right w:val="nil"/>
            </w:tcBorders>
            <w:shd w:val="clear" w:color="000000" w:fill="D9E1F2"/>
            <w:vAlign w:val="center"/>
            <w:hideMark/>
          </w:tcPr>
          <w:p w14:paraId="67C34DCC"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Maintain 4 effective ‘Tier 1’ partnerships, supporting statistical modernisation comprehensively in the partner country</w:t>
            </w:r>
          </w:p>
        </w:tc>
        <w:tc>
          <w:tcPr>
            <w:tcW w:w="992" w:type="dxa"/>
            <w:tcBorders>
              <w:top w:val="nil"/>
              <w:left w:val="nil"/>
              <w:bottom w:val="nil"/>
              <w:right w:val="nil"/>
            </w:tcBorders>
            <w:shd w:val="clear" w:color="000000" w:fill="FFFFFF"/>
            <w:noWrap/>
            <w:vAlign w:val="center"/>
            <w:hideMark/>
          </w:tcPr>
          <w:p w14:paraId="4A8C89F6"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2268" w:type="dxa"/>
            <w:gridSpan w:val="2"/>
            <w:vMerge w:val="restart"/>
            <w:tcBorders>
              <w:top w:val="nil"/>
              <w:left w:val="nil"/>
              <w:bottom w:val="nil"/>
              <w:right w:val="nil"/>
            </w:tcBorders>
            <w:shd w:val="clear" w:color="000000" w:fill="D9E1F2"/>
            <w:vAlign w:val="center"/>
            <w:hideMark/>
          </w:tcPr>
          <w:p w14:paraId="56D2D4C6" w14:textId="66BE9D5C" w:rsidR="00026E73" w:rsidRDefault="009D02C9" w:rsidP="00026E73">
            <w:pPr>
              <w:widowControl/>
              <w:suppressAutoHyphens w:val="0"/>
              <w:autoSpaceDN/>
              <w:spacing w:before="0" w:after="0"/>
              <w:jc w:val="center"/>
              <w:textAlignment w:val="auto"/>
              <w:rPr>
                <w:rFonts w:asciiTheme="minorHAnsi" w:eastAsia="Times New Roman" w:hAnsiTheme="minorHAnsi" w:cstheme="minorHAnsi"/>
                <w:color w:val="auto"/>
              </w:rPr>
            </w:pPr>
            <w:r>
              <w:rPr>
                <w:rFonts w:asciiTheme="minorHAnsi" w:eastAsia="Times New Roman" w:hAnsiTheme="minorHAnsi" w:cstheme="minorHAnsi"/>
                <w:color w:val="auto"/>
              </w:rPr>
              <w:t>Partners</w:t>
            </w:r>
            <w:r w:rsidR="00026E73" w:rsidRPr="00026E73">
              <w:rPr>
                <w:rFonts w:asciiTheme="minorHAnsi" w:eastAsia="Times New Roman" w:hAnsiTheme="minorHAnsi" w:cstheme="minorHAnsi"/>
                <w:color w:val="auto"/>
              </w:rPr>
              <w:t xml:space="preserve"> produce more trustworth</w:t>
            </w:r>
            <w:r w:rsidR="008233AE">
              <w:rPr>
                <w:rFonts w:asciiTheme="minorHAnsi" w:eastAsia="Times New Roman" w:hAnsiTheme="minorHAnsi" w:cstheme="minorHAnsi"/>
                <w:color w:val="auto"/>
              </w:rPr>
              <w:t>y</w:t>
            </w:r>
            <w:r w:rsidR="00026E73" w:rsidRPr="00026E73">
              <w:rPr>
                <w:rFonts w:asciiTheme="minorHAnsi" w:eastAsia="Times New Roman" w:hAnsiTheme="minorHAnsi" w:cstheme="minorHAnsi"/>
                <w:color w:val="auto"/>
              </w:rPr>
              <w:t xml:space="preserve">, high quality and valuable </w:t>
            </w:r>
            <w:proofErr w:type="gramStart"/>
            <w:r w:rsidR="00026E73" w:rsidRPr="00026E73">
              <w:rPr>
                <w:rFonts w:asciiTheme="minorHAnsi" w:eastAsia="Times New Roman" w:hAnsiTheme="minorHAnsi" w:cstheme="minorHAnsi"/>
                <w:color w:val="auto"/>
              </w:rPr>
              <w:t>data</w:t>
            </w:r>
            <w:r w:rsidR="008233AE">
              <w:rPr>
                <w:rFonts w:asciiTheme="minorHAnsi" w:eastAsia="Times New Roman" w:hAnsiTheme="minorHAnsi" w:cstheme="minorHAnsi"/>
                <w:color w:val="auto"/>
              </w:rPr>
              <w:t>;</w:t>
            </w:r>
            <w:proofErr w:type="gramEnd"/>
          </w:p>
          <w:p w14:paraId="0C959011" w14:textId="26E26895" w:rsidR="008233AE" w:rsidRPr="00026E73" w:rsidRDefault="008233AE" w:rsidP="00026E73">
            <w:pPr>
              <w:widowControl/>
              <w:suppressAutoHyphens w:val="0"/>
              <w:autoSpaceDN/>
              <w:spacing w:before="0" w:after="0"/>
              <w:jc w:val="center"/>
              <w:textAlignment w:val="auto"/>
              <w:rPr>
                <w:rFonts w:asciiTheme="minorHAnsi" w:eastAsia="Times New Roman" w:hAnsiTheme="minorHAnsi" w:cstheme="minorHAnsi"/>
                <w:color w:val="auto"/>
              </w:rPr>
            </w:pPr>
          </w:p>
        </w:tc>
        <w:tc>
          <w:tcPr>
            <w:tcW w:w="709" w:type="dxa"/>
            <w:tcBorders>
              <w:top w:val="nil"/>
              <w:left w:val="nil"/>
              <w:bottom w:val="nil"/>
              <w:right w:val="nil"/>
            </w:tcBorders>
            <w:shd w:val="clear" w:color="000000" w:fill="FFFFFF"/>
            <w:noWrap/>
            <w:vAlign w:val="center"/>
            <w:hideMark/>
          </w:tcPr>
          <w:p w14:paraId="60C48CA7" w14:textId="77777777" w:rsidR="00026E73" w:rsidRPr="00026E73" w:rsidRDefault="00026E73" w:rsidP="00026E73">
            <w:pPr>
              <w:widowControl/>
              <w:suppressAutoHyphens w:val="0"/>
              <w:autoSpaceDN/>
              <w:spacing w:before="0" w:after="0"/>
              <w:jc w:val="left"/>
              <w:textAlignment w:val="auto"/>
              <w:rPr>
                <w:rFonts w:asciiTheme="minorHAnsi" w:eastAsia="Times New Roman" w:hAnsiTheme="minorHAnsi" w:cstheme="minorHAnsi"/>
                <w:color w:val="auto"/>
              </w:rPr>
            </w:pPr>
            <w:r w:rsidRPr="00026E73">
              <w:rPr>
                <w:rFonts w:asciiTheme="minorHAnsi" w:eastAsia="Times New Roman" w:hAnsiTheme="minorHAnsi" w:cstheme="minorHAnsi"/>
                <w:color w:val="auto"/>
              </w:rPr>
              <w:t> </w:t>
            </w:r>
          </w:p>
        </w:tc>
        <w:tc>
          <w:tcPr>
            <w:tcW w:w="2443" w:type="dxa"/>
            <w:vMerge w:val="restart"/>
            <w:tcBorders>
              <w:top w:val="nil"/>
              <w:left w:val="nil"/>
              <w:bottom w:val="nil"/>
              <w:right w:val="nil"/>
            </w:tcBorders>
            <w:shd w:val="clear" w:color="000000" w:fill="D9E1F2"/>
            <w:vAlign w:val="center"/>
            <w:hideMark/>
          </w:tcPr>
          <w:p w14:paraId="6F54D083" w14:textId="4BD5DFBC" w:rsidR="00026E73" w:rsidRPr="00026E73" w:rsidRDefault="00026E73" w:rsidP="00026E73">
            <w:pPr>
              <w:widowControl/>
              <w:suppressAutoHyphens w:val="0"/>
              <w:autoSpaceDN/>
              <w:spacing w:before="0" w:after="0"/>
              <w:jc w:val="center"/>
              <w:textAlignment w:val="auto"/>
              <w:rPr>
                <w:rFonts w:asciiTheme="minorHAnsi" w:eastAsia="Times New Roman" w:hAnsiTheme="minorHAnsi" w:cstheme="minorHAnsi"/>
                <w:color w:val="auto"/>
              </w:rPr>
            </w:pPr>
            <w:r w:rsidRPr="00026E73">
              <w:rPr>
                <w:rFonts w:asciiTheme="minorHAnsi" w:eastAsia="Times New Roman" w:hAnsiTheme="minorHAnsi" w:cstheme="minorHAnsi"/>
                <w:color w:val="auto"/>
              </w:rPr>
              <w:t>The production of better statistics, which in turn (i) leads to improved user-engagement, (ii) better policies and decision making, and so (iii) improves the sustainability of NSOs</w:t>
            </w:r>
            <w:r w:rsidR="009D02C9">
              <w:rPr>
                <w:rFonts w:asciiTheme="minorHAnsi" w:eastAsia="Times New Roman" w:hAnsiTheme="minorHAnsi" w:cstheme="minorHAnsi"/>
                <w:color w:val="auto"/>
              </w:rPr>
              <w:t xml:space="preserve"> and progress towards the SDGs</w:t>
            </w:r>
          </w:p>
        </w:tc>
      </w:tr>
      <w:tr w:rsidR="008233AE" w:rsidRPr="00026E73" w14:paraId="0DF2BA6E" w14:textId="77777777" w:rsidTr="008233AE">
        <w:trPr>
          <w:trHeight w:val="2100"/>
        </w:trPr>
        <w:tc>
          <w:tcPr>
            <w:tcW w:w="567" w:type="dxa"/>
            <w:tcBorders>
              <w:top w:val="nil"/>
              <w:left w:val="nil"/>
              <w:bottom w:val="nil"/>
              <w:right w:val="nil"/>
            </w:tcBorders>
            <w:shd w:val="clear" w:color="000000" w:fill="D9E1F2"/>
            <w:vAlign w:val="center"/>
            <w:hideMark/>
          </w:tcPr>
          <w:p w14:paraId="00F6F9D5"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2</w:t>
            </w:r>
          </w:p>
        </w:tc>
        <w:tc>
          <w:tcPr>
            <w:tcW w:w="3261" w:type="dxa"/>
            <w:gridSpan w:val="2"/>
            <w:tcBorders>
              <w:top w:val="nil"/>
              <w:left w:val="nil"/>
              <w:bottom w:val="nil"/>
              <w:right w:val="nil"/>
            </w:tcBorders>
            <w:shd w:val="clear" w:color="000000" w:fill="D9E1F2"/>
            <w:vAlign w:val="center"/>
            <w:hideMark/>
          </w:tcPr>
          <w:p w14:paraId="1DDB0027"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Develop and manage 3-4 Tier 2 partnerships, supporting some elements of modernisations where ONS can add strategic value</w:t>
            </w:r>
          </w:p>
        </w:tc>
        <w:tc>
          <w:tcPr>
            <w:tcW w:w="992" w:type="dxa"/>
            <w:tcBorders>
              <w:top w:val="nil"/>
              <w:left w:val="nil"/>
              <w:bottom w:val="nil"/>
              <w:right w:val="nil"/>
            </w:tcBorders>
            <w:shd w:val="clear" w:color="000000" w:fill="FFFFFF"/>
            <w:noWrap/>
            <w:vAlign w:val="center"/>
            <w:hideMark/>
          </w:tcPr>
          <w:p w14:paraId="75A18C3E" w14:textId="6F7A51C5"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noProof/>
              </w:rPr>
              <mc:AlternateContent>
                <mc:Choice Requires="wps">
                  <w:drawing>
                    <wp:anchor distT="0" distB="0" distL="114300" distR="114300" simplePos="0" relativeHeight="251657216" behindDoc="0" locked="0" layoutInCell="1" allowOverlap="1" wp14:anchorId="291AD81F" wp14:editId="60607521">
                      <wp:simplePos x="0" y="0"/>
                      <wp:positionH relativeFrom="column">
                        <wp:posOffset>57150</wp:posOffset>
                      </wp:positionH>
                      <wp:positionV relativeFrom="paragraph">
                        <wp:posOffset>152400</wp:posOffset>
                      </wp:positionV>
                      <wp:extent cx="361950" cy="781050"/>
                      <wp:effectExtent l="0" t="38100" r="38100" b="57150"/>
                      <wp:wrapNone/>
                      <wp:docPr id="2" name="Arrow: Right 2">
                        <a:extLst xmlns:a="http://schemas.openxmlformats.org/drawingml/2006/main">
                          <a:ext uri="{FF2B5EF4-FFF2-40B4-BE49-F238E27FC236}">
                            <a16:creationId xmlns:a16="http://schemas.microsoft.com/office/drawing/2014/main" id="{8B0F5F2A-CAB8-45D4-A9E7-B47F6B88AD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7729"/>
                              </a:xfrm>
                              <a:prstGeom prst="rightArrow">
                                <a:avLst>
                                  <a:gd name="adj1" fmla="val 50000"/>
                                  <a:gd name="adj2" fmla="val 23611"/>
                                </a:avLst>
                              </a:prstGeom>
                              <a:solidFill>
                                <a:srgbClr val="376092"/>
                              </a:solidFill>
                              <a:ln w="9525">
                                <a:solidFill>
                                  <a:srgbClr val="333399"/>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5F408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5pt;margin-top:12pt;width:28.5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" adj="19700" fillcolor="#376092" strokecolor="#339"/>
                  </w:pict>
                </mc:Fallback>
              </mc:AlternateContent>
            </w:r>
          </w:p>
        </w:tc>
        <w:tc>
          <w:tcPr>
            <w:tcW w:w="2268" w:type="dxa"/>
            <w:gridSpan w:val="2"/>
            <w:vMerge/>
            <w:tcBorders>
              <w:top w:val="nil"/>
              <w:left w:val="nil"/>
              <w:bottom w:val="nil"/>
              <w:right w:val="nil"/>
            </w:tcBorders>
            <w:vAlign w:val="center"/>
            <w:hideMark/>
          </w:tcPr>
          <w:p w14:paraId="518E1514"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p>
        </w:tc>
        <w:tc>
          <w:tcPr>
            <w:tcW w:w="709" w:type="dxa"/>
            <w:tcBorders>
              <w:top w:val="nil"/>
              <w:left w:val="nil"/>
              <w:bottom w:val="nil"/>
              <w:right w:val="nil"/>
            </w:tcBorders>
            <w:shd w:val="clear" w:color="000000" w:fill="FFFFFF"/>
            <w:noWrap/>
            <w:vAlign w:val="center"/>
            <w:hideMark/>
          </w:tcPr>
          <w:p w14:paraId="52CB8DBC" w14:textId="5DC5495B"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r w:rsidRPr="00026E73">
              <w:rPr>
                <w:rFonts w:ascii="Arial" w:eastAsia="Times New Roman" w:hAnsi="Arial" w:cs="Arial"/>
                <w:noProof/>
                <w:color w:val="auto"/>
                <w:sz w:val="20"/>
                <w:szCs w:val="20"/>
              </w:rPr>
              <mc:AlternateContent>
                <mc:Choice Requires="wps">
                  <w:drawing>
                    <wp:anchor distT="0" distB="0" distL="114300" distR="114300" simplePos="0" relativeHeight="251658240" behindDoc="0" locked="0" layoutInCell="1" allowOverlap="1" wp14:anchorId="05E1EFC3" wp14:editId="633E07FC">
                      <wp:simplePos x="0" y="0"/>
                      <wp:positionH relativeFrom="column">
                        <wp:posOffset>85725</wp:posOffset>
                      </wp:positionH>
                      <wp:positionV relativeFrom="paragraph">
                        <wp:posOffset>152400</wp:posOffset>
                      </wp:positionV>
                      <wp:extent cx="361950" cy="781050"/>
                      <wp:effectExtent l="0" t="38100" r="38100" b="57150"/>
                      <wp:wrapNone/>
                      <wp:docPr id="3" name="Arrow: Right 3">
                        <a:extLst xmlns:a="http://schemas.openxmlformats.org/drawingml/2006/main">
                          <a:ext uri="{FF2B5EF4-FFF2-40B4-BE49-F238E27FC236}">
                            <a16:creationId xmlns:a16="http://schemas.microsoft.com/office/drawing/2014/main" id="{51487255-DEB9-4D51-B293-F9CCDDA663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7729"/>
                              </a:xfrm>
                              <a:prstGeom prst="rightArrow">
                                <a:avLst>
                                  <a:gd name="adj1" fmla="val 50000"/>
                                  <a:gd name="adj2" fmla="val 23611"/>
                                </a:avLst>
                              </a:prstGeom>
                              <a:solidFill>
                                <a:srgbClr val="376092"/>
                              </a:solidFill>
                              <a:ln w="9525">
                                <a:solidFill>
                                  <a:srgbClr val="333399"/>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563114" id="Arrow: Right 3" o:spid="_x0000_s1026" type="#_x0000_t13" style="position:absolute;margin-left:6.75pt;margin-top:12pt;width:2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" adj="19700" fillcolor="#376092" strokecolor="#339"/>
                  </w:pict>
                </mc:Fallback>
              </mc:AlternateContent>
            </w:r>
          </w:p>
        </w:tc>
        <w:tc>
          <w:tcPr>
            <w:tcW w:w="2443" w:type="dxa"/>
            <w:vMerge/>
            <w:tcBorders>
              <w:top w:val="nil"/>
              <w:left w:val="nil"/>
              <w:bottom w:val="nil"/>
              <w:right w:val="nil"/>
            </w:tcBorders>
            <w:vAlign w:val="center"/>
            <w:hideMark/>
          </w:tcPr>
          <w:p w14:paraId="66094D98"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p>
        </w:tc>
      </w:tr>
      <w:tr w:rsidR="008233AE" w:rsidRPr="00026E73" w14:paraId="75554ECD" w14:textId="77777777" w:rsidTr="008233AE">
        <w:trPr>
          <w:trHeight w:val="600"/>
        </w:trPr>
        <w:tc>
          <w:tcPr>
            <w:tcW w:w="567" w:type="dxa"/>
            <w:tcBorders>
              <w:top w:val="nil"/>
              <w:left w:val="nil"/>
              <w:bottom w:val="nil"/>
              <w:right w:val="nil"/>
            </w:tcBorders>
            <w:shd w:val="clear" w:color="000000" w:fill="D9E1F2"/>
            <w:vAlign w:val="center"/>
            <w:hideMark/>
          </w:tcPr>
          <w:p w14:paraId="33E6CB41"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3</w:t>
            </w:r>
          </w:p>
        </w:tc>
        <w:tc>
          <w:tcPr>
            <w:tcW w:w="3261" w:type="dxa"/>
            <w:gridSpan w:val="2"/>
            <w:tcBorders>
              <w:top w:val="nil"/>
              <w:left w:val="nil"/>
              <w:bottom w:val="nil"/>
              <w:right w:val="nil"/>
            </w:tcBorders>
            <w:shd w:val="clear" w:color="000000" w:fill="D9E1F2"/>
            <w:vAlign w:val="center"/>
            <w:hideMark/>
          </w:tcPr>
          <w:p w14:paraId="3810466B"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Global good and HMG ODA data science support:</w:t>
            </w:r>
          </w:p>
        </w:tc>
        <w:tc>
          <w:tcPr>
            <w:tcW w:w="992" w:type="dxa"/>
            <w:tcBorders>
              <w:top w:val="nil"/>
              <w:left w:val="nil"/>
              <w:bottom w:val="nil"/>
              <w:right w:val="nil"/>
            </w:tcBorders>
            <w:shd w:val="clear" w:color="000000" w:fill="FFFFFF"/>
            <w:noWrap/>
            <w:vAlign w:val="center"/>
            <w:hideMark/>
          </w:tcPr>
          <w:p w14:paraId="636A4D7D"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2268" w:type="dxa"/>
            <w:gridSpan w:val="2"/>
            <w:vMerge w:val="restart"/>
            <w:tcBorders>
              <w:top w:val="nil"/>
              <w:left w:val="nil"/>
              <w:bottom w:val="nil"/>
              <w:right w:val="nil"/>
            </w:tcBorders>
            <w:shd w:val="clear" w:color="000000" w:fill="D9E1F2"/>
            <w:vAlign w:val="center"/>
            <w:hideMark/>
          </w:tcPr>
          <w:p w14:paraId="002B8D5B" w14:textId="77777777" w:rsidR="00026E73" w:rsidRPr="00026E73" w:rsidRDefault="00026E73" w:rsidP="00026E73">
            <w:pPr>
              <w:widowControl/>
              <w:suppressAutoHyphens w:val="0"/>
              <w:autoSpaceDN/>
              <w:spacing w:before="0" w:after="0"/>
              <w:jc w:val="center"/>
              <w:textAlignment w:val="auto"/>
              <w:rPr>
                <w:rFonts w:asciiTheme="minorHAnsi" w:eastAsia="Times New Roman" w:hAnsiTheme="minorHAnsi" w:cstheme="minorHAnsi"/>
                <w:color w:val="auto"/>
              </w:rPr>
            </w:pPr>
            <w:r w:rsidRPr="00026E73">
              <w:rPr>
                <w:rFonts w:asciiTheme="minorHAnsi" w:eastAsia="Times New Roman" w:hAnsiTheme="minorHAnsi" w:cstheme="minorHAnsi"/>
                <w:color w:val="auto"/>
              </w:rPr>
              <w:t>Improved institutional capacity and sustainability within partner NSOs</w:t>
            </w:r>
          </w:p>
        </w:tc>
        <w:tc>
          <w:tcPr>
            <w:tcW w:w="709" w:type="dxa"/>
            <w:tcBorders>
              <w:top w:val="nil"/>
              <w:left w:val="nil"/>
              <w:bottom w:val="nil"/>
              <w:right w:val="nil"/>
            </w:tcBorders>
            <w:shd w:val="clear" w:color="000000" w:fill="FFFFFF"/>
            <w:noWrap/>
            <w:vAlign w:val="center"/>
            <w:hideMark/>
          </w:tcPr>
          <w:p w14:paraId="21DA807A"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r w:rsidRPr="00026E73">
              <w:rPr>
                <w:rFonts w:ascii="Arial" w:eastAsia="Times New Roman" w:hAnsi="Arial" w:cs="Arial"/>
                <w:color w:val="auto"/>
                <w:sz w:val="20"/>
                <w:szCs w:val="20"/>
              </w:rPr>
              <w:t> </w:t>
            </w:r>
          </w:p>
        </w:tc>
        <w:tc>
          <w:tcPr>
            <w:tcW w:w="2443" w:type="dxa"/>
            <w:vMerge/>
            <w:tcBorders>
              <w:top w:val="nil"/>
              <w:left w:val="nil"/>
              <w:bottom w:val="nil"/>
              <w:right w:val="nil"/>
            </w:tcBorders>
            <w:vAlign w:val="center"/>
            <w:hideMark/>
          </w:tcPr>
          <w:p w14:paraId="567F8670"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p>
        </w:tc>
      </w:tr>
      <w:tr w:rsidR="008233AE" w:rsidRPr="00026E73" w14:paraId="3A472B28" w14:textId="77777777" w:rsidTr="008233AE">
        <w:trPr>
          <w:trHeight w:val="1500"/>
        </w:trPr>
        <w:tc>
          <w:tcPr>
            <w:tcW w:w="567" w:type="dxa"/>
            <w:tcBorders>
              <w:top w:val="nil"/>
              <w:left w:val="nil"/>
              <w:bottom w:val="nil"/>
              <w:right w:val="nil"/>
            </w:tcBorders>
            <w:shd w:val="clear" w:color="000000" w:fill="D9E1F2"/>
            <w:vAlign w:val="center"/>
            <w:hideMark/>
          </w:tcPr>
          <w:p w14:paraId="64BCFFB0"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4</w:t>
            </w:r>
          </w:p>
        </w:tc>
        <w:tc>
          <w:tcPr>
            <w:tcW w:w="3261" w:type="dxa"/>
            <w:gridSpan w:val="2"/>
            <w:tcBorders>
              <w:top w:val="nil"/>
              <w:left w:val="nil"/>
              <w:bottom w:val="nil"/>
              <w:right w:val="nil"/>
            </w:tcBorders>
            <w:shd w:val="clear" w:color="000000" w:fill="D9E1F2"/>
            <w:vAlign w:val="center"/>
            <w:hideMark/>
          </w:tcPr>
          <w:p w14:paraId="41A9EE76" w14:textId="77777777" w:rsidR="00026E73" w:rsidRPr="00026E73" w:rsidRDefault="00026E73" w:rsidP="00026E73">
            <w:pPr>
              <w:widowControl/>
              <w:suppressAutoHyphens w:val="0"/>
              <w:autoSpaceDN/>
              <w:spacing w:before="0" w:after="0"/>
              <w:jc w:val="center"/>
              <w:textAlignment w:val="auto"/>
              <w:rPr>
                <w:rFonts w:eastAsia="Times New Roman"/>
              </w:rPr>
            </w:pPr>
            <w:r w:rsidRPr="00026E73">
              <w:rPr>
                <w:rFonts w:eastAsia="Times New Roman"/>
              </w:rPr>
              <w:t>Support to other (ODA eligible) countries with ONS skills or ‘products’ which are in global demand</w:t>
            </w:r>
          </w:p>
        </w:tc>
        <w:tc>
          <w:tcPr>
            <w:tcW w:w="992" w:type="dxa"/>
            <w:tcBorders>
              <w:top w:val="nil"/>
              <w:left w:val="nil"/>
              <w:bottom w:val="nil"/>
              <w:right w:val="nil"/>
            </w:tcBorders>
            <w:shd w:val="clear" w:color="000000" w:fill="FFFFFF"/>
            <w:noWrap/>
            <w:vAlign w:val="bottom"/>
            <w:hideMark/>
          </w:tcPr>
          <w:p w14:paraId="2F2DF172"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2268" w:type="dxa"/>
            <w:gridSpan w:val="2"/>
            <w:vMerge/>
            <w:tcBorders>
              <w:top w:val="nil"/>
              <w:left w:val="nil"/>
              <w:bottom w:val="nil"/>
              <w:right w:val="nil"/>
            </w:tcBorders>
            <w:vAlign w:val="center"/>
            <w:hideMark/>
          </w:tcPr>
          <w:p w14:paraId="10946E52"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p>
        </w:tc>
        <w:tc>
          <w:tcPr>
            <w:tcW w:w="709" w:type="dxa"/>
            <w:tcBorders>
              <w:top w:val="nil"/>
              <w:left w:val="nil"/>
              <w:bottom w:val="nil"/>
              <w:right w:val="nil"/>
            </w:tcBorders>
            <w:shd w:val="clear" w:color="000000" w:fill="FFFFFF"/>
            <w:noWrap/>
            <w:vAlign w:val="bottom"/>
            <w:hideMark/>
          </w:tcPr>
          <w:p w14:paraId="2958F357" w14:textId="77777777" w:rsidR="00026E73" w:rsidRPr="00026E73" w:rsidRDefault="00026E73" w:rsidP="00026E73">
            <w:pPr>
              <w:widowControl/>
              <w:suppressAutoHyphens w:val="0"/>
              <w:autoSpaceDN/>
              <w:spacing w:before="0" w:after="0"/>
              <w:jc w:val="left"/>
              <w:textAlignment w:val="auto"/>
              <w:rPr>
                <w:rFonts w:eastAsia="Times New Roman"/>
              </w:rPr>
            </w:pPr>
            <w:r w:rsidRPr="00026E73">
              <w:rPr>
                <w:rFonts w:eastAsia="Times New Roman"/>
              </w:rPr>
              <w:t> </w:t>
            </w:r>
          </w:p>
        </w:tc>
        <w:tc>
          <w:tcPr>
            <w:tcW w:w="2443" w:type="dxa"/>
            <w:vMerge/>
            <w:tcBorders>
              <w:top w:val="nil"/>
              <w:left w:val="nil"/>
              <w:bottom w:val="nil"/>
              <w:right w:val="nil"/>
            </w:tcBorders>
            <w:vAlign w:val="center"/>
            <w:hideMark/>
          </w:tcPr>
          <w:p w14:paraId="547C293F" w14:textId="77777777" w:rsidR="00026E73" w:rsidRPr="00026E73" w:rsidRDefault="00026E73" w:rsidP="00026E73">
            <w:pPr>
              <w:widowControl/>
              <w:suppressAutoHyphens w:val="0"/>
              <w:autoSpaceDN/>
              <w:spacing w:before="0" w:after="0"/>
              <w:jc w:val="left"/>
              <w:textAlignment w:val="auto"/>
              <w:rPr>
                <w:rFonts w:ascii="Arial" w:eastAsia="Times New Roman" w:hAnsi="Arial" w:cs="Arial"/>
                <w:color w:val="auto"/>
                <w:sz w:val="20"/>
                <w:szCs w:val="20"/>
              </w:rPr>
            </w:pPr>
          </w:p>
        </w:tc>
      </w:tr>
    </w:tbl>
    <w:p w14:paraId="79BD0045" w14:textId="7A4694F8" w:rsidR="005F4B87" w:rsidRDefault="005F4B87" w:rsidP="0360E2C0">
      <w:pPr>
        <w:pStyle w:val="paragraph"/>
        <w:spacing w:before="0" w:beforeAutospacing="0" w:after="0" w:afterAutospacing="0"/>
        <w:textAlignment w:val="baseline"/>
        <w:rPr>
          <w:rStyle w:val="normaltextrun"/>
          <w:rFonts w:ascii="Arial" w:hAnsi="Arial" w:cs="Arial"/>
          <w:b/>
          <w:bCs/>
          <w:sz w:val="22"/>
          <w:szCs w:val="22"/>
          <w:u w:val="single"/>
        </w:rPr>
      </w:pPr>
    </w:p>
    <w:p w14:paraId="0881BC93" w14:textId="77777777" w:rsidR="005F4B87" w:rsidRDefault="005F4B87" w:rsidP="00EE193E">
      <w:pPr>
        <w:pStyle w:val="paragraph"/>
        <w:spacing w:before="0" w:beforeAutospacing="0" w:after="0" w:afterAutospacing="0"/>
        <w:textAlignment w:val="baseline"/>
        <w:rPr>
          <w:rStyle w:val="normaltextrun"/>
          <w:rFonts w:ascii="Arial" w:hAnsi="Arial" w:cs="Arial"/>
          <w:b/>
          <w:bCs/>
          <w:sz w:val="22"/>
          <w:szCs w:val="22"/>
          <w:u w:val="single"/>
        </w:rPr>
      </w:pPr>
    </w:p>
    <w:p w14:paraId="3C6BC5E2" w14:textId="77777777" w:rsidR="005F4B87" w:rsidRDefault="005F4B87" w:rsidP="00EE193E">
      <w:pPr>
        <w:pStyle w:val="paragraph"/>
        <w:spacing w:before="0" w:beforeAutospacing="0" w:after="0" w:afterAutospacing="0"/>
        <w:textAlignment w:val="baseline"/>
        <w:rPr>
          <w:rStyle w:val="normaltextrun"/>
          <w:rFonts w:ascii="Arial" w:hAnsi="Arial" w:cs="Arial"/>
          <w:b/>
          <w:bCs/>
          <w:sz w:val="22"/>
          <w:szCs w:val="22"/>
          <w:u w:val="single"/>
        </w:rPr>
      </w:pPr>
    </w:p>
    <w:p w14:paraId="09CF8C0D" w14:textId="77777777" w:rsidR="00033209" w:rsidRDefault="00033209" w:rsidP="00EE193E">
      <w:pPr>
        <w:pStyle w:val="paragraph"/>
        <w:spacing w:before="0" w:beforeAutospacing="0" w:after="0" w:afterAutospacing="0"/>
        <w:textAlignment w:val="baseline"/>
        <w:rPr>
          <w:rStyle w:val="normaltextrun"/>
          <w:rFonts w:ascii="Arial" w:hAnsi="Arial" w:cs="Arial"/>
          <w:b/>
          <w:bCs/>
          <w:sz w:val="22"/>
          <w:szCs w:val="22"/>
          <w:u w:val="single"/>
        </w:rPr>
      </w:pPr>
    </w:p>
    <w:p w14:paraId="7705CB3F" w14:textId="349FED91" w:rsidR="00EE193E" w:rsidRPr="0041744E" w:rsidRDefault="001761C5" w:rsidP="00EE19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D</w:t>
      </w:r>
      <w:r w:rsidR="004B6860">
        <w:rPr>
          <w:rStyle w:val="normaltextrun"/>
          <w:rFonts w:ascii="Arial" w:hAnsi="Arial" w:cs="Arial"/>
          <w:b/>
          <w:bCs/>
          <w:sz w:val="22"/>
          <w:szCs w:val="22"/>
        </w:rPr>
        <w:t xml:space="preserve">. </w:t>
      </w:r>
      <w:r w:rsidR="00EE193E" w:rsidRPr="0041744E">
        <w:rPr>
          <w:rStyle w:val="normaltextrun"/>
          <w:rFonts w:ascii="Arial" w:hAnsi="Arial" w:cs="Arial"/>
          <w:b/>
          <w:bCs/>
          <w:sz w:val="22"/>
          <w:szCs w:val="22"/>
        </w:rPr>
        <w:t>Evidence</w:t>
      </w:r>
      <w:r w:rsidR="003F193D" w:rsidRPr="0041744E">
        <w:rPr>
          <w:rStyle w:val="normaltextrun"/>
          <w:rFonts w:ascii="Arial" w:hAnsi="Arial" w:cs="Arial"/>
          <w:b/>
          <w:bCs/>
          <w:sz w:val="22"/>
          <w:szCs w:val="22"/>
        </w:rPr>
        <w:t xml:space="preserve"> to support proposal</w:t>
      </w:r>
      <w:r w:rsidR="00EE193E" w:rsidRPr="0041744E">
        <w:rPr>
          <w:rStyle w:val="normaltextrun"/>
          <w:rFonts w:ascii="Arial" w:hAnsi="Arial" w:cs="Arial"/>
          <w:b/>
          <w:bCs/>
          <w:sz w:val="22"/>
          <w:szCs w:val="22"/>
        </w:rPr>
        <w:t>:</w:t>
      </w:r>
      <w:r w:rsidR="00EE193E" w:rsidRPr="0041744E">
        <w:rPr>
          <w:rStyle w:val="eop"/>
          <w:rFonts w:ascii="Arial" w:hAnsi="Arial" w:cs="Arial"/>
          <w:sz w:val="22"/>
          <w:szCs w:val="22"/>
        </w:rPr>
        <w:t> </w:t>
      </w:r>
    </w:p>
    <w:p w14:paraId="34532C32"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D33AD3"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proposal builds on the success of our current programme which have shown that the UK is able to have influence because partner NSIs see the ONS as a like-minded, peer partner. Feedback shows our approach has been influential in delivering important results regarding how they operate, and that ONS work is making sustainable changes with potential to deliver more in many other areas. This approach involves rigorous scoping followed up by medium-term, true peer-to-peer working, with an embedded strategic adviser based in country. The ONS has filled a clear gap by focussing on the ‘softer side’ of managing a National Statistical System effectively e.g. communications, stakeholder engagement and ensuring policy relevant analysis as well as technical support. These are core factors in ensuring the data produced is relevant and is used effectively for policy making.</w:t>
      </w:r>
      <w:r>
        <w:rPr>
          <w:rStyle w:val="eop"/>
          <w:rFonts w:ascii="Arial" w:hAnsi="Arial" w:cs="Arial"/>
          <w:sz w:val="22"/>
          <w:szCs w:val="22"/>
        </w:rPr>
        <w:t> </w:t>
      </w:r>
    </w:p>
    <w:p w14:paraId="4384A77D"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1A438C"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There is evidence of a regional multiplier effect in Sub-Saharan Africa, which shows this work is more powerful when we make linkages between our different partners e.g.  we have linked Sierra Leone with Kenya to borrow tablets for the upcoming census, and linked partners with each other and with UNECA to improve censuses and statistical leadership.</w:t>
      </w:r>
      <w:r>
        <w:rPr>
          <w:rStyle w:val="eop"/>
          <w:rFonts w:ascii="Arial" w:hAnsi="Arial" w:cs="Arial"/>
          <w:sz w:val="22"/>
          <w:szCs w:val="22"/>
        </w:rPr>
        <w:t> </w:t>
      </w:r>
    </w:p>
    <w:p w14:paraId="319E233C"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14:paraId="1ABA7251"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These partnerships are complemented by a range of more ad hoc, and wider reaching programmes which enables the UK to use our comparative advantage to support and influence NSIs globally, increasing impact and putting us at the forefront of shaping the global debate on digital and data. </w:t>
      </w:r>
      <w:r>
        <w:rPr>
          <w:rStyle w:val="eop"/>
          <w:rFonts w:ascii="Arial" w:hAnsi="Arial" w:cs="Arial"/>
          <w:sz w:val="22"/>
          <w:szCs w:val="22"/>
        </w:rPr>
        <w:t> </w:t>
      </w:r>
    </w:p>
    <w:p w14:paraId="7DC045C5"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14:paraId="5441872F" w14:textId="45EDB2A9" w:rsidR="00EE193E" w:rsidRDefault="56CAE4CA" w:rsidP="0360E2C0">
      <w:pPr>
        <w:pStyle w:val="paragraph"/>
        <w:spacing w:before="0" w:beforeAutospacing="0" w:after="0" w:afterAutospacing="0"/>
        <w:textAlignment w:val="baseline"/>
        <w:rPr>
          <w:rFonts w:ascii="Segoe UI" w:hAnsi="Segoe UI" w:cs="Segoe UI"/>
          <w:sz w:val="18"/>
          <w:szCs w:val="18"/>
        </w:rPr>
      </w:pPr>
      <w:r w:rsidRPr="0360E2C0">
        <w:rPr>
          <w:rStyle w:val="normaltextrun"/>
          <w:rFonts w:ascii="Arial" w:hAnsi="Arial" w:cs="Arial"/>
          <w:sz w:val="22"/>
          <w:szCs w:val="22"/>
        </w:rPr>
        <w:t xml:space="preserve"> </w:t>
      </w:r>
      <w:r w:rsidR="00EE193E" w:rsidRPr="0360E2C0">
        <w:rPr>
          <w:rStyle w:val="normaltextrun"/>
          <w:rFonts w:ascii="Arial" w:hAnsi="Arial" w:cs="Arial"/>
          <w:sz w:val="22"/>
          <w:szCs w:val="22"/>
        </w:rPr>
        <w:t>There is evidence of demand from additional NSIs and FCDO offices in Sub Saharan Africa i</w:t>
      </w:r>
      <w:r w:rsidR="6439D1BE" w:rsidRPr="0360E2C0">
        <w:rPr>
          <w:rStyle w:val="normaltextrun"/>
          <w:rFonts w:ascii="Arial" w:hAnsi="Arial" w:cs="Arial"/>
          <w:sz w:val="22"/>
          <w:szCs w:val="22"/>
        </w:rPr>
        <w:t xml:space="preserve"> and beyond </w:t>
      </w:r>
      <w:r w:rsidR="00EE193E" w:rsidRPr="0360E2C0">
        <w:rPr>
          <w:rStyle w:val="normaltextrun"/>
          <w:rFonts w:ascii="Arial" w:hAnsi="Arial" w:cs="Arial"/>
          <w:sz w:val="22"/>
          <w:szCs w:val="22"/>
        </w:rPr>
        <w:t>to work with the ONS </w:t>
      </w:r>
      <w:r w:rsidR="00EE193E" w:rsidRPr="0360E2C0">
        <w:rPr>
          <w:rStyle w:val="normaltextrun"/>
          <w:rFonts w:ascii="Arial" w:hAnsi="Arial" w:cs="Arial"/>
          <w:b/>
          <w:bCs/>
          <w:sz w:val="22"/>
          <w:szCs w:val="22"/>
        </w:rPr>
        <w:t>–</w:t>
      </w:r>
      <w:r w:rsidR="00EE193E" w:rsidRPr="0360E2C0">
        <w:rPr>
          <w:rStyle w:val="normaltextrun"/>
          <w:rFonts w:ascii="Arial" w:hAnsi="Arial" w:cs="Arial"/>
          <w:sz w:val="22"/>
          <w:szCs w:val="22"/>
        </w:rPr>
        <w:t xml:space="preserve">. We </w:t>
      </w:r>
      <w:r w:rsidR="1B522E3E" w:rsidRPr="0360E2C0">
        <w:rPr>
          <w:rStyle w:val="normaltextrun"/>
          <w:rFonts w:ascii="Arial" w:hAnsi="Arial" w:cs="Arial"/>
          <w:sz w:val="22"/>
          <w:szCs w:val="22"/>
        </w:rPr>
        <w:t>will</w:t>
      </w:r>
      <w:r w:rsidR="00EE193E" w:rsidRPr="0360E2C0">
        <w:rPr>
          <w:rStyle w:val="normaltextrun"/>
          <w:rFonts w:ascii="Arial" w:hAnsi="Arial" w:cs="Arial"/>
          <w:sz w:val="22"/>
          <w:szCs w:val="22"/>
        </w:rPr>
        <w:t xml:space="preserve"> prioritise where our intervention can add most value,</w:t>
      </w:r>
      <w:r w:rsidR="13D94E68" w:rsidRPr="0360E2C0">
        <w:rPr>
          <w:rStyle w:val="normaltextrun"/>
          <w:rFonts w:ascii="Arial" w:hAnsi="Arial" w:cs="Arial"/>
          <w:sz w:val="22"/>
          <w:szCs w:val="22"/>
        </w:rPr>
        <w:t xml:space="preserve"> and</w:t>
      </w:r>
      <w:r w:rsidR="00EE193E" w:rsidRPr="0360E2C0">
        <w:rPr>
          <w:rStyle w:val="normaltextrun"/>
          <w:rFonts w:ascii="Arial" w:hAnsi="Arial" w:cs="Arial"/>
          <w:sz w:val="22"/>
          <w:szCs w:val="22"/>
        </w:rPr>
        <w:t xml:space="preserve"> in line with </w:t>
      </w:r>
      <w:r w:rsidR="00772AAA" w:rsidRPr="0360E2C0">
        <w:rPr>
          <w:rStyle w:val="normaltextrun"/>
          <w:rFonts w:ascii="Arial" w:hAnsi="Arial" w:cs="Arial"/>
          <w:sz w:val="22"/>
          <w:szCs w:val="22"/>
        </w:rPr>
        <w:t>FCDO country</w:t>
      </w:r>
      <w:r w:rsidR="00EE193E" w:rsidRPr="0360E2C0">
        <w:rPr>
          <w:rStyle w:val="normaltextrun"/>
          <w:rFonts w:ascii="Arial" w:hAnsi="Arial" w:cs="Arial"/>
          <w:sz w:val="22"/>
          <w:szCs w:val="22"/>
        </w:rPr>
        <w:t xml:space="preserve"> plans. </w:t>
      </w:r>
      <w:r w:rsidR="00EE193E" w:rsidRPr="0360E2C0">
        <w:rPr>
          <w:rStyle w:val="eop"/>
          <w:rFonts w:ascii="Arial" w:hAnsi="Arial" w:cs="Arial"/>
          <w:sz w:val="22"/>
          <w:szCs w:val="22"/>
        </w:rPr>
        <w:t> </w:t>
      </w:r>
    </w:p>
    <w:p w14:paraId="70EBF036"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6B352A" w14:textId="4D7E2863" w:rsidR="00EE193E" w:rsidRDefault="00EE193E" w:rsidP="0360E2C0">
      <w:pPr>
        <w:pStyle w:val="paragraph"/>
        <w:spacing w:before="0" w:beforeAutospacing="0" w:after="0" w:afterAutospacing="0"/>
        <w:textAlignment w:val="baseline"/>
        <w:rPr>
          <w:rFonts w:ascii="Segoe UI" w:hAnsi="Segoe UI" w:cs="Segoe UI"/>
          <w:sz w:val="18"/>
          <w:szCs w:val="18"/>
        </w:rPr>
      </w:pPr>
      <w:r w:rsidRPr="0360E2C0">
        <w:rPr>
          <w:rStyle w:val="normaltextrun"/>
          <w:rFonts w:ascii="Arial" w:hAnsi="Arial" w:cs="Arial"/>
          <w:sz w:val="22"/>
          <w:szCs w:val="22"/>
        </w:rPr>
        <w:t>In the FCDO Annual Review</w:t>
      </w:r>
      <w:r w:rsidR="6212AB8A" w:rsidRPr="0360E2C0">
        <w:rPr>
          <w:rStyle w:val="normaltextrun"/>
          <w:rFonts w:ascii="Arial" w:hAnsi="Arial" w:cs="Arial"/>
          <w:sz w:val="22"/>
          <w:szCs w:val="22"/>
        </w:rPr>
        <w:t>s</w:t>
      </w:r>
      <w:r w:rsidRPr="0360E2C0">
        <w:rPr>
          <w:rStyle w:val="normaltextrun"/>
          <w:rFonts w:ascii="Arial" w:hAnsi="Arial" w:cs="Arial"/>
          <w:sz w:val="22"/>
          <w:szCs w:val="22"/>
        </w:rPr>
        <w:t xml:space="preserve"> of the</w:t>
      </w:r>
      <w:r w:rsidR="2B30FFEC" w:rsidRPr="0360E2C0">
        <w:rPr>
          <w:rStyle w:val="normaltextrun"/>
          <w:rFonts w:ascii="Arial" w:hAnsi="Arial" w:cs="Arial"/>
          <w:sz w:val="22"/>
          <w:szCs w:val="22"/>
        </w:rPr>
        <w:t xml:space="preserve"> previous</w:t>
      </w:r>
      <w:r w:rsidRPr="0360E2C0">
        <w:rPr>
          <w:rStyle w:val="normaltextrun"/>
          <w:rFonts w:ascii="Arial" w:hAnsi="Arial" w:cs="Arial"/>
          <w:sz w:val="22"/>
          <w:szCs w:val="22"/>
        </w:rPr>
        <w:t xml:space="preserve"> programme in 2018 and 2019 we scored an A in both years and received the following comments “</w:t>
      </w:r>
      <w:r w:rsidRPr="0360E2C0">
        <w:rPr>
          <w:rStyle w:val="normaltextrun"/>
          <w:rFonts w:ascii="Arial" w:hAnsi="Arial" w:cs="Arial"/>
          <w:b/>
          <w:bCs/>
          <w:sz w:val="22"/>
          <w:szCs w:val="22"/>
        </w:rPr>
        <w:t>there have been substantial achievements in the [global programmes] and the beginnings of long-standing relationships”</w:t>
      </w:r>
      <w:r w:rsidRPr="0360E2C0">
        <w:rPr>
          <w:rStyle w:val="normaltextrun"/>
          <w:rFonts w:ascii="Arial" w:hAnsi="Arial" w:cs="Arial"/>
          <w:sz w:val="22"/>
          <w:szCs w:val="22"/>
        </w:rPr>
        <w:t> and</w:t>
      </w:r>
      <w:r w:rsidRPr="0360E2C0">
        <w:rPr>
          <w:rStyle w:val="normaltextrun"/>
          <w:rFonts w:ascii="Arial" w:hAnsi="Arial" w:cs="Arial"/>
          <w:b/>
          <w:bCs/>
          <w:sz w:val="22"/>
          <w:szCs w:val="22"/>
        </w:rPr>
        <w:t> “This programme continues to perform well”. </w:t>
      </w:r>
      <w:r w:rsidRPr="0360E2C0">
        <w:rPr>
          <w:rStyle w:val="eop"/>
          <w:rFonts w:ascii="Arial" w:hAnsi="Arial" w:cs="Arial"/>
          <w:sz w:val="22"/>
          <w:szCs w:val="22"/>
        </w:rPr>
        <w:t> </w:t>
      </w:r>
    </w:p>
    <w:p w14:paraId="79E3554F" w14:textId="77777777" w:rsidR="00EE193E" w:rsidRDefault="00EE193E" w:rsidP="00EE193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40843B" w14:textId="4DCF915E" w:rsidR="00EE193E" w:rsidRDefault="00EE193E" w:rsidP="00AD029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I</w:t>
      </w:r>
      <w:r>
        <w:rPr>
          <w:rStyle w:val="normaltextrun"/>
          <w:rFonts w:ascii="Arial" w:hAnsi="Arial" w:cs="Arial"/>
          <w:sz w:val="22"/>
          <w:szCs w:val="22"/>
        </w:rPr>
        <w:t>n  2020 the programme scored an A+ and attracted the following comments “</w:t>
      </w:r>
      <w:r>
        <w:rPr>
          <w:rStyle w:val="normaltextrun"/>
          <w:rFonts w:ascii="Arial" w:hAnsi="Arial" w:cs="Arial"/>
          <w:b/>
          <w:bCs/>
          <w:sz w:val="22"/>
          <w:szCs w:val="22"/>
        </w:rPr>
        <w:t>This programme continues to perform well and despite a very challenging context” </w:t>
      </w:r>
      <w:r>
        <w:rPr>
          <w:rStyle w:val="normaltextrun"/>
          <w:rFonts w:ascii="Arial" w:hAnsi="Arial" w:cs="Arial"/>
          <w:sz w:val="22"/>
          <w:szCs w:val="22"/>
        </w:rPr>
        <w:t>and “</w:t>
      </w:r>
      <w:r>
        <w:rPr>
          <w:rStyle w:val="normaltextrun"/>
          <w:rFonts w:ascii="Arial" w:hAnsi="Arial" w:cs="Arial"/>
          <w:b/>
          <w:bCs/>
          <w:sz w:val="22"/>
          <w:szCs w:val="22"/>
        </w:rPr>
        <w:t>The partnerships at country level have deepened with a growing range of examples of the impact of ONS’s work”. </w:t>
      </w:r>
      <w:r>
        <w:rPr>
          <w:rStyle w:val="normaltextrun"/>
          <w:rFonts w:ascii="Arial" w:hAnsi="Arial" w:cs="Arial"/>
          <w:sz w:val="22"/>
          <w:szCs w:val="22"/>
        </w:rPr>
        <w:t>For the 2020 Annual Review ONS produced a range of case studies, 13 of which were assessed by the FCDO as evidence that the ONS has had moderate or major impact on data availability or statistical capability in partner countries.</w:t>
      </w:r>
      <w:r>
        <w:rPr>
          <w:rStyle w:val="eop"/>
          <w:rFonts w:ascii="Arial" w:hAnsi="Arial" w:cs="Arial"/>
          <w:sz w:val="22"/>
          <w:szCs w:val="22"/>
        </w:rPr>
        <w:t> </w:t>
      </w:r>
    </w:p>
    <w:p w14:paraId="2F08962C" w14:textId="7775D359" w:rsidR="0040077F" w:rsidRDefault="0040077F" w:rsidP="00AD029B">
      <w:pPr>
        <w:pStyle w:val="paragraph"/>
        <w:spacing w:before="0" w:beforeAutospacing="0" w:after="0" w:afterAutospacing="0"/>
        <w:textAlignment w:val="baseline"/>
        <w:rPr>
          <w:rStyle w:val="eop"/>
          <w:rFonts w:ascii="Arial" w:hAnsi="Arial" w:cs="Arial"/>
          <w:sz w:val="22"/>
          <w:szCs w:val="22"/>
        </w:rPr>
      </w:pPr>
    </w:p>
    <w:p w14:paraId="7E39F477" w14:textId="1064723E" w:rsidR="0040077F" w:rsidRDefault="0040077F" w:rsidP="00AD029B">
      <w:pPr>
        <w:pStyle w:val="paragraph"/>
        <w:spacing w:before="0" w:beforeAutospacing="0" w:after="0" w:afterAutospacing="0"/>
        <w:textAlignment w:val="baseline"/>
        <w:rPr>
          <w:rStyle w:val="eop"/>
          <w:rFonts w:ascii="Arial" w:hAnsi="Arial" w:cs="Arial"/>
          <w:sz w:val="22"/>
          <w:szCs w:val="22"/>
        </w:rPr>
      </w:pPr>
    </w:p>
    <w:p w14:paraId="439867D7" w14:textId="41285A89" w:rsidR="0040077F" w:rsidRPr="0041744E" w:rsidRDefault="0041744E" w:rsidP="0041744E">
      <w:pPr>
        <w:pBdr>
          <w:top w:val="single" w:sz="4" w:space="1" w:color="000000"/>
          <w:left w:val="single" w:sz="4" w:space="4" w:color="000000"/>
          <w:bottom w:val="single" w:sz="4" w:space="1" w:color="000000"/>
          <w:right w:val="single" w:sz="4" w:space="4" w:color="000000"/>
        </w:pBdr>
        <w:shd w:val="clear" w:color="auto" w:fill="DBE5F1"/>
        <w:spacing w:before="40"/>
        <w:ind w:left="360"/>
        <w:jc w:val="left"/>
        <w:rPr>
          <w:rFonts w:ascii="Arial" w:eastAsia="Arial" w:hAnsi="Arial" w:cs="Arial"/>
          <w:b/>
          <w:sz w:val="28"/>
          <w:szCs w:val="28"/>
        </w:rPr>
      </w:pPr>
      <w:proofErr w:type="spellStart"/>
      <w:r>
        <w:rPr>
          <w:rFonts w:ascii="Arial" w:eastAsia="Arial" w:hAnsi="Arial" w:cs="Arial"/>
          <w:b/>
          <w:sz w:val="28"/>
          <w:szCs w:val="28"/>
        </w:rPr>
        <w:t>B.</w:t>
      </w:r>
      <w:r w:rsidR="0040077F" w:rsidRPr="0041744E">
        <w:rPr>
          <w:rFonts w:ascii="Arial" w:eastAsia="Arial" w:hAnsi="Arial" w:cs="Arial"/>
          <w:b/>
          <w:sz w:val="28"/>
          <w:szCs w:val="28"/>
        </w:rPr>
        <w:t>Financial</w:t>
      </w:r>
      <w:proofErr w:type="spellEnd"/>
      <w:r w:rsidR="0040077F" w:rsidRPr="0041744E">
        <w:rPr>
          <w:rFonts w:ascii="Arial" w:eastAsia="Arial" w:hAnsi="Arial" w:cs="Arial"/>
          <w:b/>
          <w:sz w:val="28"/>
          <w:szCs w:val="28"/>
        </w:rPr>
        <w:t xml:space="preserve"> Case </w:t>
      </w:r>
    </w:p>
    <w:p w14:paraId="48D478E6" w14:textId="77777777" w:rsidR="0040077F" w:rsidRPr="0041744E" w:rsidRDefault="0040077F" w:rsidP="0041744E">
      <w:pPr>
        <w:pStyle w:val="ListParagraph"/>
        <w:numPr>
          <w:ilvl w:val="0"/>
          <w:numId w:val="2"/>
        </w:numPr>
        <w:spacing w:after="120"/>
        <w:rPr>
          <w:rFonts w:ascii="Arial" w:hAnsi="Arial" w:cs="Arial"/>
          <w:b/>
        </w:rPr>
      </w:pPr>
      <w:r w:rsidRPr="0041744E">
        <w:rPr>
          <w:rFonts w:ascii="Arial" w:hAnsi="Arial" w:cs="Arial"/>
          <w:b/>
        </w:rPr>
        <w:t>Overview of costs</w:t>
      </w:r>
    </w:p>
    <w:p w14:paraId="1A2EE892" w14:textId="739AB211" w:rsidR="0040077F" w:rsidRPr="0041744E" w:rsidRDefault="0040077F" w:rsidP="0040077F">
      <w:pPr>
        <w:spacing w:after="200"/>
        <w:rPr>
          <w:rFonts w:ascii="Arial" w:hAnsi="Arial" w:cs="Arial"/>
        </w:rPr>
      </w:pPr>
      <w:r w:rsidRPr="0041744E">
        <w:rPr>
          <w:rFonts w:ascii="Arial" w:hAnsi="Arial" w:cs="Arial"/>
        </w:rPr>
        <w:t xml:space="preserve">The programme has a ceiling allocation of £3.0m for 2021 - 2022.  These funds will be used to fund the challenge of measuring the Global Goals and the commitment to “leave no one behind”. </w:t>
      </w:r>
    </w:p>
    <w:p w14:paraId="149CFACA" w14:textId="77777777" w:rsidR="0040077F" w:rsidRPr="0041744E" w:rsidRDefault="0040077F" w:rsidP="0041744E">
      <w:pPr>
        <w:pStyle w:val="ListParagraph"/>
        <w:numPr>
          <w:ilvl w:val="0"/>
          <w:numId w:val="2"/>
        </w:numPr>
        <w:spacing w:after="120"/>
        <w:rPr>
          <w:rFonts w:ascii="Arial" w:hAnsi="Arial" w:cs="Arial"/>
          <w:b/>
        </w:rPr>
      </w:pPr>
      <w:r w:rsidRPr="0041744E">
        <w:rPr>
          <w:rFonts w:ascii="Arial" w:hAnsi="Arial" w:cs="Arial"/>
          <w:b/>
        </w:rPr>
        <w:t>Cost profiling and planning</w:t>
      </w:r>
    </w:p>
    <w:p w14:paraId="654DD160" w14:textId="77777777" w:rsidR="0040077F" w:rsidRPr="0041744E" w:rsidRDefault="0040077F" w:rsidP="0040077F">
      <w:pPr>
        <w:spacing w:after="0"/>
        <w:rPr>
          <w:rFonts w:ascii="Arial" w:hAnsi="Arial" w:cs="Arial"/>
        </w:rPr>
      </w:pPr>
      <w:r w:rsidRPr="0041744E">
        <w:rPr>
          <w:rFonts w:ascii="Arial" w:hAnsi="Arial" w:cs="Arial"/>
        </w:rPr>
        <w:t xml:space="preserve">All funds used in this programme will be ODA-eligible and are expected to be disbursed according to the table below: </w:t>
      </w:r>
    </w:p>
    <w:p w14:paraId="787F757C" w14:textId="77777777" w:rsidR="0040077F" w:rsidRDefault="0040077F" w:rsidP="00AD029B">
      <w:pPr>
        <w:pStyle w:val="paragraph"/>
        <w:spacing w:before="0" w:beforeAutospacing="0" w:after="0" w:afterAutospacing="0"/>
        <w:textAlignment w:val="baseline"/>
        <w:rPr>
          <w:rFonts w:ascii="Arial" w:hAnsi="Arial" w:cs="Arial"/>
          <w:sz w:val="22"/>
          <w:szCs w:val="22"/>
        </w:rPr>
      </w:pPr>
    </w:p>
    <w:p w14:paraId="773D7870" w14:textId="77777777" w:rsidR="00852A9E" w:rsidRDefault="00852A9E" w:rsidP="00AD029B">
      <w:pPr>
        <w:pStyle w:val="paragraph"/>
        <w:spacing w:before="0" w:beforeAutospacing="0" w:after="0" w:afterAutospacing="0"/>
        <w:textAlignment w:val="baseline"/>
        <w:rPr>
          <w:rFonts w:ascii="Arial" w:hAnsi="Arial" w:cs="Arial"/>
          <w:sz w:val="22"/>
          <w:szCs w:val="22"/>
        </w:rPr>
      </w:pPr>
    </w:p>
    <w:tbl>
      <w:tblPr>
        <w:tblW w:w="7340" w:type="dxa"/>
        <w:tblCellMar>
          <w:left w:w="0" w:type="dxa"/>
          <w:right w:w="0" w:type="dxa"/>
        </w:tblCellMar>
        <w:tblLook w:val="04A0" w:firstRow="1" w:lastRow="0" w:firstColumn="1" w:lastColumn="0" w:noHBand="0" w:noVBand="1"/>
      </w:tblPr>
      <w:tblGrid>
        <w:gridCol w:w="3320"/>
        <w:gridCol w:w="2140"/>
        <w:gridCol w:w="1880"/>
      </w:tblGrid>
      <w:tr w:rsidR="00F817E8" w:rsidRPr="00F817E8" w14:paraId="29ACC6A1" w14:textId="77777777" w:rsidTr="00F817E8">
        <w:trPr>
          <w:trHeight w:val="840"/>
        </w:trPr>
        <w:tc>
          <w:tcPr>
            <w:tcW w:w="3320" w:type="dxa"/>
            <w:tcBorders>
              <w:top w:val="single" w:sz="8" w:space="0" w:color="auto"/>
              <w:left w:val="single" w:sz="8" w:space="0" w:color="auto"/>
              <w:bottom w:val="single" w:sz="8" w:space="0" w:color="auto"/>
              <w:right w:val="single" w:sz="8" w:space="0" w:color="auto"/>
            </w:tcBorders>
            <w:shd w:val="clear" w:color="auto" w:fill="C6E0B4"/>
            <w:tcMar>
              <w:top w:w="0" w:type="dxa"/>
              <w:left w:w="108" w:type="dxa"/>
              <w:bottom w:w="0" w:type="dxa"/>
              <w:right w:w="108" w:type="dxa"/>
            </w:tcMar>
            <w:hideMark/>
          </w:tcPr>
          <w:p w14:paraId="5D4A3F67"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w:t>
            </w:r>
          </w:p>
        </w:tc>
        <w:tc>
          <w:tcPr>
            <w:tcW w:w="2140" w:type="dxa"/>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hideMark/>
          </w:tcPr>
          <w:p w14:paraId="046F40DE"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1880" w:type="dxa"/>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hideMark/>
          </w:tcPr>
          <w:p w14:paraId="3B182E16"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Total Apr 21 - Mar 22 Forecast Spend</w:t>
            </w:r>
          </w:p>
        </w:tc>
      </w:tr>
      <w:tr w:rsidR="00F817E8" w:rsidRPr="00F817E8" w14:paraId="3C38653E" w14:textId="77777777" w:rsidTr="00F817E8">
        <w:trPr>
          <w:trHeight w:val="300"/>
        </w:trPr>
        <w:tc>
          <w:tcPr>
            <w:tcW w:w="3320" w:type="dxa"/>
            <w:tcBorders>
              <w:top w:val="nil"/>
              <w:left w:val="single" w:sz="8" w:space="0" w:color="auto"/>
              <w:bottom w:val="single" w:sz="8" w:space="0" w:color="auto"/>
              <w:right w:val="nil"/>
            </w:tcBorders>
            <w:tcMar>
              <w:top w:w="0" w:type="dxa"/>
              <w:left w:w="108" w:type="dxa"/>
              <w:bottom w:w="0" w:type="dxa"/>
              <w:right w:w="108" w:type="dxa"/>
            </w:tcMar>
            <w:hideMark/>
          </w:tcPr>
          <w:p w14:paraId="644CD0A6"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TIER 1 PARTNERSHIPS</w:t>
            </w:r>
          </w:p>
        </w:tc>
        <w:tc>
          <w:tcPr>
            <w:tcW w:w="2140" w:type="dxa"/>
            <w:tcBorders>
              <w:top w:val="nil"/>
              <w:left w:val="nil"/>
              <w:bottom w:val="single" w:sz="8" w:space="0" w:color="auto"/>
              <w:right w:val="single" w:sz="8" w:space="0" w:color="000000"/>
            </w:tcBorders>
            <w:tcMar>
              <w:top w:w="0" w:type="dxa"/>
              <w:left w:w="108" w:type="dxa"/>
              <w:bottom w:w="0" w:type="dxa"/>
              <w:right w:w="108" w:type="dxa"/>
            </w:tcMar>
            <w:hideMark/>
          </w:tcPr>
          <w:p w14:paraId="71ED590D"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 </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397E4561"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r>
      <w:tr w:rsidR="00F817E8" w:rsidRPr="00F817E8" w14:paraId="4D388BF7"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0CE8B"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00508E3B"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Rwanda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2D6D17D8"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£496,000</w:t>
            </w:r>
          </w:p>
        </w:tc>
      </w:tr>
      <w:tr w:rsidR="00F817E8" w:rsidRPr="00F817E8" w14:paraId="57D3101D"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E6A6F"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lastRenderedPageBreak/>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7A25E6C8"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UNECA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1B138B48"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£460,000</w:t>
            </w:r>
          </w:p>
        </w:tc>
      </w:tr>
      <w:tr w:rsidR="00F817E8" w:rsidRPr="00F817E8" w14:paraId="07D478E6"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E02E6"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35620DA4"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Ghana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0DB22F7D"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£423,000</w:t>
            </w:r>
          </w:p>
        </w:tc>
      </w:tr>
      <w:tr w:rsidR="00F817E8" w:rsidRPr="00F817E8" w14:paraId="5F92999D"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EC2A7"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05EE7C3B"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Kenya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292084C7"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£488,000</w:t>
            </w:r>
          </w:p>
        </w:tc>
      </w:tr>
      <w:tr w:rsidR="00F817E8" w:rsidRPr="00F817E8" w14:paraId="2A0D875B" w14:textId="77777777" w:rsidTr="00F817E8">
        <w:trPr>
          <w:trHeight w:val="300"/>
        </w:trPr>
        <w:tc>
          <w:tcPr>
            <w:tcW w:w="54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BF547"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TIER 2 PARTNERSHIPS</w:t>
            </w:r>
          </w:p>
          <w:p w14:paraId="499D6515"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363BAAA0"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£240,000</w:t>
            </w:r>
          </w:p>
        </w:tc>
      </w:tr>
      <w:tr w:rsidR="00F817E8" w:rsidRPr="00F817E8" w14:paraId="429E1165" w14:textId="77777777" w:rsidTr="00F817E8">
        <w:trPr>
          <w:trHeight w:val="300"/>
        </w:trPr>
        <w:tc>
          <w:tcPr>
            <w:tcW w:w="3320" w:type="dxa"/>
            <w:tcBorders>
              <w:top w:val="nil"/>
              <w:left w:val="single" w:sz="8" w:space="0" w:color="auto"/>
              <w:bottom w:val="single" w:sz="8" w:space="0" w:color="auto"/>
              <w:right w:val="nil"/>
            </w:tcBorders>
            <w:tcMar>
              <w:top w:w="0" w:type="dxa"/>
              <w:left w:w="108" w:type="dxa"/>
              <w:bottom w:w="0" w:type="dxa"/>
              <w:right w:w="108" w:type="dxa"/>
            </w:tcMar>
            <w:hideMark/>
          </w:tcPr>
          <w:p w14:paraId="640E6F9E"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GLOBAL PROGRAMMES</w:t>
            </w:r>
          </w:p>
        </w:tc>
        <w:tc>
          <w:tcPr>
            <w:tcW w:w="2140" w:type="dxa"/>
            <w:tcBorders>
              <w:top w:val="nil"/>
              <w:left w:val="nil"/>
              <w:bottom w:val="single" w:sz="8" w:space="0" w:color="auto"/>
              <w:right w:val="nil"/>
            </w:tcBorders>
            <w:tcMar>
              <w:top w:w="0" w:type="dxa"/>
              <w:left w:w="108" w:type="dxa"/>
              <w:bottom w:w="0" w:type="dxa"/>
              <w:right w:w="108" w:type="dxa"/>
            </w:tcMar>
            <w:hideMark/>
          </w:tcPr>
          <w:p w14:paraId="18DCFE21"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 </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710E09E2"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r>
      <w:tr w:rsidR="00F817E8" w:rsidRPr="00F817E8" w14:paraId="543A7230"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E37EB"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2140" w:type="dxa"/>
            <w:tcBorders>
              <w:top w:val="nil"/>
              <w:left w:val="nil"/>
              <w:bottom w:val="single" w:sz="8" w:space="0" w:color="auto"/>
              <w:right w:val="nil"/>
            </w:tcBorders>
            <w:tcMar>
              <w:top w:w="0" w:type="dxa"/>
              <w:left w:w="108" w:type="dxa"/>
              <w:bottom w:w="0" w:type="dxa"/>
              <w:right w:w="108" w:type="dxa"/>
            </w:tcMar>
            <w:hideMark/>
          </w:tcPr>
          <w:p w14:paraId="4D83FF3F"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Data Science Hub</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5BE3FBA9"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£567,000</w:t>
            </w:r>
          </w:p>
        </w:tc>
      </w:tr>
      <w:tr w:rsidR="00F817E8" w:rsidRPr="00F817E8" w14:paraId="3AAC3ECC"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B7593"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411A75F3" w14:textId="77777777" w:rsidR="00F817E8" w:rsidRPr="00F817E8" w:rsidRDefault="00F817E8" w:rsidP="00F817E8">
            <w:pPr>
              <w:spacing w:before="0" w:after="0"/>
              <w:rPr>
                <w:rFonts w:asciiTheme="minorHAnsi" w:hAnsiTheme="minorHAnsi" w:cstheme="minorHAnsi"/>
              </w:rPr>
            </w:pPr>
            <w:r w:rsidRPr="00F817E8">
              <w:rPr>
                <w:rFonts w:asciiTheme="minorHAnsi" w:hAnsiTheme="minorHAnsi" w:cstheme="minorHAnsi"/>
              </w:rPr>
              <w:t>SDG</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2F2BB42F"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£169,000</w:t>
            </w:r>
          </w:p>
        </w:tc>
      </w:tr>
      <w:tr w:rsidR="00F817E8" w:rsidRPr="00F817E8" w14:paraId="5BC628AA"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1FC23"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6A62B75C" w14:textId="77777777" w:rsidR="00F817E8" w:rsidRPr="00F817E8" w:rsidRDefault="00F817E8" w:rsidP="00F817E8">
            <w:pPr>
              <w:spacing w:before="0" w:after="0"/>
              <w:rPr>
                <w:rFonts w:asciiTheme="minorHAnsi" w:hAnsiTheme="minorHAnsi" w:cstheme="minorHAnsi"/>
                <w:color w:val="auto"/>
              </w:rPr>
            </w:pPr>
            <w:r w:rsidRPr="00F817E8">
              <w:rPr>
                <w:rFonts w:asciiTheme="minorHAnsi" w:hAnsiTheme="minorHAnsi" w:cstheme="minorHAnsi"/>
              </w:rPr>
              <w:t>International events</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8212CF2"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£15,000</w:t>
            </w:r>
          </w:p>
        </w:tc>
      </w:tr>
      <w:tr w:rsidR="00F817E8" w:rsidRPr="00F817E8" w14:paraId="191366B2" w14:textId="77777777" w:rsidTr="00F817E8">
        <w:trPr>
          <w:trHeight w:val="59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2D90C"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Cross cutting</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5A1D92A6" w14:textId="77777777" w:rsidR="00F817E8" w:rsidRPr="00F817E8" w:rsidRDefault="00F817E8" w:rsidP="00F817E8">
            <w:pPr>
              <w:spacing w:before="0" w:after="0"/>
              <w:rPr>
                <w:rFonts w:asciiTheme="minorHAnsi" w:hAnsiTheme="minorHAnsi" w:cstheme="minorHAnsi"/>
                <w:color w:val="auto"/>
              </w:rPr>
            </w:pPr>
            <w:r w:rsidRPr="00F817E8">
              <w:rPr>
                <w:rFonts w:asciiTheme="minorHAnsi" w:hAnsiTheme="minorHAnsi" w:cstheme="minorHAnsi"/>
              </w:rPr>
              <w:t>Programme evaluation</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3B8FDCB9"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£50,000</w:t>
            </w:r>
          </w:p>
        </w:tc>
      </w:tr>
      <w:tr w:rsidR="00F817E8" w:rsidRPr="00F817E8" w14:paraId="0EAB70A6" w14:textId="77777777" w:rsidTr="00F817E8">
        <w:trPr>
          <w:trHeight w:val="88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78B11"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14:paraId="717EBAD4" w14:textId="77777777" w:rsidR="00F817E8" w:rsidRPr="00F817E8" w:rsidRDefault="00F817E8" w:rsidP="00F817E8">
            <w:pPr>
              <w:spacing w:before="0" w:after="0"/>
              <w:rPr>
                <w:rFonts w:asciiTheme="minorHAnsi" w:hAnsiTheme="minorHAnsi" w:cstheme="minorHAnsi"/>
                <w:color w:val="auto"/>
              </w:rPr>
            </w:pPr>
            <w:r w:rsidRPr="00F817E8">
              <w:rPr>
                <w:rFonts w:asciiTheme="minorHAnsi" w:hAnsiTheme="minorHAnsi" w:cstheme="minorHAnsi"/>
              </w:rPr>
              <w:t>Other core costs not associated with any project line</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25D244F0" w14:textId="77777777" w:rsidR="00F817E8" w:rsidRPr="00F817E8" w:rsidRDefault="00F817E8" w:rsidP="00F817E8">
            <w:pPr>
              <w:spacing w:before="0" w:after="0"/>
              <w:jc w:val="right"/>
              <w:rPr>
                <w:rFonts w:asciiTheme="minorHAnsi" w:hAnsiTheme="minorHAnsi" w:cstheme="minorHAnsi"/>
              </w:rPr>
            </w:pPr>
            <w:r w:rsidRPr="00F817E8">
              <w:rPr>
                <w:rFonts w:asciiTheme="minorHAnsi" w:hAnsiTheme="minorHAnsi" w:cstheme="minorHAnsi"/>
              </w:rPr>
              <w:t>£92,000</w:t>
            </w:r>
          </w:p>
        </w:tc>
      </w:tr>
      <w:tr w:rsidR="00F817E8" w:rsidRPr="00F817E8" w14:paraId="5E5CE60B" w14:textId="77777777" w:rsidTr="00F817E8">
        <w:trPr>
          <w:trHeight w:val="300"/>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D5264"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OVERALL TOTAL</w:t>
            </w:r>
          </w:p>
        </w:tc>
        <w:tc>
          <w:tcPr>
            <w:tcW w:w="2140" w:type="dxa"/>
            <w:tcBorders>
              <w:top w:val="nil"/>
              <w:left w:val="nil"/>
              <w:bottom w:val="single" w:sz="8" w:space="0" w:color="auto"/>
              <w:right w:val="nil"/>
            </w:tcBorders>
            <w:tcMar>
              <w:top w:w="0" w:type="dxa"/>
              <w:left w:w="108" w:type="dxa"/>
              <w:bottom w:w="0" w:type="dxa"/>
              <w:right w:w="108" w:type="dxa"/>
            </w:tcMar>
            <w:hideMark/>
          </w:tcPr>
          <w:p w14:paraId="341EA81C" w14:textId="77777777" w:rsidR="00F817E8" w:rsidRPr="00F817E8" w:rsidRDefault="00F817E8" w:rsidP="00F817E8">
            <w:pPr>
              <w:spacing w:before="0" w:after="0"/>
              <w:rPr>
                <w:rFonts w:asciiTheme="minorHAnsi" w:hAnsiTheme="minorHAnsi" w:cstheme="minorHAnsi"/>
                <w:b/>
                <w:bCs/>
              </w:rPr>
            </w:pPr>
            <w:r w:rsidRPr="00F817E8">
              <w:rPr>
                <w:rFonts w:asciiTheme="minorHAnsi" w:hAnsiTheme="minorHAnsi" w:cstheme="minorHAnsi"/>
                <w:b/>
                <w:bCs/>
              </w:rPr>
              <w:t> </w:t>
            </w:r>
          </w:p>
        </w:tc>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41596" w14:textId="77777777" w:rsidR="00F817E8" w:rsidRPr="00F817E8" w:rsidRDefault="00F817E8" w:rsidP="00F817E8">
            <w:pPr>
              <w:spacing w:before="0" w:after="0"/>
              <w:jc w:val="right"/>
              <w:rPr>
                <w:rFonts w:asciiTheme="minorHAnsi" w:hAnsiTheme="minorHAnsi" w:cstheme="minorHAnsi"/>
                <w:b/>
                <w:bCs/>
              </w:rPr>
            </w:pPr>
            <w:r w:rsidRPr="00F817E8">
              <w:rPr>
                <w:rFonts w:asciiTheme="minorHAnsi" w:hAnsiTheme="minorHAnsi" w:cstheme="minorHAnsi"/>
                <w:b/>
                <w:bCs/>
              </w:rPr>
              <w:t>£3,000,000</w:t>
            </w:r>
          </w:p>
        </w:tc>
      </w:tr>
    </w:tbl>
    <w:p w14:paraId="67279832" w14:textId="77777777" w:rsidR="00852A9E" w:rsidRPr="0041744E" w:rsidRDefault="00852A9E" w:rsidP="00AD029B">
      <w:pPr>
        <w:pStyle w:val="paragraph"/>
        <w:spacing w:before="0" w:beforeAutospacing="0" w:after="0" w:afterAutospacing="0"/>
        <w:textAlignment w:val="baseline"/>
        <w:rPr>
          <w:rFonts w:ascii="Arial" w:hAnsi="Arial" w:cs="Arial"/>
          <w:sz w:val="22"/>
          <w:szCs w:val="22"/>
        </w:rPr>
      </w:pPr>
    </w:p>
    <w:p w14:paraId="1C11AD52" w14:textId="77DDD701" w:rsidR="00D40326" w:rsidRDefault="00D40326" w:rsidP="00D40326">
      <w:pPr>
        <w:spacing w:after="200"/>
        <w:rPr>
          <w:rFonts w:ascii="Arial" w:hAnsi="Arial" w:cs="Arial"/>
        </w:rPr>
      </w:pPr>
      <w:r w:rsidRPr="0360E2C0">
        <w:rPr>
          <w:rFonts w:ascii="Arial" w:hAnsi="Arial" w:cs="Arial"/>
        </w:rPr>
        <w:t xml:space="preserve">ONS International Development Team will maintain oversight of all the proposed, </w:t>
      </w:r>
      <w:proofErr w:type="gramStart"/>
      <w:r w:rsidRPr="0360E2C0">
        <w:rPr>
          <w:rFonts w:ascii="Arial" w:hAnsi="Arial" w:cs="Arial"/>
        </w:rPr>
        <w:t>approved</w:t>
      </w:r>
      <w:proofErr w:type="gramEnd"/>
      <w:r w:rsidRPr="0360E2C0">
        <w:rPr>
          <w:rFonts w:ascii="Arial" w:hAnsi="Arial" w:cs="Arial"/>
        </w:rPr>
        <w:t xml:space="preserve"> and underway assignments, </w:t>
      </w:r>
      <w:r w:rsidR="000A0355" w:rsidRPr="0360E2C0">
        <w:rPr>
          <w:rFonts w:ascii="Arial" w:hAnsi="Arial" w:cs="Arial"/>
        </w:rPr>
        <w:t>planning and monitoring the staff costs and other associated costs,</w:t>
      </w:r>
      <w:r w:rsidRPr="0360E2C0">
        <w:rPr>
          <w:rFonts w:ascii="Arial" w:hAnsi="Arial" w:cs="Arial"/>
        </w:rPr>
        <w:t xml:space="preserve"> as well as the objectives and deliverables of the assignments. ONS </w:t>
      </w:r>
      <w:r w:rsidR="72B9A2D2" w:rsidRPr="0360E2C0">
        <w:rPr>
          <w:rFonts w:ascii="Arial" w:hAnsi="Arial" w:cs="Arial"/>
        </w:rPr>
        <w:t>then</w:t>
      </w:r>
      <w:r w:rsidRPr="0360E2C0">
        <w:rPr>
          <w:rFonts w:ascii="Arial" w:hAnsi="Arial" w:cs="Arial"/>
        </w:rPr>
        <w:t xml:space="preserve"> report to Steering Committee quarterly on the activities undertaken. ONS International Development Team will ensure the programme will deliver value for money. Expenditure will be validated against the work plan, progress reports and financial reports. </w:t>
      </w:r>
    </w:p>
    <w:p w14:paraId="1574F918" w14:textId="77777777" w:rsidR="0041744E" w:rsidRPr="0041744E" w:rsidRDefault="0041744E" w:rsidP="00D40326">
      <w:pPr>
        <w:spacing w:after="200"/>
        <w:rPr>
          <w:rFonts w:ascii="Arial" w:hAnsi="Arial" w:cs="Arial"/>
        </w:rPr>
      </w:pPr>
    </w:p>
    <w:p w14:paraId="6D32D9DC" w14:textId="77777777" w:rsidR="00D40326" w:rsidRPr="0041744E" w:rsidRDefault="00D40326" w:rsidP="0041744E">
      <w:pPr>
        <w:pStyle w:val="ListParagraph"/>
        <w:numPr>
          <w:ilvl w:val="0"/>
          <w:numId w:val="2"/>
        </w:numPr>
        <w:spacing w:after="120"/>
        <w:rPr>
          <w:rFonts w:ascii="Arial" w:hAnsi="Arial" w:cs="Arial"/>
          <w:b/>
        </w:rPr>
      </w:pPr>
      <w:r w:rsidRPr="0041744E">
        <w:rPr>
          <w:rFonts w:ascii="Arial" w:hAnsi="Arial" w:cs="Arial"/>
          <w:b/>
        </w:rPr>
        <w:t xml:space="preserve"> Travel and subsistence</w:t>
      </w:r>
    </w:p>
    <w:p w14:paraId="52DCBA2B" w14:textId="23C2CC2B" w:rsidR="00D40326" w:rsidRPr="0041744E" w:rsidRDefault="00D40326" w:rsidP="00D40326">
      <w:pPr>
        <w:spacing w:after="200"/>
        <w:rPr>
          <w:rFonts w:ascii="Arial" w:hAnsi="Arial" w:cs="Arial"/>
        </w:rPr>
      </w:pPr>
      <w:r w:rsidRPr="0360E2C0">
        <w:rPr>
          <w:rFonts w:ascii="Arial" w:hAnsi="Arial" w:cs="Arial"/>
        </w:rPr>
        <w:t xml:space="preserve">ONS staff undertaking overseas travel as part of their official business, will use the official rates for expense payments as published by HMRC on .gov.uk </w:t>
      </w:r>
    </w:p>
    <w:p w14:paraId="431BBAD6" w14:textId="78DED72A" w:rsidR="00AD029B" w:rsidRDefault="00AD029B" w:rsidP="00AD029B">
      <w:pPr>
        <w:pStyle w:val="paragraph"/>
        <w:spacing w:before="0" w:beforeAutospacing="0" w:after="0" w:afterAutospacing="0"/>
        <w:textAlignment w:val="baseline"/>
        <w:rPr>
          <w:rFonts w:ascii="Segoe UI" w:hAnsi="Segoe UI" w:cs="Segoe UI"/>
          <w:sz w:val="18"/>
          <w:szCs w:val="18"/>
        </w:rPr>
      </w:pPr>
    </w:p>
    <w:p w14:paraId="53C30D6A" w14:textId="14B85165" w:rsidR="001C1B20" w:rsidRDefault="00D40326" w:rsidP="00D40326">
      <w:pPr>
        <w:pBdr>
          <w:top w:val="single" w:sz="4" w:space="0" w:color="000000"/>
          <w:left w:val="single" w:sz="4" w:space="4" w:color="000000"/>
          <w:bottom w:val="single" w:sz="4" w:space="1" w:color="000000"/>
          <w:right w:val="single" w:sz="4" w:space="4" w:color="000000"/>
        </w:pBdr>
        <w:shd w:val="clear" w:color="auto" w:fill="DBE5F1"/>
        <w:spacing w:before="40"/>
        <w:ind w:left="360"/>
        <w:jc w:val="left"/>
        <w:rPr>
          <w:rFonts w:ascii="Arial" w:eastAsia="Arial" w:hAnsi="Arial" w:cs="Arial"/>
          <w:b/>
          <w:sz w:val="28"/>
          <w:szCs w:val="28"/>
        </w:rPr>
      </w:pPr>
      <w:bookmarkStart w:id="0" w:name="_Hlk70604539"/>
      <w:r>
        <w:rPr>
          <w:rFonts w:ascii="Arial" w:eastAsia="Arial" w:hAnsi="Arial" w:cs="Arial"/>
          <w:b/>
          <w:sz w:val="28"/>
          <w:szCs w:val="28"/>
        </w:rPr>
        <w:t>C.</w:t>
      </w:r>
      <w:r w:rsidR="001C1B20">
        <w:rPr>
          <w:rFonts w:ascii="Arial" w:eastAsia="Arial" w:hAnsi="Arial" w:cs="Arial"/>
          <w:b/>
          <w:sz w:val="28"/>
          <w:szCs w:val="28"/>
        </w:rPr>
        <w:t>RISK</w:t>
      </w:r>
      <w:r w:rsidR="005F4B87">
        <w:rPr>
          <w:rFonts w:ascii="Arial" w:eastAsia="Arial" w:hAnsi="Arial" w:cs="Arial"/>
          <w:b/>
          <w:sz w:val="28"/>
          <w:szCs w:val="28"/>
        </w:rPr>
        <w:t xml:space="preserve"> MANAGEMENT</w:t>
      </w:r>
    </w:p>
    <w:bookmarkEnd w:id="0"/>
    <w:p w14:paraId="1E23526D" w14:textId="7CE6769E" w:rsidR="00EE1163" w:rsidRPr="003F193D" w:rsidRDefault="00EE1163" w:rsidP="00EE1163">
      <w:pPr>
        <w:pStyle w:val="paragraph"/>
        <w:spacing w:before="0" w:beforeAutospacing="0" w:after="0" w:afterAutospacing="0"/>
        <w:textAlignment w:val="baseline"/>
        <w:rPr>
          <w:rFonts w:ascii="Segoe UI" w:hAnsi="Segoe UI" w:cs="Segoe UI"/>
          <w:b/>
          <w:bCs/>
          <w:sz w:val="18"/>
          <w:szCs w:val="18"/>
        </w:rPr>
      </w:pPr>
    </w:p>
    <w:p w14:paraId="4C1DF2B1" w14:textId="4384D640" w:rsidR="00EE1163" w:rsidRDefault="00EE1163" w:rsidP="00EE1163">
      <w:pPr>
        <w:pStyle w:val="paragraph"/>
        <w:spacing w:before="0" w:beforeAutospacing="0" w:after="0" w:afterAutospacing="0"/>
        <w:textAlignment w:val="baseline"/>
        <w:rPr>
          <w:rFonts w:ascii="Segoe UI" w:hAnsi="Segoe UI" w:cs="Segoe UI"/>
          <w:sz w:val="18"/>
          <w:szCs w:val="18"/>
        </w:rPr>
      </w:pPr>
      <w:r>
        <w:rPr>
          <w:rFonts w:ascii="Arial" w:hAnsi="Arial" w:cs="Arial"/>
          <w:noProof/>
          <w:sz w:val="22"/>
          <w:szCs w:val="22"/>
        </w:rPr>
        <w:drawing>
          <wp:inline distT="0" distB="0" distL="0" distR="0" wp14:anchorId="659D4BEC" wp14:editId="6A3C3A86">
            <wp:extent cx="6610350" cy="161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350" cy="1612900"/>
                    </a:xfrm>
                    <a:prstGeom prst="rect">
                      <a:avLst/>
                    </a:prstGeom>
                    <a:noFill/>
                    <a:ln>
                      <a:noFill/>
                    </a:ln>
                  </pic:spPr>
                </pic:pic>
              </a:graphicData>
            </a:graphic>
          </wp:inline>
        </w:drawing>
      </w:r>
      <w:r w:rsidR="005A0B77">
        <w:rPr>
          <w:rStyle w:val="eop"/>
          <w:rFonts w:ascii="Arial" w:hAnsi="Arial" w:cs="Arial"/>
          <w:sz w:val="22"/>
          <w:szCs w:val="22"/>
        </w:rPr>
        <w:t xml:space="preserve">Based on the analysis below we judge this programme to have a risk level of minor. </w:t>
      </w:r>
    </w:p>
    <w:p w14:paraId="7EE32D24" w14:textId="18162028" w:rsidR="005A0B77" w:rsidRPr="005F4B87" w:rsidRDefault="005A0B77" w:rsidP="005A0B77">
      <w:pPr>
        <w:widowControl/>
        <w:spacing w:after="0"/>
        <w:rPr>
          <w:rFonts w:ascii="Arial" w:hAnsi="Arial" w:cs="Arial"/>
        </w:rPr>
      </w:pPr>
      <w:r w:rsidRPr="005F4B87">
        <w:rPr>
          <w:rFonts w:ascii="Arial" w:hAnsi="Arial" w:cs="Arial"/>
        </w:rPr>
        <w:t>ONS risk appetite underpins the risk management approach to program implementation. Underpinning risk management is a culture of openness where staff and partners are encouraged to be completely open about risks.</w:t>
      </w:r>
      <w:r w:rsidRPr="005F4B87">
        <w:rPr>
          <w:rFonts w:ascii="Arial" w:eastAsia="Times New Roman" w:hAnsi="Arial" w:cs="Arial"/>
          <w:color w:val="auto"/>
          <w:lang w:eastAsia="en-US"/>
        </w:rPr>
        <w:t xml:space="preserve"> </w:t>
      </w:r>
      <w:r w:rsidR="005F4B87">
        <w:rPr>
          <w:rFonts w:ascii="Arial" w:eastAsia="Times New Roman" w:hAnsi="Arial" w:cs="Arial"/>
          <w:color w:val="auto"/>
          <w:lang w:eastAsia="en-US"/>
        </w:rPr>
        <w:t xml:space="preserve">The </w:t>
      </w:r>
      <w:r w:rsidRPr="005F4B87">
        <w:rPr>
          <w:rFonts w:ascii="Arial" w:eastAsia="Times New Roman" w:hAnsi="Arial" w:cs="Arial"/>
          <w:color w:val="auto"/>
          <w:lang w:eastAsia="en-US"/>
        </w:rPr>
        <w:t xml:space="preserve">ONS’ risk </w:t>
      </w:r>
      <w:r w:rsidR="005F4B87">
        <w:rPr>
          <w:rFonts w:ascii="Arial" w:eastAsia="Times New Roman" w:hAnsi="Arial" w:cs="Arial"/>
          <w:color w:val="auto"/>
          <w:lang w:eastAsia="en-US"/>
        </w:rPr>
        <w:t>policy</w:t>
      </w:r>
      <w:r w:rsidRPr="005F4B87">
        <w:rPr>
          <w:rFonts w:ascii="Arial" w:eastAsia="Times New Roman" w:hAnsi="Arial" w:cs="Arial"/>
          <w:color w:val="auto"/>
          <w:lang w:eastAsia="en-US"/>
        </w:rPr>
        <w:t xml:space="preserve"> document sets out clear roles and responsibilities as well as </w:t>
      </w:r>
      <w:r w:rsidR="005F4B87">
        <w:rPr>
          <w:rFonts w:ascii="Arial" w:eastAsia="Times New Roman" w:hAnsi="Arial" w:cs="Arial"/>
          <w:color w:val="auto"/>
          <w:lang w:eastAsia="en-US"/>
        </w:rPr>
        <w:t>the escalation process.</w:t>
      </w:r>
      <w:r w:rsidRPr="005F4B87">
        <w:rPr>
          <w:rFonts w:ascii="Arial" w:eastAsia="Times New Roman" w:hAnsi="Arial" w:cs="Arial"/>
          <w:color w:val="auto"/>
          <w:lang w:eastAsia="en-US"/>
        </w:rPr>
        <w:t xml:space="preserve"> </w:t>
      </w:r>
    </w:p>
    <w:p w14:paraId="48028DD5" w14:textId="2507F980" w:rsidR="00EE1163" w:rsidRPr="005F4B87" w:rsidRDefault="00EE1163" w:rsidP="00EE1163">
      <w:pPr>
        <w:pStyle w:val="paragraph"/>
        <w:spacing w:before="0" w:beforeAutospacing="0" w:after="0" w:afterAutospacing="0"/>
        <w:textAlignment w:val="baseline"/>
        <w:rPr>
          <w:rStyle w:val="eop"/>
          <w:rFonts w:ascii="Arial" w:hAnsi="Arial" w:cs="Arial"/>
          <w:sz w:val="22"/>
          <w:szCs w:val="22"/>
        </w:rPr>
      </w:pPr>
    </w:p>
    <w:p w14:paraId="487807E2" w14:textId="05A5D548" w:rsidR="00EE1163" w:rsidRDefault="005F4B87" w:rsidP="00EE116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m</w:t>
      </w:r>
      <w:r w:rsidR="00EE1163">
        <w:rPr>
          <w:rStyle w:val="normaltextrun"/>
          <w:rFonts w:ascii="Arial" w:hAnsi="Arial" w:cs="Arial"/>
          <w:sz w:val="22"/>
          <w:szCs w:val="22"/>
        </w:rPr>
        <w:t>ajor risks and mitigation strategies include:</w:t>
      </w:r>
      <w:r w:rsidR="00EE1163">
        <w:rPr>
          <w:rStyle w:val="eop"/>
          <w:rFonts w:ascii="Arial" w:hAnsi="Arial" w:cs="Arial"/>
          <w:sz w:val="22"/>
          <w:szCs w:val="22"/>
        </w:rPr>
        <w:t> </w:t>
      </w:r>
    </w:p>
    <w:p w14:paraId="45F3CEE6" w14:textId="77777777" w:rsidR="005F4B87" w:rsidRDefault="005F4B87" w:rsidP="00EE1163">
      <w:pPr>
        <w:pStyle w:val="paragraph"/>
        <w:spacing w:before="0" w:beforeAutospacing="0" w:after="0" w:afterAutospacing="0"/>
        <w:jc w:val="both"/>
        <w:textAlignment w:val="baseline"/>
        <w:rPr>
          <w:rFonts w:ascii="Segoe UI" w:hAnsi="Segoe UI" w:cs="Segoe UI"/>
          <w:sz w:val="18"/>
          <w:szCs w:val="18"/>
        </w:rPr>
      </w:pPr>
    </w:p>
    <w:p w14:paraId="3FD33741" w14:textId="355519AF" w:rsidR="00EE1163" w:rsidRDefault="00EE1163" w:rsidP="005F4B8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lastRenderedPageBreak/>
        <w:t>Reputational: </w:t>
      </w:r>
      <w:r>
        <w:rPr>
          <w:rStyle w:val="normaltextrun"/>
          <w:rFonts w:ascii="Arial" w:hAnsi="Arial" w:cs="Arial"/>
          <w:sz w:val="22"/>
          <w:szCs w:val="22"/>
        </w:rPr>
        <w:t>All peer-to-peer partnerships come with a </w:t>
      </w:r>
      <w:r>
        <w:rPr>
          <w:rStyle w:val="normaltextrun"/>
          <w:rFonts w:ascii="Arial" w:hAnsi="Arial" w:cs="Arial"/>
          <w:b/>
          <w:bCs/>
          <w:sz w:val="22"/>
          <w:szCs w:val="22"/>
        </w:rPr>
        <w:t>risk that the ONS / HMG is associated with any (real or perceived) problems in the partner organisation</w:t>
      </w:r>
      <w:r>
        <w:rPr>
          <w:rStyle w:val="normaltextrun"/>
          <w:rFonts w:ascii="Arial" w:hAnsi="Arial" w:cs="Arial"/>
          <w:sz w:val="22"/>
          <w:szCs w:val="22"/>
        </w:rPr>
        <w:t>, in the case of statistical offices this could be manipulation or suppression of statistical results or  inappropriate treatment of sensitive data for example. We will work closely with FCDO to continually monitor these risks at country level and understand the specific risks and the context associated with each partner. Our work focusses on technical areas, and we will avoid political discussions. We will encourage and advise partners on how they can manage risks, for example by having appropriate legal and policy environments, and a suitable code of practice.</w:t>
      </w:r>
      <w:r>
        <w:rPr>
          <w:rStyle w:val="eop"/>
          <w:rFonts w:ascii="Arial" w:hAnsi="Arial" w:cs="Arial"/>
          <w:sz w:val="22"/>
          <w:szCs w:val="22"/>
        </w:rPr>
        <w:t> </w:t>
      </w:r>
    </w:p>
    <w:p w14:paraId="1CC71708" w14:textId="77777777" w:rsidR="005F4B87" w:rsidRDefault="005F4B87" w:rsidP="005F4B87">
      <w:pPr>
        <w:pStyle w:val="paragraph"/>
        <w:spacing w:before="0" w:beforeAutospacing="0" w:after="0" w:afterAutospacing="0"/>
        <w:jc w:val="both"/>
        <w:textAlignment w:val="baseline"/>
        <w:rPr>
          <w:rFonts w:ascii="Arial" w:hAnsi="Arial" w:cs="Arial"/>
          <w:sz w:val="22"/>
          <w:szCs w:val="22"/>
        </w:rPr>
      </w:pPr>
    </w:p>
    <w:p w14:paraId="24FB7D66" w14:textId="0288985C" w:rsidR="00EE1163" w:rsidRDefault="00EE1163" w:rsidP="0360E2C0">
      <w:pPr>
        <w:pStyle w:val="paragraph"/>
        <w:spacing w:before="0" w:beforeAutospacing="0" w:after="0" w:afterAutospacing="0"/>
        <w:jc w:val="both"/>
        <w:textAlignment w:val="baseline"/>
        <w:rPr>
          <w:rStyle w:val="eop"/>
          <w:rFonts w:ascii="Arial" w:hAnsi="Arial" w:cs="Arial"/>
          <w:sz w:val="22"/>
          <w:szCs w:val="22"/>
        </w:rPr>
      </w:pPr>
      <w:r w:rsidRPr="0360E2C0">
        <w:rPr>
          <w:rStyle w:val="normaltextrun"/>
          <w:rFonts w:ascii="Arial" w:hAnsi="Arial" w:cs="Arial"/>
          <w:b/>
          <w:bCs/>
          <w:sz w:val="22"/>
          <w:szCs w:val="22"/>
        </w:rPr>
        <w:t>Operational:</w:t>
      </w:r>
      <w:r w:rsidRPr="0360E2C0">
        <w:rPr>
          <w:rStyle w:val="normaltextrun"/>
          <w:rFonts w:ascii="Arial" w:hAnsi="Arial" w:cs="Arial"/>
          <w:sz w:val="22"/>
          <w:szCs w:val="22"/>
        </w:rPr>
        <w:t> As with all work which involves international travel, to sometimes fragile countries, there is a risk to </w:t>
      </w:r>
      <w:r w:rsidRPr="0360E2C0">
        <w:rPr>
          <w:rStyle w:val="normaltextrun"/>
          <w:rFonts w:ascii="Arial" w:hAnsi="Arial" w:cs="Arial"/>
          <w:b/>
          <w:bCs/>
          <w:sz w:val="22"/>
          <w:szCs w:val="22"/>
        </w:rPr>
        <w:t xml:space="preserve">security, </w:t>
      </w:r>
      <w:r w:rsidR="0013223D" w:rsidRPr="0360E2C0">
        <w:rPr>
          <w:rStyle w:val="normaltextrun"/>
          <w:rFonts w:ascii="Arial" w:hAnsi="Arial" w:cs="Arial"/>
          <w:b/>
          <w:bCs/>
          <w:sz w:val="22"/>
          <w:szCs w:val="22"/>
        </w:rPr>
        <w:t>health,</w:t>
      </w:r>
      <w:r w:rsidRPr="0360E2C0">
        <w:rPr>
          <w:rStyle w:val="normaltextrun"/>
          <w:rFonts w:ascii="Arial" w:hAnsi="Arial" w:cs="Arial"/>
          <w:b/>
          <w:bCs/>
          <w:sz w:val="22"/>
          <w:szCs w:val="22"/>
        </w:rPr>
        <w:t xml:space="preserve"> and safety of ONS staff, </w:t>
      </w:r>
      <w:r w:rsidR="0013223D" w:rsidRPr="0360E2C0">
        <w:rPr>
          <w:rStyle w:val="normaltextrun"/>
          <w:rFonts w:ascii="Arial" w:hAnsi="Arial" w:cs="Arial"/>
          <w:b/>
          <w:bCs/>
          <w:sz w:val="22"/>
          <w:szCs w:val="22"/>
        </w:rPr>
        <w:t>partners,</w:t>
      </w:r>
      <w:r w:rsidRPr="0360E2C0">
        <w:rPr>
          <w:rStyle w:val="normaltextrun"/>
          <w:rFonts w:ascii="Arial" w:hAnsi="Arial" w:cs="Arial"/>
          <w:b/>
          <w:bCs/>
          <w:sz w:val="22"/>
          <w:szCs w:val="22"/>
        </w:rPr>
        <w:t xml:space="preserve"> or others</w:t>
      </w:r>
      <w:r w:rsidRPr="0360E2C0">
        <w:rPr>
          <w:rStyle w:val="normaltextrun"/>
          <w:rFonts w:ascii="Arial" w:hAnsi="Arial" w:cs="Arial"/>
          <w:sz w:val="22"/>
          <w:szCs w:val="22"/>
        </w:rPr>
        <w:t xml:space="preserve"> under the care of the programme. The ONS works closely with the FCDO at a country level to ensure the safety and security of staff based in country and those undertaking duty travel. We ensure all our staff are well briefed and trained on risks, including health, safety and security, and safeguarding risks, and their personal role in mitigating them. As an example, the COVID-19 pandemic necessitated ceasing of international travel and </w:t>
      </w:r>
      <w:r w:rsidR="3EAEE886" w:rsidRPr="0360E2C0">
        <w:rPr>
          <w:rStyle w:val="normaltextrun"/>
          <w:rFonts w:ascii="Arial" w:hAnsi="Arial" w:cs="Arial"/>
          <w:sz w:val="22"/>
          <w:szCs w:val="22"/>
        </w:rPr>
        <w:t xml:space="preserve">the </w:t>
      </w:r>
      <w:r w:rsidRPr="0360E2C0">
        <w:rPr>
          <w:rStyle w:val="normaltextrun"/>
          <w:rFonts w:ascii="Arial" w:hAnsi="Arial" w:cs="Arial"/>
          <w:sz w:val="22"/>
          <w:szCs w:val="22"/>
        </w:rPr>
        <w:t>quick withdrawal of the four strategic advisers back to the UK. Although this risk materialised the mitigation measures, including remote working, meant that the programme has continued to operate in all four countries. </w:t>
      </w:r>
      <w:r w:rsidRPr="0360E2C0">
        <w:rPr>
          <w:rStyle w:val="eop"/>
          <w:rFonts w:ascii="Arial" w:hAnsi="Arial" w:cs="Arial"/>
          <w:sz w:val="22"/>
          <w:szCs w:val="22"/>
        </w:rPr>
        <w:t> </w:t>
      </w:r>
      <w:r w:rsidR="77BF64C1" w:rsidRPr="0360E2C0">
        <w:rPr>
          <w:rStyle w:val="eop"/>
          <w:rFonts w:ascii="Arial" w:hAnsi="Arial" w:cs="Arial"/>
          <w:sz w:val="22"/>
          <w:szCs w:val="22"/>
        </w:rPr>
        <w:t>As travel begins to be possible again, ONS will ensure that all staff follow COVID19 prevention regulations in the UK and in partner countries.</w:t>
      </w:r>
    </w:p>
    <w:p w14:paraId="404F9378" w14:textId="77777777" w:rsidR="005F4B87" w:rsidRDefault="005F4B87" w:rsidP="005F4B87">
      <w:pPr>
        <w:pStyle w:val="paragraph"/>
        <w:spacing w:before="0" w:beforeAutospacing="0" w:after="0" w:afterAutospacing="0"/>
        <w:jc w:val="both"/>
        <w:textAlignment w:val="baseline"/>
        <w:rPr>
          <w:rFonts w:ascii="Arial" w:hAnsi="Arial" w:cs="Arial"/>
          <w:sz w:val="22"/>
          <w:szCs w:val="22"/>
        </w:rPr>
      </w:pPr>
    </w:p>
    <w:p w14:paraId="5F068227" w14:textId="47D926A1" w:rsidR="00EE1163" w:rsidRDefault="00EE1163" w:rsidP="005F4B8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Delivery</w:t>
      </w:r>
      <w:r>
        <w:rPr>
          <w:rStyle w:val="normaltextrun"/>
          <w:rFonts w:ascii="Arial" w:hAnsi="Arial" w:cs="Arial"/>
          <w:sz w:val="22"/>
          <w:szCs w:val="22"/>
        </w:rPr>
        <w:t>: There are risks that</w:t>
      </w:r>
      <w:r>
        <w:rPr>
          <w:rStyle w:val="normaltextrun"/>
          <w:rFonts w:ascii="Arial" w:hAnsi="Arial" w:cs="Arial"/>
          <w:b/>
          <w:bCs/>
          <w:sz w:val="22"/>
          <w:szCs w:val="22"/>
        </w:rPr>
        <w:t> space for delivery is narrow and/or that the partners do not prioritise the deliverables of the partnership.</w:t>
      </w:r>
      <w:r>
        <w:rPr>
          <w:rStyle w:val="normaltextrun"/>
          <w:rFonts w:ascii="Arial" w:hAnsi="Arial" w:cs="Arial"/>
          <w:sz w:val="22"/>
          <w:szCs w:val="22"/>
        </w:rPr>
        <w:t> These risks are mitigated by effective use of tools such as theory of change, our workplans and log frames, and developing these jointly with partners. The role of the strategic adviser and any locally engaged staff based in-country, is to form strong relationships with senior leadership, to understand the context and to ensure that the programme is flexible and designed to meet the partner’s needs, and that in-country capacity to absorb technical assistance is assessed before work starts including a realistic assessment of any barriers;</w:t>
      </w:r>
      <w:r>
        <w:rPr>
          <w:rStyle w:val="eop"/>
          <w:rFonts w:ascii="Arial" w:hAnsi="Arial" w:cs="Arial"/>
          <w:sz w:val="22"/>
          <w:szCs w:val="22"/>
        </w:rPr>
        <w:t> </w:t>
      </w:r>
    </w:p>
    <w:p w14:paraId="70ABC5A1" w14:textId="77777777" w:rsidR="005F4B87" w:rsidRDefault="005F4B87" w:rsidP="005F4B87">
      <w:pPr>
        <w:pStyle w:val="paragraph"/>
        <w:spacing w:before="0" w:beforeAutospacing="0" w:after="0" w:afterAutospacing="0"/>
        <w:jc w:val="both"/>
        <w:textAlignment w:val="baseline"/>
        <w:rPr>
          <w:rFonts w:ascii="Arial" w:hAnsi="Arial" w:cs="Arial"/>
          <w:sz w:val="22"/>
          <w:szCs w:val="22"/>
        </w:rPr>
      </w:pPr>
    </w:p>
    <w:p w14:paraId="17BBF2AE" w14:textId="1C0F13AD" w:rsidR="00EE1163" w:rsidRDefault="00EE1163" w:rsidP="0360E2C0">
      <w:pPr>
        <w:pStyle w:val="paragraph"/>
        <w:spacing w:before="0" w:beforeAutospacing="0" w:after="0" w:afterAutospacing="0"/>
        <w:jc w:val="both"/>
        <w:textAlignment w:val="baseline"/>
        <w:rPr>
          <w:rStyle w:val="eop"/>
          <w:rFonts w:ascii="Arial" w:hAnsi="Arial" w:cs="Arial"/>
          <w:sz w:val="22"/>
          <w:szCs w:val="22"/>
        </w:rPr>
      </w:pPr>
      <w:r w:rsidRPr="0360E2C0">
        <w:rPr>
          <w:rStyle w:val="normaltextrun"/>
          <w:rFonts w:ascii="Arial" w:hAnsi="Arial" w:cs="Arial"/>
          <w:b/>
          <w:bCs/>
          <w:sz w:val="22"/>
          <w:szCs w:val="22"/>
        </w:rPr>
        <w:t>Fiduciary</w:t>
      </w:r>
      <w:r w:rsidRPr="0360E2C0">
        <w:rPr>
          <w:rStyle w:val="normaltextrun"/>
          <w:rFonts w:ascii="Arial" w:hAnsi="Arial" w:cs="Arial"/>
          <w:sz w:val="22"/>
          <w:szCs w:val="22"/>
        </w:rPr>
        <w:t>: Risks of </w:t>
      </w:r>
      <w:r w:rsidRPr="0360E2C0">
        <w:rPr>
          <w:rStyle w:val="normaltextrun"/>
          <w:rFonts w:ascii="Arial" w:hAnsi="Arial" w:cs="Arial"/>
          <w:b/>
          <w:bCs/>
          <w:sz w:val="22"/>
          <w:szCs w:val="22"/>
        </w:rPr>
        <w:t>fraud and corruption</w:t>
      </w:r>
      <w:r w:rsidRPr="0360E2C0">
        <w:rPr>
          <w:rStyle w:val="normaltextrun"/>
          <w:rFonts w:ascii="Arial" w:hAnsi="Arial" w:cs="Arial"/>
          <w:sz w:val="22"/>
          <w:szCs w:val="22"/>
        </w:rPr>
        <w:t xml:space="preserve"> are low: as the programme is designed so that the ONS manages all procurements and does not provide funding to partners. </w:t>
      </w:r>
    </w:p>
    <w:p w14:paraId="6220A09F" w14:textId="18BED6F8" w:rsidR="00467647" w:rsidRDefault="00467647" w:rsidP="00467647">
      <w:pPr>
        <w:pStyle w:val="paragraph"/>
        <w:spacing w:before="0" w:beforeAutospacing="0" w:after="0" w:afterAutospacing="0"/>
        <w:jc w:val="both"/>
        <w:textAlignment w:val="baseline"/>
        <w:rPr>
          <w:rFonts w:ascii="Arial" w:hAnsi="Arial" w:cs="Arial"/>
          <w:sz w:val="22"/>
          <w:szCs w:val="22"/>
        </w:rPr>
      </w:pPr>
    </w:p>
    <w:p w14:paraId="6C49AE73" w14:textId="61B6611E" w:rsidR="00467647" w:rsidRDefault="00467647" w:rsidP="00467647">
      <w:pPr>
        <w:pStyle w:val="paragraph"/>
        <w:spacing w:before="0" w:beforeAutospacing="0" w:after="0" w:afterAutospacing="0"/>
        <w:jc w:val="both"/>
        <w:textAlignment w:val="baseline"/>
        <w:rPr>
          <w:rFonts w:ascii="Arial" w:hAnsi="Arial" w:cs="Arial"/>
          <w:sz w:val="22"/>
          <w:szCs w:val="22"/>
        </w:rPr>
      </w:pPr>
    </w:p>
    <w:p w14:paraId="7DB4C23B" w14:textId="3BE29A31" w:rsidR="005F4B87" w:rsidRDefault="00D40326" w:rsidP="00D40326">
      <w:pPr>
        <w:pBdr>
          <w:top w:val="single" w:sz="4" w:space="0" w:color="000000"/>
          <w:left w:val="single" w:sz="4" w:space="4" w:color="000000"/>
          <w:bottom w:val="single" w:sz="4" w:space="1" w:color="000000"/>
          <w:right w:val="single" w:sz="4" w:space="4" w:color="000000"/>
        </w:pBdr>
        <w:shd w:val="clear" w:color="auto" w:fill="DBE5F1"/>
        <w:spacing w:before="40"/>
        <w:ind w:left="360"/>
        <w:jc w:val="left"/>
        <w:rPr>
          <w:rFonts w:ascii="Arial" w:eastAsia="Arial" w:hAnsi="Arial" w:cs="Arial"/>
          <w:b/>
          <w:sz w:val="28"/>
          <w:szCs w:val="28"/>
        </w:rPr>
      </w:pPr>
      <w:r>
        <w:rPr>
          <w:rFonts w:ascii="Arial" w:eastAsia="Arial" w:hAnsi="Arial" w:cs="Arial"/>
          <w:b/>
          <w:sz w:val="28"/>
          <w:szCs w:val="28"/>
        </w:rPr>
        <w:t xml:space="preserve">D. </w:t>
      </w:r>
      <w:r w:rsidR="005F4B87">
        <w:rPr>
          <w:rFonts w:ascii="Arial" w:eastAsia="Arial" w:hAnsi="Arial" w:cs="Arial"/>
          <w:b/>
          <w:sz w:val="28"/>
          <w:szCs w:val="28"/>
        </w:rPr>
        <w:t>MANAGEMENT CASE</w:t>
      </w:r>
    </w:p>
    <w:p w14:paraId="1A311C41" w14:textId="77777777" w:rsidR="005F4B87" w:rsidRDefault="005F4B87" w:rsidP="00467647">
      <w:pPr>
        <w:pStyle w:val="paragraph"/>
        <w:spacing w:before="0" w:beforeAutospacing="0" w:after="0" w:afterAutospacing="0"/>
        <w:textAlignment w:val="baseline"/>
        <w:rPr>
          <w:rStyle w:val="normaltextrun"/>
          <w:rFonts w:ascii="Arial" w:hAnsi="Arial" w:cs="Arial"/>
          <w:sz w:val="22"/>
          <w:szCs w:val="22"/>
        </w:rPr>
      </w:pPr>
    </w:p>
    <w:p w14:paraId="7C2AE601" w14:textId="4D49C455" w:rsidR="00467647" w:rsidRDefault="5CA64050" w:rsidP="0360E2C0">
      <w:pPr>
        <w:pStyle w:val="paragraph"/>
        <w:spacing w:before="0" w:beforeAutospacing="0" w:after="0" w:afterAutospacing="0"/>
        <w:textAlignment w:val="baseline"/>
        <w:rPr>
          <w:rFonts w:ascii="Segoe UI" w:hAnsi="Segoe UI" w:cs="Segoe UI"/>
          <w:sz w:val="18"/>
          <w:szCs w:val="18"/>
        </w:rPr>
      </w:pPr>
      <w:r w:rsidRPr="0360E2C0">
        <w:rPr>
          <w:rStyle w:val="normaltextrun"/>
          <w:rFonts w:ascii="Arial" w:hAnsi="Arial" w:cs="Arial"/>
          <w:sz w:val="22"/>
          <w:szCs w:val="22"/>
        </w:rPr>
        <w:t xml:space="preserve">Effective </w:t>
      </w:r>
      <w:r w:rsidR="3F4807A8" w:rsidRPr="0360E2C0">
        <w:rPr>
          <w:rStyle w:val="normaltextrun"/>
          <w:rFonts w:ascii="Arial" w:hAnsi="Arial" w:cs="Arial"/>
          <w:sz w:val="22"/>
          <w:szCs w:val="22"/>
        </w:rPr>
        <w:t>g</w:t>
      </w:r>
      <w:r w:rsidR="00467647" w:rsidRPr="0360E2C0">
        <w:rPr>
          <w:rStyle w:val="normaltextrun"/>
          <w:rFonts w:ascii="Arial" w:hAnsi="Arial" w:cs="Arial"/>
          <w:sz w:val="22"/>
          <w:szCs w:val="22"/>
        </w:rPr>
        <w:t xml:space="preserve">overnance arrangements </w:t>
      </w:r>
      <w:r w:rsidR="099CC85E" w:rsidRPr="0360E2C0">
        <w:rPr>
          <w:rStyle w:val="normaltextrun"/>
          <w:rFonts w:ascii="Arial" w:hAnsi="Arial" w:cs="Arial"/>
          <w:sz w:val="22"/>
          <w:szCs w:val="22"/>
        </w:rPr>
        <w:t>have</w:t>
      </w:r>
      <w:r w:rsidR="00467647" w:rsidRPr="0360E2C0">
        <w:rPr>
          <w:rStyle w:val="normaltextrun"/>
          <w:rFonts w:ascii="Arial" w:hAnsi="Arial" w:cs="Arial"/>
          <w:sz w:val="22"/>
          <w:szCs w:val="22"/>
        </w:rPr>
        <w:t> already</w:t>
      </w:r>
      <w:r w:rsidR="525ABE6D" w:rsidRPr="0360E2C0">
        <w:rPr>
          <w:rStyle w:val="normaltextrun"/>
          <w:rFonts w:ascii="Arial" w:hAnsi="Arial" w:cs="Arial"/>
          <w:sz w:val="22"/>
          <w:szCs w:val="22"/>
        </w:rPr>
        <w:t xml:space="preserve"> been</w:t>
      </w:r>
      <w:r w:rsidR="00467647" w:rsidRPr="0360E2C0">
        <w:rPr>
          <w:rStyle w:val="normaltextrun"/>
          <w:rFonts w:ascii="Arial" w:hAnsi="Arial" w:cs="Arial"/>
          <w:sz w:val="22"/>
          <w:szCs w:val="22"/>
        </w:rPr>
        <w:t xml:space="preserve"> established through the </w:t>
      </w:r>
      <w:r w:rsidR="1261BC6C" w:rsidRPr="0360E2C0">
        <w:rPr>
          <w:rStyle w:val="normaltextrun"/>
          <w:rFonts w:ascii="Arial" w:hAnsi="Arial" w:cs="Arial"/>
          <w:sz w:val="22"/>
          <w:szCs w:val="22"/>
        </w:rPr>
        <w:t>previous</w:t>
      </w:r>
      <w:r w:rsidR="00467647" w:rsidRPr="0360E2C0">
        <w:rPr>
          <w:rStyle w:val="normaltextrun"/>
          <w:rFonts w:ascii="Arial" w:hAnsi="Arial" w:cs="Arial"/>
          <w:sz w:val="22"/>
          <w:szCs w:val="22"/>
        </w:rPr>
        <w:t xml:space="preserve"> MoU for the UK Partnership Programme for the Modernisation of Official</w:t>
      </w:r>
      <w:r w:rsidR="00467647" w:rsidRPr="0360E2C0">
        <w:rPr>
          <w:rStyle w:val="eop"/>
          <w:rFonts w:ascii="Arial" w:hAnsi="Arial" w:cs="Arial"/>
          <w:sz w:val="22"/>
          <w:szCs w:val="22"/>
        </w:rPr>
        <w:t> </w:t>
      </w:r>
      <w:r w:rsidR="00467647" w:rsidRPr="0360E2C0">
        <w:rPr>
          <w:rStyle w:val="normaltextrun"/>
          <w:rFonts w:ascii="Arial" w:hAnsi="Arial" w:cs="Arial"/>
          <w:sz w:val="22"/>
          <w:szCs w:val="22"/>
        </w:rPr>
        <w:t xml:space="preserve">Statistics between the ONS and FCDO. Although </w:t>
      </w:r>
      <w:r w:rsidR="1F3EAD32" w:rsidRPr="0360E2C0">
        <w:rPr>
          <w:rStyle w:val="normaltextrun"/>
          <w:rFonts w:ascii="Arial" w:hAnsi="Arial" w:cs="Arial"/>
          <w:sz w:val="22"/>
          <w:szCs w:val="22"/>
        </w:rPr>
        <w:t>during this phase</w:t>
      </w:r>
      <w:r w:rsidR="00467647" w:rsidRPr="0360E2C0">
        <w:rPr>
          <w:rStyle w:val="normaltextrun"/>
          <w:rFonts w:ascii="Arial" w:hAnsi="Arial" w:cs="Arial"/>
          <w:sz w:val="22"/>
          <w:szCs w:val="22"/>
        </w:rPr>
        <w:t>, the ONS will have its own grant</w:t>
      </w:r>
      <w:r w:rsidR="461C6910" w:rsidRPr="0360E2C0">
        <w:rPr>
          <w:rStyle w:val="normaltextrun"/>
          <w:rFonts w:ascii="Arial" w:hAnsi="Arial" w:cs="Arial"/>
          <w:sz w:val="22"/>
          <w:szCs w:val="22"/>
        </w:rPr>
        <w:t>,</w:t>
      </w:r>
      <w:r w:rsidR="00467647" w:rsidRPr="0360E2C0">
        <w:rPr>
          <w:rStyle w:val="normaltextrun"/>
          <w:rFonts w:ascii="Arial" w:hAnsi="Arial" w:cs="Arial"/>
          <w:sz w:val="22"/>
          <w:szCs w:val="22"/>
        </w:rPr>
        <w:t> similar governance arrangements will be followed.</w:t>
      </w:r>
      <w:r w:rsidR="00467647" w:rsidRPr="0360E2C0">
        <w:rPr>
          <w:rStyle w:val="eop"/>
          <w:rFonts w:ascii="Arial" w:hAnsi="Arial" w:cs="Arial"/>
          <w:sz w:val="22"/>
          <w:szCs w:val="22"/>
        </w:rPr>
        <w:t> </w:t>
      </w:r>
    </w:p>
    <w:p w14:paraId="14C6B385" w14:textId="77777777" w:rsidR="00467647" w:rsidRDefault="00467647" w:rsidP="004676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E1B23C" w14:textId="50315D65" w:rsidR="00467647" w:rsidRDefault="00467647" w:rsidP="0360E2C0">
      <w:pPr>
        <w:pStyle w:val="paragraph"/>
        <w:spacing w:before="0" w:beforeAutospacing="0" w:after="0" w:afterAutospacing="0"/>
        <w:textAlignment w:val="baseline"/>
        <w:rPr>
          <w:rFonts w:ascii="Segoe UI" w:hAnsi="Segoe UI" w:cs="Segoe UI"/>
          <w:sz w:val="18"/>
          <w:szCs w:val="18"/>
        </w:rPr>
      </w:pPr>
      <w:r w:rsidRPr="0360E2C0">
        <w:rPr>
          <w:rStyle w:val="normaltextrun"/>
          <w:rFonts w:ascii="Arial" w:hAnsi="Arial" w:cs="Arial"/>
          <w:sz w:val="22"/>
          <w:szCs w:val="22"/>
        </w:rPr>
        <w:t>They will be organised around a </w:t>
      </w:r>
      <w:r w:rsidRPr="0360E2C0">
        <w:rPr>
          <w:rStyle w:val="normaltextrun"/>
          <w:rFonts w:ascii="Arial" w:hAnsi="Arial" w:cs="Arial"/>
          <w:b/>
          <w:bCs/>
          <w:sz w:val="22"/>
          <w:szCs w:val="22"/>
        </w:rPr>
        <w:t>Steering Committee </w:t>
      </w:r>
      <w:r w:rsidRPr="0360E2C0">
        <w:rPr>
          <w:rStyle w:val="normaltextrun"/>
          <w:rFonts w:ascii="Arial" w:hAnsi="Arial" w:cs="Arial"/>
          <w:sz w:val="22"/>
          <w:szCs w:val="22"/>
        </w:rPr>
        <w:t>which: sets the overall strategy and vision for the programme, approves the partnerships and activities under the Global Programmes, reviews progress, risks and assumptions and makes recommendations.  The </w:t>
      </w:r>
      <w:r w:rsidRPr="0360E2C0">
        <w:rPr>
          <w:rStyle w:val="normaltextrun"/>
          <w:rFonts w:ascii="Arial" w:hAnsi="Arial" w:cs="Arial"/>
          <w:b/>
          <w:bCs/>
          <w:sz w:val="22"/>
          <w:szCs w:val="22"/>
        </w:rPr>
        <w:t>Steering Committee </w:t>
      </w:r>
      <w:r w:rsidRPr="0360E2C0">
        <w:rPr>
          <w:rStyle w:val="normaltextrun"/>
          <w:rFonts w:ascii="Arial" w:hAnsi="Arial" w:cs="Arial"/>
          <w:sz w:val="22"/>
          <w:szCs w:val="22"/>
        </w:rPr>
        <w:t>will comprise of senior staff from ONS, </w:t>
      </w:r>
      <w:r w:rsidRPr="00B3759B">
        <w:rPr>
          <w:rStyle w:val="normaltextrun"/>
          <w:rFonts w:ascii="Arial" w:hAnsi="Arial" w:cs="Arial"/>
          <w:sz w:val="22"/>
          <w:szCs w:val="22"/>
        </w:rPr>
        <w:t>FCDO and GPI, with</w:t>
      </w:r>
      <w:r w:rsidRPr="0360E2C0">
        <w:rPr>
          <w:rStyle w:val="normaltextrun"/>
          <w:rFonts w:ascii="Arial" w:hAnsi="Arial" w:cs="Arial"/>
          <w:sz w:val="22"/>
          <w:szCs w:val="22"/>
        </w:rPr>
        <w:t xml:space="preserve"> responsibility for the programme, and with relevant expertise. The </w:t>
      </w:r>
      <w:r w:rsidRPr="0360E2C0">
        <w:rPr>
          <w:rStyle w:val="normaltextrun"/>
          <w:rFonts w:ascii="Arial" w:hAnsi="Arial" w:cs="Arial"/>
          <w:b/>
          <w:bCs/>
          <w:sz w:val="22"/>
          <w:szCs w:val="22"/>
        </w:rPr>
        <w:t>Steering Committee </w:t>
      </w:r>
      <w:r w:rsidRPr="0360E2C0">
        <w:rPr>
          <w:rStyle w:val="normaltextrun"/>
          <w:rFonts w:ascii="Arial" w:hAnsi="Arial" w:cs="Arial"/>
          <w:sz w:val="22"/>
          <w:szCs w:val="22"/>
        </w:rPr>
        <w:t xml:space="preserve">will be chaired jointly by the FCDO Chief Statistician and the ONS Director responsible for this work. It will meet every </w:t>
      </w:r>
      <w:r w:rsidR="77E0321F" w:rsidRPr="0360E2C0">
        <w:rPr>
          <w:rStyle w:val="normaltextrun"/>
          <w:rFonts w:ascii="Arial" w:hAnsi="Arial" w:cs="Arial"/>
          <w:sz w:val="22"/>
          <w:szCs w:val="22"/>
        </w:rPr>
        <w:t xml:space="preserve">three </w:t>
      </w:r>
      <w:r w:rsidRPr="0360E2C0">
        <w:rPr>
          <w:rStyle w:val="normaltextrun"/>
          <w:rFonts w:ascii="Arial" w:hAnsi="Arial" w:cs="Arial"/>
          <w:sz w:val="22"/>
          <w:szCs w:val="22"/>
        </w:rPr>
        <w:t>months and </w:t>
      </w:r>
      <w:r w:rsidR="1EB6536C" w:rsidRPr="0360E2C0">
        <w:rPr>
          <w:rStyle w:val="normaltextrun"/>
          <w:rFonts w:ascii="Arial" w:hAnsi="Arial" w:cs="Arial"/>
          <w:sz w:val="22"/>
          <w:szCs w:val="22"/>
        </w:rPr>
        <w:t>is</w:t>
      </w:r>
      <w:r w:rsidRPr="0360E2C0">
        <w:rPr>
          <w:rStyle w:val="normaltextrun"/>
          <w:rFonts w:ascii="Arial" w:hAnsi="Arial" w:cs="Arial"/>
          <w:sz w:val="22"/>
          <w:szCs w:val="22"/>
        </w:rPr>
        <w:t> underpinned with a TOR.</w:t>
      </w:r>
      <w:r w:rsidRPr="0360E2C0">
        <w:rPr>
          <w:rStyle w:val="eop"/>
          <w:rFonts w:ascii="Arial" w:hAnsi="Arial" w:cs="Arial"/>
          <w:sz w:val="22"/>
          <w:szCs w:val="22"/>
        </w:rPr>
        <w:t> </w:t>
      </w:r>
    </w:p>
    <w:p w14:paraId="5E7F751F" w14:textId="77777777" w:rsidR="00467647" w:rsidRDefault="00467647" w:rsidP="004676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55090B" w14:textId="523DEB99" w:rsidR="004E351F" w:rsidRDefault="004E351F" w:rsidP="004E351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Steering Group will be supported at the operational level by a </w:t>
      </w:r>
      <w:r>
        <w:rPr>
          <w:rStyle w:val="normaltextrun"/>
          <w:rFonts w:ascii="Arial" w:hAnsi="Arial" w:cs="Arial"/>
          <w:b/>
          <w:bCs/>
          <w:sz w:val="22"/>
          <w:szCs w:val="22"/>
        </w:rPr>
        <w:t>Working Group</w:t>
      </w:r>
      <w:r>
        <w:rPr>
          <w:rStyle w:val="normaltextrun"/>
          <w:rFonts w:ascii="Arial" w:hAnsi="Arial" w:cs="Arial"/>
          <w:sz w:val="22"/>
          <w:szCs w:val="22"/>
        </w:rPr>
        <w:t>. This is comprised of the senior staff (Grade 7 and above) from the International Development Team together with managers (Grade 6 staff) of business areas which play a key role in the programme (SDG team, Data Science Campus etc)  this Group are responsible for the management and operation of the programme.  </w:t>
      </w:r>
      <w:r>
        <w:rPr>
          <w:rStyle w:val="eop"/>
          <w:rFonts w:ascii="Arial" w:hAnsi="Arial" w:cs="Arial"/>
          <w:sz w:val="22"/>
          <w:szCs w:val="22"/>
        </w:rPr>
        <w:t> </w:t>
      </w:r>
    </w:p>
    <w:p w14:paraId="2C8428F8" w14:textId="65248A82" w:rsidR="0041744E" w:rsidRDefault="0041744E" w:rsidP="004E351F">
      <w:pPr>
        <w:pStyle w:val="paragraph"/>
        <w:spacing w:before="0" w:beforeAutospacing="0" w:after="0" w:afterAutospacing="0"/>
        <w:textAlignment w:val="baseline"/>
        <w:rPr>
          <w:rStyle w:val="eop"/>
          <w:rFonts w:ascii="Arial" w:hAnsi="Arial" w:cs="Arial"/>
          <w:sz w:val="22"/>
          <w:szCs w:val="22"/>
        </w:rPr>
      </w:pPr>
    </w:p>
    <w:p w14:paraId="45E283F4" w14:textId="77777777" w:rsidR="0041744E" w:rsidRDefault="0041744E" w:rsidP="004E351F">
      <w:pPr>
        <w:pStyle w:val="paragraph"/>
        <w:spacing w:before="0" w:beforeAutospacing="0" w:after="0" w:afterAutospacing="0"/>
        <w:textAlignment w:val="baseline"/>
        <w:rPr>
          <w:rFonts w:ascii="Segoe UI" w:hAnsi="Segoe UI" w:cs="Segoe UI"/>
          <w:sz w:val="18"/>
          <w:szCs w:val="18"/>
        </w:rPr>
      </w:pPr>
    </w:p>
    <w:p w14:paraId="3348B7F3" w14:textId="77777777" w:rsidR="004E351F" w:rsidRDefault="004E351F" w:rsidP="004E35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75C3EC" w14:textId="77777777" w:rsidR="00D91D98" w:rsidRDefault="00D91D98" w:rsidP="00D91D98">
      <w:pPr>
        <w:rPr>
          <w:b/>
        </w:rPr>
      </w:pPr>
    </w:p>
    <w:p w14:paraId="41F07473" w14:textId="17236E78" w:rsidR="00D91D98" w:rsidRPr="00D40326" w:rsidRDefault="004E351F" w:rsidP="0041744E">
      <w:pPr>
        <w:pStyle w:val="ListParagraph"/>
        <w:numPr>
          <w:ilvl w:val="0"/>
          <w:numId w:val="2"/>
        </w:numPr>
        <w:pBdr>
          <w:top w:val="single" w:sz="4" w:space="0" w:color="000000"/>
          <w:left w:val="single" w:sz="4" w:space="4" w:color="000000"/>
          <w:bottom w:val="single" w:sz="4" w:space="1" w:color="000000"/>
          <w:right w:val="single" w:sz="4" w:space="4" w:color="000000"/>
        </w:pBdr>
        <w:shd w:val="clear" w:color="auto" w:fill="DBE5F1"/>
        <w:spacing w:before="40"/>
        <w:jc w:val="left"/>
        <w:rPr>
          <w:rFonts w:ascii="Arial" w:eastAsia="Arial" w:hAnsi="Arial" w:cs="Arial"/>
          <w:b/>
          <w:sz w:val="28"/>
          <w:szCs w:val="28"/>
        </w:rPr>
      </w:pPr>
      <w:r w:rsidRPr="00D40326">
        <w:rPr>
          <w:rFonts w:ascii="Arial" w:eastAsia="Arial" w:hAnsi="Arial" w:cs="Arial"/>
          <w:b/>
          <w:sz w:val="28"/>
          <w:szCs w:val="28"/>
        </w:rPr>
        <w:lastRenderedPageBreak/>
        <w:t>MONITORING AND EVALUATION</w:t>
      </w:r>
    </w:p>
    <w:p w14:paraId="43FF08F1" w14:textId="77777777" w:rsidR="00D91D98" w:rsidRDefault="00D91D98" w:rsidP="00D91D98">
      <w:pPr>
        <w:rPr>
          <w:b/>
        </w:rPr>
      </w:pPr>
    </w:p>
    <w:p w14:paraId="037E885C"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programme is concerned with technical skills transfer, institutional building and influencing change, our success is determined by how effectively the skills and expertise we provide to NSIs lead to effective and sustainable change. As such, our monitoring, evaluation and learning systems have been designed to effectively show what we are doing, is having impact.</w:t>
      </w:r>
      <w:r>
        <w:rPr>
          <w:rStyle w:val="eop"/>
          <w:rFonts w:ascii="Arial" w:hAnsi="Arial" w:cs="Arial"/>
          <w:sz w:val="22"/>
          <w:szCs w:val="22"/>
        </w:rPr>
        <w:t> </w:t>
      </w:r>
    </w:p>
    <w:p w14:paraId="2841DC5C"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AF6BF9" w14:textId="7D4EE45C"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programme design is driven by an overall theory of change which sets out the impact the programme wants to achieve, the outcomes that need to be delivered for the impact to realised and the activities the ONS will undertake to ensure delivery of these outcomes. Theories of change for the lower levels of the programme especially for the country partnerships</w:t>
      </w:r>
      <w:r w:rsidR="001761C5">
        <w:rPr>
          <w:rStyle w:val="normaltextrun"/>
          <w:rFonts w:ascii="Arial" w:hAnsi="Arial" w:cs="Arial"/>
          <w:sz w:val="22"/>
          <w:szCs w:val="22"/>
        </w:rPr>
        <w:t xml:space="preserve"> and the data science </w:t>
      </w:r>
      <w:r w:rsidR="00AD602B">
        <w:rPr>
          <w:rStyle w:val="normaltextrun"/>
          <w:rFonts w:ascii="Arial" w:hAnsi="Arial" w:cs="Arial"/>
          <w:sz w:val="22"/>
          <w:szCs w:val="22"/>
        </w:rPr>
        <w:t>output</w:t>
      </w:r>
      <w:r w:rsidR="001761C5">
        <w:rPr>
          <w:rStyle w:val="normaltextrun"/>
          <w:rFonts w:ascii="Arial" w:hAnsi="Arial" w:cs="Arial"/>
          <w:sz w:val="22"/>
          <w:szCs w:val="22"/>
        </w:rPr>
        <w:t xml:space="preserve">, have </w:t>
      </w:r>
      <w:r>
        <w:rPr>
          <w:rStyle w:val="normaltextrun"/>
          <w:rFonts w:ascii="Arial" w:hAnsi="Arial" w:cs="Arial"/>
          <w:sz w:val="22"/>
          <w:szCs w:val="22"/>
        </w:rPr>
        <w:t>also</w:t>
      </w:r>
      <w:r w:rsidR="001761C5">
        <w:rPr>
          <w:rStyle w:val="normaltextrun"/>
          <w:rFonts w:ascii="Arial" w:hAnsi="Arial" w:cs="Arial"/>
          <w:sz w:val="22"/>
          <w:szCs w:val="22"/>
        </w:rPr>
        <w:t xml:space="preserve"> been</w:t>
      </w:r>
      <w:r>
        <w:rPr>
          <w:rStyle w:val="normaltextrun"/>
          <w:rFonts w:ascii="Arial" w:hAnsi="Arial" w:cs="Arial"/>
          <w:sz w:val="22"/>
          <w:szCs w:val="22"/>
        </w:rPr>
        <w:t> developed to guide decision making at that level. The programme is agile to consider new opportunities that help deliver on overall objectives and help align with any changing UK priorities (for example our theories of change were revisited after the COVID19 pandemic began, allowing us to pivot the programme to support partners to deal with changing circumstances and provide data to meet new national priorities). </w:t>
      </w:r>
      <w:r>
        <w:rPr>
          <w:rStyle w:val="eop"/>
          <w:rFonts w:ascii="Arial" w:hAnsi="Arial" w:cs="Arial"/>
          <w:sz w:val="22"/>
          <w:szCs w:val="22"/>
        </w:rPr>
        <w:t> </w:t>
      </w:r>
    </w:p>
    <w:p w14:paraId="41CDEBED"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E0ACFB" w14:textId="6317A61D"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There will be a dedicated resource to lead this work, to support consistency of approach across the programme and embed this into how we operate. The resource will support reporting, facilitate </w:t>
      </w:r>
      <w:r w:rsidR="0013223D">
        <w:rPr>
          <w:rStyle w:val="normaltextrun"/>
          <w:rFonts w:ascii="Arial" w:hAnsi="Arial" w:cs="Arial"/>
          <w:sz w:val="22"/>
          <w:szCs w:val="22"/>
        </w:rPr>
        <w:t>learning,</w:t>
      </w:r>
      <w:r>
        <w:rPr>
          <w:rStyle w:val="normaltextrun"/>
          <w:rFonts w:ascii="Arial" w:hAnsi="Arial" w:cs="Arial"/>
          <w:sz w:val="22"/>
          <w:szCs w:val="22"/>
        </w:rPr>
        <w:t xml:space="preserve"> and build team capacity raising standards. </w:t>
      </w:r>
      <w:r>
        <w:rPr>
          <w:rStyle w:val="eop"/>
          <w:rFonts w:ascii="Arial" w:hAnsi="Arial" w:cs="Arial"/>
          <w:sz w:val="22"/>
          <w:szCs w:val="22"/>
        </w:rPr>
        <w:t> </w:t>
      </w:r>
    </w:p>
    <w:p w14:paraId="2D58E769"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6B272E6" w14:textId="77777777" w:rsidR="00F24CC9" w:rsidRPr="00D40326" w:rsidRDefault="00F24CC9" w:rsidP="00F24CC9">
      <w:pPr>
        <w:pStyle w:val="paragraph"/>
        <w:spacing w:before="0" w:beforeAutospacing="0" w:after="0" w:afterAutospacing="0"/>
        <w:textAlignment w:val="baseline"/>
        <w:rPr>
          <w:rFonts w:ascii="Segoe UI" w:hAnsi="Segoe UI" w:cs="Segoe UI"/>
          <w:b/>
          <w:bCs/>
          <w:sz w:val="18"/>
          <w:szCs w:val="18"/>
        </w:rPr>
      </w:pPr>
      <w:r w:rsidRPr="00D40326">
        <w:rPr>
          <w:rStyle w:val="normaltextrun"/>
          <w:rFonts w:ascii="Arial" w:hAnsi="Arial" w:cs="Arial"/>
          <w:b/>
          <w:bCs/>
          <w:sz w:val="22"/>
          <w:szCs w:val="22"/>
        </w:rPr>
        <w:t>Monitoring:</w:t>
      </w:r>
      <w:r w:rsidRPr="00D40326">
        <w:rPr>
          <w:rStyle w:val="eop"/>
          <w:rFonts w:ascii="Arial" w:hAnsi="Arial" w:cs="Arial"/>
          <w:b/>
          <w:bCs/>
          <w:sz w:val="22"/>
          <w:szCs w:val="22"/>
        </w:rPr>
        <w:t> </w:t>
      </w:r>
    </w:p>
    <w:p w14:paraId="46EEAD88"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841B4A" w14:textId="024BE9E7" w:rsidR="00F24CC9" w:rsidRDefault="00F24CC9" w:rsidP="0360E2C0">
      <w:pPr>
        <w:pStyle w:val="paragraph"/>
        <w:numPr>
          <w:ilvl w:val="0"/>
          <w:numId w:val="6"/>
        </w:numPr>
        <w:spacing w:before="0" w:beforeAutospacing="0" w:after="0" w:afterAutospacing="0"/>
        <w:textAlignment w:val="baseline"/>
        <w:rPr>
          <w:rStyle w:val="eop"/>
          <w:rFonts w:ascii="Arial" w:hAnsi="Arial" w:cs="Arial"/>
          <w:sz w:val="22"/>
          <w:szCs w:val="22"/>
        </w:rPr>
      </w:pPr>
      <w:r w:rsidRPr="0360E2C0">
        <w:rPr>
          <w:rStyle w:val="normaltextrun"/>
          <w:rFonts w:ascii="Arial" w:hAnsi="Arial" w:cs="Arial"/>
          <w:sz w:val="22"/>
          <w:szCs w:val="22"/>
        </w:rPr>
        <w:t>Based on the </w:t>
      </w:r>
      <w:r w:rsidR="00AD602B" w:rsidRPr="00AD602B">
        <w:rPr>
          <w:rStyle w:val="normaltextrun"/>
          <w:rFonts w:ascii="Arial" w:hAnsi="Arial" w:cs="Arial"/>
          <w:b/>
          <w:bCs/>
          <w:sz w:val="22"/>
          <w:szCs w:val="22"/>
        </w:rPr>
        <w:t xml:space="preserve">overall </w:t>
      </w:r>
      <w:r w:rsidRPr="00AD602B">
        <w:rPr>
          <w:rStyle w:val="normaltextrun"/>
          <w:rFonts w:ascii="Arial" w:hAnsi="Arial" w:cs="Arial"/>
          <w:b/>
          <w:bCs/>
          <w:sz w:val="22"/>
          <w:szCs w:val="22"/>
        </w:rPr>
        <w:t>theory of c</w:t>
      </w:r>
      <w:r w:rsidRPr="0360E2C0">
        <w:rPr>
          <w:rStyle w:val="normaltextrun"/>
          <w:rFonts w:ascii="Arial" w:hAnsi="Arial" w:cs="Arial"/>
          <w:b/>
          <w:bCs/>
          <w:sz w:val="22"/>
          <w:szCs w:val="22"/>
        </w:rPr>
        <w:t>hange</w:t>
      </w:r>
      <w:r w:rsidRPr="0360E2C0">
        <w:rPr>
          <w:rStyle w:val="normaltextrun"/>
          <w:rFonts w:ascii="Arial" w:hAnsi="Arial" w:cs="Arial"/>
          <w:sz w:val="22"/>
          <w:szCs w:val="22"/>
        </w:rPr>
        <w:t xml:space="preserve">, </w:t>
      </w:r>
      <w:r w:rsidR="00AD602B">
        <w:rPr>
          <w:rStyle w:val="normaltextrun"/>
          <w:rFonts w:ascii="Arial" w:hAnsi="Arial" w:cs="Arial"/>
          <w:sz w:val="22"/>
          <w:szCs w:val="22"/>
        </w:rPr>
        <w:t>the</w:t>
      </w:r>
      <w:r w:rsidRPr="0360E2C0">
        <w:rPr>
          <w:rStyle w:val="normaltextrun"/>
          <w:rFonts w:ascii="Arial" w:hAnsi="Arial" w:cs="Arial"/>
          <w:sz w:val="22"/>
          <w:szCs w:val="22"/>
        </w:rPr>
        <w:t xml:space="preserve"> </w:t>
      </w:r>
      <w:r w:rsidR="46774260" w:rsidRPr="0360E2C0">
        <w:rPr>
          <w:rStyle w:val="normaltextrun"/>
          <w:rFonts w:ascii="Arial" w:hAnsi="Arial" w:cs="Arial"/>
          <w:sz w:val="22"/>
          <w:szCs w:val="22"/>
        </w:rPr>
        <w:t xml:space="preserve">results </w:t>
      </w:r>
      <w:r w:rsidRPr="0360E2C0">
        <w:rPr>
          <w:rStyle w:val="normaltextrun"/>
          <w:rFonts w:ascii="Arial" w:hAnsi="Arial" w:cs="Arial"/>
          <w:sz w:val="22"/>
          <w:szCs w:val="22"/>
        </w:rPr>
        <w:t xml:space="preserve">framework will be </w:t>
      </w:r>
      <w:r w:rsidR="00AD602B">
        <w:rPr>
          <w:rStyle w:val="normaltextrun"/>
          <w:rFonts w:ascii="Arial" w:hAnsi="Arial" w:cs="Arial"/>
          <w:sz w:val="22"/>
          <w:szCs w:val="22"/>
        </w:rPr>
        <w:t>sets</w:t>
      </w:r>
      <w:r w:rsidRPr="0360E2C0">
        <w:rPr>
          <w:rStyle w:val="normaltextrun"/>
          <w:rFonts w:ascii="Arial" w:hAnsi="Arial" w:cs="Arial"/>
          <w:sz w:val="22"/>
          <w:szCs w:val="22"/>
        </w:rPr>
        <w:t xml:space="preserve"> out programme deliverables and timescales for delivery, this framework will be the guiding document for reporting progress against programme objectives.</w:t>
      </w:r>
      <w:r w:rsidRPr="0360E2C0">
        <w:rPr>
          <w:rStyle w:val="eop"/>
          <w:rFonts w:ascii="Arial" w:hAnsi="Arial" w:cs="Arial"/>
          <w:sz w:val="22"/>
          <w:szCs w:val="22"/>
        </w:rPr>
        <w:t> </w:t>
      </w:r>
    </w:p>
    <w:p w14:paraId="6017BA66" w14:textId="77777777" w:rsidR="00F24CC9" w:rsidRDefault="00F24CC9" w:rsidP="0041744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Monthly progress meetings</w:t>
      </w:r>
      <w:r>
        <w:rPr>
          <w:rStyle w:val="normaltextrun"/>
          <w:rFonts w:ascii="Arial" w:hAnsi="Arial" w:cs="Arial"/>
          <w:sz w:val="22"/>
          <w:szCs w:val="22"/>
        </w:rPr>
        <w:t> assess performance of the partnerships looking at progress of planned activities as well as reviewing finance and risk.</w:t>
      </w:r>
      <w:r>
        <w:rPr>
          <w:rStyle w:val="eop"/>
          <w:rFonts w:ascii="Arial" w:hAnsi="Arial" w:cs="Arial"/>
          <w:sz w:val="22"/>
          <w:szCs w:val="22"/>
        </w:rPr>
        <w:t> </w:t>
      </w:r>
    </w:p>
    <w:p w14:paraId="0956D711" w14:textId="77777777" w:rsidR="00F24CC9" w:rsidRDefault="00F24CC9" w:rsidP="0041744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Quarterly published reporting</w:t>
      </w:r>
      <w:r>
        <w:rPr>
          <w:rStyle w:val="normaltextrun"/>
          <w:rFonts w:ascii="Arial" w:hAnsi="Arial" w:cs="Arial"/>
          <w:sz w:val="22"/>
          <w:szCs w:val="22"/>
        </w:rPr>
        <w:t> feeds into strategic discussions at steering committee meetings. These reports will also be used in strategic discussions with partner countries.</w:t>
      </w:r>
      <w:r>
        <w:rPr>
          <w:rStyle w:val="eop"/>
          <w:rFonts w:ascii="Arial" w:hAnsi="Arial" w:cs="Arial"/>
          <w:sz w:val="22"/>
          <w:szCs w:val="22"/>
        </w:rPr>
        <w:t> </w:t>
      </w:r>
    </w:p>
    <w:p w14:paraId="63854BE4" w14:textId="77777777" w:rsidR="00F24CC9" w:rsidRDefault="00F24CC9" w:rsidP="0041744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Country partnerships</w:t>
      </w:r>
      <w:r>
        <w:rPr>
          <w:rStyle w:val="normaltextrun"/>
          <w:rFonts w:ascii="Arial" w:hAnsi="Arial" w:cs="Arial"/>
          <w:sz w:val="22"/>
          <w:szCs w:val="22"/>
        </w:rPr>
        <w:t> will be encouraged to re-visit theories of change at least every 6 months to ensure programme activities and outputs remain on track.</w:t>
      </w:r>
      <w:r>
        <w:rPr>
          <w:rStyle w:val="eop"/>
          <w:rFonts w:ascii="Arial" w:hAnsi="Arial" w:cs="Arial"/>
          <w:sz w:val="22"/>
          <w:szCs w:val="22"/>
        </w:rPr>
        <w:t> </w:t>
      </w:r>
    </w:p>
    <w:p w14:paraId="0BBD43D2" w14:textId="77777777" w:rsidR="00F24CC9" w:rsidRDefault="00F24CC9" w:rsidP="0041744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Regular collection of results and evidence</w:t>
      </w:r>
      <w:r>
        <w:rPr>
          <w:rStyle w:val="normaltextrun"/>
          <w:rFonts w:ascii="Arial" w:hAnsi="Arial" w:cs="Arial"/>
          <w:sz w:val="22"/>
          <w:szCs w:val="22"/>
        </w:rPr>
        <w:t> of change including feedback from partners and key stakeholders on progress.</w:t>
      </w:r>
      <w:r>
        <w:rPr>
          <w:rStyle w:val="eop"/>
          <w:rFonts w:ascii="Arial" w:hAnsi="Arial" w:cs="Arial"/>
          <w:sz w:val="22"/>
          <w:szCs w:val="22"/>
        </w:rPr>
        <w:t> </w:t>
      </w:r>
    </w:p>
    <w:p w14:paraId="76DF8888" w14:textId="77777777" w:rsidR="00F24CC9" w:rsidRDefault="00F24CC9" w:rsidP="0041744E">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Annual published reporting</w:t>
      </w:r>
      <w:r>
        <w:rPr>
          <w:rStyle w:val="normaltextrun"/>
          <w:rFonts w:ascii="Arial" w:hAnsi="Arial" w:cs="Arial"/>
          <w:sz w:val="22"/>
          <w:szCs w:val="22"/>
        </w:rPr>
        <w:t> against the overall programme performance framework setting out what results have been delivered what overall changes have been observed, value for money assessments, discussion of risks and recommendations for the following year. </w:t>
      </w:r>
      <w:r>
        <w:rPr>
          <w:rStyle w:val="eop"/>
          <w:rFonts w:ascii="Arial" w:hAnsi="Arial" w:cs="Arial"/>
          <w:sz w:val="22"/>
          <w:szCs w:val="22"/>
        </w:rPr>
        <w:t> </w:t>
      </w:r>
    </w:p>
    <w:p w14:paraId="7885C0EA" w14:textId="77777777" w:rsidR="00F24CC9" w:rsidRDefault="00F24CC9" w:rsidP="00F24CC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3E46C66C" w14:textId="77777777" w:rsidR="00F24CC9" w:rsidRPr="00D40326" w:rsidRDefault="00F24CC9" w:rsidP="00F24CC9">
      <w:pPr>
        <w:pStyle w:val="paragraph"/>
        <w:spacing w:before="0" w:beforeAutospacing="0" w:after="0" w:afterAutospacing="0"/>
        <w:textAlignment w:val="baseline"/>
        <w:rPr>
          <w:rFonts w:ascii="Segoe UI" w:hAnsi="Segoe UI" w:cs="Segoe UI"/>
          <w:b/>
          <w:bCs/>
          <w:sz w:val="18"/>
          <w:szCs w:val="18"/>
        </w:rPr>
      </w:pPr>
      <w:r w:rsidRPr="00D40326">
        <w:rPr>
          <w:rStyle w:val="normaltextrun"/>
          <w:rFonts w:ascii="Arial" w:hAnsi="Arial" w:cs="Arial"/>
          <w:b/>
          <w:bCs/>
          <w:sz w:val="22"/>
          <w:szCs w:val="22"/>
        </w:rPr>
        <w:t>Evaluation:</w:t>
      </w:r>
      <w:r w:rsidRPr="00D40326">
        <w:rPr>
          <w:rStyle w:val="eop"/>
          <w:rFonts w:ascii="Arial" w:hAnsi="Arial" w:cs="Arial"/>
          <w:b/>
          <w:bCs/>
          <w:sz w:val="22"/>
          <w:szCs w:val="22"/>
        </w:rPr>
        <w:t> </w:t>
      </w:r>
    </w:p>
    <w:p w14:paraId="3C36E8FD" w14:textId="77777777" w:rsidR="00F24CC9" w:rsidRPr="00D40326" w:rsidRDefault="00F24CC9" w:rsidP="00F24CC9">
      <w:pPr>
        <w:pStyle w:val="paragraph"/>
        <w:spacing w:before="0" w:beforeAutospacing="0" w:after="0" w:afterAutospacing="0"/>
        <w:textAlignment w:val="baseline"/>
        <w:rPr>
          <w:rFonts w:ascii="Segoe UI" w:hAnsi="Segoe UI" w:cs="Segoe UI"/>
          <w:b/>
          <w:bCs/>
          <w:sz w:val="18"/>
          <w:szCs w:val="18"/>
        </w:rPr>
      </w:pPr>
      <w:r w:rsidRPr="00D40326">
        <w:rPr>
          <w:rStyle w:val="eop"/>
          <w:rFonts w:ascii="Arial" w:hAnsi="Arial" w:cs="Arial"/>
          <w:b/>
          <w:bCs/>
          <w:sz w:val="22"/>
          <w:szCs w:val="22"/>
        </w:rPr>
        <w:t> </w:t>
      </w:r>
    </w:p>
    <w:p w14:paraId="2194FDE4" w14:textId="7454B712"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Evaluation that looks at various aspects of our operation model and how it delivers results will be important. The ONS </w:t>
      </w:r>
      <w:r w:rsidR="00ED575F">
        <w:rPr>
          <w:rStyle w:val="normaltextrun"/>
          <w:rFonts w:ascii="Arial" w:hAnsi="Arial" w:cs="Arial"/>
          <w:sz w:val="22"/>
          <w:szCs w:val="22"/>
        </w:rPr>
        <w:t>is</w:t>
      </w:r>
      <w:r>
        <w:rPr>
          <w:rStyle w:val="normaltextrun"/>
          <w:rFonts w:ascii="Arial" w:hAnsi="Arial" w:cs="Arial"/>
          <w:sz w:val="22"/>
          <w:szCs w:val="22"/>
        </w:rPr>
        <w:t xml:space="preserve"> therefore commission</w:t>
      </w:r>
      <w:r w:rsidR="00ED575F">
        <w:rPr>
          <w:rStyle w:val="normaltextrun"/>
          <w:rFonts w:ascii="Arial" w:hAnsi="Arial" w:cs="Arial"/>
          <w:sz w:val="22"/>
          <w:szCs w:val="22"/>
        </w:rPr>
        <w:t>ing</w:t>
      </w:r>
      <w:r>
        <w:rPr>
          <w:rStyle w:val="normaltextrun"/>
          <w:rFonts w:ascii="Arial" w:hAnsi="Arial" w:cs="Arial"/>
          <w:sz w:val="22"/>
          <w:szCs w:val="22"/>
        </w:rPr>
        <w:t xml:space="preserve"> an</w:t>
      </w:r>
      <w:r w:rsidR="00ED575F">
        <w:rPr>
          <w:rStyle w:val="normaltextrun"/>
          <w:rFonts w:ascii="Arial" w:hAnsi="Arial" w:cs="Arial"/>
          <w:sz w:val="22"/>
          <w:szCs w:val="22"/>
        </w:rPr>
        <w:t xml:space="preserve"> external</w:t>
      </w:r>
      <w:r>
        <w:rPr>
          <w:rStyle w:val="normaltextrun"/>
          <w:rFonts w:ascii="Arial" w:hAnsi="Arial" w:cs="Arial"/>
          <w:sz w:val="22"/>
          <w:szCs w:val="22"/>
        </w:rPr>
        <w:t xml:space="preserve"> evaluation</w:t>
      </w:r>
      <w:r w:rsidR="00ED575F">
        <w:rPr>
          <w:rStyle w:val="normaltextrun"/>
          <w:rFonts w:ascii="Arial" w:hAnsi="Arial" w:cs="Arial"/>
          <w:sz w:val="22"/>
          <w:szCs w:val="22"/>
        </w:rPr>
        <w:t xml:space="preserve"> in </w:t>
      </w:r>
      <w:proofErr w:type="spellStart"/>
      <w:r w:rsidR="00ED575F">
        <w:rPr>
          <w:rStyle w:val="normaltextrun"/>
          <w:rFonts w:ascii="Arial" w:hAnsi="Arial" w:cs="Arial"/>
          <w:sz w:val="22"/>
          <w:szCs w:val="22"/>
        </w:rPr>
        <w:t>mid 2021</w:t>
      </w:r>
      <w:proofErr w:type="spellEnd"/>
      <w:r w:rsidR="00ED575F">
        <w:rPr>
          <w:rStyle w:val="normaltextrun"/>
          <w:rFonts w:ascii="Arial" w:hAnsi="Arial" w:cs="Arial"/>
          <w:sz w:val="22"/>
          <w:szCs w:val="22"/>
        </w:rPr>
        <w:t>,</w:t>
      </w:r>
      <w:r>
        <w:rPr>
          <w:rStyle w:val="normaltextrun"/>
          <w:rFonts w:ascii="Arial" w:hAnsi="Arial" w:cs="Arial"/>
          <w:sz w:val="22"/>
          <w:szCs w:val="22"/>
        </w:rPr>
        <w:t xml:space="preserve"> as we design the ne</w:t>
      </w:r>
      <w:r w:rsidR="00ED575F">
        <w:rPr>
          <w:rStyle w:val="normaltextrun"/>
          <w:rFonts w:ascii="Arial" w:hAnsi="Arial" w:cs="Arial"/>
          <w:sz w:val="22"/>
          <w:szCs w:val="22"/>
        </w:rPr>
        <w:t xml:space="preserve">xt </w:t>
      </w:r>
      <w:r>
        <w:rPr>
          <w:rStyle w:val="normaltextrun"/>
          <w:rFonts w:ascii="Arial" w:hAnsi="Arial" w:cs="Arial"/>
          <w:sz w:val="22"/>
          <w:szCs w:val="22"/>
        </w:rPr>
        <w:t>phase of the programme</w:t>
      </w:r>
      <w:r w:rsidR="007E7407">
        <w:rPr>
          <w:rStyle w:val="normaltextrun"/>
          <w:rFonts w:ascii="Arial" w:hAnsi="Arial" w:cs="Arial"/>
          <w:sz w:val="22"/>
          <w:szCs w:val="22"/>
        </w:rPr>
        <w:t>,</w:t>
      </w:r>
      <w:r>
        <w:rPr>
          <w:rStyle w:val="normaltextrun"/>
          <w:rFonts w:ascii="Arial" w:hAnsi="Arial" w:cs="Arial"/>
          <w:sz w:val="22"/>
          <w:szCs w:val="22"/>
        </w:rPr>
        <w:t xml:space="preserve"> bringing together the evidence we have gathered so far and looking at any evidence gaps the evaluation should address. </w:t>
      </w:r>
      <w:r>
        <w:rPr>
          <w:rStyle w:val="eop"/>
          <w:rFonts w:ascii="Arial" w:hAnsi="Arial" w:cs="Arial"/>
          <w:sz w:val="22"/>
          <w:szCs w:val="22"/>
        </w:rPr>
        <w:t> </w:t>
      </w:r>
    </w:p>
    <w:p w14:paraId="6BDCCE58"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E500DB"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Through our monitoring and evaluation processes the ONS will quickly identify whether or not a partnership is delivering and will be able to take swift remedial actions if required; if it is not possible to put things back on track we will close the partnership and invest elsewhere.</w:t>
      </w:r>
      <w:r>
        <w:rPr>
          <w:rStyle w:val="eop"/>
          <w:rFonts w:ascii="Arial" w:hAnsi="Arial" w:cs="Arial"/>
          <w:sz w:val="22"/>
          <w:szCs w:val="22"/>
        </w:rPr>
        <w:t> </w:t>
      </w:r>
    </w:p>
    <w:p w14:paraId="3C5E80D7" w14:textId="77777777" w:rsidR="00F24CC9" w:rsidRDefault="00F24CC9" w:rsidP="00F24CC9">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10818330" w14:textId="77777777" w:rsidR="00F24CC9" w:rsidRPr="00D40326" w:rsidRDefault="00F24CC9" w:rsidP="00F24CC9">
      <w:pPr>
        <w:pStyle w:val="paragraph"/>
        <w:spacing w:before="0" w:beforeAutospacing="0" w:after="0" w:afterAutospacing="0"/>
        <w:textAlignment w:val="baseline"/>
        <w:rPr>
          <w:rFonts w:ascii="Segoe UI" w:hAnsi="Segoe UI" w:cs="Segoe UI"/>
          <w:b/>
          <w:bCs/>
          <w:sz w:val="18"/>
          <w:szCs w:val="18"/>
        </w:rPr>
      </w:pPr>
      <w:r w:rsidRPr="00D40326">
        <w:rPr>
          <w:rStyle w:val="normaltextrun"/>
          <w:rFonts w:ascii="Arial" w:hAnsi="Arial" w:cs="Arial"/>
          <w:b/>
          <w:bCs/>
          <w:sz w:val="22"/>
          <w:szCs w:val="22"/>
        </w:rPr>
        <w:t>Learning:</w:t>
      </w:r>
      <w:r w:rsidRPr="00D40326">
        <w:rPr>
          <w:rStyle w:val="eop"/>
          <w:rFonts w:ascii="Arial" w:hAnsi="Arial" w:cs="Arial"/>
          <w:b/>
          <w:bCs/>
          <w:sz w:val="22"/>
          <w:szCs w:val="22"/>
        </w:rPr>
        <w:t> </w:t>
      </w:r>
    </w:p>
    <w:p w14:paraId="53927C10"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AE516C"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Learning will be an integral part of how we operate and will be at all stages of the programme. We will systemise learning in the following ways;</w:t>
      </w:r>
      <w:r>
        <w:rPr>
          <w:rStyle w:val="eop"/>
          <w:rFonts w:ascii="Arial" w:hAnsi="Arial" w:cs="Arial"/>
          <w:sz w:val="22"/>
          <w:szCs w:val="22"/>
        </w:rPr>
        <w:t> </w:t>
      </w:r>
    </w:p>
    <w:p w14:paraId="7B766D61" w14:textId="77777777" w:rsidR="00F24CC9" w:rsidRDefault="00F24CC9" w:rsidP="00F24C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94F1794" w14:textId="71D55EBD" w:rsidR="00F24CC9" w:rsidRDefault="0081405A" w:rsidP="0041744E">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lastRenderedPageBreak/>
        <w:t>L</w:t>
      </w:r>
      <w:r w:rsidR="00F24CC9">
        <w:rPr>
          <w:rStyle w:val="normaltextrun"/>
          <w:rFonts w:ascii="Arial" w:hAnsi="Arial" w:cs="Arial"/>
          <w:b/>
          <w:bCs/>
          <w:sz w:val="22"/>
          <w:szCs w:val="22"/>
        </w:rPr>
        <w:t>esson learning sessions </w:t>
      </w:r>
      <w:r>
        <w:rPr>
          <w:rStyle w:val="normaltextrun"/>
          <w:rFonts w:ascii="Arial" w:hAnsi="Arial" w:cs="Arial"/>
          <w:b/>
          <w:bCs/>
          <w:sz w:val="22"/>
          <w:szCs w:val="22"/>
        </w:rPr>
        <w:t xml:space="preserve">as part of monthly progress meetings </w:t>
      </w:r>
      <w:r w:rsidR="00F24CC9">
        <w:rPr>
          <w:rStyle w:val="normaltextrun"/>
          <w:rFonts w:ascii="Arial" w:hAnsi="Arial" w:cs="Arial"/>
          <w:sz w:val="22"/>
          <w:szCs w:val="22"/>
        </w:rPr>
        <w:t>to discuss challenges and share operational experience</w:t>
      </w:r>
      <w:r w:rsidR="00F24CC9">
        <w:rPr>
          <w:rStyle w:val="eop"/>
          <w:rFonts w:ascii="Arial" w:hAnsi="Arial" w:cs="Arial"/>
          <w:sz w:val="22"/>
          <w:szCs w:val="22"/>
        </w:rPr>
        <w:t> </w:t>
      </w:r>
    </w:p>
    <w:p w14:paraId="3A484DA0" w14:textId="77777777" w:rsidR="00F24CC9" w:rsidRDefault="00F24CC9" w:rsidP="0041744E">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Sharing lessons</w:t>
      </w:r>
      <w:r>
        <w:rPr>
          <w:rStyle w:val="normaltextrun"/>
          <w:rFonts w:ascii="Arial" w:hAnsi="Arial" w:cs="Arial"/>
          <w:sz w:val="22"/>
          <w:szCs w:val="22"/>
        </w:rPr>
        <w:t> of challenges and successes across the team following quarterly reporting </w:t>
      </w:r>
      <w:r>
        <w:rPr>
          <w:rStyle w:val="eop"/>
          <w:rFonts w:ascii="Arial" w:hAnsi="Arial" w:cs="Arial"/>
          <w:sz w:val="22"/>
          <w:szCs w:val="22"/>
        </w:rPr>
        <w:t> </w:t>
      </w:r>
    </w:p>
    <w:p w14:paraId="02D6CA32" w14:textId="33EF6C8E" w:rsidR="00F24CC9" w:rsidRDefault="00F24CC9" w:rsidP="0041744E">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6 monthly in-week </w:t>
      </w:r>
      <w:r>
        <w:rPr>
          <w:rStyle w:val="normaltextrun"/>
          <w:rFonts w:ascii="Arial" w:hAnsi="Arial" w:cs="Arial"/>
          <w:sz w:val="22"/>
          <w:szCs w:val="22"/>
        </w:rPr>
        <w:t xml:space="preserve">looking at strategic areas allowing for more in-depth discussions and external inputs from others- including political colleagues, other </w:t>
      </w:r>
      <w:r w:rsidR="0013223D">
        <w:rPr>
          <w:rStyle w:val="normaltextrun"/>
          <w:rFonts w:ascii="Arial" w:hAnsi="Arial" w:cs="Arial"/>
          <w:sz w:val="22"/>
          <w:szCs w:val="22"/>
        </w:rPr>
        <w:t>donors,</w:t>
      </w:r>
      <w:r>
        <w:rPr>
          <w:rStyle w:val="normaltextrun"/>
          <w:rFonts w:ascii="Arial" w:hAnsi="Arial" w:cs="Arial"/>
          <w:sz w:val="22"/>
          <w:szCs w:val="22"/>
        </w:rPr>
        <w:t> and our partners</w:t>
      </w:r>
      <w:r>
        <w:rPr>
          <w:rStyle w:val="eop"/>
          <w:rFonts w:ascii="Arial" w:hAnsi="Arial" w:cs="Arial"/>
          <w:sz w:val="22"/>
          <w:szCs w:val="22"/>
        </w:rPr>
        <w:t> </w:t>
      </w:r>
    </w:p>
    <w:p w14:paraId="05179631" w14:textId="77777777" w:rsidR="00F24CC9" w:rsidRDefault="00F24CC9" w:rsidP="0041744E">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Annual learning sessions</w:t>
      </w:r>
      <w:r>
        <w:rPr>
          <w:rStyle w:val="normaltextrun"/>
          <w:rFonts w:ascii="Arial" w:hAnsi="Arial" w:cs="Arial"/>
          <w:sz w:val="22"/>
          <w:szCs w:val="22"/>
        </w:rPr>
        <w:t> with the team and partners following the annual review process.</w:t>
      </w:r>
      <w:r>
        <w:rPr>
          <w:rStyle w:val="eop"/>
          <w:rFonts w:ascii="Arial" w:hAnsi="Arial" w:cs="Arial"/>
          <w:sz w:val="22"/>
          <w:szCs w:val="22"/>
        </w:rPr>
        <w:t> </w:t>
      </w:r>
    </w:p>
    <w:sectPr w:rsidR="00F24CC9">
      <w:footerReference w:type="default" r:id="rId17"/>
      <w:pgSz w:w="11906" w:h="16838"/>
      <w:pgMar w:top="851" w:right="991" w:bottom="1134"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99DCC" w14:textId="77777777" w:rsidR="001203D8" w:rsidRDefault="001203D8">
      <w:pPr>
        <w:spacing w:before="0" w:after="0"/>
      </w:pPr>
      <w:r>
        <w:separator/>
      </w:r>
    </w:p>
  </w:endnote>
  <w:endnote w:type="continuationSeparator" w:id="0">
    <w:p w14:paraId="781EBB38" w14:textId="77777777" w:rsidR="001203D8" w:rsidRDefault="001203D8">
      <w:pPr>
        <w:spacing w:before="0" w:after="0"/>
      </w:pPr>
      <w:r>
        <w:continuationSeparator/>
      </w:r>
    </w:p>
  </w:endnote>
  <w:endnote w:type="continuationNotice" w:id="1">
    <w:p w14:paraId="20F25602" w14:textId="77777777" w:rsidR="001203D8" w:rsidRDefault="001203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umnst777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E2AF" w14:textId="282513FB" w:rsidR="00AD029B" w:rsidRDefault="00AD029B">
    <w:pPr>
      <w:tabs>
        <w:tab w:val="center" w:pos="4153"/>
        <w:tab w:val="right" w:pos="8306"/>
      </w:tabs>
      <w:spacing w:after="0"/>
      <w:jc w:val="left"/>
    </w:pPr>
    <w:r>
      <w:rPr>
        <w:b/>
        <w:color w:val="808080"/>
        <w:sz w:val="20"/>
        <w:szCs w:val="20"/>
      </w:rPr>
      <w:t>Office for National Statistics A</w:t>
    </w:r>
    <w:r w:rsidR="0091745E">
      <w:rPr>
        <w:b/>
        <w:color w:val="808080"/>
        <w:sz w:val="20"/>
        <w:szCs w:val="20"/>
      </w:rPr>
      <w:t xml:space="preserve">pril </w:t>
    </w:r>
    <w:r>
      <w:rPr>
        <w:b/>
        <w:color w:val="808080"/>
        <w:sz w:val="20"/>
        <w:szCs w:val="20"/>
      </w:rPr>
      <w:t>20</w:t>
    </w:r>
    <w:r w:rsidR="0091745E">
      <w:rPr>
        <w:b/>
        <w:color w:val="808080"/>
        <w:sz w:val="20"/>
        <w:szCs w:val="20"/>
      </w:rPr>
      <w:t>2</w:t>
    </w:r>
    <w:r>
      <w:rPr>
        <w:b/>
        <w:color w:val="808080"/>
        <w:sz w:val="20"/>
        <w:szCs w:val="20"/>
      </w:rPr>
      <w:t xml:space="preserve">1                                                                            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14:paraId="649025D8" w14:textId="77777777" w:rsidR="00AD029B" w:rsidRDefault="00AD029B">
    <w:pPr>
      <w:tabs>
        <w:tab w:val="center" w:pos="4153"/>
        <w:tab w:val="right" w:pos="8306"/>
      </w:tabs>
      <w:spacing w:before="0" w:after="319"/>
      <w:jc w:val="left"/>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1ECA" w14:textId="77777777" w:rsidR="001203D8" w:rsidRDefault="001203D8">
      <w:pPr>
        <w:spacing w:before="0" w:after="0"/>
      </w:pPr>
      <w:r>
        <w:separator/>
      </w:r>
    </w:p>
  </w:footnote>
  <w:footnote w:type="continuationSeparator" w:id="0">
    <w:p w14:paraId="6C5B2402" w14:textId="77777777" w:rsidR="001203D8" w:rsidRDefault="001203D8">
      <w:pPr>
        <w:spacing w:before="0" w:after="0"/>
      </w:pPr>
      <w:r>
        <w:continuationSeparator/>
      </w:r>
    </w:p>
  </w:footnote>
  <w:footnote w:type="continuationNotice" w:id="1">
    <w:p w14:paraId="20370A62" w14:textId="77777777" w:rsidR="001203D8" w:rsidRDefault="001203D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2FF"/>
    <w:multiLevelType w:val="multilevel"/>
    <w:tmpl w:val="AA1458F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7543DA"/>
    <w:multiLevelType w:val="hybridMultilevel"/>
    <w:tmpl w:val="EF148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D22EA"/>
    <w:multiLevelType w:val="hybridMultilevel"/>
    <w:tmpl w:val="1ED6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C2889"/>
    <w:multiLevelType w:val="hybridMultilevel"/>
    <w:tmpl w:val="75FC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02FC5"/>
    <w:multiLevelType w:val="hybridMultilevel"/>
    <w:tmpl w:val="5F76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72557"/>
    <w:multiLevelType w:val="multilevel"/>
    <w:tmpl w:val="6130CD26"/>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63C12B0D"/>
    <w:multiLevelType w:val="hybridMultilevel"/>
    <w:tmpl w:val="9918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7C"/>
    <w:rsid w:val="00026E73"/>
    <w:rsid w:val="00033209"/>
    <w:rsid w:val="000A0355"/>
    <w:rsid w:val="001203D8"/>
    <w:rsid w:val="0013223D"/>
    <w:rsid w:val="001761C5"/>
    <w:rsid w:val="001C1B20"/>
    <w:rsid w:val="001D37B6"/>
    <w:rsid w:val="002F407C"/>
    <w:rsid w:val="003026AB"/>
    <w:rsid w:val="003F193D"/>
    <w:rsid w:val="0040077F"/>
    <w:rsid w:val="0041744E"/>
    <w:rsid w:val="004607A0"/>
    <w:rsid w:val="00467647"/>
    <w:rsid w:val="00491C74"/>
    <w:rsid w:val="004B6860"/>
    <w:rsid w:val="004D20AB"/>
    <w:rsid w:val="004E351F"/>
    <w:rsid w:val="005A0B77"/>
    <w:rsid w:val="005F4B87"/>
    <w:rsid w:val="006255BB"/>
    <w:rsid w:val="006941F2"/>
    <w:rsid w:val="006C3326"/>
    <w:rsid w:val="00742225"/>
    <w:rsid w:val="007502AE"/>
    <w:rsid w:val="00772AAA"/>
    <w:rsid w:val="007E7407"/>
    <w:rsid w:val="0081405A"/>
    <w:rsid w:val="008233AE"/>
    <w:rsid w:val="008453DE"/>
    <w:rsid w:val="00852A9E"/>
    <w:rsid w:val="0091745E"/>
    <w:rsid w:val="00974F2A"/>
    <w:rsid w:val="009D02C9"/>
    <w:rsid w:val="00AB0E7B"/>
    <w:rsid w:val="00AB273F"/>
    <w:rsid w:val="00AD029B"/>
    <w:rsid w:val="00AD602B"/>
    <w:rsid w:val="00B21F43"/>
    <w:rsid w:val="00B3759B"/>
    <w:rsid w:val="00C212AD"/>
    <w:rsid w:val="00C85121"/>
    <w:rsid w:val="00C956C8"/>
    <w:rsid w:val="00CA6270"/>
    <w:rsid w:val="00CE580C"/>
    <w:rsid w:val="00CF6D33"/>
    <w:rsid w:val="00D40326"/>
    <w:rsid w:val="00D86B53"/>
    <w:rsid w:val="00D91D98"/>
    <w:rsid w:val="00DF5E01"/>
    <w:rsid w:val="00E12830"/>
    <w:rsid w:val="00E3243C"/>
    <w:rsid w:val="00ED575F"/>
    <w:rsid w:val="00EE1163"/>
    <w:rsid w:val="00EE193E"/>
    <w:rsid w:val="00F24CC9"/>
    <w:rsid w:val="00F817E8"/>
    <w:rsid w:val="00F850FE"/>
    <w:rsid w:val="00FA6703"/>
    <w:rsid w:val="0360E2C0"/>
    <w:rsid w:val="099CC85E"/>
    <w:rsid w:val="1261BC6C"/>
    <w:rsid w:val="13D94E68"/>
    <w:rsid w:val="15ED7181"/>
    <w:rsid w:val="1B522E3E"/>
    <w:rsid w:val="1EB6536C"/>
    <w:rsid w:val="1F3EAD32"/>
    <w:rsid w:val="220ABEBE"/>
    <w:rsid w:val="2699F4FE"/>
    <w:rsid w:val="2B30FFEC"/>
    <w:rsid w:val="2F80145D"/>
    <w:rsid w:val="3A33E1F3"/>
    <w:rsid w:val="3EAEE886"/>
    <w:rsid w:val="3EEE2AB9"/>
    <w:rsid w:val="3F4807A8"/>
    <w:rsid w:val="461C6910"/>
    <w:rsid w:val="46774260"/>
    <w:rsid w:val="48420267"/>
    <w:rsid w:val="525ABE6D"/>
    <w:rsid w:val="5414AF2D"/>
    <w:rsid w:val="56CAE4CA"/>
    <w:rsid w:val="5985CB5F"/>
    <w:rsid w:val="5AD07C9B"/>
    <w:rsid w:val="5CA64050"/>
    <w:rsid w:val="5FF50CE3"/>
    <w:rsid w:val="6212AB8A"/>
    <w:rsid w:val="6439D1BE"/>
    <w:rsid w:val="6DE07B3B"/>
    <w:rsid w:val="71AEEE94"/>
    <w:rsid w:val="72B9A2D2"/>
    <w:rsid w:val="76825FB7"/>
    <w:rsid w:val="77BF64C1"/>
    <w:rsid w:val="77E0321F"/>
    <w:rsid w:val="79BA0079"/>
    <w:rsid w:val="7B55D0DA"/>
    <w:rsid w:val="7E8D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C32F"/>
  <w15:docId w15:val="{BB61EAAA-5C67-409D-8929-FF00625C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autoSpaceDN w:val="0"/>
        <w:spacing w:before="120" w:after="4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jc w:val="lef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240" w:after="60"/>
      <w:jc w:val="left"/>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outlineLvl w:val="4"/>
    </w:pPr>
    <w:rPr>
      <w:b/>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before="0"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widowControl/>
      <w:spacing w:before="100" w:after="100"/>
      <w:jc w:val="left"/>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FootnoteText">
    <w:name w:val="footnote text"/>
    <w:basedOn w:val="Normal"/>
    <w:pPr>
      <w:spacing w:before="0"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style>
  <w:style w:type="paragraph" w:styleId="Caption">
    <w:name w:val="caption"/>
    <w:basedOn w:val="Normal"/>
    <w:next w:val="Normal"/>
    <w:pPr>
      <w:spacing w:before="0" w:after="200"/>
    </w:pPr>
    <w:rPr>
      <w:b/>
      <w:bCs/>
      <w:color w:val="4F81BD"/>
      <w:sz w:val="18"/>
      <w:szCs w:val="18"/>
    </w:rPr>
  </w:style>
  <w:style w:type="paragraph" w:customStyle="1" w:styleId="Default">
    <w:name w:val="Default"/>
    <w:pPr>
      <w:widowControl/>
      <w:suppressAutoHyphens/>
      <w:autoSpaceDE w:val="0"/>
      <w:spacing w:before="0" w:after="0"/>
      <w:jc w:val="left"/>
    </w:pPr>
    <w:rPr>
      <w:rFonts w:ascii="Arial" w:hAnsi="Arial" w:cs="Arial"/>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style>
  <w:style w:type="paragraph" w:customStyle="1" w:styleId="paragraph">
    <w:name w:val="paragraph"/>
    <w:basedOn w:val="Normal"/>
    <w:rsid w:val="00AD029B"/>
    <w:pPr>
      <w:widowControl/>
      <w:suppressAutoHyphens w:val="0"/>
      <w:autoSpaceDN/>
      <w:spacing w:before="100" w:beforeAutospacing="1" w:after="100" w:afterAutospacing="1"/>
      <w:jc w:val="left"/>
      <w:textAlignment w:val="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D029B"/>
  </w:style>
  <w:style w:type="character" w:customStyle="1" w:styleId="eop">
    <w:name w:val="eop"/>
    <w:basedOn w:val="DefaultParagraphFont"/>
    <w:rsid w:val="00AD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990">
      <w:bodyDiv w:val="1"/>
      <w:marLeft w:val="0"/>
      <w:marRight w:val="0"/>
      <w:marTop w:val="0"/>
      <w:marBottom w:val="0"/>
      <w:divBdr>
        <w:top w:val="none" w:sz="0" w:space="0" w:color="auto"/>
        <w:left w:val="none" w:sz="0" w:space="0" w:color="auto"/>
        <w:bottom w:val="none" w:sz="0" w:space="0" w:color="auto"/>
        <w:right w:val="none" w:sz="0" w:space="0" w:color="auto"/>
      </w:divBdr>
    </w:div>
    <w:div w:id="97213231">
      <w:bodyDiv w:val="1"/>
      <w:marLeft w:val="0"/>
      <w:marRight w:val="0"/>
      <w:marTop w:val="0"/>
      <w:marBottom w:val="0"/>
      <w:divBdr>
        <w:top w:val="none" w:sz="0" w:space="0" w:color="auto"/>
        <w:left w:val="none" w:sz="0" w:space="0" w:color="auto"/>
        <w:bottom w:val="none" w:sz="0" w:space="0" w:color="auto"/>
        <w:right w:val="none" w:sz="0" w:space="0" w:color="auto"/>
      </w:divBdr>
    </w:div>
    <w:div w:id="102774352">
      <w:bodyDiv w:val="1"/>
      <w:marLeft w:val="0"/>
      <w:marRight w:val="0"/>
      <w:marTop w:val="0"/>
      <w:marBottom w:val="0"/>
      <w:divBdr>
        <w:top w:val="none" w:sz="0" w:space="0" w:color="auto"/>
        <w:left w:val="none" w:sz="0" w:space="0" w:color="auto"/>
        <w:bottom w:val="none" w:sz="0" w:space="0" w:color="auto"/>
        <w:right w:val="none" w:sz="0" w:space="0" w:color="auto"/>
      </w:divBdr>
      <w:divsChild>
        <w:div w:id="220867456">
          <w:marLeft w:val="0"/>
          <w:marRight w:val="0"/>
          <w:marTop w:val="0"/>
          <w:marBottom w:val="0"/>
          <w:divBdr>
            <w:top w:val="none" w:sz="0" w:space="0" w:color="auto"/>
            <w:left w:val="none" w:sz="0" w:space="0" w:color="auto"/>
            <w:bottom w:val="none" w:sz="0" w:space="0" w:color="auto"/>
            <w:right w:val="none" w:sz="0" w:space="0" w:color="auto"/>
          </w:divBdr>
        </w:div>
        <w:div w:id="1532767702">
          <w:marLeft w:val="0"/>
          <w:marRight w:val="0"/>
          <w:marTop w:val="0"/>
          <w:marBottom w:val="0"/>
          <w:divBdr>
            <w:top w:val="none" w:sz="0" w:space="0" w:color="auto"/>
            <w:left w:val="none" w:sz="0" w:space="0" w:color="auto"/>
            <w:bottom w:val="none" w:sz="0" w:space="0" w:color="auto"/>
            <w:right w:val="none" w:sz="0" w:space="0" w:color="auto"/>
          </w:divBdr>
        </w:div>
      </w:divsChild>
    </w:div>
    <w:div w:id="384449564">
      <w:bodyDiv w:val="1"/>
      <w:marLeft w:val="0"/>
      <w:marRight w:val="0"/>
      <w:marTop w:val="0"/>
      <w:marBottom w:val="0"/>
      <w:divBdr>
        <w:top w:val="none" w:sz="0" w:space="0" w:color="auto"/>
        <w:left w:val="none" w:sz="0" w:space="0" w:color="auto"/>
        <w:bottom w:val="none" w:sz="0" w:space="0" w:color="auto"/>
        <w:right w:val="none" w:sz="0" w:space="0" w:color="auto"/>
      </w:divBdr>
    </w:div>
    <w:div w:id="648485309">
      <w:bodyDiv w:val="1"/>
      <w:marLeft w:val="0"/>
      <w:marRight w:val="0"/>
      <w:marTop w:val="0"/>
      <w:marBottom w:val="0"/>
      <w:divBdr>
        <w:top w:val="none" w:sz="0" w:space="0" w:color="auto"/>
        <w:left w:val="none" w:sz="0" w:space="0" w:color="auto"/>
        <w:bottom w:val="none" w:sz="0" w:space="0" w:color="auto"/>
        <w:right w:val="none" w:sz="0" w:space="0" w:color="auto"/>
      </w:divBdr>
      <w:divsChild>
        <w:div w:id="249432434">
          <w:marLeft w:val="0"/>
          <w:marRight w:val="0"/>
          <w:marTop w:val="0"/>
          <w:marBottom w:val="0"/>
          <w:divBdr>
            <w:top w:val="none" w:sz="0" w:space="0" w:color="auto"/>
            <w:left w:val="none" w:sz="0" w:space="0" w:color="auto"/>
            <w:bottom w:val="none" w:sz="0" w:space="0" w:color="auto"/>
            <w:right w:val="none" w:sz="0" w:space="0" w:color="auto"/>
          </w:divBdr>
        </w:div>
        <w:div w:id="1794867046">
          <w:marLeft w:val="0"/>
          <w:marRight w:val="0"/>
          <w:marTop w:val="0"/>
          <w:marBottom w:val="0"/>
          <w:divBdr>
            <w:top w:val="none" w:sz="0" w:space="0" w:color="auto"/>
            <w:left w:val="none" w:sz="0" w:space="0" w:color="auto"/>
            <w:bottom w:val="none" w:sz="0" w:space="0" w:color="auto"/>
            <w:right w:val="none" w:sz="0" w:space="0" w:color="auto"/>
          </w:divBdr>
        </w:div>
      </w:divsChild>
    </w:div>
    <w:div w:id="775096790">
      <w:bodyDiv w:val="1"/>
      <w:marLeft w:val="0"/>
      <w:marRight w:val="0"/>
      <w:marTop w:val="0"/>
      <w:marBottom w:val="0"/>
      <w:divBdr>
        <w:top w:val="none" w:sz="0" w:space="0" w:color="auto"/>
        <w:left w:val="none" w:sz="0" w:space="0" w:color="auto"/>
        <w:bottom w:val="none" w:sz="0" w:space="0" w:color="auto"/>
        <w:right w:val="none" w:sz="0" w:space="0" w:color="auto"/>
      </w:divBdr>
      <w:divsChild>
        <w:div w:id="724717807">
          <w:marLeft w:val="0"/>
          <w:marRight w:val="0"/>
          <w:marTop w:val="0"/>
          <w:marBottom w:val="0"/>
          <w:divBdr>
            <w:top w:val="none" w:sz="0" w:space="0" w:color="auto"/>
            <w:left w:val="none" w:sz="0" w:space="0" w:color="auto"/>
            <w:bottom w:val="none" w:sz="0" w:space="0" w:color="auto"/>
            <w:right w:val="none" w:sz="0" w:space="0" w:color="auto"/>
          </w:divBdr>
        </w:div>
        <w:div w:id="973606797">
          <w:marLeft w:val="0"/>
          <w:marRight w:val="0"/>
          <w:marTop w:val="0"/>
          <w:marBottom w:val="0"/>
          <w:divBdr>
            <w:top w:val="none" w:sz="0" w:space="0" w:color="auto"/>
            <w:left w:val="none" w:sz="0" w:space="0" w:color="auto"/>
            <w:bottom w:val="none" w:sz="0" w:space="0" w:color="auto"/>
            <w:right w:val="none" w:sz="0" w:space="0" w:color="auto"/>
          </w:divBdr>
        </w:div>
        <w:div w:id="1122117242">
          <w:marLeft w:val="0"/>
          <w:marRight w:val="0"/>
          <w:marTop w:val="0"/>
          <w:marBottom w:val="0"/>
          <w:divBdr>
            <w:top w:val="none" w:sz="0" w:space="0" w:color="auto"/>
            <w:left w:val="none" w:sz="0" w:space="0" w:color="auto"/>
            <w:bottom w:val="none" w:sz="0" w:space="0" w:color="auto"/>
            <w:right w:val="none" w:sz="0" w:space="0" w:color="auto"/>
          </w:divBdr>
        </w:div>
        <w:div w:id="2039506749">
          <w:marLeft w:val="0"/>
          <w:marRight w:val="0"/>
          <w:marTop w:val="0"/>
          <w:marBottom w:val="0"/>
          <w:divBdr>
            <w:top w:val="none" w:sz="0" w:space="0" w:color="auto"/>
            <w:left w:val="none" w:sz="0" w:space="0" w:color="auto"/>
            <w:bottom w:val="none" w:sz="0" w:space="0" w:color="auto"/>
            <w:right w:val="none" w:sz="0" w:space="0" w:color="auto"/>
          </w:divBdr>
        </w:div>
      </w:divsChild>
    </w:div>
    <w:div w:id="925646904">
      <w:bodyDiv w:val="1"/>
      <w:marLeft w:val="0"/>
      <w:marRight w:val="0"/>
      <w:marTop w:val="0"/>
      <w:marBottom w:val="0"/>
      <w:divBdr>
        <w:top w:val="none" w:sz="0" w:space="0" w:color="auto"/>
        <w:left w:val="none" w:sz="0" w:space="0" w:color="auto"/>
        <w:bottom w:val="none" w:sz="0" w:space="0" w:color="auto"/>
        <w:right w:val="none" w:sz="0" w:space="0" w:color="auto"/>
      </w:divBdr>
    </w:div>
    <w:div w:id="952596351">
      <w:bodyDiv w:val="1"/>
      <w:marLeft w:val="0"/>
      <w:marRight w:val="0"/>
      <w:marTop w:val="0"/>
      <w:marBottom w:val="0"/>
      <w:divBdr>
        <w:top w:val="none" w:sz="0" w:space="0" w:color="auto"/>
        <w:left w:val="none" w:sz="0" w:space="0" w:color="auto"/>
        <w:bottom w:val="none" w:sz="0" w:space="0" w:color="auto"/>
        <w:right w:val="none" w:sz="0" w:space="0" w:color="auto"/>
      </w:divBdr>
      <w:divsChild>
        <w:div w:id="75444861">
          <w:marLeft w:val="0"/>
          <w:marRight w:val="0"/>
          <w:marTop w:val="0"/>
          <w:marBottom w:val="0"/>
          <w:divBdr>
            <w:top w:val="none" w:sz="0" w:space="0" w:color="auto"/>
            <w:left w:val="none" w:sz="0" w:space="0" w:color="auto"/>
            <w:bottom w:val="none" w:sz="0" w:space="0" w:color="auto"/>
            <w:right w:val="none" w:sz="0" w:space="0" w:color="auto"/>
          </w:divBdr>
        </w:div>
        <w:div w:id="460880803">
          <w:marLeft w:val="0"/>
          <w:marRight w:val="0"/>
          <w:marTop w:val="0"/>
          <w:marBottom w:val="0"/>
          <w:divBdr>
            <w:top w:val="none" w:sz="0" w:space="0" w:color="auto"/>
            <w:left w:val="none" w:sz="0" w:space="0" w:color="auto"/>
            <w:bottom w:val="none" w:sz="0" w:space="0" w:color="auto"/>
            <w:right w:val="none" w:sz="0" w:space="0" w:color="auto"/>
          </w:divBdr>
        </w:div>
        <w:div w:id="461777136">
          <w:marLeft w:val="0"/>
          <w:marRight w:val="0"/>
          <w:marTop w:val="0"/>
          <w:marBottom w:val="0"/>
          <w:divBdr>
            <w:top w:val="none" w:sz="0" w:space="0" w:color="auto"/>
            <w:left w:val="none" w:sz="0" w:space="0" w:color="auto"/>
            <w:bottom w:val="none" w:sz="0" w:space="0" w:color="auto"/>
            <w:right w:val="none" w:sz="0" w:space="0" w:color="auto"/>
          </w:divBdr>
        </w:div>
        <w:div w:id="560209754">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24572924">
          <w:marLeft w:val="0"/>
          <w:marRight w:val="0"/>
          <w:marTop w:val="0"/>
          <w:marBottom w:val="0"/>
          <w:divBdr>
            <w:top w:val="none" w:sz="0" w:space="0" w:color="auto"/>
            <w:left w:val="none" w:sz="0" w:space="0" w:color="auto"/>
            <w:bottom w:val="none" w:sz="0" w:space="0" w:color="auto"/>
            <w:right w:val="none" w:sz="0" w:space="0" w:color="auto"/>
          </w:divBdr>
        </w:div>
        <w:div w:id="790324359">
          <w:marLeft w:val="0"/>
          <w:marRight w:val="0"/>
          <w:marTop w:val="0"/>
          <w:marBottom w:val="0"/>
          <w:divBdr>
            <w:top w:val="none" w:sz="0" w:space="0" w:color="auto"/>
            <w:left w:val="none" w:sz="0" w:space="0" w:color="auto"/>
            <w:bottom w:val="none" w:sz="0" w:space="0" w:color="auto"/>
            <w:right w:val="none" w:sz="0" w:space="0" w:color="auto"/>
          </w:divBdr>
        </w:div>
        <w:div w:id="842746499">
          <w:marLeft w:val="0"/>
          <w:marRight w:val="0"/>
          <w:marTop w:val="0"/>
          <w:marBottom w:val="0"/>
          <w:divBdr>
            <w:top w:val="none" w:sz="0" w:space="0" w:color="auto"/>
            <w:left w:val="none" w:sz="0" w:space="0" w:color="auto"/>
            <w:bottom w:val="none" w:sz="0" w:space="0" w:color="auto"/>
            <w:right w:val="none" w:sz="0" w:space="0" w:color="auto"/>
          </w:divBdr>
        </w:div>
        <w:div w:id="996692114">
          <w:marLeft w:val="0"/>
          <w:marRight w:val="0"/>
          <w:marTop w:val="0"/>
          <w:marBottom w:val="0"/>
          <w:divBdr>
            <w:top w:val="none" w:sz="0" w:space="0" w:color="auto"/>
            <w:left w:val="none" w:sz="0" w:space="0" w:color="auto"/>
            <w:bottom w:val="none" w:sz="0" w:space="0" w:color="auto"/>
            <w:right w:val="none" w:sz="0" w:space="0" w:color="auto"/>
          </w:divBdr>
        </w:div>
        <w:div w:id="1050573775">
          <w:marLeft w:val="0"/>
          <w:marRight w:val="0"/>
          <w:marTop w:val="0"/>
          <w:marBottom w:val="0"/>
          <w:divBdr>
            <w:top w:val="none" w:sz="0" w:space="0" w:color="auto"/>
            <w:left w:val="none" w:sz="0" w:space="0" w:color="auto"/>
            <w:bottom w:val="none" w:sz="0" w:space="0" w:color="auto"/>
            <w:right w:val="none" w:sz="0" w:space="0" w:color="auto"/>
          </w:divBdr>
        </w:div>
        <w:div w:id="1467508180">
          <w:marLeft w:val="0"/>
          <w:marRight w:val="0"/>
          <w:marTop w:val="0"/>
          <w:marBottom w:val="0"/>
          <w:divBdr>
            <w:top w:val="none" w:sz="0" w:space="0" w:color="auto"/>
            <w:left w:val="none" w:sz="0" w:space="0" w:color="auto"/>
            <w:bottom w:val="none" w:sz="0" w:space="0" w:color="auto"/>
            <w:right w:val="none" w:sz="0" w:space="0" w:color="auto"/>
          </w:divBdr>
        </w:div>
        <w:div w:id="1521047242">
          <w:marLeft w:val="0"/>
          <w:marRight w:val="0"/>
          <w:marTop w:val="0"/>
          <w:marBottom w:val="0"/>
          <w:divBdr>
            <w:top w:val="none" w:sz="0" w:space="0" w:color="auto"/>
            <w:left w:val="none" w:sz="0" w:space="0" w:color="auto"/>
            <w:bottom w:val="none" w:sz="0" w:space="0" w:color="auto"/>
            <w:right w:val="none" w:sz="0" w:space="0" w:color="auto"/>
          </w:divBdr>
        </w:div>
        <w:div w:id="1768765660">
          <w:marLeft w:val="0"/>
          <w:marRight w:val="0"/>
          <w:marTop w:val="0"/>
          <w:marBottom w:val="0"/>
          <w:divBdr>
            <w:top w:val="none" w:sz="0" w:space="0" w:color="auto"/>
            <w:left w:val="none" w:sz="0" w:space="0" w:color="auto"/>
            <w:bottom w:val="none" w:sz="0" w:space="0" w:color="auto"/>
            <w:right w:val="none" w:sz="0" w:space="0" w:color="auto"/>
          </w:divBdr>
        </w:div>
        <w:div w:id="1857767857">
          <w:marLeft w:val="0"/>
          <w:marRight w:val="0"/>
          <w:marTop w:val="0"/>
          <w:marBottom w:val="0"/>
          <w:divBdr>
            <w:top w:val="none" w:sz="0" w:space="0" w:color="auto"/>
            <w:left w:val="none" w:sz="0" w:space="0" w:color="auto"/>
            <w:bottom w:val="none" w:sz="0" w:space="0" w:color="auto"/>
            <w:right w:val="none" w:sz="0" w:space="0" w:color="auto"/>
          </w:divBdr>
        </w:div>
      </w:divsChild>
    </w:div>
    <w:div w:id="1099791460">
      <w:bodyDiv w:val="1"/>
      <w:marLeft w:val="0"/>
      <w:marRight w:val="0"/>
      <w:marTop w:val="0"/>
      <w:marBottom w:val="0"/>
      <w:divBdr>
        <w:top w:val="none" w:sz="0" w:space="0" w:color="auto"/>
        <w:left w:val="none" w:sz="0" w:space="0" w:color="auto"/>
        <w:bottom w:val="none" w:sz="0" w:space="0" w:color="auto"/>
        <w:right w:val="none" w:sz="0" w:space="0" w:color="auto"/>
      </w:divBdr>
    </w:div>
    <w:div w:id="1451822403">
      <w:bodyDiv w:val="1"/>
      <w:marLeft w:val="0"/>
      <w:marRight w:val="0"/>
      <w:marTop w:val="0"/>
      <w:marBottom w:val="0"/>
      <w:divBdr>
        <w:top w:val="none" w:sz="0" w:space="0" w:color="auto"/>
        <w:left w:val="none" w:sz="0" w:space="0" w:color="auto"/>
        <w:bottom w:val="none" w:sz="0" w:space="0" w:color="auto"/>
        <w:right w:val="none" w:sz="0" w:space="0" w:color="auto"/>
      </w:divBdr>
      <w:divsChild>
        <w:div w:id="78452744">
          <w:marLeft w:val="0"/>
          <w:marRight w:val="0"/>
          <w:marTop w:val="0"/>
          <w:marBottom w:val="0"/>
          <w:divBdr>
            <w:top w:val="none" w:sz="0" w:space="0" w:color="auto"/>
            <w:left w:val="none" w:sz="0" w:space="0" w:color="auto"/>
            <w:bottom w:val="none" w:sz="0" w:space="0" w:color="auto"/>
            <w:right w:val="none" w:sz="0" w:space="0" w:color="auto"/>
          </w:divBdr>
        </w:div>
        <w:div w:id="161629470">
          <w:marLeft w:val="0"/>
          <w:marRight w:val="0"/>
          <w:marTop w:val="0"/>
          <w:marBottom w:val="0"/>
          <w:divBdr>
            <w:top w:val="none" w:sz="0" w:space="0" w:color="auto"/>
            <w:left w:val="none" w:sz="0" w:space="0" w:color="auto"/>
            <w:bottom w:val="none" w:sz="0" w:space="0" w:color="auto"/>
            <w:right w:val="none" w:sz="0" w:space="0" w:color="auto"/>
          </w:divBdr>
        </w:div>
        <w:div w:id="193465795">
          <w:marLeft w:val="0"/>
          <w:marRight w:val="0"/>
          <w:marTop w:val="0"/>
          <w:marBottom w:val="0"/>
          <w:divBdr>
            <w:top w:val="none" w:sz="0" w:space="0" w:color="auto"/>
            <w:left w:val="none" w:sz="0" w:space="0" w:color="auto"/>
            <w:bottom w:val="none" w:sz="0" w:space="0" w:color="auto"/>
            <w:right w:val="none" w:sz="0" w:space="0" w:color="auto"/>
          </w:divBdr>
        </w:div>
        <w:div w:id="252395809">
          <w:marLeft w:val="0"/>
          <w:marRight w:val="0"/>
          <w:marTop w:val="0"/>
          <w:marBottom w:val="0"/>
          <w:divBdr>
            <w:top w:val="none" w:sz="0" w:space="0" w:color="auto"/>
            <w:left w:val="none" w:sz="0" w:space="0" w:color="auto"/>
            <w:bottom w:val="none" w:sz="0" w:space="0" w:color="auto"/>
            <w:right w:val="none" w:sz="0" w:space="0" w:color="auto"/>
          </w:divBdr>
        </w:div>
        <w:div w:id="338432318">
          <w:marLeft w:val="0"/>
          <w:marRight w:val="0"/>
          <w:marTop w:val="0"/>
          <w:marBottom w:val="0"/>
          <w:divBdr>
            <w:top w:val="none" w:sz="0" w:space="0" w:color="auto"/>
            <w:left w:val="none" w:sz="0" w:space="0" w:color="auto"/>
            <w:bottom w:val="none" w:sz="0" w:space="0" w:color="auto"/>
            <w:right w:val="none" w:sz="0" w:space="0" w:color="auto"/>
          </w:divBdr>
        </w:div>
        <w:div w:id="407506378">
          <w:marLeft w:val="0"/>
          <w:marRight w:val="0"/>
          <w:marTop w:val="0"/>
          <w:marBottom w:val="0"/>
          <w:divBdr>
            <w:top w:val="none" w:sz="0" w:space="0" w:color="auto"/>
            <w:left w:val="none" w:sz="0" w:space="0" w:color="auto"/>
            <w:bottom w:val="none" w:sz="0" w:space="0" w:color="auto"/>
            <w:right w:val="none" w:sz="0" w:space="0" w:color="auto"/>
          </w:divBdr>
        </w:div>
        <w:div w:id="416827146">
          <w:marLeft w:val="0"/>
          <w:marRight w:val="0"/>
          <w:marTop w:val="0"/>
          <w:marBottom w:val="0"/>
          <w:divBdr>
            <w:top w:val="none" w:sz="0" w:space="0" w:color="auto"/>
            <w:left w:val="none" w:sz="0" w:space="0" w:color="auto"/>
            <w:bottom w:val="none" w:sz="0" w:space="0" w:color="auto"/>
            <w:right w:val="none" w:sz="0" w:space="0" w:color="auto"/>
          </w:divBdr>
        </w:div>
        <w:div w:id="468323561">
          <w:marLeft w:val="0"/>
          <w:marRight w:val="0"/>
          <w:marTop w:val="0"/>
          <w:marBottom w:val="0"/>
          <w:divBdr>
            <w:top w:val="none" w:sz="0" w:space="0" w:color="auto"/>
            <w:left w:val="none" w:sz="0" w:space="0" w:color="auto"/>
            <w:bottom w:val="none" w:sz="0" w:space="0" w:color="auto"/>
            <w:right w:val="none" w:sz="0" w:space="0" w:color="auto"/>
          </w:divBdr>
        </w:div>
        <w:div w:id="610281375">
          <w:marLeft w:val="0"/>
          <w:marRight w:val="0"/>
          <w:marTop w:val="0"/>
          <w:marBottom w:val="0"/>
          <w:divBdr>
            <w:top w:val="none" w:sz="0" w:space="0" w:color="auto"/>
            <w:left w:val="none" w:sz="0" w:space="0" w:color="auto"/>
            <w:bottom w:val="none" w:sz="0" w:space="0" w:color="auto"/>
            <w:right w:val="none" w:sz="0" w:space="0" w:color="auto"/>
          </w:divBdr>
        </w:div>
        <w:div w:id="619185032">
          <w:marLeft w:val="0"/>
          <w:marRight w:val="0"/>
          <w:marTop w:val="0"/>
          <w:marBottom w:val="0"/>
          <w:divBdr>
            <w:top w:val="none" w:sz="0" w:space="0" w:color="auto"/>
            <w:left w:val="none" w:sz="0" w:space="0" w:color="auto"/>
            <w:bottom w:val="none" w:sz="0" w:space="0" w:color="auto"/>
            <w:right w:val="none" w:sz="0" w:space="0" w:color="auto"/>
          </w:divBdr>
        </w:div>
        <w:div w:id="709378606">
          <w:marLeft w:val="0"/>
          <w:marRight w:val="0"/>
          <w:marTop w:val="0"/>
          <w:marBottom w:val="0"/>
          <w:divBdr>
            <w:top w:val="none" w:sz="0" w:space="0" w:color="auto"/>
            <w:left w:val="none" w:sz="0" w:space="0" w:color="auto"/>
            <w:bottom w:val="none" w:sz="0" w:space="0" w:color="auto"/>
            <w:right w:val="none" w:sz="0" w:space="0" w:color="auto"/>
          </w:divBdr>
        </w:div>
        <w:div w:id="717048916">
          <w:marLeft w:val="0"/>
          <w:marRight w:val="0"/>
          <w:marTop w:val="0"/>
          <w:marBottom w:val="0"/>
          <w:divBdr>
            <w:top w:val="none" w:sz="0" w:space="0" w:color="auto"/>
            <w:left w:val="none" w:sz="0" w:space="0" w:color="auto"/>
            <w:bottom w:val="none" w:sz="0" w:space="0" w:color="auto"/>
            <w:right w:val="none" w:sz="0" w:space="0" w:color="auto"/>
          </w:divBdr>
        </w:div>
        <w:div w:id="775977368">
          <w:marLeft w:val="0"/>
          <w:marRight w:val="0"/>
          <w:marTop w:val="0"/>
          <w:marBottom w:val="0"/>
          <w:divBdr>
            <w:top w:val="none" w:sz="0" w:space="0" w:color="auto"/>
            <w:left w:val="none" w:sz="0" w:space="0" w:color="auto"/>
            <w:bottom w:val="none" w:sz="0" w:space="0" w:color="auto"/>
            <w:right w:val="none" w:sz="0" w:space="0" w:color="auto"/>
          </w:divBdr>
        </w:div>
        <w:div w:id="848831498">
          <w:marLeft w:val="0"/>
          <w:marRight w:val="0"/>
          <w:marTop w:val="0"/>
          <w:marBottom w:val="0"/>
          <w:divBdr>
            <w:top w:val="none" w:sz="0" w:space="0" w:color="auto"/>
            <w:left w:val="none" w:sz="0" w:space="0" w:color="auto"/>
            <w:bottom w:val="none" w:sz="0" w:space="0" w:color="auto"/>
            <w:right w:val="none" w:sz="0" w:space="0" w:color="auto"/>
          </w:divBdr>
        </w:div>
        <w:div w:id="850611074">
          <w:marLeft w:val="0"/>
          <w:marRight w:val="0"/>
          <w:marTop w:val="0"/>
          <w:marBottom w:val="0"/>
          <w:divBdr>
            <w:top w:val="none" w:sz="0" w:space="0" w:color="auto"/>
            <w:left w:val="none" w:sz="0" w:space="0" w:color="auto"/>
            <w:bottom w:val="none" w:sz="0" w:space="0" w:color="auto"/>
            <w:right w:val="none" w:sz="0" w:space="0" w:color="auto"/>
          </w:divBdr>
        </w:div>
        <w:div w:id="874002508">
          <w:marLeft w:val="0"/>
          <w:marRight w:val="0"/>
          <w:marTop w:val="0"/>
          <w:marBottom w:val="0"/>
          <w:divBdr>
            <w:top w:val="none" w:sz="0" w:space="0" w:color="auto"/>
            <w:left w:val="none" w:sz="0" w:space="0" w:color="auto"/>
            <w:bottom w:val="none" w:sz="0" w:space="0" w:color="auto"/>
            <w:right w:val="none" w:sz="0" w:space="0" w:color="auto"/>
          </w:divBdr>
        </w:div>
        <w:div w:id="929049003">
          <w:marLeft w:val="0"/>
          <w:marRight w:val="0"/>
          <w:marTop w:val="0"/>
          <w:marBottom w:val="0"/>
          <w:divBdr>
            <w:top w:val="none" w:sz="0" w:space="0" w:color="auto"/>
            <w:left w:val="none" w:sz="0" w:space="0" w:color="auto"/>
            <w:bottom w:val="none" w:sz="0" w:space="0" w:color="auto"/>
            <w:right w:val="none" w:sz="0" w:space="0" w:color="auto"/>
          </w:divBdr>
        </w:div>
        <w:div w:id="980882473">
          <w:marLeft w:val="0"/>
          <w:marRight w:val="0"/>
          <w:marTop w:val="0"/>
          <w:marBottom w:val="0"/>
          <w:divBdr>
            <w:top w:val="none" w:sz="0" w:space="0" w:color="auto"/>
            <w:left w:val="none" w:sz="0" w:space="0" w:color="auto"/>
            <w:bottom w:val="none" w:sz="0" w:space="0" w:color="auto"/>
            <w:right w:val="none" w:sz="0" w:space="0" w:color="auto"/>
          </w:divBdr>
        </w:div>
        <w:div w:id="1300653563">
          <w:marLeft w:val="0"/>
          <w:marRight w:val="0"/>
          <w:marTop w:val="0"/>
          <w:marBottom w:val="0"/>
          <w:divBdr>
            <w:top w:val="none" w:sz="0" w:space="0" w:color="auto"/>
            <w:left w:val="none" w:sz="0" w:space="0" w:color="auto"/>
            <w:bottom w:val="none" w:sz="0" w:space="0" w:color="auto"/>
            <w:right w:val="none" w:sz="0" w:space="0" w:color="auto"/>
          </w:divBdr>
        </w:div>
        <w:div w:id="1389495660">
          <w:marLeft w:val="0"/>
          <w:marRight w:val="0"/>
          <w:marTop w:val="0"/>
          <w:marBottom w:val="0"/>
          <w:divBdr>
            <w:top w:val="none" w:sz="0" w:space="0" w:color="auto"/>
            <w:left w:val="none" w:sz="0" w:space="0" w:color="auto"/>
            <w:bottom w:val="none" w:sz="0" w:space="0" w:color="auto"/>
            <w:right w:val="none" w:sz="0" w:space="0" w:color="auto"/>
          </w:divBdr>
        </w:div>
        <w:div w:id="1699231039">
          <w:marLeft w:val="0"/>
          <w:marRight w:val="0"/>
          <w:marTop w:val="0"/>
          <w:marBottom w:val="0"/>
          <w:divBdr>
            <w:top w:val="none" w:sz="0" w:space="0" w:color="auto"/>
            <w:left w:val="none" w:sz="0" w:space="0" w:color="auto"/>
            <w:bottom w:val="none" w:sz="0" w:space="0" w:color="auto"/>
            <w:right w:val="none" w:sz="0" w:space="0" w:color="auto"/>
          </w:divBdr>
        </w:div>
        <w:div w:id="1705717824">
          <w:marLeft w:val="0"/>
          <w:marRight w:val="0"/>
          <w:marTop w:val="0"/>
          <w:marBottom w:val="0"/>
          <w:divBdr>
            <w:top w:val="none" w:sz="0" w:space="0" w:color="auto"/>
            <w:left w:val="none" w:sz="0" w:space="0" w:color="auto"/>
            <w:bottom w:val="none" w:sz="0" w:space="0" w:color="auto"/>
            <w:right w:val="none" w:sz="0" w:space="0" w:color="auto"/>
          </w:divBdr>
        </w:div>
        <w:div w:id="1722823856">
          <w:marLeft w:val="0"/>
          <w:marRight w:val="0"/>
          <w:marTop w:val="0"/>
          <w:marBottom w:val="0"/>
          <w:divBdr>
            <w:top w:val="none" w:sz="0" w:space="0" w:color="auto"/>
            <w:left w:val="none" w:sz="0" w:space="0" w:color="auto"/>
            <w:bottom w:val="none" w:sz="0" w:space="0" w:color="auto"/>
            <w:right w:val="none" w:sz="0" w:space="0" w:color="auto"/>
          </w:divBdr>
        </w:div>
        <w:div w:id="1796482420">
          <w:marLeft w:val="0"/>
          <w:marRight w:val="0"/>
          <w:marTop w:val="0"/>
          <w:marBottom w:val="0"/>
          <w:divBdr>
            <w:top w:val="none" w:sz="0" w:space="0" w:color="auto"/>
            <w:left w:val="none" w:sz="0" w:space="0" w:color="auto"/>
            <w:bottom w:val="none" w:sz="0" w:space="0" w:color="auto"/>
            <w:right w:val="none" w:sz="0" w:space="0" w:color="auto"/>
          </w:divBdr>
        </w:div>
        <w:div w:id="1815021109">
          <w:marLeft w:val="0"/>
          <w:marRight w:val="0"/>
          <w:marTop w:val="0"/>
          <w:marBottom w:val="0"/>
          <w:divBdr>
            <w:top w:val="none" w:sz="0" w:space="0" w:color="auto"/>
            <w:left w:val="none" w:sz="0" w:space="0" w:color="auto"/>
            <w:bottom w:val="none" w:sz="0" w:space="0" w:color="auto"/>
            <w:right w:val="none" w:sz="0" w:space="0" w:color="auto"/>
          </w:divBdr>
        </w:div>
        <w:div w:id="1830754303">
          <w:marLeft w:val="0"/>
          <w:marRight w:val="0"/>
          <w:marTop w:val="0"/>
          <w:marBottom w:val="0"/>
          <w:divBdr>
            <w:top w:val="none" w:sz="0" w:space="0" w:color="auto"/>
            <w:left w:val="none" w:sz="0" w:space="0" w:color="auto"/>
            <w:bottom w:val="none" w:sz="0" w:space="0" w:color="auto"/>
            <w:right w:val="none" w:sz="0" w:space="0" w:color="auto"/>
          </w:divBdr>
        </w:div>
        <w:div w:id="1864172625">
          <w:marLeft w:val="0"/>
          <w:marRight w:val="0"/>
          <w:marTop w:val="0"/>
          <w:marBottom w:val="0"/>
          <w:divBdr>
            <w:top w:val="none" w:sz="0" w:space="0" w:color="auto"/>
            <w:left w:val="none" w:sz="0" w:space="0" w:color="auto"/>
            <w:bottom w:val="none" w:sz="0" w:space="0" w:color="auto"/>
            <w:right w:val="none" w:sz="0" w:space="0" w:color="auto"/>
          </w:divBdr>
        </w:div>
        <w:div w:id="2066876542">
          <w:marLeft w:val="0"/>
          <w:marRight w:val="0"/>
          <w:marTop w:val="0"/>
          <w:marBottom w:val="0"/>
          <w:divBdr>
            <w:top w:val="none" w:sz="0" w:space="0" w:color="auto"/>
            <w:left w:val="none" w:sz="0" w:space="0" w:color="auto"/>
            <w:bottom w:val="none" w:sz="0" w:space="0" w:color="auto"/>
            <w:right w:val="none" w:sz="0" w:space="0" w:color="auto"/>
          </w:divBdr>
        </w:div>
        <w:div w:id="2128113338">
          <w:marLeft w:val="0"/>
          <w:marRight w:val="0"/>
          <w:marTop w:val="0"/>
          <w:marBottom w:val="0"/>
          <w:divBdr>
            <w:top w:val="none" w:sz="0" w:space="0" w:color="auto"/>
            <w:left w:val="none" w:sz="0" w:space="0" w:color="auto"/>
            <w:bottom w:val="none" w:sz="0" w:space="0" w:color="auto"/>
            <w:right w:val="none" w:sz="0" w:space="0" w:color="auto"/>
          </w:divBdr>
        </w:div>
      </w:divsChild>
    </w:div>
    <w:div w:id="1498692184">
      <w:bodyDiv w:val="1"/>
      <w:marLeft w:val="0"/>
      <w:marRight w:val="0"/>
      <w:marTop w:val="0"/>
      <w:marBottom w:val="0"/>
      <w:divBdr>
        <w:top w:val="none" w:sz="0" w:space="0" w:color="auto"/>
        <w:left w:val="none" w:sz="0" w:space="0" w:color="auto"/>
        <w:bottom w:val="none" w:sz="0" w:space="0" w:color="auto"/>
        <w:right w:val="none" w:sz="0" w:space="0" w:color="auto"/>
      </w:divBdr>
      <w:divsChild>
        <w:div w:id="367922085">
          <w:marLeft w:val="0"/>
          <w:marRight w:val="0"/>
          <w:marTop w:val="0"/>
          <w:marBottom w:val="0"/>
          <w:divBdr>
            <w:top w:val="none" w:sz="0" w:space="0" w:color="auto"/>
            <w:left w:val="none" w:sz="0" w:space="0" w:color="auto"/>
            <w:bottom w:val="none" w:sz="0" w:space="0" w:color="auto"/>
            <w:right w:val="none" w:sz="0" w:space="0" w:color="auto"/>
          </w:divBdr>
        </w:div>
        <w:div w:id="463893563">
          <w:marLeft w:val="0"/>
          <w:marRight w:val="0"/>
          <w:marTop w:val="0"/>
          <w:marBottom w:val="0"/>
          <w:divBdr>
            <w:top w:val="none" w:sz="0" w:space="0" w:color="auto"/>
            <w:left w:val="none" w:sz="0" w:space="0" w:color="auto"/>
            <w:bottom w:val="none" w:sz="0" w:space="0" w:color="auto"/>
            <w:right w:val="none" w:sz="0" w:space="0" w:color="auto"/>
          </w:divBdr>
        </w:div>
        <w:div w:id="673610027">
          <w:marLeft w:val="0"/>
          <w:marRight w:val="0"/>
          <w:marTop w:val="0"/>
          <w:marBottom w:val="0"/>
          <w:divBdr>
            <w:top w:val="none" w:sz="0" w:space="0" w:color="auto"/>
            <w:left w:val="none" w:sz="0" w:space="0" w:color="auto"/>
            <w:bottom w:val="none" w:sz="0" w:space="0" w:color="auto"/>
            <w:right w:val="none" w:sz="0" w:space="0" w:color="auto"/>
          </w:divBdr>
        </w:div>
        <w:div w:id="1189760862">
          <w:marLeft w:val="0"/>
          <w:marRight w:val="0"/>
          <w:marTop w:val="0"/>
          <w:marBottom w:val="0"/>
          <w:divBdr>
            <w:top w:val="none" w:sz="0" w:space="0" w:color="auto"/>
            <w:left w:val="none" w:sz="0" w:space="0" w:color="auto"/>
            <w:bottom w:val="none" w:sz="0" w:space="0" w:color="auto"/>
            <w:right w:val="none" w:sz="0" w:space="0" w:color="auto"/>
          </w:divBdr>
        </w:div>
        <w:div w:id="1662851756">
          <w:marLeft w:val="0"/>
          <w:marRight w:val="0"/>
          <w:marTop w:val="0"/>
          <w:marBottom w:val="0"/>
          <w:divBdr>
            <w:top w:val="none" w:sz="0" w:space="0" w:color="auto"/>
            <w:left w:val="none" w:sz="0" w:space="0" w:color="auto"/>
            <w:bottom w:val="none" w:sz="0" w:space="0" w:color="auto"/>
            <w:right w:val="none" w:sz="0" w:space="0" w:color="auto"/>
          </w:divBdr>
        </w:div>
      </w:divsChild>
    </w:div>
    <w:div w:id="1522819953">
      <w:bodyDiv w:val="1"/>
      <w:marLeft w:val="0"/>
      <w:marRight w:val="0"/>
      <w:marTop w:val="0"/>
      <w:marBottom w:val="0"/>
      <w:divBdr>
        <w:top w:val="none" w:sz="0" w:space="0" w:color="auto"/>
        <w:left w:val="none" w:sz="0" w:space="0" w:color="auto"/>
        <w:bottom w:val="none" w:sz="0" w:space="0" w:color="auto"/>
        <w:right w:val="none" w:sz="0" w:space="0" w:color="auto"/>
      </w:divBdr>
      <w:divsChild>
        <w:div w:id="74741765">
          <w:marLeft w:val="0"/>
          <w:marRight w:val="0"/>
          <w:marTop w:val="0"/>
          <w:marBottom w:val="0"/>
          <w:divBdr>
            <w:top w:val="none" w:sz="0" w:space="0" w:color="auto"/>
            <w:left w:val="none" w:sz="0" w:space="0" w:color="auto"/>
            <w:bottom w:val="none" w:sz="0" w:space="0" w:color="auto"/>
            <w:right w:val="none" w:sz="0" w:space="0" w:color="auto"/>
          </w:divBdr>
        </w:div>
        <w:div w:id="1068071698">
          <w:marLeft w:val="0"/>
          <w:marRight w:val="0"/>
          <w:marTop w:val="0"/>
          <w:marBottom w:val="0"/>
          <w:divBdr>
            <w:top w:val="none" w:sz="0" w:space="0" w:color="auto"/>
            <w:left w:val="none" w:sz="0" w:space="0" w:color="auto"/>
            <w:bottom w:val="none" w:sz="0" w:space="0" w:color="auto"/>
            <w:right w:val="none" w:sz="0" w:space="0" w:color="auto"/>
          </w:divBdr>
        </w:div>
        <w:div w:id="1156453099">
          <w:marLeft w:val="0"/>
          <w:marRight w:val="0"/>
          <w:marTop w:val="0"/>
          <w:marBottom w:val="0"/>
          <w:divBdr>
            <w:top w:val="none" w:sz="0" w:space="0" w:color="auto"/>
            <w:left w:val="none" w:sz="0" w:space="0" w:color="auto"/>
            <w:bottom w:val="none" w:sz="0" w:space="0" w:color="auto"/>
            <w:right w:val="none" w:sz="0" w:space="0" w:color="auto"/>
          </w:divBdr>
        </w:div>
        <w:div w:id="2009089568">
          <w:marLeft w:val="0"/>
          <w:marRight w:val="0"/>
          <w:marTop w:val="0"/>
          <w:marBottom w:val="0"/>
          <w:divBdr>
            <w:top w:val="none" w:sz="0" w:space="0" w:color="auto"/>
            <w:left w:val="none" w:sz="0" w:space="0" w:color="auto"/>
            <w:bottom w:val="none" w:sz="0" w:space="0" w:color="auto"/>
            <w:right w:val="none" w:sz="0" w:space="0" w:color="auto"/>
          </w:divBdr>
        </w:div>
        <w:div w:id="2123959582">
          <w:marLeft w:val="0"/>
          <w:marRight w:val="0"/>
          <w:marTop w:val="0"/>
          <w:marBottom w:val="0"/>
          <w:divBdr>
            <w:top w:val="none" w:sz="0" w:space="0" w:color="auto"/>
            <w:left w:val="none" w:sz="0" w:space="0" w:color="auto"/>
            <w:bottom w:val="none" w:sz="0" w:space="0" w:color="auto"/>
            <w:right w:val="none" w:sz="0" w:space="0" w:color="auto"/>
          </w:divBdr>
        </w:div>
      </w:divsChild>
    </w:div>
    <w:div w:id="1837333911">
      <w:bodyDiv w:val="1"/>
      <w:marLeft w:val="0"/>
      <w:marRight w:val="0"/>
      <w:marTop w:val="0"/>
      <w:marBottom w:val="0"/>
      <w:divBdr>
        <w:top w:val="none" w:sz="0" w:space="0" w:color="auto"/>
        <w:left w:val="none" w:sz="0" w:space="0" w:color="auto"/>
        <w:bottom w:val="none" w:sz="0" w:space="0" w:color="auto"/>
        <w:right w:val="none" w:sz="0" w:space="0" w:color="auto"/>
      </w:divBdr>
      <w:divsChild>
        <w:div w:id="313411225">
          <w:marLeft w:val="0"/>
          <w:marRight w:val="0"/>
          <w:marTop w:val="0"/>
          <w:marBottom w:val="0"/>
          <w:divBdr>
            <w:top w:val="none" w:sz="0" w:space="0" w:color="auto"/>
            <w:left w:val="none" w:sz="0" w:space="0" w:color="auto"/>
            <w:bottom w:val="none" w:sz="0" w:space="0" w:color="auto"/>
            <w:right w:val="none" w:sz="0" w:space="0" w:color="auto"/>
          </w:divBdr>
        </w:div>
        <w:div w:id="1162157161">
          <w:marLeft w:val="0"/>
          <w:marRight w:val="0"/>
          <w:marTop w:val="0"/>
          <w:marBottom w:val="0"/>
          <w:divBdr>
            <w:top w:val="none" w:sz="0" w:space="0" w:color="auto"/>
            <w:left w:val="none" w:sz="0" w:space="0" w:color="auto"/>
            <w:bottom w:val="none" w:sz="0" w:space="0" w:color="auto"/>
            <w:right w:val="none" w:sz="0" w:space="0" w:color="auto"/>
          </w:divBdr>
        </w:div>
        <w:div w:id="1640499891">
          <w:marLeft w:val="0"/>
          <w:marRight w:val="0"/>
          <w:marTop w:val="0"/>
          <w:marBottom w:val="0"/>
          <w:divBdr>
            <w:top w:val="none" w:sz="0" w:space="0" w:color="auto"/>
            <w:left w:val="none" w:sz="0" w:space="0" w:color="auto"/>
            <w:bottom w:val="none" w:sz="0" w:space="0" w:color="auto"/>
            <w:right w:val="none" w:sz="0" w:space="0" w:color="auto"/>
          </w:divBdr>
        </w:div>
        <w:div w:id="1721129592">
          <w:marLeft w:val="0"/>
          <w:marRight w:val="0"/>
          <w:marTop w:val="0"/>
          <w:marBottom w:val="0"/>
          <w:divBdr>
            <w:top w:val="none" w:sz="0" w:space="0" w:color="auto"/>
            <w:left w:val="none" w:sz="0" w:space="0" w:color="auto"/>
            <w:bottom w:val="none" w:sz="0" w:space="0" w:color="auto"/>
            <w:right w:val="none" w:sz="0" w:space="0" w:color="auto"/>
          </w:divBdr>
        </w:div>
        <w:div w:id="1890678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dg.readthedocs.io/en/la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ai.independent.gov.uk/html-report/how-uk-aid-lear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tracker.dfid.gov.uk/projects/GB-GOV-1-300443" TargetMode="External"/><Relationship Id="rId5" Type="http://schemas.openxmlformats.org/officeDocument/2006/relationships/numbering" Target="numbering.xml"/><Relationship Id="rId15" Type="http://schemas.openxmlformats.org/officeDocument/2006/relationships/hyperlink" Target="https://open-sd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s.civilservice.gov.uk/user-facing-pages/age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E8B0A3E273CBF49AD45E6F45A59040D" ma:contentTypeVersion="34" ma:contentTypeDescription="Create a new document." ma:contentTypeScope="" ma:versionID="841e6c9c1786ea5e671915155ad5e19c">
  <xsd:schema xmlns:xsd="http://www.w3.org/2001/XMLSchema" xmlns:xs="http://www.w3.org/2001/XMLSchema" xmlns:p="http://schemas.microsoft.com/office/2006/metadata/properties" xmlns:ns2="8479eeb2-9040-44ca-a6ac-220915e64d16" xmlns:ns3="732ffafd-544d-4a6d-804a-bc9122df8b0e" targetNamespace="http://schemas.microsoft.com/office/2006/metadata/properties" ma:root="true" ma:fieldsID="1a1da8b334a048c5c3ed02e5a9d8641e" ns2:_="" ns3:_="">
    <xsd:import namespace="8479eeb2-9040-44ca-a6ac-220915e64d16"/>
    <xsd:import namespace="732ffafd-544d-4a6d-804a-bc9122df8b0e"/>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ffafd-544d-4a6d-804a-bc9122df8b0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Type xmlns="8479eeb2-9040-44ca-a6ac-220915e64d16">Notify</RetentionType>
    <Retention xmlns="8479eeb2-9040-44ca-a6ac-220915e64d16">0</Retention>
    <Record_Type xmlns="8479eeb2-9040-44ca-a6ac-220915e64d16" xsi:nil="true"/>
    <EDRMSOwner xmlns="8479eeb2-9040-44ca-a6ac-220915e64d16" xsi:nil="true"/>
    <RetentionDate xmlns="8479eeb2-9040-44ca-a6ac-220915e64d16" xsi:nil="true"/>
    <SharedWithUsers xmlns="8479eeb2-9040-44ca-a6ac-220915e64d16">
      <UserInfo>
        <DisplayName>Poskett, Emily</DisplayName>
        <AccountId>113</AccountId>
        <AccountType/>
      </UserInfo>
    </SharedWithUsers>
  </documentManagement>
</p:properties>
</file>

<file path=customXml/itemProps1.xml><?xml version="1.0" encoding="utf-8"?>
<ds:datastoreItem xmlns:ds="http://schemas.openxmlformats.org/officeDocument/2006/customXml" ds:itemID="{44307351-3988-41B1-96A5-2F7F29E659AC}">
  <ds:schemaRefs>
    <ds:schemaRef ds:uri="http://schemas.openxmlformats.org/officeDocument/2006/bibliography"/>
  </ds:schemaRefs>
</ds:datastoreItem>
</file>

<file path=customXml/itemProps2.xml><?xml version="1.0" encoding="utf-8"?>
<ds:datastoreItem xmlns:ds="http://schemas.openxmlformats.org/officeDocument/2006/customXml" ds:itemID="{AC8C8CDF-C8A2-4527-B4D2-B5F9591D30C4}">
  <ds:schemaRefs>
    <ds:schemaRef ds:uri="http://schemas.microsoft.com/sharepoint/v3/contenttype/forms"/>
  </ds:schemaRefs>
</ds:datastoreItem>
</file>

<file path=customXml/itemProps3.xml><?xml version="1.0" encoding="utf-8"?>
<ds:datastoreItem xmlns:ds="http://schemas.openxmlformats.org/officeDocument/2006/customXml" ds:itemID="{AEB987E2-578A-4F48-B384-AEADA9DF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732ffafd-544d-4a6d-804a-bc9122df8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7EFFD-2AF0-44F2-A530-5F918CCD4E33}">
  <ds:schemaRefs>
    <ds:schemaRef ds:uri="http://schemas.microsoft.com/office/2006/documentManagement/types"/>
    <ds:schemaRef ds:uri="http://schemas.microsoft.com/office/infopath/2007/PartnerControls"/>
    <ds:schemaRef ds:uri="http://purl.org/dc/terms/"/>
    <ds:schemaRef ds:uri="http://purl.org/dc/dcmitype/"/>
    <ds:schemaRef ds:uri="8479eeb2-9040-44ca-a6ac-220915e64d16"/>
    <ds:schemaRef ds:uri="http://purl.org/dc/elements/1.1/"/>
    <ds:schemaRef ds:uri="http://schemas.microsoft.com/office/2006/metadata/properties"/>
    <ds:schemaRef ds:uri="http://schemas.openxmlformats.org/package/2006/metadata/core-properties"/>
    <ds:schemaRef ds:uri="732ffafd-544d-4a6d-804a-bc9122df8b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Links>
    <vt:vector size="30" baseType="variant">
      <vt:variant>
        <vt:i4>1245279</vt:i4>
      </vt:variant>
      <vt:variant>
        <vt:i4>12</vt:i4>
      </vt:variant>
      <vt:variant>
        <vt:i4>0</vt:i4>
      </vt:variant>
      <vt:variant>
        <vt:i4>5</vt:i4>
      </vt:variant>
      <vt:variant>
        <vt:lpwstr>https://open-sdg.org/</vt:lpwstr>
      </vt:variant>
      <vt:variant>
        <vt:lpwstr/>
      </vt:variant>
      <vt:variant>
        <vt:i4>4980801</vt:i4>
      </vt:variant>
      <vt:variant>
        <vt:i4>9</vt:i4>
      </vt:variant>
      <vt:variant>
        <vt:i4>0</vt:i4>
      </vt:variant>
      <vt:variant>
        <vt:i4>5</vt:i4>
      </vt:variant>
      <vt:variant>
        <vt:lpwstr>https://gss.civilservice.gov.uk/user-facing-pages/ageing-statistics/</vt:lpwstr>
      </vt:variant>
      <vt:variant>
        <vt:lpwstr/>
      </vt:variant>
      <vt:variant>
        <vt:i4>6881336</vt:i4>
      </vt:variant>
      <vt:variant>
        <vt:i4>6</vt:i4>
      </vt:variant>
      <vt:variant>
        <vt:i4>0</vt:i4>
      </vt:variant>
      <vt:variant>
        <vt:i4>5</vt:i4>
      </vt:variant>
      <vt:variant>
        <vt:lpwstr>https://open-sdg.readthedocs.io/en/latest/</vt:lpwstr>
      </vt:variant>
      <vt:variant>
        <vt:lpwstr/>
      </vt:variant>
      <vt:variant>
        <vt:i4>7667767</vt:i4>
      </vt:variant>
      <vt:variant>
        <vt:i4>3</vt:i4>
      </vt:variant>
      <vt:variant>
        <vt:i4>0</vt:i4>
      </vt:variant>
      <vt:variant>
        <vt:i4>5</vt:i4>
      </vt:variant>
      <vt:variant>
        <vt:lpwstr>https://icai.independent.gov.uk/html-report/how-uk-aid-learns/</vt:lpwstr>
      </vt:variant>
      <vt:variant>
        <vt:lpwstr/>
      </vt:variant>
      <vt:variant>
        <vt:i4>2424936</vt:i4>
      </vt:variant>
      <vt:variant>
        <vt:i4>0</vt:i4>
      </vt:variant>
      <vt:variant>
        <vt:i4>0</vt:i4>
      </vt:variant>
      <vt:variant>
        <vt:i4>5</vt:i4>
      </vt:variant>
      <vt:variant>
        <vt:lpwstr>https://devtracker.dfid.gov.uk/projects/GB-GOV-1-300443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Gautrey, Mark</dc:creator>
  <cp:keywords/>
  <cp:lastModifiedBy>Poskett, Emily</cp:lastModifiedBy>
  <cp:revision>52</cp:revision>
  <dcterms:created xsi:type="dcterms:W3CDTF">2021-04-22T20:23:00Z</dcterms:created>
  <dcterms:modified xsi:type="dcterms:W3CDTF">2021-05-13T12:45:00Z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0x0101000E8B0A3E273CBF49AD45E6F45A59040D</vt:lpwstr>
  </property>
</Properties>
</file>