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1857587" w:displacedByCustomXml="next"/>
    <w:sdt>
      <w:sdtPr>
        <w:rPr>
          <w:rFonts w:eastAsiaTheme="minorHAnsi"/>
          <w:b w:val="0"/>
          <w:bCs w:val="0"/>
          <w:color w:val="auto"/>
          <w:sz w:val="22"/>
          <w:szCs w:val="22"/>
          <w:lang w:eastAsia="en-US"/>
        </w:rPr>
        <w:id w:val="344993836"/>
        <w:docPartObj>
          <w:docPartGallery w:val="Cover Pages"/>
          <w:docPartUnique/>
        </w:docPartObj>
      </w:sdtPr>
      <w:sdtEndPr>
        <w:rPr>
          <w:caps/>
          <w:noProof/>
        </w:rPr>
      </w:sdtEndPr>
      <w:sdtContent>
        <w:p w14:paraId="7A7E9738" w14:textId="502EDAE7" w:rsidR="000F13EC" w:rsidRDefault="000F13EC" w:rsidP="00FC709F">
          <w:pPr>
            <w:pStyle w:val="Body"/>
            <w:jc w:val="center"/>
            <w:rPr>
              <w:rFonts w:ascii="Calibri" w:hAnsi="Calibri"/>
              <w:b w:val="0"/>
              <w:bCs w:val="0"/>
              <w:color w:val="5B9BD5" w:themeColor="accent1"/>
              <w:sz w:val="24"/>
            </w:rPr>
          </w:pPr>
        </w:p>
        <w:p w14:paraId="238DDEF9" w14:textId="77777777" w:rsidR="001F7DC1" w:rsidRDefault="001F7DC1">
          <w:pPr>
            <w:spacing w:after="160" w:line="259" w:lineRule="auto"/>
            <w:jc w:val="left"/>
            <w:rPr>
              <w:noProof/>
            </w:rPr>
          </w:pPr>
        </w:p>
        <w:p w14:paraId="51078D24" w14:textId="77777777" w:rsidR="007C11AF" w:rsidRDefault="007C11AF" w:rsidP="00053B36">
          <w:pPr>
            <w:rPr>
              <w:noProof/>
            </w:rPr>
          </w:pPr>
        </w:p>
        <w:p w14:paraId="57CF1526" w14:textId="228D5091" w:rsidR="004A52E5" w:rsidRDefault="00A26B98" w:rsidP="00053B36">
          <w:pPr>
            <w:rPr>
              <w:b/>
              <w:bCs/>
              <w:noProof/>
              <w:color w:val="FFFFFF" w:themeColor="background1"/>
              <w:sz w:val="28"/>
            </w:rPr>
          </w:pPr>
          <w:r>
            <w:rPr>
              <w:noProof/>
              <w:lang w:eastAsia="en-GB"/>
            </w:rPr>
            <mc:AlternateContent>
              <mc:Choice Requires="wps">
                <w:drawing>
                  <wp:anchor distT="0" distB="0" distL="114300" distR="114300" simplePos="0" relativeHeight="251658243" behindDoc="0" locked="0" layoutInCell="1" allowOverlap="1" wp14:anchorId="5F555E97" wp14:editId="2258802D">
                    <wp:simplePos x="0" y="0"/>
                    <wp:positionH relativeFrom="margin">
                      <wp:align>center</wp:align>
                    </wp:positionH>
                    <wp:positionV relativeFrom="page">
                      <wp:posOffset>6229985</wp:posOffset>
                    </wp:positionV>
                    <wp:extent cx="7315200" cy="1009650"/>
                    <wp:effectExtent l="0" t="0" r="0" b="13335"/>
                    <wp:wrapSquare wrapText="bothSides"/>
                    <wp:docPr id="1" name="Text Box 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8736F" w14:textId="559F5BBA" w:rsidR="009A2000" w:rsidRPr="00C97BFA" w:rsidRDefault="009A2000" w:rsidP="004A52E5">
                                <w:pPr>
                                  <w:pStyle w:val="NoSpacing"/>
                                  <w:jc w:val="right"/>
                                  <w:rPr>
                                    <w:sz w:val="22"/>
                                  </w:rPr>
                                </w:pPr>
                                <w:r>
                                  <w:rPr>
                                    <w:sz w:val="22"/>
                                  </w:rPr>
                                  <w:t>Department for Environment, Food and Rural Affairs</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5F555E97" id="_x0000_t202" coordsize="21600,21600" o:spt="202" path="m,l,21600r21600,l21600,xe">
                    <v:stroke joinstyle="miter"/>
                    <v:path gradientshapeok="t" o:connecttype="rect"/>
                  </v:shapetype>
                  <v:shape id="Text Box 1" o:spid="_x0000_s1026" type="#_x0000_t202" style="position:absolute;left:0;text-align:left;margin-left:0;margin-top:490.55pt;width:8in;height:79.5pt;z-index:251658243;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" filled="f" stroked="f" strokeweight=".5pt">
                    <v:textbox style="mso-fit-shape-to-text:t" inset="126pt,0,54pt,0">
                      <w:txbxContent>
                        <w:p w14:paraId="0568736F" w14:textId="559F5BBA" w:rsidR="009A2000" w:rsidRPr="00C97BFA" w:rsidRDefault="009A2000" w:rsidP="004A52E5">
                          <w:pPr>
                            <w:pStyle w:val="NoSpacing"/>
                            <w:jc w:val="right"/>
                            <w:rPr>
                              <w:sz w:val="22"/>
                            </w:rPr>
                          </w:pPr>
                          <w:r>
                            <w:rPr>
                              <w:sz w:val="22"/>
                            </w:rPr>
                            <w:t>Department for Environment, Food and Rural Affairs</w:t>
                          </w:r>
                        </w:p>
                      </w:txbxContent>
                    </v:textbox>
                    <w10:wrap type="square" anchorx="margin" anchory="page"/>
                  </v:shape>
                </w:pict>
              </mc:Fallback>
            </mc:AlternateContent>
          </w:r>
          <w:r w:rsidR="00FC709F">
            <w:rPr>
              <w:noProof/>
              <w:lang w:eastAsia="en-GB"/>
            </w:rPr>
            <mc:AlternateContent>
              <mc:Choice Requires="wps">
                <w:drawing>
                  <wp:anchor distT="0" distB="0" distL="114300" distR="114300" simplePos="0" relativeHeight="251658240" behindDoc="0" locked="0" layoutInCell="1" allowOverlap="1" wp14:anchorId="2613760B" wp14:editId="01B456AA">
                    <wp:simplePos x="0" y="0"/>
                    <wp:positionH relativeFrom="margin">
                      <wp:posOffset>-694690</wp:posOffset>
                    </wp:positionH>
                    <wp:positionV relativeFrom="page">
                      <wp:posOffset>2813050</wp:posOffset>
                    </wp:positionV>
                    <wp:extent cx="7130415" cy="2618740"/>
                    <wp:effectExtent l="0" t="0" r="0" b="10160"/>
                    <wp:wrapSquare wrapText="bothSides"/>
                    <wp:docPr id="154" name="Text Box 154"/>
                    <wp:cNvGraphicFramePr/>
                    <a:graphic xmlns:a="http://schemas.openxmlformats.org/drawingml/2006/main">
                      <a:graphicData uri="http://schemas.microsoft.com/office/word/2010/wordprocessingShape">
                        <wps:wsp>
                          <wps:cNvSpPr txBox="1"/>
                          <wps:spPr>
                            <a:xfrm>
                              <a:off x="0" y="0"/>
                              <a:ext cx="7130415" cy="261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EDE66" w14:textId="4F3C1D65" w:rsidR="009A2000" w:rsidRPr="00294A77" w:rsidRDefault="00000000" w:rsidP="001F7DC1">
                                <w:pPr>
                                  <w:jc w:val="right"/>
                                  <w:rPr>
                                    <w:b/>
                                    <w:bCs/>
                                    <w:color w:val="008000"/>
                                    <w:sz w:val="56"/>
                                    <w:szCs w:val="56"/>
                                  </w:rPr>
                                </w:pPr>
                                <w:sdt>
                                  <w:sdtPr>
                                    <w:rPr>
                                      <w:b/>
                                      <w:bCs/>
                                      <w:color w:val="008000"/>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9A2000" w:rsidRPr="0080616D">
                                      <w:rPr>
                                        <w:b/>
                                        <w:bCs/>
                                        <w:color w:val="008000"/>
                                        <w:sz w:val="56"/>
                                        <w:szCs w:val="56"/>
                                      </w:rPr>
                                      <w:t>Promoting an African voice for TNFD and nature-related financial risk management</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13760B" id="Text Box 154" o:spid="_x0000_s1027" type="#_x0000_t202" style="position:absolute;left:0;text-align:left;margin-left:-54.7pt;margin-top:221.5pt;width:561.45pt;height:206.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" filled="f" stroked="f" strokeweight=".5pt">
                    <v:textbox inset="126pt,0,54pt,0">
                      <w:txbxContent>
                        <w:p w14:paraId="122EDE66" w14:textId="4F3C1D65" w:rsidR="009A2000" w:rsidRPr="00294A77" w:rsidRDefault="008F4489" w:rsidP="001F7DC1">
                          <w:pPr>
                            <w:jc w:val="right"/>
                            <w:rPr>
                              <w:b/>
                              <w:bCs/>
                              <w:color w:val="008000"/>
                              <w:sz w:val="56"/>
                              <w:szCs w:val="56"/>
                            </w:rPr>
                          </w:pPr>
                          <w:sdt>
                            <w:sdtPr>
                              <w:rPr>
                                <w:b/>
                                <w:bCs/>
                                <w:color w:val="008000"/>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A2000" w:rsidRPr="0080616D">
                                <w:rPr>
                                  <w:b/>
                                  <w:bCs/>
                                  <w:color w:val="008000"/>
                                  <w:sz w:val="56"/>
                                  <w:szCs w:val="56"/>
                                </w:rPr>
                                <w:t>Promoting an African voice for TNFD and nature-related financial risk management</w:t>
                              </w:r>
                            </w:sdtContent>
                          </w:sdt>
                        </w:p>
                      </w:txbxContent>
                    </v:textbox>
                    <w10:wrap type="square" anchorx="margin" anchory="page"/>
                  </v:shape>
                </w:pict>
              </mc:Fallback>
            </mc:AlternateContent>
          </w:r>
          <w:r w:rsidR="004A52E5">
            <w:rPr>
              <w:noProof/>
              <w:lang w:eastAsia="en-GB"/>
            </w:rPr>
            <mc:AlternateContent>
              <mc:Choice Requires="wps">
                <w:drawing>
                  <wp:anchor distT="0" distB="0" distL="114300" distR="114300" simplePos="0" relativeHeight="251658241" behindDoc="0" locked="0" layoutInCell="1" allowOverlap="1" wp14:anchorId="3D0E8B40" wp14:editId="5F5ECA99">
                    <wp:simplePos x="0" y="0"/>
                    <wp:positionH relativeFrom="margin">
                      <wp:align>center</wp:align>
                    </wp:positionH>
                    <wp:positionV relativeFrom="page">
                      <wp:posOffset>5494867</wp:posOffset>
                    </wp:positionV>
                    <wp:extent cx="7315200" cy="1009650"/>
                    <wp:effectExtent l="0" t="0" r="0" b="508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FCE74" w14:textId="4FF64616" w:rsidR="009A2000" w:rsidRPr="00FC709F" w:rsidRDefault="009A2000" w:rsidP="004A52E5">
                                <w:pPr>
                                  <w:pStyle w:val="NoSpacing"/>
                                  <w:jc w:val="right"/>
                                  <w:rPr>
                                    <w:color w:val="008938"/>
                                    <w:sz w:val="28"/>
                                    <w:szCs w:val="28"/>
                                  </w:rPr>
                                </w:pPr>
                                <w:r w:rsidRPr="00FC709F">
                                  <w:rPr>
                                    <w:color w:val="008938"/>
                                    <w:sz w:val="28"/>
                                    <w:szCs w:val="28"/>
                                  </w:rPr>
                                  <w:t xml:space="preserve">Addendum to </w:t>
                                </w:r>
                                <w:r>
                                  <w:rPr>
                                    <w:color w:val="008938"/>
                                    <w:sz w:val="28"/>
                                    <w:szCs w:val="28"/>
                                  </w:rPr>
                                  <w:t>the ‘</w:t>
                                </w:r>
                                <w:r w:rsidRPr="0081743B">
                                  <w:rPr>
                                    <w:color w:val="008938"/>
                                    <w:sz w:val="28"/>
                                    <w:szCs w:val="28"/>
                                  </w:rPr>
                                  <w:t>Taskforce for Nature-related Financial Disclosures Secretariat</w:t>
                                </w:r>
                                <w:r>
                                  <w:rPr>
                                    <w:color w:val="008938"/>
                                    <w:sz w:val="28"/>
                                    <w:szCs w:val="28"/>
                                  </w:rPr>
                                  <w:t xml:space="preserve">’ </w:t>
                                </w:r>
                                <w:r w:rsidRPr="00FC709F">
                                  <w:rPr>
                                    <w:color w:val="008938"/>
                                    <w:sz w:val="28"/>
                                    <w:szCs w:val="28"/>
                                  </w:rPr>
                                  <w:t>Business Case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D0E8B40" id="Text Box 153" o:spid="_x0000_s1028" type="#_x0000_t202" style="position:absolute;left:0;text-align:left;margin-left:0;margin-top:432.65pt;width:8in;height:79.5pt;z-index:251658241;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" filled="f" stroked="f" strokeweight=".5pt">
                    <v:textbox style="mso-fit-shape-to-text:t" inset="126pt,0,54pt,0">
                      <w:txbxContent>
                        <w:p w14:paraId="73FFCE74" w14:textId="4FF64616" w:rsidR="009A2000" w:rsidRPr="00FC709F" w:rsidRDefault="009A2000" w:rsidP="004A52E5">
                          <w:pPr>
                            <w:pStyle w:val="NoSpacing"/>
                            <w:jc w:val="right"/>
                            <w:rPr>
                              <w:color w:val="008938"/>
                              <w:sz w:val="28"/>
                              <w:szCs w:val="28"/>
                            </w:rPr>
                          </w:pPr>
                          <w:r w:rsidRPr="00FC709F">
                            <w:rPr>
                              <w:color w:val="008938"/>
                              <w:sz w:val="28"/>
                              <w:szCs w:val="28"/>
                            </w:rPr>
                            <w:t xml:space="preserve">Addendum to </w:t>
                          </w:r>
                          <w:r>
                            <w:rPr>
                              <w:color w:val="008938"/>
                              <w:sz w:val="28"/>
                              <w:szCs w:val="28"/>
                            </w:rPr>
                            <w:t>the ‘</w:t>
                          </w:r>
                          <w:r w:rsidRPr="0081743B">
                            <w:rPr>
                              <w:color w:val="008938"/>
                              <w:sz w:val="28"/>
                              <w:szCs w:val="28"/>
                            </w:rPr>
                            <w:t>Taskforce for Nature-related Financial Disclosures Secretariat</w:t>
                          </w:r>
                          <w:r>
                            <w:rPr>
                              <w:color w:val="008938"/>
                              <w:sz w:val="28"/>
                              <w:szCs w:val="28"/>
                            </w:rPr>
                            <w:t xml:space="preserve">’ </w:t>
                          </w:r>
                          <w:r w:rsidRPr="00FC709F">
                            <w:rPr>
                              <w:color w:val="008938"/>
                              <w:sz w:val="28"/>
                              <w:szCs w:val="28"/>
                            </w:rPr>
                            <w:t>Business Case</w:t>
                          </w:r>
                        </w:p>
                      </w:txbxContent>
                    </v:textbox>
                    <w10:wrap type="square" anchorx="margin" anchory="page"/>
                  </v:shape>
                </w:pict>
              </mc:Fallback>
            </mc:AlternateContent>
          </w:r>
          <w:r w:rsidR="004A52E5">
            <w:rPr>
              <w:b/>
              <w:bCs/>
              <w:caps/>
              <w:noProof/>
            </w:rPr>
            <w:br w:type="page"/>
          </w:r>
          <w:r w:rsidR="004A52E5">
            <w:rPr>
              <w:noProof/>
              <w:sz w:val="32"/>
              <w:szCs w:val="32"/>
              <w:lang w:eastAsia="en-GB"/>
            </w:rPr>
            <w:drawing>
              <wp:anchor distT="0" distB="0" distL="114300" distR="114300" simplePos="0" relativeHeight="251658242" behindDoc="0" locked="0" layoutInCell="1" allowOverlap="1" wp14:anchorId="0AD24F79" wp14:editId="413F8643">
                <wp:simplePos x="0" y="0"/>
                <wp:positionH relativeFrom="column">
                  <wp:posOffset>0</wp:posOffset>
                </wp:positionH>
                <wp:positionV relativeFrom="paragraph">
                  <wp:posOffset>-285750</wp:posOffset>
                </wp:positionV>
                <wp:extent cx="2181225" cy="1114425"/>
                <wp:effectExtent l="0" t="0" r="9525" b="9525"/>
                <wp:wrapSquare wrapText="bothSides"/>
                <wp:docPr id="19" name="Picture 19"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114425"/>
                        </a:xfrm>
                        <a:prstGeom prst="rect">
                          <a:avLst/>
                        </a:prstGeom>
                        <a:noFill/>
                        <a:ln>
                          <a:noFill/>
                        </a:ln>
                      </pic:spPr>
                    </pic:pic>
                  </a:graphicData>
                </a:graphic>
              </wp:anchor>
            </w:drawing>
          </w:r>
        </w:p>
      </w:sdtContent>
    </w:sdt>
    <w:p w14:paraId="42DA6C49" w14:textId="5660C8C4" w:rsidR="00F4180A" w:rsidRPr="00F4180A" w:rsidRDefault="00FC709F" w:rsidP="0000288E">
      <w:pPr>
        <w:pStyle w:val="TOCHeading"/>
      </w:pPr>
      <w:r>
        <w:lastRenderedPageBreak/>
        <w:t xml:space="preserve">summary </w:t>
      </w:r>
    </w:p>
    <w:tbl>
      <w:tblPr>
        <w:tblStyle w:val="TableGrid"/>
        <w:tblW w:w="0" w:type="auto"/>
        <w:tblLook w:val="04A0" w:firstRow="1" w:lastRow="0" w:firstColumn="1" w:lastColumn="0" w:noHBand="0" w:noVBand="1"/>
      </w:tblPr>
      <w:tblGrid>
        <w:gridCol w:w="3676"/>
        <w:gridCol w:w="5330"/>
      </w:tblGrid>
      <w:tr w:rsidR="007C11AF" w14:paraId="65FB8931" w14:textId="77777777" w:rsidTr="141E0B56">
        <w:tc>
          <w:tcPr>
            <w:tcW w:w="3676" w:type="dxa"/>
          </w:tcPr>
          <w:p w14:paraId="74090693" w14:textId="6AC7D7A9" w:rsidR="007C11AF" w:rsidRPr="00DE08C1" w:rsidRDefault="00FC709F" w:rsidP="00FC709F">
            <w:pPr>
              <w:pStyle w:val="Table"/>
              <w:jc w:val="left"/>
              <w:rPr>
                <w:b/>
                <w:bCs/>
                <w:sz w:val="22"/>
                <w:szCs w:val="22"/>
              </w:rPr>
            </w:pPr>
            <w:r w:rsidRPr="00DE08C1">
              <w:rPr>
                <w:b/>
                <w:bCs/>
                <w:sz w:val="22"/>
                <w:szCs w:val="22"/>
              </w:rPr>
              <w:t>Programme Code</w:t>
            </w:r>
          </w:p>
        </w:tc>
        <w:tc>
          <w:tcPr>
            <w:tcW w:w="5330" w:type="dxa"/>
          </w:tcPr>
          <w:p w14:paraId="194E2559" w14:textId="449C9A83" w:rsidR="007C11AF" w:rsidRPr="001F7DC1" w:rsidRDefault="00851291" w:rsidP="00FC709F">
            <w:pPr>
              <w:pStyle w:val="Table"/>
              <w:jc w:val="left"/>
              <w:rPr>
                <w:color w:val="4472C4" w:themeColor="accent5"/>
                <w:sz w:val="22"/>
                <w:szCs w:val="22"/>
              </w:rPr>
            </w:pPr>
            <w:r>
              <w:rPr>
                <w:color w:val="4472C4" w:themeColor="accent5"/>
                <w:sz w:val="22"/>
                <w:szCs w:val="22"/>
              </w:rPr>
              <w:t>PO022</w:t>
            </w:r>
          </w:p>
        </w:tc>
      </w:tr>
      <w:tr w:rsidR="00FC709F" w14:paraId="26016F14" w14:textId="77777777" w:rsidTr="141E0B56">
        <w:tc>
          <w:tcPr>
            <w:tcW w:w="3676" w:type="dxa"/>
          </w:tcPr>
          <w:p w14:paraId="06B16E70" w14:textId="72387300" w:rsidR="00FC709F" w:rsidRPr="00DE08C1" w:rsidRDefault="00FC709F" w:rsidP="00FC709F">
            <w:pPr>
              <w:pStyle w:val="Table"/>
              <w:jc w:val="left"/>
              <w:rPr>
                <w:b/>
                <w:bCs/>
                <w:sz w:val="22"/>
                <w:szCs w:val="22"/>
              </w:rPr>
            </w:pPr>
            <w:r w:rsidRPr="00DE08C1">
              <w:rPr>
                <w:b/>
                <w:bCs/>
                <w:sz w:val="22"/>
                <w:szCs w:val="22"/>
              </w:rPr>
              <w:t>Programme Name</w:t>
            </w:r>
          </w:p>
        </w:tc>
        <w:tc>
          <w:tcPr>
            <w:tcW w:w="5330" w:type="dxa"/>
          </w:tcPr>
          <w:p w14:paraId="5FE66D71" w14:textId="6BDBED1B" w:rsidR="00FC709F" w:rsidRPr="001F7DC1" w:rsidRDefault="00D71A30" w:rsidP="00FC709F">
            <w:pPr>
              <w:pStyle w:val="Table"/>
              <w:jc w:val="left"/>
              <w:rPr>
                <w:color w:val="4472C4" w:themeColor="accent5"/>
                <w:sz w:val="22"/>
                <w:szCs w:val="22"/>
              </w:rPr>
            </w:pPr>
            <w:r w:rsidRPr="141E0B56">
              <w:rPr>
                <w:color w:val="4472C4" w:themeColor="accent5"/>
                <w:sz w:val="22"/>
                <w:szCs w:val="22"/>
              </w:rPr>
              <w:t>Promoting an African voice for TNFD and nature-related financial risk management</w:t>
            </w:r>
            <w:r w:rsidR="002E63D5" w:rsidRPr="141E0B56">
              <w:rPr>
                <w:color w:val="4472C4" w:themeColor="accent5"/>
                <w:sz w:val="22"/>
                <w:szCs w:val="22"/>
              </w:rPr>
              <w:t xml:space="preserve"> - Addendum to the ‘Taskforce for Nature-related Financial Disclosures Secretariat’ Business Case</w:t>
            </w:r>
            <w:bookmarkStart w:id="1" w:name="_Hlk85790606"/>
            <w:bookmarkEnd w:id="1"/>
          </w:p>
        </w:tc>
      </w:tr>
      <w:tr w:rsidR="007C11AF" w14:paraId="31E180A6" w14:textId="77777777" w:rsidTr="141E0B56">
        <w:tc>
          <w:tcPr>
            <w:tcW w:w="3676" w:type="dxa"/>
          </w:tcPr>
          <w:p w14:paraId="7DCB1009" w14:textId="1D7FD8DB" w:rsidR="007C11AF" w:rsidRPr="00DE08C1" w:rsidRDefault="00FC709F" w:rsidP="00FC709F">
            <w:pPr>
              <w:pStyle w:val="Table"/>
              <w:jc w:val="left"/>
              <w:rPr>
                <w:b/>
                <w:bCs/>
                <w:sz w:val="22"/>
                <w:szCs w:val="22"/>
              </w:rPr>
            </w:pPr>
            <w:r w:rsidRPr="00DE08C1">
              <w:rPr>
                <w:b/>
                <w:bCs/>
                <w:sz w:val="22"/>
                <w:szCs w:val="22"/>
              </w:rPr>
              <w:t>Country or Region Targeted</w:t>
            </w:r>
          </w:p>
        </w:tc>
        <w:tc>
          <w:tcPr>
            <w:tcW w:w="5330" w:type="dxa"/>
          </w:tcPr>
          <w:p w14:paraId="72333768" w14:textId="46E07BF7" w:rsidR="007C11AF" w:rsidRPr="001F7DC1" w:rsidRDefault="00851291" w:rsidP="00FC709F">
            <w:pPr>
              <w:pStyle w:val="Table"/>
              <w:jc w:val="left"/>
              <w:rPr>
                <w:color w:val="4472C4" w:themeColor="accent5"/>
                <w:sz w:val="22"/>
                <w:szCs w:val="22"/>
              </w:rPr>
            </w:pPr>
            <w:r>
              <w:rPr>
                <w:color w:val="4472C4" w:themeColor="accent5"/>
                <w:sz w:val="22"/>
                <w:szCs w:val="22"/>
              </w:rPr>
              <w:t>Global (this addendum</w:t>
            </w:r>
            <w:r w:rsidR="004D23EB">
              <w:rPr>
                <w:color w:val="4472C4" w:themeColor="accent5"/>
                <w:sz w:val="22"/>
                <w:szCs w:val="22"/>
              </w:rPr>
              <w:t xml:space="preserve"> will focus on</w:t>
            </w:r>
            <w:r>
              <w:rPr>
                <w:color w:val="4472C4" w:themeColor="accent5"/>
                <w:sz w:val="22"/>
                <w:szCs w:val="22"/>
              </w:rPr>
              <w:t xml:space="preserve"> </w:t>
            </w:r>
            <w:r w:rsidR="004D3359">
              <w:rPr>
                <w:color w:val="4472C4" w:themeColor="accent5"/>
                <w:sz w:val="22"/>
                <w:szCs w:val="22"/>
              </w:rPr>
              <w:t>Sub-Saharan Africa</w:t>
            </w:r>
            <w:r>
              <w:rPr>
                <w:color w:val="4472C4" w:themeColor="accent5"/>
                <w:sz w:val="22"/>
                <w:szCs w:val="22"/>
              </w:rPr>
              <w:t>)</w:t>
            </w:r>
          </w:p>
        </w:tc>
      </w:tr>
      <w:tr w:rsidR="00FC709F" w14:paraId="6CF7E500" w14:textId="77777777" w:rsidTr="141E0B56">
        <w:tc>
          <w:tcPr>
            <w:tcW w:w="3676" w:type="dxa"/>
          </w:tcPr>
          <w:p w14:paraId="3CBF3D8E" w14:textId="284232E8" w:rsidR="00FC709F" w:rsidRPr="00DE08C1" w:rsidRDefault="00FC709F" w:rsidP="00FC709F">
            <w:pPr>
              <w:pStyle w:val="Table"/>
              <w:jc w:val="left"/>
              <w:rPr>
                <w:b/>
                <w:bCs/>
                <w:sz w:val="22"/>
                <w:szCs w:val="22"/>
              </w:rPr>
            </w:pPr>
            <w:r w:rsidRPr="00DE08C1">
              <w:rPr>
                <w:b/>
                <w:bCs/>
                <w:sz w:val="22"/>
                <w:szCs w:val="22"/>
              </w:rPr>
              <w:t>Programme Objectives</w:t>
            </w:r>
          </w:p>
        </w:tc>
        <w:tc>
          <w:tcPr>
            <w:tcW w:w="5330" w:type="dxa"/>
          </w:tcPr>
          <w:p w14:paraId="5AE7C29B" w14:textId="324113A3" w:rsidR="00851291" w:rsidRPr="008F4489" w:rsidRDefault="00D71A30" w:rsidP="008F4489">
            <w:pPr>
              <w:pStyle w:val="Table"/>
              <w:rPr>
                <w:color w:val="4472C4" w:themeColor="accent5"/>
                <w:sz w:val="22"/>
                <w:szCs w:val="22"/>
              </w:rPr>
            </w:pPr>
            <w:r w:rsidRPr="00D71A30">
              <w:rPr>
                <w:color w:val="4472C4" w:themeColor="accent5"/>
                <w:sz w:val="22"/>
                <w:szCs w:val="22"/>
              </w:rPr>
              <w:t>Th</w:t>
            </w:r>
            <w:r>
              <w:rPr>
                <w:color w:val="4472C4" w:themeColor="accent5"/>
                <w:sz w:val="22"/>
                <w:szCs w:val="22"/>
              </w:rPr>
              <w:t>e programme</w:t>
            </w:r>
            <w:r w:rsidRPr="00D71A30">
              <w:rPr>
                <w:color w:val="4472C4" w:themeColor="accent5"/>
                <w:sz w:val="22"/>
                <w:szCs w:val="22"/>
              </w:rPr>
              <w:t xml:space="preserve"> </w:t>
            </w:r>
            <w:r w:rsidR="00851291" w:rsidRPr="008F4489">
              <w:rPr>
                <w:color w:val="4472C4" w:themeColor="accent5"/>
                <w:sz w:val="22"/>
                <w:szCs w:val="22"/>
              </w:rPr>
              <w:t>is a contribution to establish the Taskforce for Nature-related Financial Disclosures (TNFD),</w:t>
            </w:r>
            <w:r w:rsidR="00851291" w:rsidRPr="008F4489" w:rsidDel="005076A9">
              <w:rPr>
                <w:color w:val="4472C4" w:themeColor="accent5"/>
                <w:sz w:val="22"/>
                <w:szCs w:val="22"/>
              </w:rPr>
              <w:t xml:space="preserve"> </w:t>
            </w:r>
            <w:r w:rsidR="00851291" w:rsidRPr="008F4489">
              <w:rPr>
                <w:color w:val="4472C4" w:themeColor="accent5"/>
                <w:sz w:val="22"/>
                <w:szCs w:val="22"/>
              </w:rPr>
              <w:t xml:space="preserve">which will give international corporate and financial institutions the tools to map, measure and manage their impact and dependencies on nature. This includes funding for resourcing engagement, building and testing the TNFD framework, and research.  </w:t>
            </w:r>
          </w:p>
          <w:p w14:paraId="7B1C377C" w14:textId="77777777" w:rsidR="00851291" w:rsidRDefault="00851291" w:rsidP="00F4330D">
            <w:pPr>
              <w:pStyle w:val="Table"/>
              <w:jc w:val="left"/>
              <w:rPr>
                <w:color w:val="4472C4" w:themeColor="accent5"/>
                <w:sz w:val="22"/>
                <w:szCs w:val="22"/>
              </w:rPr>
            </w:pPr>
          </w:p>
          <w:p w14:paraId="0FA94CE7" w14:textId="04381D17" w:rsidR="00D71A30" w:rsidRPr="004D3359" w:rsidRDefault="00851291">
            <w:pPr>
              <w:pStyle w:val="Table"/>
              <w:rPr>
                <w:color w:val="4472C4" w:themeColor="accent5"/>
                <w:sz w:val="22"/>
                <w:szCs w:val="22"/>
              </w:rPr>
            </w:pPr>
            <w:r>
              <w:rPr>
                <w:color w:val="4472C4" w:themeColor="accent5"/>
                <w:sz w:val="22"/>
                <w:szCs w:val="22"/>
              </w:rPr>
              <w:t xml:space="preserve">This addendum </w:t>
            </w:r>
            <w:r w:rsidR="00D71A30" w:rsidRPr="00D71A30">
              <w:rPr>
                <w:color w:val="4472C4" w:themeColor="accent5"/>
                <w:sz w:val="22"/>
                <w:szCs w:val="22"/>
              </w:rPr>
              <w:t>will build awareness and institutional capacity on nature-related financial risk management within African countries</w:t>
            </w:r>
            <w:r w:rsidR="00D71A30">
              <w:rPr>
                <w:color w:val="4472C4" w:themeColor="accent5"/>
                <w:sz w:val="22"/>
                <w:szCs w:val="22"/>
              </w:rPr>
              <w:t xml:space="preserve">, </w:t>
            </w:r>
            <w:r w:rsidR="00D71A30" w:rsidRPr="00D71A30">
              <w:rPr>
                <w:color w:val="4472C4" w:themeColor="accent5"/>
                <w:sz w:val="22"/>
                <w:szCs w:val="22"/>
              </w:rPr>
              <w:t>suppor</w:t>
            </w:r>
            <w:r w:rsidR="00D71A30">
              <w:rPr>
                <w:color w:val="4472C4" w:themeColor="accent5"/>
                <w:sz w:val="22"/>
                <w:szCs w:val="22"/>
              </w:rPr>
              <w:t>ting</w:t>
            </w:r>
            <w:r w:rsidR="00D71A30" w:rsidRPr="00D71A30">
              <w:rPr>
                <w:color w:val="4472C4" w:themeColor="accent5"/>
                <w:sz w:val="22"/>
                <w:szCs w:val="22"/>
              </w:rPr>
              <w:t xml:space="preserve"> the transition towards a nature-positive economy</w:t>
            </w:r>
            <w:r w:rsidR="00D71A30">
              <w:rPr>
                <w:color w:val="4472C4" w:themeColor="accent5"/>
                <w:sz w:val="22"/>
                <w:szCs w:val="22"/>
              </w:rPr>
              <w:t>. It will</w:t>
            </w:r>
            <w:r w:rsidR="00D71A30" w:rsidRPr="00D71A30">
              <w:rPr>
                <w:color w:val="4472C4" w:themeColor="accent5"/>
                <w:sz w:val="22"/>
                <w:szCs w:val="22"/>
              </w:rPr>
              <w:t xml:space="preserve"> </w:t>
            </w:r>
            <w:r w:rsidR="00EB6DED">
              <w:rPr>
                <w:color w:val="4472C4" w:themeColor="accent5"/>
                <w:sz w:val="22"/>
                <w:szCs w:val="22"/>
              </w:rPr>
              <w:t xml:space="preserve">help to </w:t>
            </w:r>
            <w:r w:rsidR="00D71A30" w:rsidRPr="00D71A30">
              <w:rPr>
                <w:color w:val="4472C4" w:themeColor="accent5"/>
                <w:sz w:val="22"/>
                <w:szCs w:val="22"/>
              </w:rPr>
              <w:t>ensur</w:t>
            </w:r>
            <w:r w:rsidR="00D71A30">
              <w:rPr>
                <w:color w:val="4472C4" w:themeColor="accent5"/>
                <w:sz w:val="22"/>
                <w:szCs w:val="22"/>
              </w:rPr>
              <w:t>e</w:t>
            </w:r>
            <w:r w:rsidR="00D71A30" w:rsidRPr="00D71A30">
              <w:rPr>
                <w:color w:val="4472C4" w:themeColor="accent5"/>
                <w:sz w:val="22"/>
                <w:szCs w:val="22"/>
              </w:rPr>
              <w:t xml:space="preserve"> that the TNFD is designed in a way that works effectively in an African context, </w:t>
            </w:r>
            <w:r w:rsidR="00D71A30">
              <w:rPr>
                <w:color w:val="4472C4" w:themeColor="accent5"/>
                <w:sz w:val="22"/>
                <w:szCs w:val="22"/>
              </w:rPr>
              <w:t xml:space="preserve">and </w:t>
            </w:r>
            <w:r w:rsidR="00EB6DED">
              <w:rPr>
                <w:color w:val="4472C4" w:themeColor="accent5"/>
                <w:sz w:val="22"/>
                <w:szCs w:val="22"/>
              </w:rPr>
              <w:t xml:space="preserve">help to </w:t>
            </w:r>
            <w:r w:rsidR="00D71A30" w:rsidRPr="00D71A30">
              <w:rPr>
                <w:color w:val="4472C4" w:themeColor="accent5"/>
                <w:sz w:val="22"/>
                <w:szCs w:val="22"/>
              </w:rPr>
              <w:t>engag</w:t>
            </w:r>
            <w:r w:rsidR="00D71A30">
              <w:rPr>
                <w:color w:val="4472C4" w:themeColor="accent5"/>
                <w:sz w:val="22"/>
                <w:szCs w:val="22"/>
              </w:rPr>
              <w:t xml:space="preserve">e </w:t>
            </w:r>
            <w:r w:rsidR="00EB6DED">
              <w:rPr>
                <w:color w:val="4472C4" w:themeColor="accent5"/>
                <w:sz w:val="22"/>
                <w:szCs w:val="22"/>
              </w:rPr>
              <w:t xml:space="preserve">and enlist </w:t>
            </w:r>
            <w:r w:rsidR="00D71A30">
              <w:rPr>
                <w:color w:val="4472C4" w:themeColor="accent5"/>
                <w:sz w:val="22"/>
                <w:szCs w:val="22"/>
              </w:rPr>
              <w:t>a number of key African countries</w:t>
            </w:r>
            <w:r w:rsidR="00D71A30" w:rsidRPr="00D71A30">
              <w:rPr>
                <w:color w:val="4472C4" w:themeColor="accent5"/>
                <w:sz w:val="22"/>
                <w:szCs w:val="22"/>
              </w:rPr>
              <w:t xml:space="preserve"> in catalytic sovereign stakeholder outreach in support of the TNFD</w:t>
            </w:r>
            <w:r w:rsidR="00EB6DED">
              <w:rPr>
                <w:color w:val="4472C4" w:themeColor="accent5"/>
                <w:sz w:val="22"/>
                <w:szCs w:val="22"/>
              </w:rPr>
              <w:t xml:space="preserve">. </w:t>
            </w:r>
          </w:p>
        </w:tc>
      </w:tr>
      <w:tr w:rsidR="007C11AF" w14:paraId="77D80E35" w14:textId="77777777" w:rsidTr="141E0B56">
        <w:tc>
          <w:tcPr>
            <w:tcW w:w="3676" w:type="dxa"/>
          </w:tcPr>
          <w:p w14:paraId="3311417D" w14:textId="2B1C2173" w:rsidR="007C11AF" w:rsidRPr="00DE08C1" w:rsidRDefault="00FC709F" w:rsidP="00FC709F">
            <w:pPr>
              <w:pStyle w:val="Table"/>
              <w:jc w:val="left"/>
              <w:rPr>
                <w:b/>
                <w:bCs/>
                <w:sz w:val="22"/>
                <w:szCs w:val="22"/>
              </w:rPr>
            </w:pPr>
            <w:r w:rsidRPr="00DE08C1">
              <w:rPr>
                <w:b/>
                <w:bCs/>
                <w:sz w:val="22"/>
                <w:szCs w:val="22"/>
              </w:rPr>
              <w:t>Original Programme Budget</w:t>
            </w:r>
          </w:p>
        </w:tc>
        <w:tc>
          <w:tcPr>
            <w:tcW w:w="5330" w:type="dxa"/>
          </w:tcPr>
          <w:p w14:paraId="380A2271" w14:textId="7405AE54" w:rsidR="007C11AF" w:rsidRPr="004D3359" w:rsidRDefault="004D3359" w:rsidP="00FC709F">
            <w:pPr>
              <w:pStyle w:val="Table"/>
              <w:jc w:val="left"/>
              <w:rPr>
                <w:color w:val="4472C4" w:themeColor="accent5"/>
                <w:sz w:val="22"/>
                <w:szCs w:val="22"/>
              </w:rPr>
            </w:pPr>
            <w:r w:rsidRPr="004D3359">
              <w:rPr>
                <w:color w:val="4472C4" w:themeColor="accent5"/>
                <w:sz w:val="22"/>
                <w:szCs w:val="22"/>
              </w:rPr>
              <w:t>Up to £3m</w:t>
            </w:r>
          </w:p>
        </w:tc>
      </w:tr>
      <w:tr w:rsidR="007C11AF" w14:paraId="6C5351D4" w14:textId="77777777" w:rsidTr="141E0B56">
        <w:tc>
          <w:tcPr>
            <w:tcW w:w="3676" w:type="dxa"/>
          </w:tcPr>
          <w:p w14:paraId="36A5FA32" w14:textId="458A0C3A" w:rsidR="007C11AF" w:rsidRPr="00DE08C1" w:rsidRDefault="00FC709F" w:rsidP="00FC709F">
            <w:pPr>
              <w:pStyle w:val="Table"/>
              <w:jc w:val="left"/>
              <w:rPr>
                <w:b/>
                <w:bCs/>
                <w:sz w:val="22"/>
                <w:szCs w:val="22"/>
              </w:rPr>
            </w:pPr>
            <w:r w:rsidRPr="00DE08C1">
              <w:rPr>
                <w:b/>
                <w:bCs/>
                <w:sz w:val="22"/>
                <w:szCs w:val="22"/>
              </w:rPr>
              <w:t>Original Programme Start And End Dates</w:t>
            </w:r>
          </w:p>
        </w:tc>
        <w:tc>
          <w:tcPr>
            <w:tcW w:w="5330" w:type="dxa"/>
          </w:tcPr>
          <w:p w14:paraId="187C1C38" w14:textId="118F577B" w:rsidR="007C11AF" w:rsidRPr="004D3359" w:rsidRDefault="004D3359" w:rsidP="00FC709F">
            <w:pPr>
              <w:pStyle w:val="Table"/>
              <w:jc w:val="left"/>
              <w:rPr>
                <w:color w:val="4472C4" w:themeColor="accent5"/>
                <w:sz w:val="22"/>
                <w:szCs w:val="22"/>
              </w:rPr>
            </w:pPr>
            <w:r w:rsidRPr="004D3359">
              <w:rPr>
                <w:color w:val="4472C4" w:themeColor="accent5"/>
                <w:sz w:val="22"/>
                <w:szCs w:val="22"/>
              </w:rPr>
              <w:t>June 2021 – July 2023</w:t>
            </w:r>
          </w:p>
        </w:tc>
      </w:tr>
      <w:tr w:rsidR="007C11AF" w14:paraId="27A1147E" w14:textId="77777777" w:rsidTr="141E0B56">
        <w:tc>
          <w:tcPr>
            <w:tcW w:w="3676" w:type="dxa"/>
          </w:tcPr>
          <w:p w14:paraId="537728C7" w14:textId="76DFFC2F" w:rsidR="007C11AF" w:rsidRPr="00DE08C1" w:rsidRDefault="00FC709F" w:rsidP="00FC709F">
            <w:pPr>
              <w:pStyle w:val="Table"/>
              <w:jc w:val="left"/>
              <w:rPr>
                <w:b/>
                <w:bCs/>
                <w:sz w:val="22"/>
                <w:szCs w:val="22"/>
              </w:rPr>
            </w:pPr>
            <w:r w:rsidRPr="00DE08C1">
              <w:rPr>
                <w:b/>
                <w:bCs/>
                <w:sz w:val="22"/>
                <w:szCs w:val="22"/>
              </w:rPr>
              <w:t>Cost Extension Value (If applicable)</w:t>
            </w:r>
          </w:p>
        </w:tc>
        <w:tc>
          <w:tcPr>
            <w:tcW w:w="5330" w:type="dxa"/>
          </w:tcPr>
          <w:p w14:paraId="1D643063" w14:textId="69BE7181" w:rsidR="007C11AF" w:rsidRPr="004D3359" w:rsidRDefault="004D3359" w:rsidP="00FC709F">
            <w:pPr>
              <w:pStyle w:val="Table"/>
              <w:jc w:val="left"/>
              <w:rPr>
                <w:color w:val="4472C4" w:themeColor="accent5"/>
                <w:sz w:val="22"/>
                <w:szCs w:val="22"/>
              </w:rPr>
            </w:pPr>
            <w:r w:rsidRPr="4167E626">
              <w:rPr>
                <w:color w:val="4472C4" w:themeColor="accent5"/>
                <w:sz w:val="22"/>
                <w:szCs w:val="22"/>
              </w:rPr>
              <w:t>£</w:t>
            </w:r>
            <w:r w:rsidR="00B36B73">
              <w:rPr>
                <w:color w:val="4472C4" w:themeColor="accent5"/>
                <w:sz w:val="22"/>
                <w:szCs w:val="22"/>
              </w:rPr>
              <w:t>1675</w:t>
            </w:r>
            <w:r w:rsidRPr="4167E626">
              <w:rPr>
                <w:color w:val="4472C4" w:themeColor="accent5"/>
                <w:sz w:val="22"/>
                <w:szCs w:val="22"/>
              </w:rPr>
              <w:t>k</w:t>
            </w:r>
            <w:r w:rsidR="1B2F6E07" w:rsidRPr="4167E626">
              <w:rPr>
                <w:color w:val="4472C4" w:themeColor="accent5"/>
                <w:sz w:val="22"/>
                <w:szCs w:val="22"/>
              </w:rPr>
              <w:t xml:space="preserve"> </w:t>
            </w:r>
            <w:r w:rsidR="00B36B73" w:rsidRPr="008F4489">
              <w:rPr>
                <w:color w:val="4472C4" w:themeColor="accent5"/>
                <w:sz w:val="22"/>
                <w:szCs w:val="22"/>
              </w:rPr>
              <w:t xml:space="preserve"> - to </w:t>
            </w:r>
            <w:r w:rsidR="00B36B73" w:rsidRPr="00B36B73">
              <w:rPr>
                <w:color w:val="4472C4" w:themeColor="accent5"/>
                <w:sz w:val="22"/>
                <w:szCs w:val="22"/>
              </w:rPr>
              <w:t>be delivered in two tranches</w:t>
            </w:r>
            <w:r w:rsidR="00B36B73">
              <w:rPr>
                <w:color w:val="4472C4" w:themeColor="accent5"/>
                <w:sz w:val="22"/>
                <w:szCs w:val="22"/>
              </w:rPr>
              <w:t xml:space="preserve"> (£850k in FY 21/22 and £825k in FY </w:t>
            </w:r>
            <w:r w:rsidR="00C42E5B">
              <w:rPr>
                <w:color w:val="4472C4" w:themeColor="accent5"/>
                <w:sz w:val="22"/>
                <w:szCs w:val="22"/>
              </w:rPr>
              <w:t>22/23)</w:t>
            </w:r>
            <w:r w:rsidR="00B36B73">
              <w:rPr>
                <w:color w:val="4472C4" w:themeColor="accent5"/>
                <w:sz w:val="22"/>
                <w:szCs w:val="22"/>
              </w:rPr>
              <w:t>. S</w:t>
            </w:r>
            <w:r w:rsidR="00B36B73" w:rsidRPr="00B36B73">
              <w:rPr>
                <w:color w:val="4472C4" w:themeColor="accent5"/>
                <w:sz w:val="22"/>
                <w:szCs w:val="22"/>
              </w:rPr>
              <w:t>uccess of the first tranche is not dependent on the second tranche but will be confirmed through SR business planning process</w:t>
            </w:r>
            <w:r w:rsidR="00B36B73" w:rsidRPr="00B36B73" w:rsidDel="00851291">
              <w:rPr>
                <w:color w:val="4472C4" w:themeColor="accent5"/>
                <w:sz w:val="22"/>
                <w:szCs w:val="22"/>
              </w:rPr>
              <w:t xml:space="preserve"> </w:t>
            </w:r>
          </w:p>
        </w:tc>
      </w:tr>
      <w:tr w:rsidR="00FC709F" w14:paraId="51092883" w14:textId="77777777" w:rsidTr="141E0B56">
        <w:tc>
          <w:tcPr>
            <w:tcW w:w="3676" w:type="dxa"/>
          </w:tcPr>
          <w:p w14:paraId="59C871FD" w14:textId="42904346" w:rsidR="00FC709F" w:rsidRPr="00DE08C1" w:rsidRDefault="00FC709F" w:rsidP="00FC709F">
            <w:pPr>
              <w:pStyle w:val="Table"/>
              <w:jc w:val="left"/>
              <w:rPr>
                <w:b/>
                <w:bCs/>
                <w:sz w:val="22"/>
                <w:szCs w:val="22"/>
              </w:rPr>
            </w:pPr>
            <w:r w:rsidRPr="00DE08C1">
              <w:rPr>
                <w:b/>
                <w:bCs/>
                <w:sz w:val="22"/>
                <w:szCs w:val="22"/>
              </w:rPr>
              <w:t>New programme end date (if applicable)</w:t>
            </w:r>
          </w:p>
        </w:tc>
        <w:tc>
          <w:tcPr>
            <w:tcW w:w="5330" w:type="dxa"/>
          </w:tcPr>
          <w:p w14:paraId="79C9E2A7" w14:textId="7E982F3F" w:rsidR="00FC709F" w:rsidRPr="004D3359" w:rsidRDefault="00C42E5B" w:rsidP="00FC709F">
            <w:pPr>
              <w:pStyle w:val="Table"/>
              <w:jc w:val="left"/>
              <w:rPr>
                <w:color w:val="4472C4" w:themeColor="accent5"/>
                <w:sz w:val="22"/>
                <w:szCs w:val="22"/>
              </w:rPr>
            </w:pPr>
            <w:r>
              <w:rPr>
                <w:color w:val="4472C4" w:themeColor="accent5"/>
              </w:rPr>
              <w:t>F</w:t>
            </w:r>
            <w:r w:rsidRPr="00C42E5B">
              <w:rPr>
                <w:color w:val="4472C4" w:themeColor="accent5"/>
                <w:sz w:val="22"/>
                <w:szCs w:val="22"/>
              </w:rPr>
              <w:t>unding for th</w:t>
            </w:r>
            <w:r>
              <w:rPr>
                <w:color w:val="4472C4" w:themeColor="accent5"/>
                <w:sz w:val="22"/>
                <w:szCs w:val="22"/>
              </w:rPr>
              <w:t>is</w:t>
            </w:r>
            <w:r w:rsidRPr="00C42E5B">
              <w:rPr>
                <w:color w:val="4472C4" w:themeColor="accent5"/>
                <w:sz w:val="22"/>
                <w:szCs w:val="22"/>
              </w:rPr>
              <w:t xml:space="preserve"> </w:t>
            </w:r>
            <w:r>
              <w:rPr>
                <w:color w:val="4472C4" w:themeColor="accent5"/>
                <w:sz w:val="22"/>
                <w:szCs w:val="22"/>
              </w:rPr>
              <w:t>A</w:t>
            </w:r>
            <w:r w:rsidRPr="00C42E5B">
              <w:rPr>
                <w:color w:val="4472C4" w:themeColor="accent5"/>
                <w:sz w:val="22"/>
                <w:szCs w:val="22"/>
              </w:rPr>
              <w:t xml:space="preserve">ddendum </w:t>
            </w:r>
            <w:r>
              <w:rPr>
                <w:color w:val="4472C4" w:themeColor="accent5"/>
                <w:sz w:val="22"/>
                <w:szCs w:val="22"/>
              </w:rPr>
              <w:t xml:space="preserve">covers work to be undertaken </w:t>
            </w:r>
            <w:r w:rsidRPr="00C42E5B">
              <w:rPr>
                <w:color w:val="4472C4" w:themeColor="accent5"/>
                <w:sz w:val="22"/>
                <w:szCs w:val="22"/>
              </w:rPr>
              <w:t xml:space="preserve">in </w:t>
            </w:r>
            <w:r>
              <w:rPr>
                <w:color w:val="4472C4" w:themeColor="accent5"/>
                <w:sz w:val="22"/>
                <w:szCs w:val="22"/>
              </w:rPr>
              <w:t xml:space="preserve">FY </w:t>
            </w:r>
            <w:r w:rsidRPr="00C42E5B">
              <w:rPr>
                <w:color w:val="4472C4" w:themeColor="accent5"/>
                <w:sz w:val="22"/>
                <w:szCs w:val="22"/>
              </w:rPr>
              <w:t>21/22 and 22/23</w:t>
            </w:r>
          </w:p>
        </w:tc>
      </w:tr>
      <w:tr w:rsidR="007C11AF" w14:paraId="69F27C01" w14:textId="77777777" w:rsidTr="141E0B56">
        <w:tc>
          <w:tcPr>
            <w:tcW w:w="3676" w:type="dxa"/>
          </w:tcPr>
          <w:p w14:paraId="699BE709" w14:textId="198C9DBC" w:rsidR="007C11AF" w:rsidRPr="00DE08C1" w:rsidRDefault="00FC709F" w:rsidP="00FC709F">
            <w:pPr>
              <w:pStyle w:val="Table"/>
              <w:jc w:val="left"/>
              <w:rPr>
                <w:b/>
                <w:bCs/>
                <w:sz w:val="22"/>
                <w:szCs w:val="22"/>
              </w:rPr>
            </w:pPr>
            <w:r w:rsidRPr="00DE08C1">
              <w:rPr>
                <w:b/>
                <w:bCs/>
                <w:sz w:val="22"/>
                <w:szCs w:val="22"/>
              </w:rPr>
              <w:t>DevTracker link to original business case</w:t>
            </w:r>
          </w:p>
        </w:tc>
        <w:tc>
          <w:tcPr>
            <w:tcW w:w="5330" w:type="dxa"/>
          </w:tcPr>
          <w:p w14:paraId="1CFB2621" w14:textId="2F5985E3" w:rsidR="007C11AF" w:rsidRPr="004D3359" w:rsidRDefault="004D23EB" w:rsidP="00FC709F">
            <w:pPr>
              <w:pStyle w:val="Table"/>
              <w:jc w:val="left"/>
              <w:rPr>
                <w:color w:val="4472C4" w:themeColor="accent5"/>
                <w:sz w:val="22"/>
                <w:szCs w:val="22"/>
              </w:rPr>
            </w:pPr>
            <w:r>
              <w:rPr>
                <w:color w:val="4472C4" w:themeColor="accent5"/>
                <w:sz w:val="22"/>
                <w:szCs w:val="22"/>
              </w:rPr>
              <w:t>-</w:t>
            </w:r>
          </w:p>
        </w:tc>
      </w:tr>
      <w:bookmarkEnd w:id="0"/>
    </w:tbl>
    <w:p w14:paraId="01FCB50D" w14:textId="77777777" w:rsidR="0000288E" w:rsidRDefault="0000288E" w:rsidP="0000288E">
      <w:pPr>
        <w:rPr>
          <w:noProof/>
        </w:rPr>
      </w:pPr>
    </w:p>
    <w:p w14:paraId="43A3868B" w14:textId="736D6BC4" w:rsidR="0035145A" w:rsidRDefault="0035145A" w:rsidP="00053B36"/>
    <w:p w14:paraId="6A6437D0" w14:textId="5A02EE27" w:rsidR="00F4180A" w:rsidRPr="00F4180A" w:rsidRDefault="00FC709F" w:rsidP="0000288E">
      <w:pPr>
        <w:pStyle w:val="Heading1"/>
      </w:pPr>
      <w:r>
        <w:rPr>
          <w:caps w:val="0"/>
        </w:rPr>
        <w:t>INFORMATION</w:t>
      </w:r>
    </w:p>
    <w:tbl>
      <w:tblPr>
        <w:tblStyle w:val="TableGrid"/>
        <w:tblW w:w="9067" w:type="dxa"/>
        <w:tblLook w:val="04A0" w:firstRow="1" w:lastRow="0" w:firstColumn="1" w:lastColumn="0" w:noHBand="0" w:noVBand="1"/>
      </w:tblPr>
      <w:tblGrid>
        <w:gridCol w:w="9753"/>
      </w:tblGrid>
      <w:tr w:rsidR="00FC709F" w14:paraId="6019B7F8" w14:textId="77777777" w:rsidTr="65B5030A">
        <w:tc>
          <w:tcPr>
            <w:tcW w:w="9067" w:type="dxa"/>
          </w:tcPr>
          <w:p w14:paraId="59BD880D" w14:textId="1E6462CE" w:rsidR="00FC709F" w:rsidRPr="0000288E" w:rsidRDefault="00FC709F" w:rsidP="0000288E">
            <w:pPr>
              <w:pStyle w:val="Heading2"/>
            </w:pPr>
            <w:r w:rsidRPr="0000288E">
              <w:t>What is the purpose</w:t>
            </w:r>
            <w:r w:rsidR="004D23EB">
              <w:t xml:space="preserve"> of the programme addendum</w:t>
            </w:r>
            <w:r w:rsidRPr="0000288E">
              <w:t>?</w:t>
            </w:r>
          </w:p>
          <w:p w14:paraId="7DA062DE" w14:textId="32EDC7B5" w:rsidR="00FC709F" w:rsidRDefault="00FC709F" w:rsidP="0000288E">
            <w:pPr>
              <w:rPr>
                <w:b/>
                <w:bCs/>
              </w:rPr>
            </w:pPr>
          </w:p>
          <w:p w14:paraId="18F8E068" w14:textId="77777777" w:rsidR="00F9175C" w:rsidRPr="00F9175C" w:rsidRDefault="00F9175C" w:rsidP="00F9175C">
            <w:pPr>
              <w:rPr>
                <w:b/>
                <w:i/>
                <w:color w:val="2F5496" w:themeColor="accent5" w:themeShade="BF"/>
                <w:sz w:val="22"/>
                <w:szCs w:val="22"/>
              </w:rPr>
            </w:pPr>
            <w:r w:rsidRPr="00F9175C">
              <w:rPr>
                <w:b/>
                <w:i/>
                <w:color w:val="2F5496" w:themeColor="accent5" w:themeShade="BF"/>
                <w:sz w:val="22"/>
                <w:szCs w:val="22"/>
              </w:rPr>
              <w:t>Background</w:t>
            </w:r>
          </w:p>
          <w:p w14:paraId="1EC5B001" w14:textId="77777777" w:rsidR="00F9175C" w:rsidRPr="00F9175C" w:rsidRDefault="00F9175C" w:rsidP="00F9175C">
            <w:pPr>
              <w:ind w:left="720"/>
              <w:contextualSpacing/>
              <w:rPr>
                <w:sz w:val="22"/>
                <w:szCs w:val="22"/>
              </w:rPr>
            </w:pPr>
          </w:p>
          <w:p w14:paraId="201D01B4" w14:textId="7EF7B3C6" w:rsidR="00A366CC" w:rsidRDefault="00A366CC" w:rsidP="00DA16E3">
            <w:pPr>
              <w:pStyle w:val="ListParagraph"/>
              <w:numPr>
                <w:ilvl w:val="0"/>
                <w:numId w:val="15"/>
              </w:numPr>
              <w:ind w:right="176"/>
              <w:rPr>
                <w:rFonts w:asciiTheme="minorHAnsi" w:eastAsiaTheme="minorHAnsi" w:hAnsiTheme="minorHAnsi" w:cstheme="minorBidi"/>
                <w:sz w:val="22"/>
                <w:szCs w:val="22"/>
              </w:rPr>
            </w:pPr>
            <w:r w:rsidRPr="00A366CC">
              <w:rPr>
                <w:rFonts w:asciiTheme="minorHAnsi" w:eastAsiaTheme="minorHAnsi" w:hAnsiTheme="minorHAnsi" w:cstheme="minorBidi"/>
                <w:sz w:val="22"/>
                <w:szCs w:val="22"/>
              </w:rPr>
              <w:lastRenderedPageBreak/>
              <w:t>Nature loss poses material risks and opportunities for the finance sector, increasingly perceived to be as great as climate risk</w:t>
            </w:r>
            <w:r w:rsidR="00614ED8">
              <w:rPr>
                <w:rStyle w:val="FootnoteReference"/>
                <w:rFonts w:asciiTheme="minorHAnsi" w:eastAsiaTheme="minorHAnsi" w:hAnsiTheme="minorHAnsi" w:cstheme="minorBidi"/>
                <w:sz w:val="22"/>
                <w:szCs w:val="22"/>
              </w:rPr>
              <w:footnoteReference w:id="2"/>
            </w:r>
            <w:r w:rsidRPr="00A366CC">
              <w:rPr>
                <w:rFonts w:asciiTheme="minorHAnsi" w:eastAsiaTheme="minorHAnsi" w:hAnsiTheme="minorHAnsi" w:cstheme="minorBidi"/>
                <w:sz w:val="22"/>
                <w:szCs w:val="22"/>
              </w:rPr>
              <w:t xml:space="preserve">.   </w:t>
            </w:r>
            <w:r w:rsidR="00614ED8">
              <w:rPr>
                <w:rFonts w:asciiTheme="minorHAnsi" w:eastAsiaTheme="minorHAnsi" w:hAnsiTheme="minorHAnsi" w:cstheme="minorBidi"/>
                <w:sz w:val="22"/>
                <w:szCs w:val="22"/>
              </w:rPr>
              <w:t xml:space="preserve">The World Economic Forum estimate that </w:t>
            </w:r>
            <w:r w:rsidRPr="00A366CC">
              <w:rPr>
                <w:rFonts w:asciiTheme="minorHAnsi" w:eastAsiaTheme="minorHAnsi" w:hAnsiTheme="minorHAnsi" w:cstheme="minorBidi"/>
                <w:sz w:val="22"/>
                <w:szCs w:val="22"/>
              </w:rPr>
              <w:t>23% of Africa GDP</w:t>
            </w:r>
            <w:r w:rsidR="00614ED8">
              <w:rPr>
                <w:rStyle w:val="FootnoteReference"/>
                <w:rFonts w:asciiTheme="minorHAnsi" w:eastAsiaTheme="minorHAnsi" w:hAnsiTheme="minorHAnsi" w:cstheme="minorBidi"/>
                <w:sz w:val="22"/>
                <w:szCs w:val="22"/>
              </w:rPr>
              <w:footnoteReference w:id="3"/>
            </w:r>
            <w:r w:rsidRPr="00A366CC">
              <w:rPr>
                <w:rFonts w:asciiTheme="minorHAnsi" w:eastAsiaTheme="minorHAnsi" w:hAnsiTheme="minorHAnsi" w:cstheme="minorBidi"/>
                <w:sz w:val="22"/>
                <w:szCs w:val="22"/>
              </w:rPr>
              <w:t xml:space="preserve"> is dependent on nature and loss of biodiversity results in greater volatility and uncertainty around the goods and services ecosystems provide.</w:t>
            </w:r>
          </w:p>
          <w:p w14:paraId="7E3BDB73" w14:textId="53F59E0B" w:rsidR="0089423F" w:rsidRDefault="0089423F" w:rsidP="00F34A78">
            <w:pPr>
              <w:pStyle w:val="ListParagraph"/>
              <w:ind w:left="360" w:right="176"/>
              <w:rPr>
                <w:rFonts w:asciiTheme="minorHAnsi" w:eastAsiaTheme="minorHAnsi" w:hAnsiTheme="minorHAnsi" w:cstheme="minorBidi"/>
                <w:sz w:val="22"/>
                <w:szCs w:val="22"/>
              </w:rPr>
            </w:pPr>
          </w:p>
          <w:p w14:paraId="61172009" w14:textId="693F7B6C" w:rsidR="0013608C" w:rsidRDefault="0013608C" w:rsidP="00DA16E3">
            <w:pPr>
              <w:pStyle w:val="ListParagraph"/>
              <w:numPr>
                <w:ilvl w:val="0"/>
                <w:numId w:val="15"/>
              </w:numPr>
              <w:ind w:right="176"/>
              <w:rPr>
                <w:rFonts w:asciiTheme="minorHAnsi" w:eastAsiaTheme="minorHAnsi" w:hAnsiTheme="minorHAnsi" w:cstheme="minorBidi"/>
                <w:sz w:val="22"/>
                <w:szCs w:val="22"/>
              </w:rPr>
            </w:pPr>
            <w:r w:rsidRPr="0013608C">
              <w:rPr>
                <w:rFonts w:asciiTheme="minorHAnsi" w:eastAsiaTheme="minorHAnsi" w:hAnsiTheme="minorHAnsi" w:cstheme="minorBidi"/>
                <w:sz w:val="22"/>
                <w:szCs w:val="22"/>
              </w:rPr>
              <w:t xml:space="preserve">As the recent Dasgupta </w:t>
            </w:r>
            <w:r w:rsidR="00614ED8">
              <w:rPr>
                <w:rFonts w:asciiTheme="minorHAnsi" w:eastAsiaTheme="minorHAnsi" w:hAnsiTheme="minorHAnsi" w:cstheme="minorBidi"/>
                <w:sz w:val="22"/>
                <w:szCs w:val="22"/>
              </w:rPr>
              <w:t>R</w:t>
            </w:r>
            <w:r w:rsidRPr="0013608C">
              <w:rPr>
                <w:rFonts w:asciiTheme="minorHAnsi" w:eastAsiaTheme="minorHAnsi" w:hAnsiTheme="minorHAnsi" w:cstheme="minorBidi"/>
                <w:sz w:val="22"/>
                <w:szCs w:val="22"/>
              </w:rPr>
              <w:t>eview o</w:t>
            </w:r>
            <w:r w:rsidR="00614ED8">
              <w:rPr>
                <w:rFonts w:asciiTheme="minorHAnsi" w:eastAsiaTheme="minorHAnsi" w:hAnsiTheme="minorHAnsi" w:cstheme="minorBidi"/>
                <w:sz w:val="22"/>
                <w:szCs w:val="22"/>
              </w:rPr>
              <w:t>n</w:t>
            </w:r>
            <w:r w:rsidRPr="0013608C">
              <w:rPr>
                <w:rFonts w:asciiTheme="minorHAnsi" w:eastAsiaTheme="minorHAnsi" w:hAnsiTheme="minorHAnsi" w:cstheme="minorBidi"/>
                <w:sz w:val="22"/>
                <w:szCs w:val="22"/>
              </w:rPr>
              <w:t xml:space="preserve"> the </w:t>
            </w:r>
            <w:r w:rsidR="00614ED8">
              <w:rPr>
                <w:rFonts w:asciiTheme="minorHAnsi" w:eastAsiaTheme="minorHAnsi" w:hAnsiTheme="minorHAnsi" w:cstheme="minorBidi"/>
                <w:sz w:val="22"/>
                <w:szCs w:val="22"/>
              </w:rPr>
              <w:t>E</w:t>
            </w:r>
            <w:r w:rsidRPr="0013608C">
              <w:rPr>
                <w:rFonts w:asciiTheme="minorHAnsi" w:eastAsiaTheme="minorHAnsi" w:hAnsiTheme="minorHAnsi" w:cstheme="minorBidi"/>
                <w:sz w:val="22"/>
                <w:szCs w:val="22"/>
              </w:rPr>
              <w:t xml:space="preserve">conomics of </w:t>
            </w:r>
            <w:r w:rsidR="00614ED8">
              <w:rPr>
                <w:rFonts w:asciiTheme="minorHAnsi" w:eastAsiaTheme="minorHAnsi" w:hAnsiTheme="minorHAnsi" w:cstheme="minorBidi"/>
                <w:sz w:val="22"/>
                <w:szCs w:val="22"/>
              </w:rPr>
              <w:t>B</w:t>
            </w:r>
            <w:r w:rsidRPr="0013608C">
              <w:rPr>
                <w:rFonts w:asciiTheme="minorHAnsi" w:eastAsiaTheme="minorHAnsi" w:hAnsiTheme="minorHAnsi" w:cstheme="minorBidi"/>
                <w:sz w:val="22"/>
                <w:szCs w:val="22"/>
              </w:rPr>
              <w:t>iodiversity shows</w:t>
            </w:r>
            <w:r w:rsidR="00614ED8">
              <w:rPr>
                <w:rStyle w:val="FootnoteReference"/>
                <w:rFonts w:asciiTheme="minorHAnsi" w:eastAsiaTheme="minorHAnsi" w:hAnsiTheme="minorHAnsi" w:cstheme="minorBidi"/>
                <w:sz w:val="22"/>
                <w:szCs w:val="22"/>
              </w:rPr>
              <w:footnoteReference w:id="4"/>
            </w:r>
            <w:r w:rsidRPr="0013608C">
              <w:rPr>
                <w:rFonts w:asciiTheme="minorHAnsi" w:eastAsiaTheme="minorHAnsi" w:hAnsiTheme="minorHAnsi" w:cstheme="minorBidi"/>
                <w:sz w:val="22"/>
                <w:szCs w:val="22"/>
              </w:rPr>
              <w:t xml:space="preserve">, despite the considerable direct and indirect value of biodiversity, economic activity which degrades or improves biodiversity is not penalised or rewarded, respectively, by the market which is an example of </w:t>
            </w:r>
            <w:r w:rsidR="00614ED8">
              <w:rPr>
                <w:rFonts w:asciiTheme="minorHAnsi" w:eastAsiaTheme="minorHAnsi" w:hAnsiTheme="minorHAnsi" w:cstheme="minorBidi"/>
                <w:sz w:val="22"/>
                <w:szCs w:val="22"/>
              </w:rPr>
              <w:t xml:space="preserve">an </w:t>
            </w:r>
            <w:r w:rsidR="00614ED8" w:rsidRPr="009C569E">
              <w:rPr>
                <w:rFonts w:asciiTheme="minorHAnsi" w:eastAsiaTheme="minorHAnsi" w:hAnsiTheme="minorHAnsi" w:cstheme="minorBidi"/>
                <w:b/>
                <w:bCs/>
                <w:sz w:val="22"/>
                <w:szCs w:val="22"/>
              </w:rPr>
              <w:t>externality</w:t>
            </w:r>
            <w:r w:rsidR="00614ED8">
              <w:rPr>
                <w:rFonts w:asciiTheme="minorHAnsi" w:eastAsiaTheme="minorHAnsi" w:hAnsiTheme="minorHAnsi" w:cstheme="minorBidi"/>
                <w:sz w:val="22"/>
                <w:szCs w:val="22"/>
              </w:rPr>
              <w:t xml:space="preserve"> – a </w:t>
            </w:r>
            <w:r w:rsidRPr="0013608C">
              <w:rPr>
                <w:rFonts w:asciiTheme="minorHAnsi" w:eastAsiaTheme="minorHAnsi" w:hAnsiTheme="minorHAnsi" w:cstheme="minorBidi"/>
                <w:sz w:val="22"/>
                <w:szCs w:val="22"/>
              </w:rPr>
              <w:t>market failure.</w:t>
            </w:r>
            <w:r w:rsidR="00614ED8">
              <w:rPr>
                <w:rFonts w:asciiTheme="minorHAnsi" w:eastAsiaTheme="minorHAnsi" w:hAnsiTheme="minorHAnsi" w:cstheme="minorBidi"/>
                <w:sz w:val="22"/>
                <w:szCs w:val="22"/>
              </w:rPr>
              <w:t xml:space="preserve"> In addition, biodiversity restoration yield</w:t>
            </w:r>
            <w:r w:rsidR="004D23EB">
              <w:rPr>
                <w:rFonts w:asciiTheme="minorHAnsi" w:eastAsiaTheme="minorHAnsi" w:hAnsiTheme="minorHAnsi" w:cstheme="minorBidi"/>
                <w:sz w:val="22"/>
                <w:szCs w:val="22"/>
              </w:rPr>
              <w:t>s</w:t>
            </w:r>
            <w:r w:rsidR="00614ED8">
              <w:rPr>
                <w:rFonts w:asciiTheme="minorHAnsi" w:eastAsiaTheme="minorHAnsi" w:hAnsiTheme="minorHAnsi" w:cstheme="minorBidi"/>
                <w:sz w:val="22"/>
                <w:szCs w:val="22"/>
              </w:rPr>
              <w:t xml:space="preserve"> benefits which are not rewarded by the market owing to its </w:t>
            </w:r>
            <w:r w:rsidR="00614ED8" w:rsidRPr="009C569E">
              <w:rPr>
                <w:rFonts w:asciiTheme="minorHAnsi" w:eastAsiaTheme="minorHAnsi" w:hAnsiTheme="minorHAnsi" w:cstheme="minorBidi"/>
                <w:b/>
                <w:bCs/>
                <w:sz w:val="22"/>
                <w:szCs w:val="22"/>
              </w:rPr>
              <w:t>public good</w:t>
            </w:r>
            <w:r w:rsidR="00614ED8">
              <w:rPr>
                <w:rFonts w:asciiTheme="minorHAnsi" w:eastAsiaTheme="minorHAnsi" w:hAnsiTheme="minorHAnsi" w:cstheme="minorBidi"/>
                <w:sz w:val="22"/>
                <w:szCs w:val="22"/>
              </w:rPr>
              <w:t xml:space="preserve"> characteristics</w:t>
            </w:r>
            <w:r w:rsidR="00614ED8">
              <w:rPr>
                <w:rStyle w:val="FootnoteReference"/>
                <w:rFonts w:asciiTheme="minorHAnsi" w:eastAsiaTheme="minorHAnsi" w:hAnsiTheme="minorHAnsi" w:cstheme="minorBidi"/>
                <w:sz w:val="22"/>
                <w:szCs w:val="22"/>
              </w:rPr>
              <w:footnoteReference w:id="5"/>
            </w:r>
            <w:r w:rsidR="00614ED8">
              <w:rPr>
                <w:rFonts w:asciiTheme="minorHAnsi" w:eastAsiaTheme="minorHAnsi" w:hAnsiTheme="minorHAnsi" w:cstheme="minorBidi"/>
                <w:sz w:val="22"/>
                <w:szCs w:val="22"/>
              </w:rPr>
              <w:t xml:space="preserve">. </w:t>
            </w:r>
          </w:p>
          <w:p w14:paraId="59249184" w14:textId="77777777" w:rsidR="0013608C" w:rsidRPr="00DA16E3" w:rsidRDefault="0013608C" w:rsidP="00F34A78">
            <w:pPr>
              <w:pStyle w:val="ListParagraph"/>
              <w:ind w:left="360" w:right="176"/>
              <w:rPr>
                <w:rFonts w:asciiTheme="minorHAnsi" w:eastAsiaTheme="minorHAnsi" w:hAnsiTheme="minorHAnsi" w:cstheme="minorBidi"/>
                <w:sz w:val="22"/>
                <w:szCs w:val="22"/>
              </w:rPr>
            </w:pPr>
          </w:p>
          <w:p w14:paraId="0C4F4C08" w14:textId="09947563" w:rsidR="0013608C" w:rsidRDefault="0013608C" w:rsidP="00DA16E3">
            <w:pPr>
              <w:pStyle w:val="ListParagraph"/>
              <w:numPr>
                <w:ilvl w:val="0"/>
                <w:numId w:val="15"/>
              </w:numPr>
              <w:ind w:right="176"/>
              <w:rPr>
                <w:rFonts w:asciiTheme="minorHAnsi" w:eastAsiaTheme="minorHAnsi" w:hAnsiTheme="minorHAnsi" w:cstheme="minorBidi"/>
                <w:sz w:val="22"/>
                <w:szCs w:val="22"/>
              </w:rPr>
            </w:pPr>
            <w:r w:rsidRPr="0013608C">
              <w:rPr>
                <w:rFonts w:asciiTheme="minorHAnsi" w:eastAsiaTheme="minorHAnsi" w:hAnsiTheme="minorHAnsi" w:cstheme="minorBidi"/>
                <w:sz w:val="22"/>
                <w:szCs w:val="22"/>
              </w:rPr>
              <w:t xml:space="preserve">To date, risk management in the financial sector has </w:t>
            </w:r>
            <w:r w:rsidR="009C569E">
              <w:rPr>
                <w:rFonts w:asciiTheme="minorHAnsi" w:eastAsiaTheme="minorHAnsi" w:hAnsiTheme="minorHAnsi" w:cstheme="minorBidi"/>
                <w:sz w:val="22"/>
                <w:szCs w:val="22"/>
              </w:rPr>
              <w:t xml:space="preserve">not </w:t>
            </w:r>
            <w:r w:rsidRPr="0013608C">
              <w:rPr>
                <w:rFonts w:asciiTheme="minorHAnsi" w:eastAsiaTheme="minorHAnsi" w:hAnsiTheme="minorHAnsi" w:cstheme="minorBidi"/>
                <w:sz w:val="22"/>
                <w:szCs w:val="22"/>
              </w:rPr>
              <w:t xml:space="preserve">integrated these nature-related risks into its decision-making, governance and controls, in </w:t>
            </w:r>
            <w:r w:rsidR="00240CE6">
              <w:rPr>
                <w:rFonts w:asciiTheme="minorHAnsi" w:eastAsiaTheme="minorHAnsi" w:hAnsiTheme="minorHAnsi" w:cstheme="minorBidi"/>
                <w:sz w:val="22"/>
                <w:szCs w:val="22"/>
              </w:rPr>
              <w:t xml:space="preserve">what could be described as </w:t>
            </w:r>
            <w:r w:rsidRPr="0013608C">
              <w:rPr>
                <w:rFonts w:asciiTheme="minorHAnsi" w:eastAsiaTheme="minorHAnsi" w:hAnsiTheme="minorHAnsi" w:cstheme="minorBidi"/>
                <w:sz w:val="22"/>
                <w:szCs w:val="22"/>
              </w:rPr>
              <w:t>a failure of governance.  There is limited understanding or consensus across the industry of how to do this and a lack of availability of decision grade data and frameworks to guide decision making, in a failure of information.</w:t>
            </w:r>
          </w:p>
          <w:p w14:paraId="2645836D" w14:textId="77777777" w:rsidR="0013608C" w:rsidRPr="00DA16E3" w:rsidRDefault="0013608C" w:rsidP="00F34A78">
            <w:pPr>
              <w:pStyle w:val="ListParagraph"/>
              <w:ind w:left="360" w:right="176"/>
              <w:rPr>
                <w:rFonts w:asciiTheme="minorHAnsi" w:eastAsiaTheme="minorHAnsi" w:hAnsiTheme="minorHAnsi" w:cstheme="minorBidi"/>
                <w:sz w:val="22"/>
                <w:szCs w:val="22"/>
              </w:rPr>
            </w:pPr>
          </w:p>
          <w:p w14:paraId="4B58BC88" w14:textId="6FCE8057" w:rsidR="0013608C" w:rsidRDefault="0013608C" w:rsidP="00DA16E3">
            <w:pPr>
              <w:pStyle w:val="ListParagraph"/>
              <w:numPr>
                <w:ilvl w:val="0"/>
                <w:numId w:val="15"/>
              </w:numPr>
              <w:ind w:right="176"/>
              <w:rPr>
                <w:rFonts w:asciiTheme="minorHAnsi" w:eastAsiaTheme="minorHAnsi" w:hAnsiTheme="minorHAnsi" w:cstheme="minorBidi"/>
                <w:sz w:val="22"/>
                <w:szCs w:val="22"/>
              </w:rPr>
            </w:pPr>
            <w:r w:rsidRPr="0013608C">
              <w:rPr>
                <w:rFonts w:asciiTheme="minorHAnsi" w:eastAsiaTheme="minorHAnsi" w:hAnsiTheme="minorHAnsi" w:cstheme="minorBidi"/>
                <w:sz w:val="22"/>
                <w:szCs w:val="22"/>
              </w:rPr>
              <w:t>It is these market, governance and information failures which lead to perverse incentives to overinvest in activities that are exposed to risks arising from ecosystem degradation and biodiversity loss.</w:t>
            </w:r>
          </w:p>
          <w:p w14:paraId="3906A5AC" w14:textId="77777777" w:rsidR="0013608C" w:rsidRDefault="0013608C" w:rsidP="00F34A78">
            <w:pPr>
              <w:pStyle w:val="ListParagraph"/>
              <w:ind w:left="360" w:right="176"/>
              <w:rPr>
                <w:rFonts w:asciiTheme="minorHAnsi" w:eastAsiaTheme="minorHAnsi" w:hAnsiTheme="minorHAnsi" w:cstheme="minorBidi"/>
                <w:sz w:val="22"/>
                <w:szCs w:val="22"/>
              </w:rPr>
            </w:pPr>
          </w:p>
          <w:p w14:paraId="08BA3D15" w14:textId="670CEFB7" w:rsidR="00430005" w:rsidRDefault="0013608C" w:rsidP="00DA16E3">
            <w:pPr>
              <w:pStyle w:val="ListParagraph"/>
              <w:numPr>
                <w:ilvl w:val="0"/>
                <w:numId w:val="15"/>
              </w:numPr>
              <w:ind w:right="176"/>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 order to </w:t>
            </w:r>
            <w:r w:rsidRPr="0013608C">
              <w:rPr>
                <w:rFonts w:asciiTheme="minorHAnsi" w:eastAsiaTheme="minorHAnsi" w:hAnsiTheme="minorHAnsi" w:cstheme="minorBidi"/>
                <w:sz w:val="22"/>
                <w:szCs w:val="22"/>
              </w:rPr>
              <w:t xml:space="preserve">provide the financial sector with the tools to identify and report on </w:t>
            </w:r>
            <w:r>
              <w:rPr>
                <w:rFonts w:asciiTheme="minorHAnsi" w:eastAsiaTheme="minorHAnsi" w:hAnsiTheme="minorHAnsi" w:cstheme="minorBidi"/>
                <w:sz w:val="22"/>
                <w:szCs w:val="22"/>
              </w:rPr>
              <w:t>nature</w:t>
            </w:r>
            <w:r w:rsidRPr="0013608C">
              <w:rPr>
                <w:rFonts w:asciiTheme="minorHAnsi" w:eastAsiaTheme="minorHAnsi" w:hAnsiTheme="minorHAnsi" w:cstheme="minorBidi"/>
                <w:sz w:val="22"/>
                <w:szCs w:val="22"/>
              </w:rPr>
              <w:t>-related risk</w:t>
            </w:r>
            <w:r>
              <w:rPr>
                <w:rFonts w:asciiTheme="minorHAnsi" w:eastAsiaTheme="minorHAnsi" w:hAnsiTheme="minorHAnsi" w:cstheme="minorBidi"/>
                <w:sz w:val="22"/>
                <w:szCs w:val="22"/>
              </w:rPr>
              <w:t>, the Taskforce on Nature-related Financial Disclosures (TNFD) was formally established in June 2021</w:t>
            </w:r>
            <w:r w:rsidR="00430005">
              <w:rPr>
                <w:rFonts w:asciiTheme="minorHAnsi" w:eastAsiaTheme="minorHAnsi" w:hAnsiTheme="minorHAnsi" w:cstheme="minorBidi"/>
                <w:sz w:val="22"/>
                <w:szCs w:val="22"/>
              </w:rPr>
              <w:t xml:space="preserve">, two years after the concept was originally proposed </w:t>
            </w:r>
            <w:r w:rsidR="00430005" w:rsidRPr="00430005">
              <w:rPr>
                <w:rFonts w:asciiTheme="minorHAnsi" w:eastAsiaTheme="minorHAnsi" w:hAnsiTheme="minorHAnsi" w:cstheme="minorBidi"/>
                <w:sz w:val="22"/>
                <w:szCs w:val="22"/>
              </w:rPr>
              <w:t>at the World Economic Forum’s Davos meeting</w:t>
            </w:r>
            <w:r w:rsidR="00430005">
              <w:rPr>
                <w:rFonts w:asciiTheme="minorHAnsi" w:eastAsiaTheme="minorHAnsi" w:hAnsiTheme="minorHAnsi" w:cstheme="minorBidi"/>
                <w:sz w:val="22"/>
                <w:szCs w:val="22"/>
              </w:rPr>
              <w:t xml:space="preserve"> in 2019.</w:t>
            </w:r>
            <w:r w:rsidR="00C5022A" w:rsidRPr="00876B91">
              <w:rPr>
                <w:rFonts w:asciiTheme="minorHAnsi" w:eastAsiaTheme="minorHAnsi" w:hAnsiTheme="minorHAnsi" w:cstheme="minorBidi"/>
                <w:sz w:val="22"/>
                <w:szCs w:val="22"/>
              </w:rPr>
              <w:t xml:space="preserve"> </w:t>
            </w:r>
            <w:r w:rsidR="00C5022A">
              <w:rPr>
                <w:rFonts w:asciiTheme="minorHAnsi" w:eastAsiaTheme="minorHAnsi" w:hAnsiTheme="minorHAnsi" w:cstheme="minorBidi"/>
                <w:sz w:val="22"/>
                <w:szCs w:val="22"/>
              </w:rPr>
              <w:t xml:space="preserve"> It aims </w:t>
            </w:r>
            <w:r w:rsidR="00C5022A" w:rsidRPr="00876B91">
              <w:rPr>
                <w:rFonts w:asciiTheme="minorHAnsi" w:eastAsiaTheme="minorHAnsi" w:hAnsiTheme="minorHAnsi" w:cstheme="minorBidi"/>
                <w:sz w:val="22"/>
                <w:szCs w:val="22"/>
              </w:rPr>
              <w:t>to give international corporate and financial institutions a framework to map, measure, manage and report their nature-related risks</w:t>
            </w:r>
            <w:r w:rsidR="00C5022A">
              <w:rPr>
                <w:rFonts w:asciiTheme="minorHAnsi" w:eastAsiaTheme="minorHAnsi" w:hAnsiTheme="minorHAnsi" w:cstheme="minorBidi"/>
                <w:sz w:val="22"/>
                <w:szCs w:val="22"/>
              </w:rPr>
              <w:t>.</w:t>
            </w:r>
          </w:p>
          <w:p w14:paraId="6BC616B5" w14:textId="77777777" w:rsidR="00430005" w:rsidRPr="00430005" w:rsidRDefault="00430005" w:rsidP="00430005">
            <w:pPr>
              <w:pStyle w:val="ListParagraph"/>
              <w:rPr>
                <w:rFonts w:asciiTheme="minorHAnsi" w:eastAsiaTheme="minorHAnsi" w:hAnsiTheme="minorHAnsi" w:cstheme="minorBidi"/>
              </w:rPr>
            </w:pPr>
          </w:p>
          <w:p w14:paraId="3C5DCD7B" w14:textId="2569A0BB" w:rsidR="00430005" w:rsidRDefault="00F9175C" w:rsidP="4FF3EDE9">
            <w:pPr>
              <w:pStyle w:val="ListParagraph"/>
              <w:numPr>
                <w:ilvl w:val="0"/>
                <w:numId w:val="15"/>
              </w:numPr>
              <w:ind w:right="176"/>
              <w:rPr>
                <w:rFonts w:asciiTheme="minorHAnsi" w:hAnsiTheme="minorHAnsi" w:cstheme="minorBidi"/>
                <w:sz w:val="22"/>
                <w:szCs w:val="22"/>
              </w:rPr>
            </w:pPr>
            <w:r w:rsidRPr="4FF3EDE9">
              <w:rPr>
                <w:rFonts w:asciiTheme="minorHAnsi" w:hAnsiTheme="minorHAnsi" w:cstheme="minorBidi"/>
                <w:sz w:val="22"/>
                <w:szCs w:val="22"/>
              </w:rPr>
              <w:t>Defra</w:t>
            </w:r>
            <w:r w:rsidR="00430005" w:rsidRPr="4FF3EDE9">
              <w:rPr>
                <w:rFonts w:asciiTheme="minorHAnsi" w:hAnsiTheme="minorHAnsi" w:cstheme="minorBidi"/>
                <w:sz w:val="22"/>
                <w:szCs w:val="22"/>
              </w:rPr>
              <w:t xml:space="preserve"> has invested ~£3m to support the establishment of the TNFD, representing ~27% of the programme’s budget. Funding will contribute to implement the TNFD and build, test, and disseminate a TNFD framework. This phase of the TNFD </w:t>
            </w:r>
            <w:r w:rsidR="00DA376B">
              <w:rPr>
                <w:rFonts w:asciiTheme="minorHAnsi" w:hAnsiTheme="minorHAnsi" w:cstheme="minorBidi"/>
                <w:sz w:val="22"/>
                <w:szCs w:val="22"/>
              </w:rPr>
              <w:t>programme</w:t>
            </w:r>
            <w:r w:rsidR="00430005" w:rsidRPr="4FF3EDE9">
              <w:rPr>
                <w:rFonts w:asciiTheme="minorHAnsi" w:hAnsiTheme="minorHAnsi" w:cstheme="minorBidi"/>
                <w:sz w:val="22"/>
                <w:szCs w:val="22"/>
              </w:rPr>
              <w:t xml:space="preserve"> is expected to run until July 2023.</w:t>
            </w:r>
          </w:p>
          <w:p w14:paraId="4CDEFB3E" w14:textId="77777777" w:rsidR="0089423F" w:rsidRPr="00430005" w:rsidRDefault="0089423F" w:rsidP="00430005">
            <w:pPr>
              <w:ind w:right="176"/>
              <w:rPr>
                <w:rFonts w:eastAsiaTheme="minorHAnsi"/>
              </w:rPr>
            </w:pPr>
          </w:p>
          <w:p w14:paraId="10214749" w14:textId="750075C8" w:rsidR="007B1853" w:rsidRDefault="00240CE6" w:rsidP="4FF3EDE9">
            <w:pPr>
              <w:pStyle w:val="ListParagraph"/>
              <w:numPr>
                <w:ilvl w:val="0"/>
                <w:numId w:val="15"/>
              </w:numPr>
              <w:ind w:right="176"/>
              <w:rPr>
                <w:rFonts w:asciiTheme="minorHAnsi" w:hAnsiTheme="minorHAnsi" w:cstheme="minorBidi"/>
                <w:sz w:val="22"/>
                <w:szCs w:val="22"/>
              </w:rPr>
            </w:pPr>
            <w:r>
              <w:rPr>
                <w:rFonts w:asciiTheme="minorHAnsi" w:hAnsiTheme="minorHAnsi" w:cstheme="minorBidi"/>
                <w:sz w:val="22"/>
                <w:szCs w:val="22"/>
              </w:rPr>
              <w:t xml:space="preserve">African voices are currently underrepresented in TNFD conversations.  </w:t>
            </w:r>
            <w:r w:rsidR="007B1853" w:rsidRPr="4FF3EDE9">
              <w:rPr>
                <w:rFonts w:asciiTheme="minorHAnsi" w:hAnsiTheme="minorHAnsi" w:cstheme="minorBidi"/>
                <w:sz w:val="22"/>
                <w:szCs w:val="22"/>
              </w:rPr>
              <w:t xml:space="preserve">In order for the TNFD framework </w:t>
            </w:r>
            <w:r w:rsidR="3F9C4A17" w:rsidRPr="4FF3EDE9">
              <w:rPr>
                <w:rFonts w:asciiTheme="minorHAnsi" w:hAnsiTheme="minorHAnsi" w:cstheme="minorBidi"/>
                <w:sz w:val="22"/>
                <w:szCs w:val="22"/>
              </w:rPr>
              <w:t xml:space="preserve">to be </w:t>
            </w:r>
            <w:r w:rsidR="007B1853" w:rsidRPr="4FF3EDE9">
              <w:rPr>
                <w:rFonts w:asciiTheme="minorHAnsi" w:hAnsiTheme="minorHAnsi" w:cstheme="minorBidi"/>
                <w:sz w:val="22"/>
                <w:szCs w:val="22"/>
              </w:rPr>
              <w:t xml:space="preserve">fit for purpose in an African context and receive wider adoption and uptake among key African corporates and financial institutions, it is essential to ensure that key financial actors in the continent can contribute their perspective in the design phase of the </w:t>
            </w:r>
            <w:r w:rsidR="00270327" w:rsidRPr="4FF3EDE9">
              <w:rPr>
                <w:rFonts w:asciiTheme="minorHAnsi" w:hAnsiTheme="minorHAnsi" w:cstheme="minorBidi"/>
                <w:sz w:val="22"/>
                <w:szCs w:val="22"/>
              </w:rPr>
              <w:t>framework and</w:t>
            </w:r>
            <w:r w:rsidR="007B1853" w:rsidRPr="4FF3EDE9">
              <w:rPr>
                <w:rFonts w:asciiTheme="minorHAnsi" w:hAnsiTheme="minorHAnsi" w:cstheme="minorBidi"/>
                <w:sz w:val="22"/>
                <w:szCs w:val="22"/>
              </w:rPr>
              <w:t xml:space="preserve"> support its rollout over the coming years.</w:t>
            </w:r>
            <w:r>
              <w:rPr>
                <w:rFonts w:asciiTheme="minorHAnsi" w:hAnsiTheme="minorHAnsi" w:cstheme="minorBidi"/>
                <w:sz w:val="22"/>
                <w:szCs w:val="22"/>
              </w:rPr>
              <w:t xml:space="preserve">  </w:t>
            </w:r>
          </w:p>
          <w:p w14:paraId="67B87450" w14:textId="77777777" w:rsidR="007B1853" w:rsidRPr="00DA16E3" w:rsidRDefault="007B1853" w:rsidP="00DA16E3">
            <w:pPr>
              <w:pStyle w:val="ListParagraph"/>
              <w:ind w:left="360" w:right="176"/>
              <w:rPr>
                <w:rFonts w:asciiTheme="minorHAnsi" w:eastAsiaTheme="minorHAnsi" w:hAnsiTheme="minorHAnsi" w:cstheme="minorBidi"/>
                <w:sz w:val="22"/>
                <w:szCs w:val="22"/>
              </w:rPr>
            </w:pPr>
          </w:p>
          <w:p w14:paraId="17C52EB4" w14:textId="7AA4ACF0" w:rsidR="00876B91" w:rsidRPr="000D008A" w:rsidRDefault="007B1853" w:rsidP="00DA16E3">
            <w:pPr>
              <w:pStyle w:val="ListParagraph"/>
              <w:numPr>
                <w:ilvl w:val="0"/>
                <w:numId w:val="15"/>
              </w:numPr>
              <w:ind w:right="176"/>
              <w:rPr>
                <w:rFonts w:asciiTheme="minorHAnsi" w:eastAsiaTheme="minorHAnsi" w:hAnsiTheme="minorHAnsi" w:cstheme="minorBidi"/>
                <w:sz w:val="22"/>
                <w:szCs w:val="22"/>
              </w:rPr>
            </w:pPr>
            <w:r w:rsidRPr="007B1853">
              <w:rPr>
                <w:rFonts w:asciiTheme="minorHAnsi" w:eastAsiaTheme="minorHAnsi" w:hAnsiTheme="minorHAnsi" w:cstheme="minorBidi"/>
                <w:sz w:val="22"/>
                <w:szCs w:val="22"/>
              </w:rPr>
              <w:t>This Business Case</w:t>
            </w:r>
            <w:r w:rsidR="0089423F" w:rsidRPr="007B1853">
              <w:rPr>
                <w:rFonts w:asciiTheme="minorHAnsi" w:eastAsiaTheme="minorHAnsi" w:hAnsiTheme="minorHAnsi" w:cstheme="minorBidi"/>
                <w:sz w:val="22"/>
                <w:szCs w:val="22"/>
              </w:rPr>
              <w:t xml:space="preserve"> </w:t>
            </w:r>
            <w:r w:rsidRPr="007B1853">
              <w:rPr>
                <w:rFonts w:asciiTheme="minorHAnsi" w:eastAsiaTheme="minorHAnsi" w:hAnsiTheme="minorHAnsi" w:cstheme="minorBidi"/>
                <w:sz w:val="22"/>
                <w:szCs w:val="22"/>
              </w:rPr>
              <w:t>A</w:t>
            </w:r>
            <w:r w:rsidR="0089423F" w:rsidRPr="007B1853">
              <w:rPr>
                <w:rFonts w:asciiTheme="minorHAnsi" w:eastAsiaTheme="minorHAnsi" w:hAnsiTheme="minorHAnsi" w:cstheme="minorBidi"/>
                <w:sz w:val="22"/>
                <w:szCs w:val="22"/>
              </w:rPr>
              <w:t>ddendum</w:t>
            </w:r>
            <w:r w:rsidRPr="007B1853">
              <w:rPr>
                <w:rFonts w:asciiTheme="minorHAnsi" w:eastAsiaTheme="minorHAnsi" w:hAnsiTheme="minorHAnsi" w:cstheme="minorBidi"/>
                <w:sz w:val="22"/>
                <w:szCs w:val="22"/>
              </w:rPr>
              <w:t xml:space="preserve"> seeks to establish a</w:t>
            </w:r>
            <w:r w:rsidR="00240CE6">
              <w:rPr>
                <w:rFonts w:asciiTheme="minorHAnsi" w:eastAsiaTheme="minorHAnsi" w:hAnsiTheme="minorHAnsi" w:cstheme="minorBidi"/>
                <w:sz w:val="22"/>
                <w:szCs w:val="22"/>
              </w:rPr>
              <w:t>n additional</w:t>
            </w:r>
            <w:r w:rsidR="00876B91" w:rsidRPr="007B1853">
              <w:rPr>
                <w:rFonts w:asciiTheme="minorHAnsi" w:eastAsiaTheme="minorHAnsi" w:hAnsiTheme="minorHAnsi" w:cstheme="minorBidi"/>
                <w:sz w:val="22"/>
                <w:szCs w:val="22"/>
              </w:rPr>
              <w:t xml:space="preserve"> programme </w:t>
            </w:r>
            <w:r w:rsidR="00C5022A">
              <w:rPr>
                <w:rFonts w:asciiTheme="minorHAnsi" w:eastAsiaTheme="minorHAnsi" w:hAnsiTheme="minorHAnsi" w:cstheme="minorBidi"/>
                <w:sz w:val="22"/>
                <w:szCs w:val="22"/>
              </w:rPr>
              <w:t xml:space="preserve">element </w:t>
            </w:r>
            <w:r w:rsidR="00270327">
              <w:rPr>
                <w:rFonts w:asciiTheme="minorHAnsi" w:eastAsiaTheme="minorHAnsi" w:hAnsiTheme="minorHAnsi" w:cstheme="minorBidi"/>
                <w:sz w:val="22"/>
                <w:szCs w:val="22"/>
              </w:rPr>
              <w:t>aiming to</w:t>
            </w:r>
            <w:r w:rsidR="00876B91" w:rsidRPr="007B1853">
              <w:rPr>
                <w:rFonts w:asciiTheme="minorHAnsi" w:eastAsiaTheme="minorHAnsi" w:hAnsiTheme="minorHAnsi" w:cstheme="minorBidi"/>
                <w:sz w:val="22"/>
                <w:szCs w:val="22"/>
              </w:rPr>
              <w:t xml:space="preserve"> build awareness and institutional capacity on nature-related financial risk management within African countries. </w:t>
            </w:r>
            <w:r w:rsidR="00270327">
              <w:rPr>
                <w:rFonts w:asciiTheme="minorHAnsi" w:eastAsiaTheme="minorHAnsi" w:hAnsiTheme="minorHAnsi" w:cstheme="minorBidi"/>
                <w:sz w:val="22"/>
                <w:szCs w:val="22"/>
              </w:rPr>
              <w:t>The programme will</w:t>
            </w:r>
            <w:r w:rsidR="00876B91" w:rsidRPr="007B1853">
              <w:rPr>
                <w:rFonts w:asciiTheme="minorHAnsi" w:eastAsiaTheme="minorHAnsi" w:hAnsiTheme="minorHAnsi" w:cstheme="minorBidi"/>
                <w:sz w:val="22"/>
                <w:szCs w:val="22"/>
              </w:rPr>
              <w:t xml:space="preserve"> support the transition towards a nature positive economy and </w:t>
            </w:r>
            <w:r w:rsidR="00876B91" w:rsidRPr="007B1853">
              <w:rPr>
                <w:rFonts w:asciiTheme="minorHAnsi" w:eastAsiaTheme="minorHAnsi" w:hAnsiTheme="minorHAnsi" w:cstheme="minorBidi"/>
                <w:sz w:val="22"/>
                <w:szCs w:val="22"/>
              </w:rPr>
              <w:lastRenderedPageBreak/>
              <w:t xml:space="preserve">sustainable livelihoods, building on the growing evidence and calls for action such as that articulated </w:t>
            </w:r>
            <w:r w:rsidR="00876B91" w:rsidRPr="00C25A96">
              <w:rPr>
                <w:rFonts w:asciiTheme="minorHAnsi" w:eastAsiaTheme="minorHAnsi" w:hAnsiTheme="minorHAnsi" w:cstheme="minorBidi"/>
                <w:sz w:val="22"/>
                <w:szCs w:val="22"/>
              </w:rPr>
              <w:t xml:space="preserve">in the </w:t>
            </w:r>
            <w:r w:rsidR="00876B91" w:rsidRPr="00C25A96">
              <w:rPr>
                <w:rFonts w:asciiTheme="minorHAnsi" w:eastAsiaTheme="minorHAnsi" w:hAnsiTheme="minorHAnsi" w:cstheme="minorBidi"/>
              </w:rPr>
              <w:t>Economics of Biodiversity: the Dasgupta Review</w:t>
            </w:r>
            <w:r w:rsidR="00876B91" w:rsidRPr="00851707">
              <w:rPr>
                <w:rFonts w:asciiTheme="minorHAnsi" w:eastAsiaTheme="minorHAnsi" w:hAnsiTheme="minorHAnsi" w:cstheme="minorBidi"/>
              </w:rPr>
              <w:t xml:space="preserve">. </w:t>
            </w:r>
          </w:p>
          <w:p w14:paraId="029D6079" w14:textId="77777777" w:rsidR="00876B91" w:rsidRPr="00DA16E3" w:rsidRDefault="00876B91" w:rsidP="00DA16E3">
            <w:pPr>
              <w:pStyle w:val="ListParagraph"/>
              <w:ind w:left="360" w:right="176"/>
              <w:rPr>
                <w:rFonts w:asciiTheme="minorHAnsi" w:eastAsiaTheme="minorHAnsi" w:hAnsiTheme="minorHAnsi" w:cstheme="minorBidi"/>
                <w:sz w:val="22"/>
                <w:szCs w:val="22"/>
              </w:rPr>
            </w:pPr>
          </w:p>
          <w:p w14:paraId="19C8D29C" w14:textId="10BF28A8" w:rsidR="000D008A" w:rsidRDefault="00876B91" w:rsidP="65B5030A">
            <w:pPr>
              <w:pStyle w:val="ListParagraph"/>
              <w:numPr>
                <w:ilvl w:val="0"/>
                <w:numId w:val="15"/>
              </w:numPr>
              <w:ind w:right="176"/>
              <w:rPr>
                <w:rFonts w:asciiTheme="minorHAnsi" w:hAnsiTheme="minorHAnsi" w:cstheme="minorBidi"/>
                <w:sz w:val="22"/>
                <w:szCs w:val="22"/>
              </w:rPr>
            </w:pPr>
            <w:r w:rsidRPr="65B5030A">
              <w:rPr>
                <w:rFonts w:asciiTheme="minorHAnsi" w:hAnsiTheme="minorHAnsi" w:cstheme="minorBidi"/>
                <w:sz w:val="22"/>
                <w:szCs w:val="22"/>
              </w:rPr>
              <w:t xml:space="preserve">The </w:t>
            </w:r>
            <w:r w:rsidR="00557EB6" w:rsidRPr="65B5030A">
              <w:rPr>
                <w:rFonts w:asciiTheme="minorHAnsi" w:hAnsiTheme="minorHAnsi" w:cstheme="minorBidi"/>
                <w:sz w:val="22"/>
                <w:szCs w:val="22"/>
              </w:rPr>
              <w:t xml:space="preserve">addendum to this </w:t>
            </w:r>
            <w:r w:rsidRPr="65B5030A">
              <w:rPr>
                <w:rFonts w:asciiTheme="minorHAnsi" w:hAnsiTheme="minorHAnsi" w:cstheme="minorBidi"/>
                <w:sz w:val="22"/>
                <w:szCs w:val="22"/>
              </w:rPr>
              <w:t xml:space="preserve">programme will be delivered by Financial Sector Deepening Africa (FSD Africa), </w:t>
            </w:r>
            <w:r w:rsidR="00841B10">
              <w:rPr>
                <w:rFonts w:asciiTheme="minorHAnsi" w:hAnsiTheme="minorHAnsi" w:cstheme="minorBidi"/>
                <w:sz w:val="22"/>
                <w:szCs w:val="22"/>
              </w:rPr>
              <w:t xml:space="preserve">an FCDO programme </w:t>
            </w:r>
            <w:r w:rsidRPr="65B5030A">
              <w:rPr>
                <w:rFonts w:asciiTheme="minorHAnsi" w:hAnsiTheme="minorHAnsi" w:cstheme="minorBidi"/>
                <w:sz w:val="22"/>
                <w:szCs w:val="22"/>
              </w:rPr>
              <w:t>whose mandate is to transform financial markets across sub-Saharan Africa</w:t>
            </w:r>
            <w:r w:rsidR="000D008A" w:rsidRPr="65B5030A">
              <w:rPr>
                <w:rFonts w:asciiTheme="minorHAnsi" w:hAnsiTheme="minorHAnsi" w:cstheme="minorBidi"/>
                <w:sz w:val="22"/>
                <w:szCs w:val="22"/>
              </w:rPr>
              <w:t>, and will be embedded into FSD Africa’s wider programme of work, rather than work of the TNFD Secretariat</w:t>
            </w:r>
            <w:r w:rsidRPr="65B5030A">
              <w:rPr>
                <w:rFonts w:asciiTheme="minorHAnsi" w:hAnsiTheme="minorHAnsi" w:cstheme="minorBidi"/>
                <w:sz w:val="22"/>
                <w:szCs w:val="22"/>
              </w:rPr>
              <w:t xml:space="preserve">. </w:t>
            </w:r>
            <w:r w:rsidR="000D008A" w:rsidRPr="65B5030A">
              <w:rPr>
                <w:rFonts w:asciiTheme="minorHAnsi" w:hAnsiTheme="minorHAnsi" w:cstheme="minorBidi"/>
                <w:sz w:val="22"/>
                <w:szCs w:val="22"/>
              </w:rPr>
              <w:t xml:space="preserve">The nature of the envisaged </w:t>
            </w:r>
            <w:r w:rsidR="005A52C8" w:rsidRPr="65B5030A">
              <w:rPr>
                <w:rFonts w:asciiTheme="minorHAnsi" w:hAnsiTheme="minorHAnsi" w:cstheme="minorBidi"/>
                <w:sz w:val="22"/>
                <w:szCs w:val="22"/>
              </w:rPr>
              <w:t>work</w:t>
            </w:r>
            <w:r w:rsidR="000D008A" w:rsidRPr="65B5030A">
              <w:rPr>
                <w:rFonts w:asciiTheme="minorHAnsi" w:hAnsiTheme="minorHAnsi" w:cstheme="minorBidi"/>
                <w:sz w:val="22"/>
                <w:szCs w:val="22"/>
              </w:rPr>
              <w:t xml:space="preserve"> better </w:t>
            </w:r>
            <w:r w:rsidR="005A52C8" w:rsidRPr="65B5030A">
              <w:rPr>
                <w:rFonts w:asciiTheme="minorHAnsi" w:hAnsiTheme="minorHAnsi" w:cstheme="minorBidi"/>
                <w:sz w:val="22"/>
                <w:szCs w:val="22"/>
              </w:rPr>
              <w:t xml:space="preserve">aligns </w:t>
            </w:r>
            <w:r w:rsidR="000D008A" w:rsidRPr="65B5030A">
              <w:rPr>
                <w:rFonts w:asciiTheme="minorHAnsi" w:hAnsiTheme="minorHAnsi" w:cstheme="minorBidi"/>
                <w:sz w:val="22"/>
                <w:szCs w:val="22"/>
              </w:rPr>
              <w:t>with the activities carried out by FSD Africa</w:t>
            </w:r>
            <w:r w:rsidR="005A52C8" w:rsidRPr="65B5030A">
              <w:rPr>
                <w:rFonts w:asciiTheme="minorHAnsi" w:hAnsiTheme="minorHAnsi" w:cstheme="minorBidi"/>
                <w:sz w:val="22"/>
                <w:szCs w:val="22"/>
              </w:rPr>
              <w:t xml:space="preserve">, </w:t>
            </w:r>
            <w:r w:rsidR="7D588BFC" w:rsidRPr="65B5030A">
              <w:rPr>
                <w:rFonts w:asciiTheme="minorHAnsi" w:hAnsiTheme="minorHAnsi" w:cstheme="minorBidi"/>
                <w:sz w:val="22"/>
                <w:szCs w:val="22"/>
              </w:rPr>
              <w:t xml:space="preserve">effectively operating as an FSD Africa ‘project’, and </w:t>
            </w:r>
            <w:r w:rsidR="005A52C8" w:rsidRPr="65B5030A">
              <w:rPr>
                <w:rFonts w:asciiTheme="minorHAnsi" w:hAnsiTheme="minorHAnsi" w:cstheme="minorBidi"/>
                <w:sz w:val="22"/>
                <w:szCs w:val="22"/>
              </w:rPr>
              <w:t xml:space="preserve">with the TNFD Secretariat providing a coordination/management role for the wider TNFD initiative. </w:t>
            </w:r>
          </w:p>
          <w:p w14:paraId="48447C0B" w14:textId="77777777" w:rsidR="000D008A" w:rsidRPr="008F4489" w:rsidRDefault="000D008A" w:rsidP="008F4489">
            <w:pPr>
              <w:pStyle w:val="ListParagraph"/>
              <w:rPr>
                <w:rFonts w:asciiTheme="minorHAnsi" w:eastAsiaTheme="minorHAnsi" w:hAnsiTheme="minorHAnsi" w:cstheme="minorBidi"/>
              </w:rPr>
            </w:pPr>
          </w:p>
          <w:p w14:paraId="5A1E4B47" w14:textId="072461CE" w:rsidR="00876B91" w:rsidRDefault="00876B91" w:rsidP="00DA16E3">
            <w:pPr>
              <w:pStyle w:val="ListParagraph"/>
              <w:numPr>
                <w:ilvl w:val="0"/>
                <w:numId w:val="15"/>
              </w:numPr>
              <w:ind w:right="176"/>
              <w:rPr>
                <w:rFonts w:asciiTheme="minorHAnsi" w:eastAsiaTheme="minorHAnsi" w:hAnsiTheme="minorHAnsi" w:cstheme="minorBidi"/>
                <w:sz w:val="22"/>
                <w:szCs w:val="22"/>
              </w:rPr>
            </w:pPr>
            <w:r w:rsidRPr="00876B91">
              <w:rPr>
                <w:rFonts w:asciiTheme="minorHAnsi" w:eastAsiaTheme="minorHAnsi" w:hAnsiTheme="minorHAnsi" w:cstheme="minorBidi"/>
                <w:sz w:val="22"/>
                <w:szCs w:val="22"/>
              </w:rPr>
              <w:t>FSD Africa works alongside governments, business leaders, regulators, and policymakers to build ambitious financial sector development programmes, spanning more than 28 countries, and has the expertise required to support target financial institutions, governments, and regulators in Africa to better incorporate nature into their financial and economic decision making.</w:t>
            </w:r>
          </w:p>
          <w:p w14:paraId="6B9047D2" w14:textId="77777777" w:rsidR="00876B91" w:rsidRPr="00DA16E3" w:rsidRDefault="00876B91" w:rsidP="00DA16E3">
            <w:pPr>
              <w:pStyle w:val="ListParagraph"/>
              <w:ind w:left="360" w:right="176"/>
              <w:rPr>
                <w:rFonts w:asciiTheme="minorHAnsi" w:eastAsiaTheme="minorHAnsi" w:hAnsiTheme="minorHAnsi" w:cstheme="minorBidi"/>
                <w:sz w:val="22"/>
                <w:szCs w:val="22"/>
              </w:rPr>
            </w:pPr>
          </w:p>
          <w:p w14:paraId="27D41BFE" w14:textId="42B21756" w:rsidR="00270327" w:rsidRDefault="00270327" w:rsidP="00DA16E3">
            <w:pPr>
              <w:pStyle w:val="ListParagraph"/>
              <w:numPr>
                <w:ilvl w:val="0"/>
                <w:numId w:val="15"/>
              </w:numPr>
              <w:ind w:right="176"/>
              <w:rPr>
                <w:rFonts w:asciiTheme="minorHAnsi" w:eastAsiaTheme="minorHAnsi" w:hAnsiTheme="minorHAnsi" w:cstheme="minorBidi"/>
                <w:sz w:val="22"/>
                <w:szCs w:val="22"/>
              </w:rPr>
            </w:pPr>
            <w:r w:rsidRPr="00270327">
              <w:rPr>
                <w:rFonts w:asciiTheme="minorHAnsi" w:eastAsiaTheme="minorHAnsi" w:hAnsiTheme="minorHAnsi" w:cstheme="minorBidi"/>
                <w:sz w:val="22"/>
                <w:szCs w:val="22"/>
              </w:rPr>
              <w:t>Th</w:t>
            </w:r>
            <w:r w:rsidR="004652FE" w:rsidRPr="00270327">
              <w:rPr>
                <w:rFonts w:asciiTheme="minorHAnsi" w:eastAsiaTheme="minorHAnsi" w:hAnsiTheme="minorHAnsi" w:cstheme="minorBidi"/>
                <w:sz w:val="22"/>
                <w:szCs w:val="22"/>
              </w:rPr>
              <w:t xml:space="preserve">e approval of this </w:t>
            </w:r>
            <w:r w:rsidRPr="00270327">
              <w:rPr>
                <w:rFonts w:asciiTheme="minorHAnsi" w:eastAsiaTheme="minorHAnsi" w:hAnsiTheme="minorHAnsi" w:cstheme="minorBidi"/>
                <w:sz w:val="22"/>
                <w:szCs w:val="22"/>
              </w:rPr>
              <w:t>Business Case Addendum</w:t>
            </w:r>
            <w:r w:rsidR="004652FE" w:rsidRPr="00270327">
              <w:rPr>
                <w:rFonts w:asciiTheme="minorHAnsi" w:eastAsiaTheme="minorHAnsi" w:hAnsiTheme="minorHAnsi" w:cstheme="minorBidi"/>
                <w:sz w:val="22"/>
                <w:szCs w:val="22"/>
              </w:rPr>
              <w:t xml:space="preserve"> will lead to </w:t>
            </w:r>
            <w:r w:rsidRPr="00270327">
              <w:rPr>
                <w:rFonts w:asciiTheme="minorHAnsi" w:eastAsiaTheme="minorHAnsi" w:hAnsiTheme="minorHAnsi" w:cstheme="minorBidi"/>
                <w:sz w:val="22"/>
                <w:szCs w:val="22"/>
              </w:rPr>
              <w:t xml:space="preserve">the establishment of a </w:t>
            </w:r>
            <w:r w:rsidR="000F4AB6">
              <w:rPr>
                <w:rFonts w:asciiTheme="minorHAnsi" w:eastAsiaTheme="minorHAnsi" w:hAnsiTheme="minorHAnsi" w:cstheme="minorBidi"/>
                <w:sz w:val="22"/>
                <w:szCs w:val="22"/>
              </w:rPr>
              <w:t>12-</w:t>
            </w:r>
            <w:r w:rsidR="004652FE" w:rsidRPr="00270327">
              <w:rPr>
                <w:rFonts w:asciiTheme="minorHAnsi" w:eastAsiaTheme="minorHAnsi" w:hAnsiTheme="minorHAnsi" w:cstheme="minorBidi"/>
                <w:sz w:val="22"/>
                <w:szCs w:val="22"/>
              </w:rPr>
              <w:t xml:space="preserve">month </w:t>
            </w:r>
            <w:r w:rsidR="000F4AB6">
              <w:rPr>
                <w:rFonts w:asciiTheme="minorHAnsi" w:eastAsiaTheme="minorHAnsi" w:hAnsiTheme="minorHAnsi" w:cstheme="minorBidi"/>
                <w:sz w:val="22"/>
                <w:szCs w:val="22"/>
              </w:rPr>
              <w:t>programme</w:t>
            </w:r>
            <w:r w:rsidR="005D1EA1">
              <w:rPr>
                <w:rFonts w:asciiTheme="minorHAnsi" w:eastAsiaTheme="minorHAnsi" w:hAnsiTheme="minorHAnsi" w:cstheme="minorBidi"/>
                <w:sz w:val="22"/>
                <w:szCs w:val="22"/>
              </w:rPr>
              <w:t xml:space="preserve"> that will be delivered in two parts</w:t>
            </w:r>
            <w:r w:rsidR="001F054B">
              <w:rPr>
                <w:rFonts w:asciiTheme="minorHAnsi" w:eastAsiaTheme="minorHAnsi" w:hAnsiTheme="minorHAnsi" w:cstheme="minorBidi"/>
                <w:sz w:val="22"/>
                <w:szCs w:val="22"/>
              </w:rPr>
              <w:t xml:space="preserve">. The first components/workstreams of the programme </w:t>
            </w:r>
            <w:r w:rsidR="000F4AB6">
              <w:rPr>
                <w:rFonts w:asciiTheme="minorHAnsi" w:eastAsiaTheme="minorHAnsi" w:hAnsiTheme="minorHAnsi" w:cstheme="minorBidi"/>
                <w:sz w:val="22"/>
                <w:szCs w:val="22"/>
              </w:rPr>
              <w:t xml:space="preserve">will </w:t>
            </w:r>
            <w:r w:rsidR="004652FE" w:rsidRPr="00270327">
              <w:rPr>
                <w:rFonts w:asciiTheme="minorHAnsi" w:eastAsiaTheme="minorHAnsi" w:hAnsiTheme="minorHAnsi" w:cstheme="minorBidi"/>
                <w:sz w:val="22"/>
                <w:szCs w:val="22"/>
              </w:rPr>
              <w:t xml:space="preserve">deliver </w:t>
            </w:r>
            <w:r w:rsidRPr="00270327">
              <w:rPr>
                <w:rFonts w:asciiTheme="minorHAnsi" w:eastAsiaTheme="minorHAnsi" w:hAnsiTheme="minorHAnsi" w:cstheme="minorBidi"/>
                <w:sz w:val="22"/>
                <w:szCs w:val="22"/>
              </w:rPr>
              <w:t>within the current financial year (2021</w:t>
            </w:r>
            <w:r w:rsidR="00D87937">
              <w:rPr>
                <w:rFonts w:asciiTheme="minorHAnsi" w:eastAsiaTheme="minorHAnsi" w:hAnsiTheme="minorHAnsi" w:cstheme="minorBidi"/>
                <w:sz w:val="22"/>
                <w:szCs w:val="22"/>
              </w:rPr>
              <w:t>/</w:t>
            </w:r>
            <w:r w:rsidRPr="00270327">
              <w:rPr>
                <w:rFonts w:asciiTheme="minorHAnsi" w:eastAsiaTheme="minorHAnsi" w:hAnsiTheme="minorHAnsi" w:cstheme="minorBidi"/>
                <w:sz w:val="22"/>
                <w:szCs w:val="22"/>
              </w:rPr>
              <w:t>22)</w:t>
            </w:r>
            <w:r w:rsidR="000F4AB6">
              <w:rPr>
                <w:rFonts w:asciiTheme="minorHAnsi" w:eastAsiaTheme="minorHAnsi" w:hAnsiTheme="minorHAnsi" w:cstheme="minorBidi"/>
                <w:sz w:val="22"/>
                <w:szCs w:val="22"/>
              </w:rPr>
              <w:t xml:space="preserve">, while </w:t>
            </w:r>
            <w:r w:rsidR="001F054B">
              <w:rPr>
                <w:rFonts w:asciiTheme="minorHAnsi" w:eastAsiaTheme="minorHAnsi" w:hAnsiTheme="minorHAnsi" w:cstheme="minorBidi"/>
                <w:sz w:val="22"/>
                <w:szCs w:val="22"/>
              </w:rPr>
              <w:t>a portion of these</w:t>
            </w:r>
            <w:r w:rsidR="000F4AB6">
              <w:rPr>
                <w:rFonts w:asciiTheme="minorHAnsi" w:eastAsiaTheme="minorHAnsi" w:hAnsiTheme="minorHAnsi" w:cstheme="minorBidi"/>
                <w:sz w:val="22"/>
                <w:szCs w:val="22"/>
              </w:rPr>
              <w:t xml:space="preserve"> will deliver in the next financial year (2022/23)</w:t>
            </w:r>
            <w:r w:rsidRPr="00270327">
              <w:rPr>
                <w:rFonts w:asciiTheme="minorHAnsi" w:eastAsiaTheme="minorHAnsi" w:hAnsiTheme="minorHAnsi" w:cstheme="minorBidi"/>
                <w:sz w:val="22"/>
                <w:szCs w:val="22"/>
              </w:rPr>
              <w:t xml:space="preserve">. </w:t>
            </w:r>
            <w:r w:rsidR="00A35DCD">
              <w:rPr>
                <w:rFonts w:asciiTheme="minorHAnsi" w:eastAsiaTheme="minorHAnsi" w:hAnsiTheme="minorHAnsi" w:cstheme="minorBidi"/>
                <w:sz w:val="22"/>
                <w:szCs w:val="22"/>
              </w:rPr>
              <w:t xml:space="preserve">Financial commitment </w:t>
            </w:r>
            <w:r w:rsidR="001F054B">
              <w:rPr>
                <w:rFonts w:asciiTheme="minorHAnsi" w:eastAsiaTheme="minorHAnsi" w:hAnsiTheme="minorHAnsi" w:cstheme="minorBidi"/>
                <w:sz w:val="22"/>
                <w:szCs w:val="22"/>
              </w:rPr>
              <w:t>is provided for the components/workstreams of the programme delivering in this financial year</w:t>
            </w:r>
            <w:r w:rsidR="00557EB6">
              <w:rPr>
                <w:rFonts w:asciiTheme="minorHAnsi" w:eastAsiaTheme="minorHAnsi" w:hAnsiTheme="minorHAnsi" w:cstheme="minorBidi"/>
                <w:sz w:val="22"/>
                <w:szCs w:val="22"/>
              </w:rPr>
              <w:t xml:space="preserve"> from within Defra’s existing International Climate Finance </w:t>
            </w:r>
            <w:r w:rsidR="0064115D">
              <w:rPr>
                <w:rFonts w:asciiTheme="minorHAnsi" w:eastAsiaTheme="minorHAnsi" w:hAnsiTheme="minorHAnsi" w:cstheme="minorBidi"/>
                <w:sz w:val="22"/>
                <w:szCs w:val="22"/>
              </w:rPr>
              <w:t xml:space="preserve">(ICF) </w:t>
            </w:r>
            <w:r w:rsidR="00557EB6">
              <w:rPr>
                <w:rFonts w:asciiTheme="minorHAnsi" w:eastAsiaTheme="minorHAnsi" w:hAnsiTheme="minorHAnsi" w:cstheme="minorBidi"/>
                <w:sz w:val="22"/>
                <w:szCs w:val="22"/>
              </w:rPr>
              <w:t>allocation</w:t>
            </w:r>
            <w:r w:rsidR="001F054B">
              <w:rPr>
                <w:rFonts w:asciiTheme="minorHAnsi" w:eastAsiaTheme="minorHAnsi" w:hAnsiTheme="minorHAnsi" w:cstheme="minorBidi"/>
                <w:sz w:val="22"/>
                <w:szCs w:val="22"/>
              </w:rPr>
              <w:t xml:space="preserve">, with funding for future financial years </w:t>
            </w:r>
            <w:r w:rsidRPr="00270327">
              <w:rPr>
                <w:rFonts w:asciiTheme="minorHAnsi" w:eastAsiaTheme="minorHAnsi" w:hAnsiTheme="minorHAnsi" w:cstheme="minorBidi"/>
                <w:sz w:val="22"/>
                <w:szCs w:val="22"/>
              </w:rPr>
              <w:t xml:space="preserve">subject to the </w:t>
            </w:r>
            <w:r w:rsidR="00D87937">
              <w:rPr>
                <w:rFonts w:asciiTheme="minorHAnsi" w:eastAsiaTheme="minorHAnsi" w:hAnsiTheme="minorHAnsi" w:cstheme="minorBidi"/>
                <w:sz w:val="22"/>
                <w:szCs w:val="22"/>
              </w:rPr>
              <w:t>outcome</w:t>
            </w:r>
            <w:r w:rsidR="00D87937" w:rsidRPr="00270327">
              <w:rPr>
                <w:rFonts w:asciiTheme="minorHAnsi" w:eastAsiaTheme="minorHAnsi" w:hAnsiTheme="minorHAnsi" w:cstheme="minorBidi"/>
                <w:sz w:val="22"/>
                <w:szCs w:val="22"/>
              </w:rPr>
              <w:t xml:space="preserve"> </w:t>
            </w:r>
            <w:r w:rsidRPr="00270327">
              <w:rPr>
                <w:rFonts w:asciiTheme="minorHAnsi" w:eastAsiaTheme="minorHAnsi" w:hAnsiTheme="minorHAnsi" w:cstheme="minorBidi"/>
                <w:sz w:val="22"/>
                <w:szCs w:val="22"/>
              </w:rPr>
              <w:t>of the Spending Review.</w:t>
            </w:r>
            <w:r w:rsidR="00B841C2">
              <w:rPr>
                <w:rFonts w:asciiTheme="minorHAnsi" w:eastAsiaTheme="minorHAnsi" w:hAnsiTheme="minorHAnsi" w:cstheme="minorBidi"/>
                <w:sz w:val="22"/>
                <w:szCs w:val="22"/>
              </w:rPr>
              <w:t xml:space="preserve"> Work on the two phases of the programme is complementary, but expected impacts </w:t>
            </w:r>
            <w:r w:rsidR="009F20F5">
              <w:rPr>
                <w:rFonts w:asciiTheme="minorHAnsi" w:eastAsiaTheme="minorHAnsi" w:hAnsiTheme="minorHAnsi" w:cstheme="minorBidi"/>
                <w:sz w:val="22"/>
                <w:szCs w:val="22"/>
              </w:rPr>
              <w:t>from</w:t>
            </w:r>
            <w:r w:rsidR="00B841C2">
              <w:rPr>
                <w:rFonts w:asciiTheme="minorHAnsi" w:eastAsiaTheme="minorHAnsi" w:hAnsiTheme="minorHAnsi" w:cstheme="minorBidi"/>
                <w:sz w:val="22"/>
                <w:szCs w:val="22"/>
              </w:rPr>
              <w:t xml:space="preserve"> components/workstreams undertaken in this financial year would be </w:t>
            </w:r>
            <w:r w:rsidR="009F20F5">
              <w:rPr>
                <w:rFonts w:asciiTheme="minorHAnsi" w:eastAsiaTheme="minorHAnsi" w:hAnsiTheme="minorHAnsi" w:cstheme="minorBidi"/>
                <w:sz w:val="22"/>
                <w:szCs w:val="22"/>
              </w:rPr>
              <w:t>delivered</w:t>
            </w:r>
            <w:r w:rsidR="00B841C2">
              <w:rPr>
                <w:rFonts w:asciiTheme="minorHAnsi" w:eastAsiaTheme="minorHAnsi" w:hAnsiTheme="minorHAnsi" w:cstheme="minorBidi"/>
                <w:sz w:val="22"/>
                <w:szCs w:val="22"/>
              </w:rPr>
              <w:t xml:space="preserve"> even if the second phase of the programme would</w:t>
            </w:r>
            <w:r w:rsidR="009F20F5">
              <w:rPr>
                <w:rFonts w:asciiTheme="minorHAnsi" w:eastAsiaTheme="minorHAnsi" w:hAnsiTheme="minorHAnsi" w:cstheme="minorBidi"/>
                <w:sz w:val="22"/>
                <w:szCs w:val="22"/>
              </w:rPr>
              <w:t xml:space="preserve"> </w:t>
            </w:r>
            <w:r w:rsidR="00B841C2">
              <w:rPr>
                <w:rFonts w:asciiTheme="minorHAnsi" w:eastAsiaTheme="minorHAnsi" w:hAnsiTheme="minorHAnsi" w:cstheme="minorBidi"/>
                <w:sz w:val="22"/>
                <w:szCs w:val="22"/>
              </w:rPr>
              <w:t>n</w:t>
            </w:r>
            <w:r w:rsidR="009F20F5">
              <w:rPr>
                <w:rFonts w:asciiTheme="minorHAnsi" w:eastAsiaTheme="minorHAnsi" w:hAnsiTheme="minorHAnsi" w:cstheme="minorBidi"/>
                <w:sz w:val="22"/>
                <w:szCs w:val="22"/>
              </w:rPr>
              <w:t>o</w:t>
            </w:r>
            <w:r w:rsidR="00B841C2">
              <w:rPr>
                <w:rFonts w:asciiTheme="minorHAnsi" w:eastAsiaTheme="minorHAnsi" w:hAnsiTheme="minorHAnsi" w:cstheme="minorBidi"/>
                <w:sz w:val="22"/>
                <w:szCs w:val="22"/>
              </w:rPr>
              <w:t>t go ahead.</w:t>
            </w:r>
          </w:p>
          <w:p w14:paraId="0F42A8C8" w14:textId="77777777" w:rsidR="00270327" w:rsidRPr="00DA16E3" w:rsidRDefault="00270327" w:rsidP="00DA16E3">
            <w:pPr>
              <w:pStyle w:val="ListParagraph"/>
              <w:ind w:left="360" w:right="176"/>
              <w:rPr>
                <w:rFonts w:asciiTheme="minorHAnsi" w:eastAsiaTheme="minorHAnsi" w:hAnsiTheme="minorHAnsi" w:cstheme="minorBidi"/>
                <w:sz w:val="22"/>
                <w:szCs w:val="22"/>
              </w:rPr>
            </w:pPr>
          </w:p>
          <w:p w14:paraId="098918FD" w14:textId="45360640" w:rsidR="00876B91" w:rsidRPr="00270327" w:rsidRDefault="00270327" w:rsidP="00DA16E3">
            <w:pPr>
              <w:pStyle w:val="ListParagraph"/>
              <w:numPr>
                <w:ilvl w:val="0"/>
                <w:numId w:val="15"/>
              </w:numPr>
              <w:ind w:right="176"/>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 </w:t>
            </w:r>
            <w:r w:rsidR="001F054B">
              <w:rPr>
                <w:rFonts w:asciiTheme="minorHAnsi" w:eastAsiaTheme="minorHAnsi" w:hAnsiTheme="minorHAnsi" w:cstheme="minorBidi"/>
                <w:sz w:val="22"/>
                <w:szCs w:val="22"/>
              </w:rPr>
              <w:t xml:space="preserve">successful </w:t>
            </w:r>
            <w:r>
              <w:rPr>
                <w:rFonts w:asciiTheme="minorHAnsi" w:eastAsiaTheme="minorHAnsi" w:hAnsiTheme="minorHAnsi" w:cstheme="minorBidi"/>
                <w:sz w:val="22"/>
                <w:szCs w:val="22"/>
              </w:rPr>
              <w:t xml:space="preserve">conclusion of the </w:t>
            </w:r>
            <w:r w:rsidR="000F4AB6">
              <w:rPr>
                <w:rFonts w:asciiTheme="minorHAnsi" w:eastAsiaTheme="minorHAnsi" w:hAnsiTheme="minorHAnsi" w:cstheme="minorBidi"/>
                <w:sz w:val="22"/>
                <w:szCs w:val="22"/>
              </w:rPr>
              <w:t xml:space="preserve">first </w:t>
            </w:r>
            <w:r w:rsidR="001F054B">
              <w:rPr>
                <w:rFonts w:asciiTheme="minorHAnsi" w:eastAsiaTheme="minorHAnsi" w:hAnsiTheme="minorHAnsi" w:cstheme="minorBidi"/>
                <w:sz w:val="22"/>
                <w:szCs w:val="22"/>
              </w:rPr>
              <w:t>components/workstreams</w:t>
            </w:r>
            <w:r w:rsidR="000F4AB6">
              <w:rPr>
                <w:rFonts w:asciiTheme="minorHAnsi" w:eastAsiaTheme="minorHAnsi" w:hAnsiTheme="minorHAnsi" w:cstheme="minorBidi"/>
                <w:sz w:val="22"/>
                <w:szCs w:val="22"/>
              </w:rPr>
              <w:t xml:space="preserve"> of the </w:t>
            </w:r>
            <w:r>
              <w:rPr>
                <w:rFonts w:asciiTheme="minorHAnsi" w:eastAsiaTheme="minorHAnsi" w:hAnsiTheme="minorHAnsi" w:cstheme="minorBidi"/>
                <w:sz w:val="22"/>
                <w:szCs w:val="22"/>
              </w:rPr>
              <w:t>pro</w:t>
            </w:r>
            <w:r w:rsidR="000F4AB6">
              <w:rPr>
                <w:rFonts w:asciiTheme="minorHAnsi" w:eastAsiaTheme="minorHAnsi" w:hAnsiTheme="minorHAnsi" w:cstheme="minorBidi"/>
                <w:sz w:val="22"/>
                <w:szCs w:val="22"/>
              </w:rPr>
              <w:t>gramme</w:t>
            </w:r>
            <w:r>
              <w:rPr>
                <w:rFonts w:asciiTheme="minorHAnsi" w:eastAsiaTheme="minorHAnsi" w:hAnsiTheme="minorHAnsi" w:cstheme="minorBidi"/>
                <w:sz w:val="22"/>
                <w:szCs w:val="22"/>
              </w:rPr>
              <w:t xml:space="preserve"> by </w:t>
            </w:r>
            <w:r w:rsidR="005D1EA1">
              <w:rPr>
                <w:rFonts w:asciiTheme="minorHAnsi" w:eastAsiaTheme="minorHAnsi" w:hAnsiTheme="minorHAnsi" w:cstheme="minorBidi"/>
                <w:sz w:val="22"/>
                <w:szCs w:val="22"/>
              </w:rPr>
              <w:t xml:space="preserve">end </w:t>
            </w:r>
            <w:r>
              <w:rPr>
                <w:rFonts w:asciiTheme="minorHAnsi" w:eastAsiaTheme="minorHAnsi" w:hAnsiTheme="minorHAnsi" w:cstheme="minorBidi"/>
                <w:sz w:val="22"/>
                <w:szCs w:val="22"/>
              </w:rPr>
              <w:t xml:space="preserve">March 2022 </w:t>
            </w:r>
            <w:r w:rsidRPr="00270327">
              <w:rPr>
                <w:rFonts w:asciiTheme="minorHAnsi" w:eastAsiaTheme="minorHAnsi" w:hAnsiTheme="minorHAnsi" w:cstheme="minorBidi"/>
                <w:sz w:val="22"/>
                <w:szCs w:val="22"/>
              </w:rPr>
              <w:t xml:space="preserve">will enable results to maximise their impact </w:t>
            </w:r>
            <w:r w:rsidR="004652FE" w:rsidRPr="00270327">
              <w:rPr>
                <w:rFonts w:asciiTheme="minorHAnsi" w:eastAsiaTheme="minorHAnsi" w:hAnsiTheme="minorHAnsi" w:cstheme="minorBidi"/>
                <w:sz w:val="22"/>
                <w:szCs w:val="22"/>
              </w:rPr>
              <w:t xml:space="preserve">ahead of </w:t>
            </w:r>
            <w:r w:rsidRPr="00270327">
              <w:rPr>
                <w:rFonts w:asciiTheme="minorHAnsi" w:eastAsiaTheme="minorHAnsi" w:hAnsiTheme="minorHAnsi" w:cstheme="minorBidi"/>
                <w:sz w:val="22"/>
                <w:szCs w:val="22"/>
              </w:rPr>
              <w:t>the Convention of Biological Diversity’s (CBD) 15</w:t>
            </w:r>
            <w:r w:rsidRPr="00DA16E3">
              <w:rPr>
                <w:rFonts w:asciiTheme="minorHAnsi" w:eastAsiaTheme="minorHAnsi" w:hAnsiTheme="minorHAnsi" w:cstheme="minorBidi"/>
                <w:sz w:val="22"/>
                <w:szCs w:val="22"/>
              </w:rPr>
              <w:t>th</w:t>
            </w:r>
            <w:r w:rsidRPr="00270327">
              <w:rPr>
                <w:rFonts w:asciiTheme="minorHAnsi" w:eastAsiaTheme="minorHAnsi" w:hAnsiTheme="minorHAnsi" w:cstheme="minorBidi"/>
                <w:sz w:val="22"/>
                <w:szCs w:val="22"/>
              </w:rPr>
              <w:t xml:space="preserve"> Conference of Parties (</w:t>
            </w:r>
            <w:r w:rsidR="004652FE" w:rsidRPr="00270327">
              <w:rPr>
                <w:rFonts w:asciiTheme="minorHAnsi" w:eastAsiaTheme="minorHAnsi" w:hAnsiTheme="minorHAnsi" w:cstheme="minorBidi"/>
                <w:sz w:val="22"/>
                <w:szCs w:val="22"/>
              </w:rPr>
              <w:t>COP15)</w:t>
            </w:r>
            <w:r w:rsidRPr="00270327">
              <w:rPr>
                <w:rFonts w:asciiTheme="minorHAnsi" w:eastAsiaTheme="minorHAnsi" w:hAnsiTheme="minorHAnsi" w:cstheme="minorBidi"/>
                <w:sz w:val="22"/>
                <w:szCs w:val="22"/>
              </w:rPr>
              <w:t xml:space="preserve">, which is expected to agree a new Global Biodiversity Framework (GBF) in </w:t>
            </w:r>
            <w:r w:rsidR="00575EB6">
              <w:rPr>
                <w:rFonts w:asciiTheme="minorHAnsi" w:eastAsiaTheme="minorHAnsi" w:hAnsiTheme="minorHAnsi" w:cstheme="minorBidi"/>
                <w:sz w:val="22"/>
                <w:szCs w:val="22"/>
              </w:rPr>
              <w:t>May</w:t>
            </w:r>
            <w:r w:rsidR="00575EB6" w:rsidRPr="00270327">
              <w:rPr>
                <w:rFonts w:asciiTheme="minorHAnsi" w:eastAsiaTheme="minorHAnsi" w:hAnsiTheme="minorHAnsi" w:cstheme="minorBidi"/>
                <w:sz w:val="22"/>
                <w:szCs w:val="22"/>
              </w:rPr>
              <w:t xml:space="preserve"> </w:t>
            </w:r>
            <w:r w:rsidRPr="00270327">
              <w:rPr>
                <w:rFonts w:asciiTheme="minorHAnsi" w:eastAsiaTheme="minorHAnsi" w:hAnsiTheme="minorHAnsi" w:cstheme="minorBidi"/>
                <w:sz w:val="22"/>
                <w:szCs w:val="22"/>
              </w:rPr>
              <w:t>2022.</w:t>
            </w:r>
            <w:r>
              <w:rPr>
                <w:rFonts w:asciiTheme="minorHAnsi" w:eastAsiaTheme="minorHAnsi" w:hAnsiTheme="minorHAnsi" w:cstheme="minorBidi"/>
                <w:sz w:val="22"/>
                <w:szCs w:val="22"/>
              </w:rPr>
              <w:t xml:space="preserve"> </w:t>
            </w:r>
          </w:p>
          <w:p w14:paraId="71A6D490" w14:textId="77777777" w:rsidR="00F34A78" w:rsidRDefault="00F34A78" w:rsidP="00F34A78">
            <w:pPr>
              <w:pStyle w:val="ListParagraph"/>
              <w:spacing w:after="0" w:line="240" w:lineRule="auto"/>
              <w:ind w:left="360" w:right="176"/>
              <w:rPr>
                <w:rFonts w:asciiTheme="minorHAnsi" w:eastAsiaTheme="minorHAnsi" w:hAnsiTheme="minorHAnsi" w:cstheme="minorBidi"/>
                <w:sz w:val="22"/>
                <w:szCs w:val="22"/>
              </w:rPr>
            </w:pPr>
          </w:p>
          <w:p w14:paraId="54F96EC4" w14:textId="6AA5B1E7" w:rsidR="0089423F" w:rsidRDefault="0089423F" w:rsidP="00F9175C">
            <w:pPr>
              <w:pStyle w:val="ListParagraph"/>
              <w:numPr>
                <w:ilvl w:val="0"/>
                <w:numId w:val="15"/>
              </w:numPr>
              <w:spacing w:after="0" w:line="240" w:lineRule="auto"/>
              <w:ind w:right="176"/>
              <w:rPr>
                <w:rFonts w:asciiTheme="minorHAnsi" w:eastAsiaTheme="minorHAnsi" w:hAnsiTheme="minorHAnsi" w:cstheme="minorBidi"/>
                <w:sz w:val="22"/>
                <w:szCs w:val="22"/>
              </w:rPr>
            </w:pPr>
            <w:r>
              <w:rPr>
                <w:rFonts w:asciiTheme="minorHAnsi" w:eastAsiaTheme="minorHAnsi" w:hAnsiTheme="minorHAnsi" w:cstheme="minorBidi"/>
                <w:sz w:val="22"/>
                <w:szCs w:val="22"/>
              </w:rPr>
              <w:t>What options have been considered</w:t>
            </w:r>
            <w:r w:rsidR="00591637">
              <w:rPr>
                <w:rFonts w:asciiTheme="minorHAnsi" w:eastAsiaTheme="minorHAnsi" w:hAnsiTheme="minorHAnsi" w:cstheme="minorBidi"/>
                <w:sz w:val="22"/>
                <w:szCs w:val="22"/>
              </w:rPr>
              <w:t>:</w:t>
            </w:r>
          </w:p>
          <w:p w14:paraId="1A8FAE78" w14:textId="77777777" w:rsidR="00591637" w:rsidRPr="00591637" w:rsidRDefault="00591637" w:rsidP="00591637">
            <w:pPr>
              <w:pStyle w:val="ListParagraph"/>
              <w:rPr>
                <w:rFonts w:asciiTheme="minorHAnsi" w:eastAsiaTheme="minorHAnsi" w:hAnsiTheme="minorHAnsi" w:cstheme="minorBidi"/>
              </w:rPr>
            </w:pPr>
          </w:p>
          <w:p w14:paraId="54C9F373" w14:textId="0DA65A6D" w:rsidR="00981EE4" w:rsidRPr="00981EE4" w:rsidRDefault="00981EE4" w:rsidP="00981EE4">
            <w:pPr>
              <w:pStyle w:val="ListParagraph"/>
              <w:numPr>
                <w:ilvl w:val="1"/>
                <w:numId w:val="15"/>
              </w:numPr>
              <w:ind w:right="176"/>
              <w:rPr>
                <w:rFonts w:asciiTheme="minorHAnsi" w:eastAsiaTheme="minorHAnsi" w:hAnsiTheme="minorHAnsi" w:cstheme="minorBidi"/>
                <w:sz w:val="22"/>
                <w:szCs w:val="22"/>
              </w:rPr>
            </w:pPr>
            <w:r w:rsidRPr="00981EE4">
              <w:rPr>
                <w:rFonts w:asciiTheme="minorHAnsi" w:eastAsiaTheme="minorHAnsi" w:hAnsiTheme="minorHAnsi" w:cstheme="minorBidi"/>
                <w:b/>
                <w:bCs/>
                <w:sz w:val="22"/>
                <w:szCs w:val="22"/>
              </w:rPr>
              <w:t>Option 1: Do nothing.</w:t>
            </w:r>
            <w:r w:rsidRPr="00981EE4">
              <w:rPr>
                <w:rFonts w:asciiTheme="minorHAnsi" w:eastAsiaTheme="minorHAnsi" w:hAnsiTheme="minorHAnsi" w:cstheme="minorBidi"/>
                <w:sz w:val="22"/>
                <w:szCs w:val="22"/>
              </w:rPr>
              <w:t xml:space="preserve">  </w:t>
            </w:r>
            <w:r w:rsidR="00E96451">
              <w:rPr>
                <w:rFonts w:asciiTheme="minorHAnsi" w:eastAsiaTheme="minorHAnsi" w:hAnsiTheme="minorHAnsi" w:cstheme="minorBidi"/>
                <w:sz w:val="22"/>
                <w:szCs w:val="22"/>
              </w:rPr>
              <w:t xml:space="preserve">The funds will likely be transferred back to HMT at the year end.  </w:t>
            </w:r>
            <w:r w:rsidRPr="00981EE4">
              <w:rPr>
                <w:rFonts w:asciiTheme="minorHAnsi" w:eastAsiaTheme="minorHAnsi" w:hAnsiTheme="minorHAnsi" w:cstheme="minorBidi"/>
                <w:sz w:val="22"/>
                <w:szCs w:val="22"/>
              </w:rPr>
              <w:t xml:space="preserve">This option is not recommended as </w:t>
            </w:r>
            <w:r w:rsidR="00557EB6">
              <w:rPr>
                <w:rFonts w:asciiTheme="minorHAnsi" w:eastAsiaTheme="minorHAnsi" w:hAnsiTheme="minorHAnsi" w:cstheme="minorBidi"/>
                <w:sz w:val="22"/>
                <w:szCs w:val="22"/>
              </w:rPr>
              <w:t>t</w:t>
            </w:r>
            <w:r w:rsidRPr="00981EE4">
              <w:rPr>
                <w:rFonts w:asciiTheme="minorHAnsi" w:eastAsiaTheme="minorHAnsi" w:hAnsiTheme="minorHAnsi" w:cstheme="minorBidi"/>
                <w:sz w:val="22"/>
                <w:szCs w:val="22"/>
              </w:rPr>
              <w:t>he TNFD would continue to run its activities</w:t>
            </w:r>
            <w:r w:rsidR="00557EB6">
              <w:rPr>
                <w:rFonts w:asciiTheme="minorHAnsi" w:eastAsiaTheme="minorHAnsi" w:hAnsiTheme="minorHAnsi" w:cstheme="minorBidi"/>
                <w:sz w:val="22"/>
                <w:szCs w:val="22"/>
              </w:rPr>
              <w:t xml:space="preserve"> with under-representation from African voices at this critical developmental stage</w:t>
            </w:r>
            <w:r w:rsidRPr="00981EE4">
              <w:rPr>
                <w:rFonts w:asciiTheme="minorHAnsi" w:eastAsiaTheme="minorHAnsi" w:hAnsiTheme="minorHAnsi" w:cstheme="minorBidi"/>
                <w:sz w:val="22"/>
                <w:szCs w:val="22"/>
              </w:rPr>
              <w:t>, and difficulties in engaging key developing countries would persist. Private sector actors and financial institutions in African countries would not have a facilitated path to engaging with the TNFD.</w:t>
            </w:r>
            <w:r w:rsidR="00764C19" w:rsidRPr="00981EE4">
              <w:rPr>
                <w:rFonts w:asciiTheme="minorHAnsi" w:eastAsiaTheme="minorHAnsi" w:hAnsiTheme="minorHAnsi" w:cstheme="minorBidi"/>
                <w:sz w:val="22"/>
                <w:szCs w:val="22"/>
              </w:rPr>
              <w:t>.</w:t>
            </w:r>
            <w:r w:rsidR="00764C19">
              <w:rPr>
                <w:rFonts w:asciiTheme="minorHAnsi" w:eastAsiaTheme="minorHAnsi" w:hAnsiTheme="minorHAnsi" w:cstheme="minorBidi"/>
                <w:sz w:val="22"/>
                <w:szCs w:val="22"/>
              </w:rPr>
              <w:t xml:space="preserve"> T</w:t>
            </w:r>
            <w:r w:rsidR="00E96451">
              <w:rPr>
                <w:rFonts w:asciiTheme="minorHAnsi" w:eastAsiaTheme="minorHAnsi" w:hAnsiTheme="minorHAnsi" w:cstheme="minorBidi"/>
                <w:sz w:val="22"/>
                <w:szCs w:val="22"/>
              </w:rPr>
              <w:t>he t</w:t>
            </w:r>
            <w:r w:rsidR="00764C19">
              <w:rPr>
                <w:rFonts w:asciiTheme="minorHAnsi" w:eastAsiaTheme="minorHAnsi" w:hAnsiTheme="minorHAnsi" w:cstheme="minorBidi"/>
                <w:sz w:val="22"/>
                <w:szCs w:val="22"/>
              </w:rPr>
              <w:t>iming of this decision means that it is unlikely that funds could be effectively reallocated to another activity/programme</w:t>
            </w:r>
            <w:r w:rsidR="00E96451">
              <w:rPr>
                <w:rFonts w:asciiTheme="minorHAnsi" w:eastAsiaTheme="minorHAnsi" w:hAnsiTheme="minorHAnsi" w:cstheme="minorBidi"/>
                <w:sz w:val="22"/>
                <w:szCs w:val="22"/>
              </w:rPr>
              <w:t xml:space="preserve">, and are ringfenced within the department’s </w:t>
            </w:r>
            <w:r w:rsidR="00764C19">
              <w:rPr>
                <w:rFonts w:asciiTheme="minorHAnsi" w:eastAsiaTheme="minorHAnsi" w:hAnsiTheme="minorHAnsi" w:cstheme="minorBidi"/>
                <w:sz w:val="22"/>
                <w:szCs w:val="22"/>
              </w:rPr>
              <w:t xml:space="preserve">ICF allocation . </w:t>
            </w:r>
          </w:p>
          <w:p w14:paraId="628D6109" w14:textId="41E7B920" w:rsidR="00981EE4" w:rsidRPr="00981EE4" w:rsidRDefault="00981EE4" w:rsidP="4FF3EDE9">
            <w:pPr>
              <w:pStyle w:val="ListParagraph"/>
              <w:numPr>
                <w:ilvl w:val="1"/>
                <w:numId w:val="15"/>
              </w:numPr>
              <w:ind w:right="176"/>
              <w:rPr>
                <w:rFonts w:asciiTheme="minorHAnsi" w:hAnsiTheme="minorHAnsi" w:cstheme="minorBidi"/>
                <w:sz w:val="22"/>
                <w:szCs w:val="22"/>
              </w:rPr>
            </w:pPr>
            <w:r w:rsidRPr="4FF3EDE9">
              <w:rPr>
                <w:rFonts w:asciiTheme="minorHAnsi" w:hAnsiTheme="minorHAnsi" w:cstheme="minorBidi"/>
                <w:b/>
                <w:bCs/>
                <w:sz w:val="22"/>
                <w:szCs w:val="22"/>
              </w:rPr>
              <w:t>Option 2: Deliver in house.</w:t>
            </w:r>
            <w:r w:rsidRPr="4FF3EDE9">
              <w:rPr>
                <w:rFonts w:asciiTheme="minorHAnsi" w:hAnsiTheme="minorHAnsi" w:cstheme="minorBidi"/>
                <w:sz w:val="22"/>
                <w:szCs w:val="22"/>
              </w:rPr>
              <w:t xml:space="preserve"> Defra staff would undertake work to support African countries in engaging with the TNFD. This option wouldn’t be practically feasible, as Department staff would not have the required expertise</w:t>
            </w:r>
            <w:r w:rsidR="00747CB1">
              <w:rPr>
                <w:rFonts w:asciiTheme="minorHAnsi" w:hAnsiTheme="minorHAnsi" w:cstheme="minorBidi"/>
                <w:sz w:val="22"/>
                <w:szCs w:val="22"/>
              </w:rPr>
              <w:t>, network of contacts</w:t>
            </w:r>
            <w:r w:rsidRPr="4FF3EDE9">
              <w:rPr>
                <w:rFonts w:asciiTheme="minorHAnsi" w:hAnsiTheme="minorHAnsi" w:cstheme="minorBidi"/>
                <w:sz w:val="22"/>
                <w:szCs w:val="22"/>
              </w:rPr>
              <w:t xml:space="preserve"> </w:t>
            </w:r>
            <w:r w:rsidR="00747CB1">
              <w:rPr>
                <w:rFonts w:asciiTheme="minorHAnsi" w:hAnsiTheme="minorHAnsi" w:cstheme="minorBidi"/>
                <w:sz w:val="22"/>
                <w:szCs w:val="22"/>
              </w:rPr>
              <w:t xml:space="preserve">and presence on the ground </w:t>
            </w:r>
            <w:r w:rsidRPr="4FF3EDE9">
              <w:rPr>
                <w:rFonts w:asciiTheme="minorHAnsi" w:hAnsiTheme="minorHAnsi" w:cstheme="minorBidi"/>
                <w:sz w:val="22"/>
                <w:szCs w:val="22"/>
              </w:rPr>
              <w:t>to undertake such activities</w:t>
            </w:r>
            <w:r w:rsidR="00747CB1">
              <w:rPr>
                <w:rFonts w:asciiTheme="minorHAnsi" w:hAnsiTheme="minorHAnsi" w:cstheme="minorBidi"/>
                <w:sz w:val="22"/>
                <w:szCs w:val="22"/>
              </w:rPr>
              <w:t>, which need to be undertaken at pace</w:t>
            </w:r>
            <w:r w:rsidR="0064115D">
              <w:rPr>
                <w:rFonts w:asciiTheme="minorHAnsi" w:hAnsiTheme="minorHAnsi" w:cstheme="minorBidi"/>
                <w:sz w:val="22"/>
                <w:szCs w:val="22"/>
              </w:rPr>
              <w:t xml:space="preserve"> </w:t>
            </w:r>
            <w:r w:rsidR="00D7660F">
              <w:rPr>
                <w:rFonts w:asciiTheme="minorHAnsi" w:hAnsiTheme="minorHAnsi" w:cstheme="minorBidi"/>
                <w:sz w:val="22"/>
                <w:szCs w:val="22"/>
              </w:rPr>
              <w:t>to meet</w:t>
            </w:r>
            <w:r w:rsidR="0064115D">
              <w:rPr>
                <w:rFonts w:asciiTheme="minorHAnsi" w:hAnsiTheme="minorHAnsi" w:cstheme="minorBidi"/>
                <w:sz w:val="22"/>
                <w:szCs w:val="22"/>
              </w:rPr>
              <w:t xml:space="preserve"> the </w:t>
            </w:r>
            <w:r w:rsidR="00D7660F">
              <w:rPr>
                <w:rFonts w:asciiTheme="minorHAnsi" w:hAnsiTheme="minorHAnsi" w:cstheme="minorBidi"/>
                <w:sz w:val="22"/>
                <w:szCs w:val="22"/>
              </w:rPr>
              <w:t>timetable for developing the TNFD</w:t>
            </w:r>
            <w:r w:rsidRPr="4FF3EDE9">
              <w:rPr>
                <w:rFonts w:asciiTheme="minorHAnsi" w:hAnsiTheme="minorHAnsi" w:cstheme="minorBidi"/>
                <w:sz w:val="22"/>
                <w:szCs w:val="22"/>
              </w:rPr>
              <w:t xml:space="preserve">. It would also be unlike any other activity carried out under the TNFD to </w:t>
            </w:r>
            <w:r w:rsidRPr="4FF3EDE9">
              <w:rPr>
                <w:rFonts w:asciiTheme="minorHAnsi" w:hAnsiTheme="minorHAnsi" w:cstheme="minorBidi"/>
                <w:sz w:val="22"/>
                <w:szCs w:val="22"/>
              </w:rPr>
              <w:lastRenderedPageBreak/>
              <w:t>date, which have primarily been private sector driven, and without the direct intervention of national governments.</w:t>
            </w:r>
          </w:p>
          <w:p w14:paraId="64D08370" w14:textId="3255AE7D" w:rsidR="00981EE4" w:rsidRPr="00981EE4" w:rsidRDefault="00981EE4" w:rsidP="00981EE4">
            <w:pPr>
              <w:pStyle w:val="ListParagraph"/>
              <w:numPr>
                <w:ilvl w:val="1"/>
                <w:numId w:val="15"/>
              </w:numPr>
              <w:ind w:right="176"/>
              <w:rPr>
                <w:rFonts w:asciiTheme="minorHAnsi" w:eastAsiaTheme="minorHAnsi" w:hAnsiTheme="minorHAnsi" w:cstheme="minorBidi"/>
                <w:sz w:val="22"/>
                <w:szCs w:val="22"/>
              </w:rPr>
            </w:pPr>
            <w:r w:rsidRPr="00981EE4">
              <w:rPr>
                <w:rFonts w:asciiTheme="minorHAnsi" w:eastAsiaTheme="minorHAnsi" w:hAnsiTheme="minorHAnsi" w:cstheme="minorBidi"/>
                <w:b/>
                <w:bCs/>
                <w:sz w:val="22"/>
                <w:szCs w:val="22"/>
              </w:rPr>
              <w:t>Option 3 (Recommended): Outsource.</w:t>
            </w:r>
            <w:r w:rsidRPr="00981EE4">
              <w:rPr>
                <w:rFonts w:asciiTheme="minorHAnsi" w:eastAsiaTheme="minorHAnsi" w:hAnsiTheme="minorHAnsi" w:cstheme="minorBidi"/>
                <w:sz w:val="22"/>
                <w:szCs w:val="22"/>
              </w:rPr>
              <w:t xml:space="preserve"> Funds would be transferred to the FSD Africa programme, that will deploy the resources in line with its mandate, while achieving specific objectives defined by Defra. The rationale</w:t>
            </w:r>
            <w:r w:rsidR="005D1EA1">
              <w:rPr>
                <w:rFonts w:asciiTheme="minorHAnsi" w:eastAsiaTheme="minorHAnsi" w:hAnsiTheme="minorHAnsi" w:cstheme="minorBidi"/>
                <w:sz w:val="22"/>
                <w:szCs w:val="22"/>
              </w:rPr>
              <w:t xml:space="preserve"> for</w:t>
            </w:r>
            <w:r w:rsidRPr="00981EE4">
              <w:rPr>
                <w:rFonts w:asciiTheme="minorHAnsi" w:eastAsiaTheme="minorHAnsi" w:hAnsiTheme="minorHAnsi" w:cstheme="minorBidi"/>
                <w:sz w:val="22"/>
                <w:szCs w:val="22"/>
              </w:rPr>
              <w:t xml:space="preserve"> transferring the funds to FSD Africa are outlined in the remainder of this Business Case Addendum. There are no alternative options for investing the funds into another UK ICF programme which would deliver similar results. </w:t>
            </w:r>
          </w:p>
          <w:p w14:paraId="2E4F527B" w14:textId="0649BDE4" w:rsidR="00981EE4" w:rsidRPr="00981EE4" w:rsidRDefault="00981EE4" w:rsidP="00981EE4">
            <w:pPr>
              <w:pStyle w:val="ListParagraph"/>
              <w:numPr>
                <w:ilvl w:val="1"/>
                <w:numId w:val="15"/>
              </w:numPr>
              <w:ind w:right="176"/>
              <w:rPr>
                <w:rFonts w:asciiTheme="minorHAnsi" w:eastAsiaTheme="minorHAnsi" w:hAnsiTheme="minorHAnsi" w:cstheme="minorBidi"/>
                <w:sz w:val="22"/>
                <w:szCs w:val="22"/>
              </w:rPr>
            </w:pPr>
            <w:r w:rsidRPr="00981EE4">
              <w:rPr>
                <w:rFonts w:asciiTheme="minorHAnsi" w:eastAsiaTheme="minorHAnsi" w:hAnsiTheme="minorHAnsi" w:cstheme="minorBidi"/>
                <w:b/>
                <w:bCs/>
                <w:sz w:val="22"/>
                <w:szCs w:val="22"/>
              </w:rPr>
              <w:t>Option 4: Hybrid model.</w:t>
            </w:r>
            <w:r w:rsidRPr="00981EE4">
              <w:rPr>
                <w:rFonts w:asciiTheme="minorHAnsi" w:eastAsiaTheme="minorHAnsi" w:hAnsiTheme="minorHAnsi" w:cstheme="minorBidi"/>
                <w:sz w:val="22"/>
                <w:szCs w:val="22"/>
              </w:rPr>
              <w:t xml:space="preserve"> The option would entail a mix between Option 2 and Option 3. This solution would only partially retain the advantages provided by Option 3, </w:t>
            </w:r>
            <w:r w:rsidR="00747CB1">
              <w:rPr>
                <w:rFonts w:asciiTheme="minorHAnsi" w:eastAsiaTheme="minorHAnsi" w:hAnsiTheme="minorHAnsi" w:cstheme="minorBidi"/>
                <w:sz w:val="22"/>
                <w:szCs w:val="22"/>
              </w:rPr>
              <w:t xml:space="preserve">such as harnessing the expertise and </w:t>
            </w:r>
            <w:r w:rsidR="0064115D">
              <w:rPr>
                <w:rFonts w:asciiTheme="minorHAnsi" w:eastAsiaTheme="minorHAnsi" w:hAnsiTheme="minorHAnsi" w:cstheme="minorBidi"/>
                <w:sz w:val="22"/>
                <w:szCs w:val="22"/>
              </w:rPr>
              <w:t>‘</w:t>
            </w:r>
            <w:r w:rsidR="00747CB1">
              <w:rPr>
                <w:rFonts w:asciiTheme="minorHAnsi" w:eastAsiaTheme="minorHAnsi" w:hAnsiTheme="minorHAnsi" w:cstheme="minorBidi"/>
                <w:sz w:val="22"/>
                <w:szCs w:val="22"/>
              </w:rPr>
              <w:t>on the ground</w:t>
            </w:r>
            <w:r w:rsidR="0064115D">
              <w:rPr>
                <w:rFonts w:asciiTheme="minorHAnsi" w:eastAsiaTheme="minorHAnsi" w:hAnsiTheme="minorHAnsi" w:cstheme="minorBidi"/>
                <w:sz w:val="22"/>
                <w:szCs w:val="22"/>
              </w:rPr>
              <w:t>’</w:t>
            </w:r>
            <w:r w:rsidR="00747CB1">
              <w:rPr>
                <w:rFonts w:asciiTheme="minorHAnsi" w:eastAsiaTheme="minorHAnsi" w:hAnsiTheme="minorHAnsi" w:cstheme="minorBidi"/>
                <w:sz w:val="22"/>
                <w:szCs w:val="22"/>
              </w:rPr>
              <w:t xml:space="preserve"> presence provided by FSD Africa, </w:t>
            </w:r>
            <w:r w:rsidRPr="00981EE4">
              <w:rPr>
                <w:rFonts w:asciiTheme="minorHAnsi" w:eastAsiaTheme="minorHAnsi" w:hAnsiTheme="minorHAnsi" w:cstheme="minorBidi"/>
                <w:sz w:val="22"/>
                <w:szCs w:val="22"/>
              </w:rPr>
              <w:t>and add some of the disadvantages of Option 2</w:t>
            </w:r>
            <w:r w:rsidR="00747CB1">
              <w:rPr>
                <w:rFonts w:asciiTheme="minorHAnsi" w:eastAsiaTheme="minorHAnsi" w:hAnsiTheme="minorHAnsi" w:cstheme="minorBidi"/>
                <w:sz w:val="22"/>
                <w:szCs w:val="22"/>
              </w:rPr>
              <w:t>, such as increased administrative burden</w:t>
            </w:r>
            <w:r w:rsidRPr="00981EE4">
              <w:rPr>
                <w:rFonts w:asciiTheme="minorHAnsi" w:eastAsiaTheme="minorHAnsi" w:hAnsiTheme="minorHAnsi" w:cstheme="minorBidi"/>
                <w:sz w:val="22"/>
                <w:szCs w:val="22"/>
              </w:rPr>
              <w:t>. It has therefore been deemed impractical and unfeasible.</w:t>
            </w:r>
          </w:p>
          <w:p w14:paraId="0770FBF1" w14:textId="39D671A7" w:rsidR="00DB1865" w:rsidRDefault="00DB1865" w:rsidP="00DB1865">
            <w:pPr>
              <w:pStyle w:val="ListParagraph"/>
              <w:rPr>
                <w:rFonts w:asciiTheme="minorHAnsi" w:eastAsiaTheme="minorHAnsi" w:hAnsiTheme="minorHAnsi" w:cstheme="minorBidi"/>
              </w:rPr>
            </w:pPr>
          </w:p>
          <w:p w14:paraId="600547CE" w14:textId="35D49B61" w:rsidR="00DB1865" w:rsidRPr="00DB1865" w:rsidRDefault="00DB1865" w:rsidP="00DB1865">
            <w:pPr>
              <w:rPr>
                <w:b/>
                <w:i/>
                <w:color w:val="2F5496" w:themeColor="accent5" w:themeShade="BF"/>
                <w:sz w:val="22"/>
                <w:szCs w:val="22"/>
              </w:rPr>
            </w:pPr>
            <w:r w:rsidRPr="00DB1865">
              <w:rPr>
                <w:b/>
                <w:i/>
                <w:color w:val="2F5496" w:themeColor="accent5" w:themeShade="BF"/>
                <w:sz w:val="22"/>
                <w:szCs w:val="22"/>
              </w:rPr>
              <w:t xml:space="preserve">The context and problem that the </w:t>
            </w:r>
            <w:r>
              <w:rPr>
                <w:b/>
                <w:i/>
                <w:color w:val="2F5496" w:themeColor="accent5" w:themeShade="BF"/>
                <w:sz w:val="22"/>
                <w:szCs w:val="22"/>
              </w:rPr>
              <w:t>addendum</w:t>
            </w:r>
            <w:r w:rsidRPr="00DB1865">
              <w:rPr>
                <w:b/>
                <w:i/>
                <w:color w:val="2F5496" w:themeColor="accent5" w:themeShade="BF"/>
                <w:sz w:val="22"/>
                <w:szCs w:val="22"/>
              </w:rPr>
              <w:t xml:space="preserve"> addresses, and how it addresses them</w:t>
            </w:r>
          </w:p>
          <w:p w14:paraId="72D2DD9F" w14:textId="77777777" w:rsidR="00DB1865" w:rsidRPr="00DB1865" w:rsidRDefault="00DB1865" w:rsidP="00DB1865">
            <w:pPr>
              <w:rPr>
                <w:rFonts w:eastAsiaTheme="minorHAnsi"/>
              </w:rPr>
            </w:pPr>
          </w:p>
          <w:p w14:paraId="4D712605" w14:textId="56689633" w:rsidR="00285CF3" w:rsidRDefault="00285CF3" w:rsidP="00DA16E3">
            <w:pPr>
              <w:pStyle w:val="ListParagraph"/>
              <w:numPr>
                <w:ilvl w:val="0"/>
                <w:numId w:val="15"/>
              </w:numPr>
              <w:ind w:right="176"/>
              <w:rPr>
                <w:rFonts w:asciiTheme="minorHAnsi" w:eastAsiaTheme="minorHAnsi" w:hAnsiTheme="minorHAnsi" w:cstheme="minorBidi"/>
                <w:sz w:val="22"/>
                <w:szCs w:val="22"/>
              </w:rPr>
            </w:pPr>
            <w:r w:rsidRPr="00285CF3">
              <w:rPr>
                <w:rFonts w:asciiTheme="minorHAnsi" w:eastAsiaTheme="minorHAnsi" w:hAnsiTheme="minorHAnsi" w:cstheme="minorBidi"/>
                <w:sz w:val="22"/>
                <w:szCs w:val="22"/>
              </w:rPr>
              <w:t>More than half of the world’s economic output – US$44tn of economic value generation</w:t>
            </w:r>
            <w:r w:rsidR="00B571CB">
              <w:rPr>
                <w:rStyle w:val="FootnoteReference"/>
                <w:rFonts w:asciiTheme="minorHAnsi" w:eastAsiaTheme="minorHAnsi" w:hAnsiTheme="minorHAnsi" w:cstheme="minorBidi"/>
                <w:sz w:val="22"/>
                <w:szCs w:val="22"/>
              </w:rPr>
              <w:footnoteReference w:id="6"/>
            </w:r>
            <w:r w:rsidRPr="00285CF3">
              <w:rPr>
                <w:rFonts w:asciiTheme="minorHAnsi" w:eastAsiaTheme="minorHAnsi" w:hAnsiTheme="minorHAnsi" w:cstheme="minorBidi"/>
                <w:sz w:val="22"/>
                <w:szCs w:val="22"/>
              </w:rPr>
              <w:t xml:space="preserve"> – is moderately or highly dependent on nature, according to estimates by the World Economic Forum.</w:t>
            </w:r>
          </w:p>
          <w:p w14:paraId="51475826" w14:textId="77777777" w:rsidR="00285CF3" w:rsidRDefault="00285CF3" w:rsidP="00DA16E3">
            <w:pPr>
              <w:pStyle w:val="ListParagraph"/>
              <w:ind w:left="360" w:right="176"/>
              <w:rPr>
                <w:rFonts w:asciiTheme="minorHAnsi" w:eastAsiaTheme="minorHAnsi" w:hAnsiTheme="minorHAnsi" w:cstheme="minorBidi"/>
                <w:sz w:val="22"/>
                <w:szCs w:val="22"/>
              </w:rPr>
            </w:pPr>
          </w:p>
          <w:p w14:paraId="74CF87B1" w14:textId="389A3A1D" w:rsidR="00285CF3" w:rsidRDefault="00285CF3" w:rsidP="00DA16E3">
            <w:pPr>
              <w:pStyle w:val="ListParagraph"/>
              <w:numPr>
                <w:ilvl w:val="0"/>
                <w:numId w:val="15"/>
              </w:numPr>
              <w:ind w:right="176"/>
              <w:rPr>
                <w:rFonts w:asciiTheme="minorHAnsi" w:eastAsiaTheme="minorHAnsi" w:hAnsiTheme="minorHAnsi" w:cstheme="minorBidi"/>
                <w:sz w:val="22"/>
                <w:szCs w:val="22"/>
              </w:rPr>
            </w:pPr>
            <w:r w:rsidRPr="00285CF3">
              <w:rPr>
                <w:rFonts w:asciiTheme="minorHAnsi" w:eastAsiaTheme="minorHAnsi" w:hAnsiTheme="minorHAnsi" w:cstheme="minorBidi"/>
                <w:sz w:val="22"/>
                <w:szCs w:val="22"/>
              </w:rPr>
              <w:t>But already, humanity has wiped out 83% of wild mammals and half of all plants</w:t>
            </w:r>
            <w:r w:rsidR="00B571CB">
              <w:rPr>
                <w:rStyle w:val="FootnoteReference"/>
                <w:rFonts w:asciiTheme="minorHAnsi" w:eastAsiaTheme="minorHAnsi" w:hAnsiTheme="minorHAnsi" w:cstheme="minorBidi"/>
                <w:sz w:val="22"/>
                <w:szCs w:val="22"/>
              </w:rPr>
              <w:footnoteReference w:id="7"/>
            </w:r>
            <w:r w:rsidRPr="00285CF3">
              <w:rPr>
                <w:rFonts w:asciiTheme="minorHAnsi" w:eastAsiaTheme="minorHAnsi" w:hAnsiTheme="minorHAnsi" w:cstheme="minorBidi"/>
                <w:sz w:val="22"/>
                <w:szCs w:val="22"/>
              </w:rPr>
              <w:t>. Three-quarters of ice-free land and two-thirds of marine environments have been severely altered.</w:t>
            </w:r>
            <w:r>
              <w:rPr>
                <w:rFonts w:asciiTheme="minorHAnsi" w:eastAsiaTheme="minorHAnsi" w:hAnsiTheme="minorHAnsi" w:cstheme="minorBidi"/>
                <w:sz w:val="22"/>
                <w:szCs w:val="22"/>
              </w:rPr>
              <w:t xml:space="preserve"> </w:t>
            </w:r>
            <w:r w:rsidRPr="00285CF3">
              <w:rPr>
                <w:rFonts w:asciiTheme="minorHAnsi" w:eastAsiaTheme="minorHAnsi" w:hAnsiTheme="minorHAnsi" w:cstheme="minorBidi"/>
                <w:sz w:val="22"/>
                <w:szCs w:val="22"/>
              </w:rPr>
              <w:t>The high dependency of the global economy on nature means nature loss represents significant risk to corporate and financial stability.</w:t>
            </w:r>
          </w:p>
          <w:p w14:paraId="183BA55A" w14:textId="77777777" w:rsidR="00285CF3" w:rsidRPr="00DA16E3" w:rsidRDefault="00285CF3" w:rsidP="00DA16E3">
            <w:pPr>
              <w:pStyle w:val="ListParagraph"/>
              <w:ind w:left="360" w:right="176"/>
              <w:rPr>
                <w:rFonts w:asciiTheme="minorHAnsi" w:eastAsiaTheme="minorHAnsi" w:hAnsiTheme="minorHAnsi" w:cstheme="minorBidi"/>
                <w:sz w:val="22"/>
                <w:szCs w:val="22"/>
              </w:rPr>
            </w:pPr>
          </w:p>
          <w:p w14:paraId="16B36F8D" w14:textId="1C13B7EC" w:rsidR="00285CF3" w:rsidRPr="00285CF3" w:rsidRDefault="00285CF3" w:rsidP="00DA16E3">
            <w:pPr>
              <w:pStyle w:val="ListParagraph"/>
              <w:numPr>
                <w:ilvl w:val="0"/>
                <w:numId w:val="15"/>
              </w:numPr>
              <w:ind w:right="176"/>
              <w:rPr>
                <w:rFonts w:asciiTheme="minorHAnsi" w:eastAsiaTheme="minorHAnsi" w:hAnsiTheme="minorHAnsi" w:cstheme="minorBidi"/>
                <w:sz w:val="22"/>
                <w:szCs w:val="22"/>
              </w:rPr>
            </w:pPr>
            <w:r w:rsidRPr="00DA16E3">
              <w:rPr>
                <w:rFonts w:asciiTheme="minorHAnsi" w:eastAsiaTheme="minorHAnsi" w:hAnsiTheme="minorHAnsi" w:cstheme="minorBidi"/>
                <w:sz w:val="22"/>
                <w:szCs w:val="22"/>
              </w:rPr>
              <w:t>The risks of inaction are immense.  In its 2020 Global Risks report, the World Economic Forum</w:t>
            </w:r>
            <w:r w:rsidR="00E826E9">
              <w:rPr>
                <w:rFonts w:asciiTheme="minorHAnsi" w:eastAsiaTheme="minorHAnsi" w:hAnsiTheme="minorHAnsi" w:cstheme="minorBidi"/>
                <w:sz w:val="22"/>
                <w:szCs w:val="22"/>
              </w:rPr>
              <w:t xml:space="preserve"> (WEF)</w:t>
            </w:r>
            <w:r w:rsidRPr="00DA16E3">
              <w:rPr>
                <w:rFonts w:asciiTheme="minorHAnsi" w:eastAsiaTheme="minorHAnsi" w:hAnsiTheme="minorHAnsi" w:cstheme="minorBidi"/>
                <w:sz w:val="22"/>
                <w:szCs w:val="22"/>
              </w:rPr>
              <w:t xml:space="preserve"> ranks biodiversity loss and ecosystem collapse as one of the top five risks in the next 10 years. But the opportunities from action are equally huge. </w:t>
            </w:r>
            <w:r w:rsidR="005D1EA1">
              <w:rPr>
                <w:rFonts w:asciiTheme="minorHAnsi" w:eastAsiaTheme="minorHAnsi" w:hAnsiTheme="minorHAnsi" w:cstheme="minorBidi"/>
                <w:sz w:val="22"/>
                <w:szCs w:val="22"/>
              </w:rPr>
              <w:t>G</w:t>
            </w:r>
            <w:r w:rsidRPr="00DA16E3">
              <w:rPr>
                <w:rFonts w:asciiTheme="minorHAnsi" w:eastAsiaTheme="minorHAnsi" w:hAnsiTheme="minorHAnsi" w:cstheme="minorBidi"/>
                <w:sz w:val="22"/>
                <w:szCs w:val="22"/>
              </w:rPr>
              <w:t xml:space="preserve">lobally, the </w:t>
            </w:r>
            <w:r w:rsidR="00E826E9">
              <w:rPr>
                <w:rFonts w:asciiTheme="minorHAnsi" w:eastAsiaTheme="minorHAnsi" w:hAnsiTheme="minorHAnsi" w:cstheme="minorBidi"/>
                <w:sz w:val="22"/>
                <w:szCs w:val="22"/>
              </w:rPr>
              <w:t xml:space="preserve">WEF estimate </w:t>
            </w:r>
            <w:r w:rsidRPr="00DA16E3">
              <w:rPr>
                <w:rFonts w:asciiTheme="minorHAnsi" w:eastAsiaTheme="minorHAnsi" w:hAnsiTheme="minorHAnsi" w:cstheme="minorBidi"/>
                <w:sz w:val="22"/>
                <w:szCs w:val="22"/>
              </w:rPr>
              <w:t>opportunities from action could generate up to US$10.1 trillion in annual business value and create 395 million jobs by 2030.</w:t>
            </w:r>
            <w:r w:rsidRPr="00DA16E3">
              <w:rPr>
                <w:rFonts w:eastAsiaTheme="minorHAnsi" w:cstheme="minorBidi"/>
                <w:vertAlign w:val="superscript"/>
              </w:rPr>
              <w:footnoteReference w:id="8"/>
            </w:r>
            <w:r w:rsidRPr="00DA16E3">
              <w:rPr>
                <w:rFonts w:asciiTheme="minorHAnsi" w:eastAsiaTheme="minorHAnsi" w:hAnsiTheme="minorHAnsi" w:cstheme="minorBidi"/>
                <w:sz w:val="22"/>
                <w:szCs w:val="22"/>
                <w:vertAlign w:val="superscript"/>
              </w:rPr>
              <w:t xml:space="preserve"> </w:t>
            </w:r>
            <w:r w:rsidRPr="00DA16E3">
              <w:rPr>
                <w:rFonts w:asciiTheme="minorHAnsi" w:eastAsiaTheme="minorHAnsi" w:hAnsiTheme="minorHAnsi" w:cstheme="minorBidi"/>
                <w:sz w:val="22"/>
                <w:szCs w:val="22"/>
              </w:rPr>
              <w:t xml:space="preserve">   </w:t>
            </w:r>
          </w:p>
          <w:p w14:paraId="653BE338" w14:textId="77777777" w:rsidR="00C80ABC" w:rsidRPr="00DA16E3" w:rsidRDefault="00C80ABC" w:rsidP="00DA16E3">
            <w:pPr>
              <w:pStyle w:val="ListParagraph"/>
              <w:ind w:left="360" w:right="176"/>
              <w:rPr>
                <w:rFonts w:asciiTheme="minorHAnsi" w:eastAsiaTheme="minorHAnsi" w:hAnsiTheme="minorHAnsi" w:cstheme="minorBidi"/>
                <w:sz w:val="22"/>
                <w:szCs w:val="22"/>
              </w:rPr>
            </w:pPr>
          </w:p>
          <w:p w14:paraId="38AA9AC1" w14:textId="6FBA0251" w:rsidR="00285CF3" w:rsidRDefault="00285CF3" w:rsidP="00DA16E3">
            <w:pPr>
              <w:pStyle w:val="ListParagraph"/>
              <w:numPr>
                <w:ilvl w:val="0"/>
                <w:numId w:val="15"/>
              </w:numPr>
              <w:ind w:right="176"/>
              <w:rPr>
                <w:rFonts w:asciiTheme="minorHAnsi" w:eastAsiaTheme="minorHAnsi" w:hAnsiTheme="minorHAnsi" w:cstheme="minorBidi"/>
                <w:sz w:val="22"/>
                <w:szCs w:val="22"/>
              </w:rPr>
            </w:pPr>
            <w:r w:rsidRPr="00285CF3">
              <w:rPr>
                <w:rFonts w:asciiTheme="minorHAnsi" w:eastAsiaTheme="minorHAnsi" w:hAnsiTheme="minorHAnsi" w:cstheme="minorBidi"/>
                <w:sz w:val="22"/>
                <w:szCs w:val="22"/>
              </w:rPr>
              <w:t>At the moment, financial institutions and companies have a low understanding of how their operations or investments impact or depend on nature, and therefore to what extent they are exposed to nature-related financial risks. To integrate nature-related risks in their decision-making, financial and corporates need decision-grade data.</w:t>
            </w:r>
          </w:p>
          <w:p w14:paraId="344F42D2" w14:textId="77777777" w:rsidR="00285CF3" w:rsidRPr="00285CF3" w:rsidRDefault="00285CF3" w:rsidP="00DA16E3">
            <w:pPr>
              <w:pStyle w:val="ListParagraph"/>
              <w:ind w:left="360" w:right="176"/>
              <w:rPr>
                <w:rFonts w:asciiTheme="minorHAnsi" w:eastAsiaTheme="minorHAnsi" w:hAnsiTheme="minorHAnsi" w:cstheme="minorBidi"/>
                <w:sz w:val="22"/>
                <w:szCs w:val="22"/>
              </w:rPr>
            </w:pPr>
          </w:p>
          <w:p w14:paraId="7AE0BCC3" w14:textId="260B5FCE" w:rsidR="00533F9E" w:rsidRPr="00DA16E3" w:rsidRDefault="00DA16E3" w:rsidP="00633982">
            <w:pPr>
              <w:pStyle w:val="ListParagraph"/>
              <w:numPr>
                <w:ilvl w:val="0"/>
                <w:numId w:val="15"/>
              </w:numPr>
              <w:ind w:right="176"/>
              <w:rPr>
                <w:rFonts w:asciiTheme="minorHAnsi" w:eastAsiaTheme="minorHAnsi" w:hAnsiTheme="minorHAnsi" w:cstheme="minorBidi"/>
                <w:sz w:val="22"/>
                <w:szCs w:val="22"/>
              </w:rPr>
            </w:pPr>
            <w:r>
              <w:rPr>
                <w:rFonts w:asciiTheme="minorHAnsi" w:eastAsiaTheme="minorHAnsi" w:hAnsiTheme="minorHAnsi" w:cstheme="minorBidi"/>
                <w:sz w:val="22"/>
                <w:szCs w:val="22"/>
              </w:rPr>
              <w:t>I</w:t>
            </w:r>
            <w:r w:rsidR="00285CF3" w:rsidRPr="00285CF3">
              <w:rPr>
                <w:rFonts w:asciiTheme="minorHAnsi" w:eastAsiaTheme="minorHAnsi" w:hAnsiTheme="minorHAnsi" w:cstheme="minorBidi"/>
                <w:sz w:val="22"/>
                <w:szCs w:val="22"/>
              </w:rPr>
              <w:t>n order to support a shift in global financial flows away from nature-negative outcomes and toward nature-positive outcomes, a Taskforce on Nature-related Financial Disclosures (TNFD)</w:t>
            </w:r>
            <w:r w:rsidR="00285CF3">
              <w:rPr>
                <w:rFonts w:asciiTheme="minorHAnsi" w:eastAsiaTheme="minorHAnsi" w:hAnsiTheme="minorHAnsi" w:cstheme="minorBidi"/>
                <w:sz w:val="22"/>
                <w:szCs w:val="22"/>
              </w:rPr>
              <w:t xml:space="preserve"> was set up, with the aim to </w:t>
            </w:r>
            <w:r w:rsidR="00285CF3" w:rsidRPr="00285CF3">
              <w:rPr>
                <w:rFonts w:asciiTheme="minorHAnsi" w:eastAsiaTheme="minorHAnsi" w:hAnsiTheme="minorHAnsi" w:cstheme="minorBidi"/>
                <w:sz w:val="22"/>
                <w:szCs w:val="22"/>
              </w:rPr>
              <w:t>deliver a framework for organisations to report and act on evolving nature-related risks.</w:t>
            </w:r>
          </w:p>
          <w:p w14:paraId="17EB6141" w14:textId="77777777" w:rsidR="00633982" w:rsidRDefault="00633982" w:rsidP="00633982">
            <w:pPr>
              <w:pStyle w:val="ListParagraph"/>
              <w:ind w:left="360" w:right="176"/>
              <w:rPr>
                <w:rFonts w:asciiTheme="minorHAnsi" w:eastAsiaTheme="minorHAnsi" w:hAnsiTheme="minorHAnsi" w:cstheme="minorBidi"/>
                <w:sz w:val="22"/>
                <w:szCs w:val="22"/>
              </w:rPr>
            </w:pPr>
          </w:p>
          <w:p w14:paraId="79ECE1A4" w14:textId="1D671DB5" w:rsidR="00285CF3" w:rsidRPr="00DA16E3" w:rsidRDefault="00633982" w:rsidP="00DA16E3">
            <w:pPr>
              <w:pStyle w:val="ListParagraph"/>
              <w:numPr>
                <w:ilvl w:val="0"/>
                <w:numId w:val="15"/>
              </w:numPr>
              <w:ind w:right="176"/>
              <w:rPr>
                <w:rFonts w:asciiTheme="minorHAnsi" w:eastAsiaTheme="minorHAnsi" w:hAnsiTheme="minorHAnsi" w:cstheme="minorBidi"/>
                <w:sz w:val="22"/>
                <w:szCs w:val="22"/>
              </w:rPr>
            </w:pPr>
            <w:r>
              <w:rPr>
                <w:rFonts w:asciiTheme="minorHAnsi" w:eastAsiaTheme="minorHAnsi" w:hAnsiTheme="minorHAnsi" w:cstheme="minorBidi"/>
                <w:sz w:val="22"/>
                <w:szCs w:val="22"/>
              </w:rPr>
              <w:t>T</w:t>
            </w:r>
            <w:r w:rsidR="00533F9E" w:rsidRPr="00DA16E3">
              <w:rPr>
                <w:rFonts w:asciiTheme="minorHAnsi" w:eastAsiaTheme="minorHAnsi" w:hAnsiTheme="minorHAnsi" w:cstheme="minorBidi"/>
                <w:sz w:val="22"/>
                <w:szCs w:val="22"/>
              </w:rPr>
              <w:t xml:space="preserve">o ensure that the </w:t>
            </w:r>
            <w:r>
              <w:rPr>
                <w:rFonts w:asciiTheme="minorHAnsi" w:eastAsiaTheme="minorHAnsi" w:hAnsiTheme="minorHAnsi" w:cstheme="minorBidi"/>
                <w:sz w:val="22"/>
                <w:szCs w:val="22"/>
              </w:rPr>
              <w:t>TNFD</w:t>
            </w:r>
            <w:r w:rsidR="00533F9E" w:rsidRPr="00DA16E3">
              <w:rPr>
                <w:rFonts w:asciiTheme="minorHAnsi" w:eastAsiaTheme="minorHAnsi" w:hAnsiTheme="minorHAnsi" w:cstheme="minorBidi"/>
                <w:sz w:val="22"/>
                <w:szCs w:val="22"/>
              </w:rPr>
              <w:t xml:space="preserve"> is designed in a way that can be effectively applied across Africa and mitigate risks of creating additional barriers to investment in the continent</w:t>
            </w:r>
            <w:r>
              <w:rPr>
                <w:rFonts w:asciiTheme="minorHAnsi" w:eastAsiaTheme="minorHAnsi" w:hAnsiTheme="minorHAnsi" w:cstheme="minorBidi"/>
                <w:sz w:val="22"/>
                <w:szCs w:val="22"/>
              </w:rPr>
              <w:t>, i</w:t>
            </w:r>
            <w:r w:rsidRPr="00DA16E3">
              <w:rPr>
                <w:rFonts w:asciiTheme="minorHAnsi" w:eastAsiaTheme="minorHAnsi" w:hAnsiTheme="minorHAnsi" w:cstheme="minorBidi"/>
                <w:sz w:val="22"/>
                <w:szCs w:val="22"/>
              </w:rPr>
              <w:t xml:space="preserve">t is critical to ensure strong engagement by African financial institutions and governments at this </w:t>
            </w:r>
            <w:r>
              <w:rPr>
                <w:rFonts w:asciiTheme="minorHAnsi" w:eastAsiaTheme="minorHAnsi" w:hAnsiTheme="minorHAnsi" w:cstheme="minorBidi"/>
                <w:sz w:val="22"/>
                <w:szCs w:val="22"/>
              </w:rPr>
              <w:t xml:space="preserve">development </w:t>
            </w:r>
            <w:r w:rsidRPr="00DA16E3">
              <w:rPr>
                <w:rFonts w:asciiTheme="minorHAnsi" w:eastAsiaTheme="minorHAnsi" w:hAnsiTheme="minorHAnsi" w:cstheme="minorBidi"/>
                <w:sz w:val="22"/>
                <w:szCs w:val="22"/>
              </w:rPr>
              <w:t xml:space="preserve">stage </w:t>
            </w:r>
            <w:r>
              <w:rPr>
                <w:rFonts w:asciiTheme="minorHAnsi" w:eastAsiaTheme="minorHAnsi" w:hAnsiTheme="minorHAnsi" w:cstheme="minorBidi"/>
                <w:sz w:val="22"/>
                <w:szCs w:val="22"/>
              </w:rPr>
              <w:t>of the initiative</w:t>
            </w:r>
            <w:r w:rsidR="00533F9E" w:rsidRPr="00DA16E3">
              <w:rPr>
                <w:rFonts w:asciiTheme="minorHAnsi" w:eastAsiaTheme="minorHAnsi" w:hAnsiTheme="minorHAnsi" w:cstheme="minorBidi"/>
                <w:sz w:val="22"/>
                <w:szCs w:val="22"/>
              </w:rPr>
              <w:t>.</w:t>
            </w:r>
          </w:p>
          <w:p w14:paraId="2DFA8792" w14:textId="77777777" w:rsidR="00C80ABC" w:rsidRPr="00DA16E3" w:rsidRDefault="00C80ABC" w:rsidP="00DA16E3">
            <w:pPr>
              <w:pStyle w:val="ListParagraph"/>
              <w:ind w:left="360" w:right="176"/>
              <w:rPr>
                <w:rFonts w:asciiTheme="minorHAnsi" w:eastAsiaTheme="minorHAnsi" w:hAnsiTheme="minorHAnsi" w:cstheme="minorBidi"/>
                <w:sz w:val="22"/>
                <w:szCs w:val="22"/>
              </w:rPr>
            </w:pPr>
          </w:p>
          <w:p w14:paraId="0F0BE9C9" w14:textId="2F43EC7C" w:rsidR="00591637" w:rsidRPr="00DA16E3" w:rsidRDefault="00A274A6" w:rsidP="00DA16E3">
            <w:pPr>
              <w:pStyle w:val="ListParagraph"/>
              <w:numPr>
                <w:ilvl w:val="0"/>
                <w:numId w:val="15"/>
              </w:numPr>
              <w:ind w:right="176"/>
              <w:rPr>
                <w:rFonts w:asciiTheme="minorHAnsi" w:eastAsiaTheme="minorHAnsi" w:hAnsiTheme="minorHAnsi" w:cstheme="minorBidi"/>
                <w:sz w:val="22"/>
                <w:szCs w:val="22"/>
              </w:rPr>
            </w:pPr>
            <w:r w:rsidRPr="00DA16E3">
              <w:rPr>
                <w:rFonts w:asciiTheme="minorHAnsi" w:eastAsiaTheme="minorHAnsi" w:hAnsiTheme="minorHAnsi" w:cstheme="minorBidi"/>
                <w:sz w:val="22"/>
                <w:szCs w:val="22"/>
              </w:rPr>
              <w:t>This programme seeks to facilitate that by supporting the effective management of exposure to nature related risks by financial institutions, regulators and policymakers in Africa and a comprehensive understanding of key opportunities, including through the promotion of the socio-economic and financial rationale for encouraging uptake of the TNFD framework and preparing the ground for its successful adoption by Financial Institutions and corporates in Africa.</w:t>
            </w:r>
          </w:p>
          <w:p w14:paraId="5861F3B0" w14:textId="77777777" w:rsidR="00591637" w:rsidRPr="00591637" w:rsidRDefault="00591637" w:rsidP="00591637">
            <w:pPr>
              <w:pStyle w:val="ListParagraph"/>
              <w:rPr>
                <w:rFonts w:asciiTheme="minorHAnsi" w:eastAsiaTheme="minorHAnsi" w:hAnsiTheme="minorHAnsi" w:cstheme="minorBidi"/>
              </w:rPr>
            </w:pPr>
          </w:p>
          <w:p w14:paraId="16265A46" w14:textId="62787E06" w:rsidR="00591637" w:rsidRPr="00591637" w:rsidRDefault="00591637" w:rsidP="00591637">
            <w:pPr>
              <w:rPr>
                <w:b/>
                <w:i/>
                <w:color w:val="2F5496" w:themeColor="accent5" w:themeShade="BF"/>
                <w:sz w:val="22"/>
                <w:szCs w:val="22"/>
              </w:rPr>
            </w:pPr>
            <w:r w:rsidRPr="00591637">
              <w:rPr>
                <w:b/>
                <w:i/>
                <w:color w:val="2F5496" w:themeColor="accent5" w:themeShade="BF"/>
                <w:sz w:val="22"/>
                <w:szCs w:val="22"/>
              </w:rPr>
              <w:t>Strategic alignment with Defra and HMG priorities</w:t>
            </w:r>
          </w:p>
          <w:p w14:paraId="6029B8A0" w14:textId="77777777" w:rsidR="00591637" w:rsidRPr="00591637" w:rsidRDefault="00591637" w:rsidP="00591637">
            <w:pPr>
              <w:pStyle w:val="ListParagraph"/>
              <w:rPr>
                <w:rFonts w:asciiTheme="minorHAnsi" w:eastAsiaTheme="minorHAnsi" w:hAnsiTheme="minorHAnsi" w:cstheme="minorBidi"/>
              </w:rPr>
            </w:pPr>
          </w:p>
          <w:p w14:paraId="2609E793" w14:textId="10EE680D" w:rsidR="00A519D0" w:rsidRDefault="00A519D0" w:rsidP="00F310E3">
            <w:pPr>
              <w:pStyle w:val="ListParagraph"/>
              <w:numPr>
                <w:ilvl w:val="0"/>
                <w:numId w:val="15"/>
              </w:numPr>
              <w:rPr>
                <w:rFonts w:asciiTheme="minorHAnsi" w:eastAsiaTheme="minorHAnsi" w:hAnsiTheme="minorHAnsi" w:cstheme="minorBidi"/>
                <w:sz w:val="22"/>
                <w:szCs w:val="22"/>
              </w:rPr>
            </w:pPr>
            <w:r>
              <w:rPr>
                <w:rFonts w:asciiTheme="minorHAnsi" w:eastAsiaTheme="minorHAnsi" w:hAnsiTheme="minorHAnsi" w:cstheme="minorBidi"/>
                <w:sz w:val="22"/>
                <w:szCs w:val="22"/>
              </w:rPr>
              <w:t>The proposal will be part of Defra’s ODA and ICF portfolio</w:t>
            </w:r>
            <w:r w:rsidR="00D22706">
              <w:rPr>
                <w:rFonts w:asciiTheme="minorHAnsi" w:eastAsiaTheme="minorHAnsi" w:hAnsiTheme="minorHAnsi" w:cstheme="minorBidi"/>
                <w:sz w:val="22"/>
                <w:szCs w:val="22"/>
              </w:rPr>
              <w:t xml:space="preserve">, complementing ongoing efforts to tackle biodiversity loss, </w:t>
            </w:r>
            <w:r>
              <w:rPr>
                <w:rFonts w:asciiTheme="minorHAnsi" w:eastAsiaTheme="minorHAnsi" w:hAnsiTheme="minorHAnsi" w:cstheme="minorBidi"/>
                <w:sz w:val="22"/>
                <w:szCs w:val="22"/>
              </w:rPr>
              <w:t>and contribut</w:t>
            </w:r>
            <w:r w:rsidR="00D22706">
              <w:rPr>
                <w:rFonts w:asciiTheme="minorHAnsi" w:eastAsiaTheme="minorHAnsi" w:hAnsiTheme="minorHAnsi" w:cstheme="minorBidi"/>
                <w:sz w:val="22"/>
                <w:szCs w:val="22"/>
              </w:rPr>
              <w:t>ing</w:t>
            </w:r>
            <w:r>
              <w:rPr>
                <w:rFonts w:asciiTheme="minorHAnsi" w:eastAsiaTheme="minorHAnsi" w:hAnsiTheme="minorHAnsi" w:cstheme="minorBidi"/>
                <w:sz w:val="22"/>
                <w:szCs w:val="22"/>
              </w:rPr>
              <w:t xml:space="preserve"> to some o</w:t>
            </w:r>
            <w:r w:rsidR="00D22706">
              <w:rPr>
                <w:rFonts w:asciiTheme="minorHAnsi" w:eastAsiaTheme="minorHAnsi" w:hAnsiTheme="minorHAnsi" w:cstheme="minorBidi"/>
                <w:sz w:val="22"/>
                <w:szCs w:val="22"/>
              </w:rPr>
              <w:t xml:space="preserve">f HMG’s key international objectives. </w:t>
            </w:r>
          </w:p>
          <w:p w14:paraId="44B72C63" w14:textId="77777777" w:rsidR="00A519D0" w:rsidRDefault="00A519D0" w:rsidP="00A519D0">
            <w:pPr>
              <w:pStyle w:val="ListParagraph"/>
              <w:ind w:left="360"/>
              <w:rPr>
                <w:rFonts w:asciiTheme="minorHAnsi" w:eastAsiaTheme="minorHAnsi" w:hAnsiTheme="minorHAnsi" w:cstheme="minorBidi"/>
                <w:sz w:val="22"/>
                <w:szCs w:val="22"/>
              </w:rPr>
            </w:pPr>
          </w:p>
          <w:p w14:paraId="1B9A30D4" w14:textId="0C315F8A" w:rsidR="00591637" w:rsidRPr="00F310E3" w:rsidRDefault="00F310E3" w:rsidP="00F310E3">
            <w:pPr>
              <w:pStyle w:val="ListParagraph"/>
              <w:numPr>
                <w:ilvl w:val="0"/>
                <w:numId w:val="15"/>
              </w:numPr>
              <w:rPr>
                <w:rFonts w:asciiTheme="minorHAnsi" w:eastAsiaTheme="minorHAnsi" w:hAnsiTheme="minorHAnsi" w:cstheme="minorBidi"/>
                <w:sz w:val="22"/>
                <w:szCs w:val="22"/>
              </w:rPr>
            </w:pPr>
            <w:r w:rsidRPr="00F310E3">
              <w:rPr>
                <w:rFonts w:asciiTheme="minorHAnsi" w:eastAsiaTheme="minorHAnsi" w:hAnsiTheme="minorHAnsi" w:cstheme="minorBidi"/>
                <w:sz w:val="22"/>
                <w:szCs w:val="22"/>
              </w:rPr>
              <w:t xml:space="preserve">In 2021’s Integrated Review, HMG made tackling climate change and biodiversity loss </w:t>
            </w:r>
            <w:r w:rsidR="0098417B">
              <w:rPr>
                <w:rFonts w:asciiTheme="minorHAnsi" w:eastAsiaTheme="minorHAnsi" w:hAnsiTheme="minorHAnsi" w:cstheme="minorBidi"/>
                <w:sz w:val="22"/>
                <w:szCs w:val="22"/>
              </w:rPr>
              <w:t xml:space="preserve">one of </w:t>
            </w:r>
            <w:r w:rsidRPr="00F310E3">
              <w:rPr>
                <w:rFonts w:asciiTheme="minorHAnsi" w:eastAsiaTheme="minorHAnsi" w:hAnsiTheme="minorHAnsi" w:cstheme="minorBidi"/>
                <w:sz w:val="22"/>
                <w:szCs w:val="22"/>
              </w:rPr>
              <w:t>its</w:t>
            </w:r>
            <w:r w:rsidR="0098417B">
              <w:rPr>
                <w:rFonts w:asciiTheme="minorHAnsi" w:eastAsiaTheme="minorHAnsi" w:hAnsiTheme="minorHAnsi" w:cstheme="minorBidi"/>
                <w:sz w:val="22"/>
                <w:szCs w:val="22"/>
              </w:rPr>
              <w:t xml:space="preserve"> seven </w:t>
            </w:r>
            <w:r w:rsidRPr="00F310E3">
              <w:rPr>
                <w:rFonts w:asciiTheme="minorHAnsi" w:eastAsiaTheme="minorHAnsi" w:hAnsiTheme="minorHAnsi" w:cstheme="minorBidi"/>
                <w:sz w:val="22"/>
                <w:szCs w:val="22"/>
              </w:rPr>
              <w:t xml:space="preserve"> international priorit</w:t>
            </w:r>
            <w:r w:rsidR="0098417B">
              <w:rPr>
                <w:rFonts w:asciiTheme="minorHAnsi" w:eastAsiaTheme="minorHAnsi" w:hAnsiTheme="minorHAnsi" w:cstheme="minorBidi"/>
                <w:sz w:val="22"/>
                <w:szCs w:val="22"/>
              </w:rPr>
              <w:t>ies</w:t>
            </w:r>
            <w:r w:rsidRPr="00F310E3">
              <w:rPr>
                <w:rFonts w:asciiTheme="minorHAnsi" w:eastAsiaTheme="minorHAnsi" w:hAnsiTheme="minorHAnsi" w:cstheme="minorBidi"/>
                <w:sz w:val="22"/>
                <w:szCs w:val="22"/>
              </w:rPr>
              <w:t xml:space="preserve"> and in January committed to spend at least £3bn of International Climate Finance (ICF) from 2021-</w:t>
            </w:r>
            <w:r w:rsidR="003511DB" w:rsidRPr="00F310E3">
              <w:rPr>
                <w:rFonts w:asciiTheme="minorHAnsi" w:eastAsiaTheme="minorHAnsi" w:hAnsiTheme="minorHAnsi" w:cstheme="minorBidi"/>
                <w:sz w:val="22"/>
                <w:szCs w:val="22"/>
              </w:rPr>
              <w:t>202</w:t>
            </w:r>
            <w:r w:rsidR="003511DB">
              <w:rPr>
                <w:rFonts w:asciiTheme="minorHAnsi" w:eastAsiaTheme="minorHAnsi" w:hAnsiTheme="minorHAnsi" w:cstheme="minorBidi"/>
                <w:sz w:val="22"/>
                <w:szCs w:val="22"/>
              </w:rPr>
              <w:t>5</w:t>
            </w:r>
            <w:r w:rsidR="003511DB" w:rsidRPr="00F310E3">
              <w:rPr>
                <w:rFonts w:asciiTheme="minorHAnsi" w:eastAsiaTheme="minorHAnsi" w:hAnsiTheme="minorHAnsi" w:cstheme="minorBidi"/>
                <w:sz w:val="22"/>
                <w:szCs w:val="22"/>
              </w:rPr>
              <w:t xml:space="preserve"> </w:t>
            </w:r>
            <w:r w:rsidRPr="00F310E3">
              <w:rPr>
                <w:rFonts w:asciiTheme="minorHAnsi" w:eastAsiaTheme="minorHAnsi" w:hAnsiTheme="minorHAnsi" w:cstheme="minorBidi"/>
                <w:sz w:val="22"/>
                <w:szCs w:val="22"/>
              </w:rPr>
              <w:t>on nature.</w:t>
            </w:r>
          </w:p>
          <w:p w14:paraId="2D912663" w14:textId="77777777" w:rsidR="00F310E3" w:rsidRPr="00F310E3" w:rsidRDefault="00F310E3" w:rsidP="00F310E3">
            <w:pPr>
              <w:pStyle w:val="ListParagraph"/>
              <w:ind w:left="360"/>
              <w:rPr>
                <w:rFonts w:asciiTheme="minorHAnsi" w:eastAsiaTheme="minorHAnsi" w:hAnsiTheme="minorHAnsi" w:cstheme="minorBidi"/>
                <w:sz w:val="22"/>
                <w:szCs w:val="22"/>
              </w:rPr>
            </w:pPr>
          </w:p>
          <w:p w14:paraId="3D932138" w14:textId="3E9194E5" w:rsidR="00F310E3" w:rsidRDefault="00F310E3" w:rsidP="001E2F38">
            <w:pPr>
              <w:pStyle w:val="ListParagraph"/>
              <w:numPr>
                <w:ilvl w:val="0"/>
                <w:numId w:val="15"/>
              </w:numPr>
              <w:rPr>
                <w:rFonts w:asciiTheme="minorHAnsi" w:eastAsiaTheme="minorHAnsi" w:hAnsiTheme="minorHAnsi" w:cstheme="minorBidi"/>
                <w:sz w:val="22"/>
                <w:szCs w:val="22"/>
              </w:rPr>
            </w:pPr>
            <w:r w:rsidRPr="00F310E3">
              <w:rPr>
                <w:rFonts w:asciiTheme="minorHAnsi" w:eastAsiaTheme="minorHAnsi" w:hAnsiTheme="minorHAnsi" w:cstheme="minorBidi"/>
                <w:sz w:val="22"/>
                <w:szCs w:val="22"/>
              </w:rPr>
              <w:t>In its response to the Dasgupta Review on the Economics of Biodiversity, HMG committed to: (1) delivering a ‘nature positive’ future, in which we leave the environment in a better state than we found it, and reverse biodiversity loss globally by 2030; and (2) ensuring economic and financial decision-making, and the systems and institutions that underpin it, supports the delivery of</w:t>
            </w:r>
            <w:r>
              <w:rPr>
                <w:rFonts w:asciiTheme="minorHAnsi" w:eastAsiaTheme="minorHAnsi" w:hAnsiTheme="minorHAnsi" w:cstheme="minorBidi"/>
                <w:sz w:val="22"/>
                <w:szCs w:val="22"/>
              </w:rPr>
              <w:t xml:space="preserve"> </w:t>
            </w:r>
            <w:r w:rsidRPr="00F310E3">
              <w:rPr>
                <w:rFonts w:asciiTheme="minorHAnsi" w:eastAsiaTheme="minorHAnsi" w:hAnsiTheme="minorHAnsi" w:cstheme="minorBidi"/>
                <w:sz w:val="22"/>
                <w:szCs w:val="22"/>
              </w:rPr>
              <w:t>that nature positive future</w:t>
            </w:r>
            <w:r>
              <w:rPr>
                <w:rFonts w:asciiTheme="minorHAnsi" w:eastAsiaTheme="minorHAnsi" w:hAnsiTheme="minorHAnsi" w:cstheme="minorBidi"/>
                <w:sz w:val="22"/>
                <w:szCs w:val="22"/>
              </w:rPr>
              <w:t>.</w:t>
            </w:r>
            <w:r w:rsidRPr="00F310E3">
              <w:rPr>
                <w:rFonts w:asciiTheme="minorHAnsi" w:eastAsiaTheme="minorHAnsi" w:hAnsiTheme="minorHAnsi" w:cstheme="minorBidi"/>
                <w:sz w:val="22"/>
                <w:szCs w:val="22"/>
              </w:rPr>
              <w:t xml:space="preserve"> </w:t>
            </w:r>
            <w:r w:rsidR="0098417B">
              <w:rPr>
                <w:rFonts w:asciiTheme="minorHAnsi" w:eastAsiaTheme="minorHAnsi" w:hAnsiTheme="minorHAnsi" w:cstheme="minorBidi"/>
                <w:sz w:val="22"/>
                <w:szCs w:val="22"/>
              </w:rPr>
              <w:t xml:space="preserve"> This concept of driving a nature positive economy was endorsed by the G7</w:t>
            </w:r>
            <w:r w:rsidR="00314E76">
              <w:rPr>
                <w:rFonts w:asciiTheme="minorHAnsi" w:eastAsiaTheme="minorHAnsi" w:hAnsiTheme="minorHAnsi" w:cstheme="minorBidi"/>
                <w:sz w:val="22"/>
                <w:szCs w:val="22"/>
              </w:rPr>
              <w:t>; it</w:t>
            </w:r>
            <w:r w:rsidR="0098417B">
              <w:rPr>
                <w:rFonts w:asciiTheme="minorHAnsi" w:eastAsiaTheme="minorHAnsi" w:hAnsiTheme="minorHAnsi" w:cstheme="minorBidi"/>
                <w:sz w:val="22"/>
                <w:szCs w:val="22"/>
              </w:rPr>
              <w:t xml:space="preserve"> formed the second pillar of the G7 Nature Compact which looked forward to the establishment of the TNFD and its recommendations.</w:t>
            </w:r>
          </w:p>
          <w:p w14:paraId="01A90FCD" w14:textId="77777777" w:rsidR="000843D4" w:rsidRPr="000843D4" w:rsidRDefault="000843D4" w:rsidP="000843D4">
            <w:pPr>
              <w:pStyle w:val="ListParagraph"/>
              <w:rPr>
                <w:rFonts w:asciiTheme="minorHAnsi" w:eastAsiaTheme="minorHAnsi" w:hAnsiTheme="minorHAnsi" w:cstheme="minorBidi"/>
              </w:rPr>
            </w:pPr>
          </w:p>
          <w:p w14:paraId="1D91E91F" w14:textId="5D2AF0BF" w:rsidR="000843D4" w:rsidRPr="00F310E3" w:rsidRDefault="000843D4" w:rsidP="000843D4">
            <w:pPr>
              <w:pStyle w:val="ListParagraph"/>
              <w:numPr>
                <w:ilvl w:val="0"/>
                <w:numId w:val="15"/>
              </w:num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This proposal will enhance the likelihood of success of the TNFD, which delivers on </w:t>
            </w:r>
            <w:r w:rsidR="0098417B">
              <w:rPr>
                <w:rFonts w:asciiTheme="minorHAnsi" w:eastAsiaTheme="minorHAnsi" w:hAnsiTheme="minorHAnsi" w:cstheme="minorBidi"/>
                <w:sz w:val="22"/>
                <w:szCs w:val="22"/>
              </w:rPr>
              <w:t xml:space="preserve">objectives set out in </w:t>
            </w:r>
            <w:r>
              <w:rPr>
                <w:rFonts w:asciiTheme="minorHAnsi" w:eastAsiaTheme="minorHAnsi" w:hAnsiTheme="minorHAnsi" w:cstheme="minorBidi"/>
                <w:sz w:val="22"/>
                <w:szCs w:val="22"/>
              </w:rPr>
              <w:t xml:space="preserve">the </w:t>
            </w:r>
            <w:r w:rsidRPr="000843D4">
              <w:rPr>
                <w:rFonts w:asciiTheme="minorHAnsi" w:eastAsiaTheme="minorHAnsi" w:hAnsiTheme="minorHAnsi" w:cstheme="minorBidi"/>
                <w:sz w:val="22"/>
                <w:szCs w:val="22"/>
              </w:rPr>
              <w:t>Integrated Review</w:t>
            </w:r>
            <w:r w:rsidR="0098417B">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and </w:t>
            </w:r>
            <w:r w:rsidRPr="000843D4">
              <w:rPr>
                <w:rFonts w:asciiTheme="minorHAnsi" w:eastAsiaTheme="minorHAnsi" w:hAnsiTheme="minorHAnsi" w:cstheme="minorBidi"/>
                <w:sz w:val="22"/>
                <w:szCs w:val="22"/>
              </w:rPr>
              <w:t>HMG’s International Nature Strategy</w:t>
            </w:r>
            <w:r>
              <w:rPr>
                <w:rFonts w:asciiTheme="minorHAnsi" w:eastAsiaTheme="minorHAnsi" w:hAnsiTheme="minorHAnsi" w:cstheme="minorBidi"/>
                <w:sz w:val="22"/>
                <w:szCs w:val="22"/>
              </w:rPr>
              <w:t>. It will also contribute fulfilling HMG’s commitments in response to the Dasgupta Review</w:t>
            </w:r>
            <w:r w:rsidR="00314E76">
              <w:rPr>
                <w:rFonts w:asciiTheme="minorHAnsi" w:eastAsiaTheme="minorHAnsi" w:hAnsiTheme="minorHAnsi" w:cstheme="minorBidi"/>
                <w:sz w:val="22"/>
                <w:szCs w:val="22"/>
              </w:rPr>
              <w:t xml:space="preserve"> and through the G7</w:t>
            </w:r>
            <w:r>
              <w:rPr>
                <w:rFonts w:asciiTheme="minorHAnsi" w:eastAsiaTheme="minorHAnsi" w:hAnsiTheme="minorHAnsi" w:cstheme="minorBidi"/>
                <w:sz w:val="22"/>
                <w:szCs w:val="22"/>
              </w:rPr>
              <w:t>.</w:t>
            </w:r>
          </w:p>
          <w:p w14:paraId="56F00F09" w14:textId="77777777" w:rsidR="00F310E3" w:rsidRDefault="00F310E3" w:rsidP="00F310E3">
            <w:pPr>
              <w:pStyle w:val="ListParagraph"/>
              <w:ind w:left="360"/>
              <w:rPr>
                <w:rFonts w:asciiTheme="minorHAnsi" w:eastAsiaTheme="minorHAnsi" w:hAnsiTheme="minorHAnsi" w:cstheme="minorBidi"/>
                <w:sz w:val="22"/>
                <w:szCs w:val="22"/>
              </w:rPr>
            </w:pPr>
          </w:p>
          <w:p w14:paraId="5DC23B8B" w14:textId="0C3C39A6" w:rsidR="00861CF5" w:rsidRPr="00861CF5" w:rsidRDefault="000843D4" w:rsidP="00D22706">
            <w:pPr>
              <w:pStyle w:val="ListParagraph"/>
              <w:numPr>
                <w:ilvl w:val="0"/>
                <w:numId w:val="15"/>
              </w:numPr>
              <w:rPr>
                <w:rFonts w:asciiTheme="minorHAnsi" w:eastAsiaTheme="minorHAnsi" w:hAnsiTheme="minorHAnsi" w:cstheme="minorBidi"/>
              </w:rPr>
            </w:pPr>
            <w:r>
              <w:rPr>
                <w:rFonts w:asciiTheme="minorHAnsi" w:eastAsiaTheme="minorHAnsi" w:hAnsiTheme="minorHAnsi" w:cstheme="minorBidi"/>
                <w:sz w:val="22"/>
                <w:szCs w:val="22"/>
              </w:rPr>
              <w:t xml:space="preserve">The </w:t>
            </w:r>
            <w:r w:rsidR="00314E76">
              <w:rPr>
                <w:rFonts w:asciiTheme="minorHAnsi" w:eastAsiaTheme="minorHAnsi" w:hAnsiTheme="minorHAnsi" w:cstheme="minorBidi"/>
                <w:sz w:val="22"/>
                <w:szCs w:val="22"/>
              </w:rPr>
              <w:t xml:space="preserve">addendum will further support the </w:t>
            </w:r>
            <w:r>
              <w:rPr>
                <w:rFonts w:asciiTheme="minorHAnsi" w:eastAsiaTheme="minorHAnsi" w:hAnsiTheme="minorHAnsi" w:cstheme="minorBidi"/>
                <w:sz w:val="22"/>
                <w:szCs w:val="22"/>
              </w:rPr>
              <w:t>programme</w:t>
            </w:r>
            <w:r w:rsidR="00314E76">
              <w:rPr>
                <w:rFonts w:asciiTheme="minorHAnsi" w:eastAsiaTheme="minorHAnsi" w:hAnsiTheme="minorHAnsi" w:cstheme="minorBidi"/>
                <w:sz w:val="22"/>
                <w:szCs w:val="22"/>
              </w:rPr>
              <w:t xml:space="preserve"> in</w:t>
            </w:r>
            <w:r>
              <w:rPr>
                <w:rFonts w:asciiTheme="minorHAnsi" w:eastAsiaTheme="minorHAnsi" w:hAnsiTheme="minorHAnsi" w:cstheme="minorBidi"/>
                <w:sz w:val="22"/>
                <w:szCs w:val="22"/>
              </w:rPr>
              <w:t xml:space="preserve"> </w:t>
            </w:r>
            <w:r w:rsidR="00A519D0">
              <w:rPr>
                <w:rFonts w:asciiTheme="minorHAnsi" w:eastAsiaTheme="minorHAnsi" w:hAnsiTheme="minorHAnsi" w:cstheme="minorBidi"/>
                <w:sz w:val="22"/>
                <w:szCs w:val="22"/>
              </w:rPr>
              <w:t>demonstrat</w:t>
            </w:r>
            <w:r w:rsidR="00314E76">
              <w:rPr>
                <w:rFonts w:asciiTheme="minorHAnsi" w:eastAsiaTheme="minorHAnsi" w:hAnsiTheme="minorHAnsi" w:cstheme="minorBidi"/>
                <w:sz w:val="22"/>
                <w:szCs w:val="22"/>
              </w:rPr>
              <w:t>ing</w:t>
            </w:r>
            <w:r w:rsidR="00A519D0">
              <w:rPr>
                <w:rFonts w:asciiTheme="minorHAnsi" w:eastAsiaTheme="minorHAnsi" w:hAnsiTheme="minorHAnsi" w:cstheme="minorBidi"/>
                <w:sz w:val="22"/>
                <w:szCs w:val="22"/>
              </w:rPr>
              <w:t xml:space="preserve"> HMG’s efforts in </w:t>
            </w:r>
            <w:r w:rsidRPr="000843D4">
              <w:rPr>
                <w:rFonts w:asciiTheme="minorHAnsi" w:eastAsiaTheme="minorHAnsi" w:hAnsiTheme="minorHAnsi" w:cstheme="minorBidi"/>
                <w:sz w:val="22"/>
                <w:szCs w:val="22"/>
              </w:rPr>
              <w:t>revers</w:t>
            </w:r>
            <w:r w:rsidR="00A519D0">
              <w:rPr>
                <w:rFonts w:asciiTheme="minorHAnsi" w:eastAsiaTheme="minorHAnsi" w:hAnsiTheme="minorHAnsi" w:cstheme="minorBidi"/>
                <w:sz w:val="22"/>
                <w:szCs w:val="22"/>
              </w:rPr>
              <w:t>ing</w:t>
            </w:r>
            <w:r w:rsidRPr="000843D4">
              <w:rPr>
                <w:rFonts w:asciiTheme="minorHAnsi" w:eastAsiaTheme="minorHAnsi" w:hAnsiTheme="minorHAnsi" w:cstheme="minorBidi"/>
                <w:sz w:val="22"/>
                <w:szCs w:val="22"/>
              </w:rPr>
              <w:t xml:space="preserve"> </w:t>
            </w:r>
            <w:r w:rsidR="00A519D0">
              <w:rPr>
                <w:rFonts w:asciiTheme="minorHAnsi" w:eastAsiaTheme="minorHAnsi" w:hAnsiTheme="minorHAnsi" w:cstheme="minorBidi"/>
                <w:sz w:val="22"/>
                <w:szCs w:val="22"/>
              </w:rPr>
              <w:t xml:space="preserve">global </w:t>
            </w:r>
            <w:r w:rsidRPr="000843D4">
              <w:rPr>
                <w:rFonts w:asciiTheme="minorHAnsi" w:eastAsiaTheme="minorHAnsi" w:hAnsiTheme="minorHAnsi" w:cstheme="minorBidi"/>
                <w:sz w:val="22"/>
                <w:szCs w:val="22"/>
              </w:rPr>
              <w:t>biodiversity loss by 2030</w:t>
            </w:r>
            <w:r w:rsidR="00A519D0">
              <w:rPr>
                <w:rFonts w:asciiTheme="minorHAnsi" w:eastAsiaTheme="minorHAnsi" w:hAnsiTheme="minorHAnsi" w:cstheme="minorBidi"/>
                <w:sz w:val="22"/>
                <w:szCs w:val="22"/>
              </w:rPr>
              <w:t>, thus</w:t>
            </w:r>
            <w:r w:rsidRPr="000843D4">
              <w:rPr>
                <w:rFonts w:asciiTheme="minorHAnsi" w:eastAsiaTheme="minorHAnsi" w:hAnsiTheme="minorHAnsi" w:cstheme="minorBidi"/>
                <w:sz w:val="22"/>
                <w:szCs w:val="22"/>
              </w:rPr>
              <w:t xml:space="preserve"> </w:t>
            </w:r>
            <w:r w:rsidR="00A519D0">
              <w:rPr>
                <w:rFonts w:asciiTheme="minorHAnsi" w:eastAsiaTheme="minorHAnsi" w:hAnsiTheme="minorHAnsi" w:cstheme="minorBidi"/>
                <w:sz w:val="22"/>
                <w:szCs w:val="22"/>
              </w:rPr>
              <w:t>contributing towards increased ambition ahead of CBD COP15, and the delivery of a successful</w:t>
            </w:r>
            <w:r w:rsidRPr="000843D4">
              <w:rPr>
                <w:rFonts w:asciiTheme="minorHAnsi" w:eastAsiaTheme="minorHAnsi" w:hAnsiTheme="minorHAnsi" w:cstheme="minorBidi"/>
                <w:sz w:val="22"/>
                <w:szCs w:val="22"/>
              </w:rPr>
              <w:t xml:space="preserve"> </w:t>
            </w:r>
            <w:r w:rsidR="00A519D0">
              <w:rPr>
                <w:rFonts w:asciiTheme="minorHAnsi" w:eastAsiaTheme="minorHAnsi" w:hAnsiTheme="minorHAnsi" w:cstheme="minorBidi"/>
                <w:sz w:val="22"/>
                <w:szCs w:val="22"/>
              </w:rPr>
              <w:t xml:space="preserve">CBD </w:t>
            </w:r>
            <w:r w:rsidRPr="000843D4">
              <w:rPr>
                <w:rFonts w:asciiTheme="minorHAnsi" w:eastAsiaTheme="minorHAnsi" w:hAnsiTheme="minorHAnsi" w:cstheme="minorBidi"/>
                <w:sz w:val="22"/>
                <w:szCs w:val="22"/>
              </w:rPr>
              <w:t xml:space="preserve">post-2020 global biodiversity framework </w:t>
            </w:r>
            <w:r w:rsidR="00A519D0">
              <w:rPr>
                <w:rFonts w:asciiTheme="minorHAnsi" w:eastAsiaTheme="minorHAnsi" w:hAnsiTheme="minorHAnsi" w:cstheme="minorBidi"/>
                <w:sz w:val="22"/>
                <w:szCs w:val="22"/>
              </w:rPr>
              <w:t>as a result. It will also support commitments HMG has taken through the Leader’s Pledge for Nature.</w:t>
            </w:r>
          </w:p>
          <w:p w14:paraId="504F1243" w14:textId="77777777" w:rsidR="00861CF5" w:rsidRPr="00861CF5" w:rsidRDefault="00861CF5" w:rsidP="00861CF5">
            <w:pPr>
              <w:rPr>
                <w:b/>
                <w:i/>
                <w:color w:val="2F5496" w:themeColor="accent5" w:themeShade="BF"/>
                <w:sz w:val="22"/>
                <w:szCs w:val="22"/>
              </w:rPr>
            </w:pPr>
            <w:r w:rsidRPr="00861CF5">
              <w:rPr>
                <w:b/>
                <w:i/>
                <w:color w:val="2F5496" w:themeColor="accent5" w:themeShade="BF"/>
                <w:sz w:val="22"/>
                <w:szCs w:val="22"/>
              </w:rPr>
              <w:t xml:space="preserve">Progress to date </w:t>
            </w:r>
          </w:p>
          <w:p w14:paraId="3F3A69E4" w14:textId="77777777" w:rsidR="00861CF5" w:rsidRPr="00861CF5" w:rsidRDefault="00861CF5" w:rsidP="00861CF5">
            <w:pPr>
              <w:pStyle w:val="ListParagraph"/>
              <w:rPr>
                <w:rFonts w:asciiTheme="minorHAnsi" w:eastAsiaTheme="minorHAnsi" w:hAnsiTheme="minorHAnsi" w:cstheme="minorBidi"/>
              </w:rPr>
            </w:pPr>
          </w:p>
          <w:p w14:paraId="689E78D1" w14:textId="6CB28058" w:rsidR="00A366CC" w:rsidRDefault="00A8158F" w:rsidP="00DA16E3">
            <w:pPr>
              <w:pStyle w:val="ListParagraph"/>
              <w:numPr>
                <w:ilvl w:val="0"/>
                <w:numId w:val="15"/>
              </w:numPr>
              <w:ind w:right="176"/>
              <w:rPr>
                <w:rFonts w:asciiTheme="minorHAnsi" w:eastAsiaTheme="minorHAnsi" w:hAnsiTheme="minorHAnsi" w:cstheme="minorBidi"/>
                <w:sz w:val="22"/>
                <w:szCs w:val="22"/>
              </w:rPr>
            </w:pPr>
            <w:r w:rsidRPr="00A8158F">
              <w:rPr>
                <w:rFonts w:asciiTheme="minorHAnsi" w:eastAsiaTheme="minorHAnsi" w:hAnsiTheme="minorHAnsi" w:cstheme="minorBidi"/>
                <w:sz w:val="22"/>
                <w:szCs w:val="22"/>
              </w:rPr>
              <w:t>The TNFD was first discussed in January 2019 at the World Economic Forum’s Davos meeting and in May 2019 at the G7 Environment Ministers meeting in Metz</w:t>
            </w:r>
            <w:r w:rsidR="003511DB">
              <w:rPr>
                <w:rFonts w:asciiTheme="minorHAnsi" w:eastAsiaTheme="minorHAnsi" w:hAnsiTheme="minorHAnsi" w:cstheme="minorBidi"/>
                <w:sz w:val="22"/>
                <w:szCs w:val="22"/>
              </w:rPr>
              <w:t>;</w:t>
            </w:r>
            <w:r w:rsidRPr="00A8158F">
              <w:rPr>
                <w:rFonts w:asciiTheme="minorHAnsi" w:eastAsiaTheme="minorHAnsi" w:hAnsiTheme="minorHAnsi" w:cstheme="minorBidi"/>
                <w:sz w:val="22"/>
                <w:szCs w:val="22"/>
              </w:rPr>
              <w:t xml:space="preserve"> two landmark reports published by OECD and WWF/AXA called for the creation of a TNFD-like mechanism.  The 10 month long scoping phase of the informal working group </w:t>
            </w:r>
            <w:r w:rsidR="003511DB">
              <w:rPr>
                <w:rFonts w:asciiTheme="minorHAnsi" w:eastAsiaTheme="minorHAnsi" w:hAnsiTheme="minorHAnsi" w:cstheme="minorBidi"/>
                <w:sz w:val="22"/>
                <w:szCs w:val="22"/>
              </w:rPr>
              <w:t>was</w:t>
            </w:r>
            <w:r w:rsidRPr="00A8158F">
              <w:rPr>
                <w:rFonts w:asciiTheme="minorHAnsi" w:eastAsiaTheme="minorHAnsi" w:hAnsiTheme="minorHAnsi" w:cstheme="minorBidi"/>
                <w:sz w:val="22"/>
                <w:szCs w:val="22"/>
              </w:rPr>
              <w:t xml:space="preserve"> followed by the official launch of the TNFD on 10th June</w:t>
            </w:r>
            <w:r w:rsidR="00F06ECA">
              <w:rPr>
                <w:rFonts w:asciiTheme="minorHAnsi" w:eastAsiaTheme="minorHAnsi" w:hAnsiTheme="minorHAnsi" w:cstheme="minorBidi"/>
                <w:sz w:val="22"/>
                <w:szCs w:val="22"/>
              </w:rPr>
              <w:t xml:space="preserve"> 2021</w:t>
            </w:r>
            <w:r w:rsidRPr="00A8158F">
              <w:rPr>
                <w:rFonts w:asciiTheme="minorHAnsi" w:eastAsiaTheme="minorHAnsi" w:hAnsiTheme="minorHAnsi" w:cstheme="minorBidi"/>
                <w:sz w:val="22"/>
                <w:szCs w:val="22"/>
              </w:rPr>
              <w:t>, after securing triumvirate support from G7 finance, environment ministers and political leaders.</w:t>
            </w:r>
          </w:p>
          <w:p w14:paraId="13CBC577" w14:textId="77777777" w:rsidR="00DA16E3" w:rsidRDefault="00DA16E3" w:rsidP="00DA16E3">
            <w:pPr>
              <w:pStyle w:val="ListParagraph"/>
              <w:ind w:left="360" w:right="176"/>
              <w:rPr>
                <w:rFonts w:asciiTheme="minorHAnsi" w:eastAsiaTheme="minorHAnsi" w:hAnsiTheme="minorHAnsi" w:cstheme="minorBidi"/>
                <w:sz w:val="22"/>
                <w:szCs w:val="22"/>
              </w:rPr>
            </w:pPr>
          </w:p>
          <w:p w14:paraId="5139FC35" w14:textId="67CFBA46" w:rsidR="00A366CC" w:rsidRPr="00A366CC" w:rsidRDefault="00A366CC" w:rsidP="00DA16E3">
            <w:pPr>
              <w:pStyle w:val="ListParagraph"/>
              <w:numPr>
                <w:ilvl w:val="0"/>
                <w:numId w:val="15"/>
              </w:numPr>
              <w:ind w:right="176"/>
              <w:rPr>
                <w:rFonts w:asciiTheme="minorHAnsi" w:eastAsiaTheme="minorHAnsi" w:hAnsiTheme="minorHAnsi" w:cstheme="minorBidi"/>
                <w:sz w:val="22"/>
                <w:szCs w:val="22"/>
              </w:rPr>
            </w:pPr>
            <w:r w:rsidRPr="00A8158F">
              <w:rPr>
                <w:rFonts w:asciiTheme="minorHAnsi" w:eastAsiaTheme="minorHAnsi" w:hAnsiTheme="minorHAnsi" w:cstheme="minorBidi"/>
                <w:sz w:val="22"/>
                <w:szCs w:val="22"/>
              </w:rPr>
              <w:t>This global, market-led initiative has now embarked on a two-year phase to build, test, consult and launch the TNFD framework, with proposed dissemination and uptake from September 2023.</w:t>
            </w:r>
            <w:r>
              <w:rPr>
                <w:rFonts w:asciiTheme="minorHAnsi" w:eastAsiaTheme="minorHAnsi" w:hAnsiTheme="minorHAnsi" w:cstheme="minorBidi"/>
                <w:sz w:val="22"/>
                <w:szCs w:val="22"/>
              </w:rPr>
              <w:t xml:space="preserve"> </w:t>
            </w:r>
            <w:r w:rsidR="00A8158F" w:rsidRPr="00A8158F">
              <w:rPr>
                <w:rFonts w:asciiTheme="minorHAnsi" w:eastAsiaTheme="minorHAnsi" w:hAnsiTheme="minorHAnsi" w:cstheme="minorBidi"/>
                <w:sz w:val="22"/>
                <w:szCs w:val="22"/>
              </w:rPr>
              <w:t xml:space="preserve">Current HMG support for the TNFD Secretariat is </w:t>
            </w:r>
            <w:r w:rsidR="00A8158F">
              <w:rPr>
                <w:rFonts w:asciiTheme="minorHAnsi" w:eastAsiaTheme="minorHAnsi" w:hAnsiTheme="minorHAnsi" w:cstheme="minorBidi"/>
                <w:sz w:val="22"/>
                <w:szCs w:val="22"/>
              </w:rPr>
              <w:t xml:space="preserve">solely aimed at </w:t>
            </w:r>
            <w:r w:rsidR="00A8158F" w:rsidRPr="00A8158F">
              <w:rPr>
                <w:rFonts w:asciiTheme="minorHAnsi" w:eastAsiaTheme="minorHAnsi" w:hAnsiTheme="minorHAnsi" w:cstheme="minorBidi"/>
                <w:sz w:val="22"/>
                <w:szCs w:val="22"/>
              </w:rPr>
              <w:t xml:space="preserve">building </w:t>
            </w:r>
            <w:r w:rsidR="00A8158F">
              <w:rPr>
                <w:rFonts w:asciiTheme="minorHAnsi" w:eastAsiaTheme="minorHAnsi" w:hAnsiTheme="minorHAnsi" w:cstheme="minorBidi"/>
                <w:sz w:val="22"/>
                <w:szCs w:val="22"/>
              </w:rPr>
              <w:t xml:space="preserve">the TNFD framework, but </w:t>
            </w:r>
            <w:bookmarkStart w:id="2" w:name="_Hlk86760495"/>
            <w:r w:rsidR="00A8158F" w:rsidRPr="00A8158F">
              <w:rPr>
                <w:rFonts w:asciiTheme="minorHAnsi" w:eastAsiaTheme="minorHAnsi" w:hAnsiTheme="minorHAnsi" w:cstheme="minorBidi"/>
                <w:sz w:val="22"/>
                <w:szCs w:val="22"/>
              </w:rPr>
              <w:t xml:space="preserve">HMG is </w:t>
            </w:r>
            <w:r w:rsidR="00A8158F" w:rsidRPr="00A8158F">
              <w:rPr>
                <w:rFonts w:asciiTheme="minorHAnsi" w:eastAsiaTheme="minorHAnsi" w:hAnsiTheme="minorHAnsi" w:cstheme="minorBidi"/>
                <w:sz w:val="22"/>
                <w:szCs w:val="22"/>
              </w:rPr>
              <w:lastRenderedPageBreak/>
              <w:t xml:space="preserve">exploring further ecosystem activation and capacity building with </w:t>
            </w:r>
            <w:r w:rsidR="00E0513A">
              <w:rPr>
                <w:rFonts w:asciiTheme="minorHAnsi" w:eastAsiaTheme="minorHAnsi" w:hAnsiTheme="minorHAnsi" w:cstheme="minorBidi"/>
                <w:sz w:val="22"/>
                <w:szCs w:val="22"/>
              </w:rPr>
              <w:t>United Nations Development Programme (</w:t>
            </w:r>
            <w:r w:rsidR="00A8158F" w:rsidRPr="00A8158F">
              <w:rPr>
                <w:rFonts w:asciiTheme="minorHAnsi" w:eastAsiaTheme="minorHAnsi" w:hAnsiTheme="minorHAnsi" w:cstheme="minorBidi"/>
                <w:sz w:val="22"/>
                <w:szCs w:val="22"/>
              </w:rPr>
              <w:t>UNDP</w:t>
            </w:r>
            <w:r w:rsidR="00E0513A">
              <w:rPr>
                <w:rFonts w:asciiTheme="minorHAnsi" w:eastAsiaTheme="minorHAnsi" w:hAnsiTheme="minorHAnsi" w:cstheme="minorBidi"/>
                <w:sz w:val="22"/>
                <w:szCs w:val="22"/>
              </w:rPr>
              <w:t>)</w:t>
            </w:r>
            <w:r w:rsidR="00A8158F" w:rsidRPr="00A8158F">
              <w:rPr>
                <w:rFonts w:asciiTheme="minorHAnsi" w:eastAsiaTheme="minorHAnsi" w:hAnsiTheme="minorHAnsi" w:cstheme="minorBidi"/>
                <w:sz w:val="22"/>
                <w:szCs w:val="22"/>
              </w:rPr>
              <w:t xml:space="preserve"> and </w:t>
            </w:r>
            <w:r w:rsidR="00E0513A">
              <w:rPr>
                <w:rFonts w:asciiTheme="minorHAnsi" w:eastAsiaTheme="minorHAnsi" w:hAnsiTheme="minorHAnsi" w:cstheme="minorBidi"/>
                <w:sz w:val="22"/>
                <w:szCs w:val="22"/>
              </w:rPr>
              <w:t>United Nations Environment Programme Finance Initiative (</w:t>
            </w:r>
            <w:r w:rsidR="00A8158F" w:rsidRPr="00A8158F">
              <w:rPr>
                <w:rFonts w:asciiTheme="minorHAnsi" w:eastAsiaTheme="minorHAnsi" w:hAnsiTheme="minorHAnsi" w:cstheme="minorBidi"/>
                <w:sz w:val="22"/>
                <w:szCs w:val="22"/>
              </w:rPr>
              <w:t>UNEP FI</w:t>
            </w:r>
            <w:r w:rsidR="00E0513A">
              <w:rPr>
                <w:rFonts w:asciiTheme="minorHAnsi" w:eastAsiaTheme="minorHAnsi" w:hAnsiTheme="minorHAnsi" w:cstheme="minorBidi"/>
                <w:sz w:val="22"/>
                <w:szCs w:val="22"/>
              </w:rPr>
              <w:t>)</w:t>
            </w:r>
            <w:r w:rsidR="00A8158F">
              <w:rPr>
                <w:rFonts w:asciiTheme="minorHAnsi" w:eastAsiaTheme="minorHAnsi" w:hAnsiTheme="minorHAnsi" w:cstheme="minorBidi"/>
                <w:sz w:val="22"/>
                <w:szCs w:val="22"/>
              </w:rPr>
              <w:t>.</w:t>
            </w:r>
            <w:bookmarkEnd w:id="2"/>
          </w:p>
          <w:p w14:paraId="30133651" w14:textId="571938AF" w:rsidR="00FC709F" w:rsidRPr="00FC709F" w:rsidRDefault="00FC709F" w:rsidP="001E2F38">
            <w:pPr>
              <w:pStyle w:val="Table"/>
              <w:jc w:val="left"/>
              <w:rPr>
                <w:sz w:val="22"/>
                <w:szCs w:val="22"/>
              </w:rPr>
            </w:pPr>
          </w:p>
        </w:tc>
      </w:tr>
      <w:tr w:rsidR="00FC709F" w14:paraId="65CDEF49" w14:textId="77777777" w:rsidTr="65B5030A">
        <w:tc>
          <w:tcPr>
            <w:tcW w:w="9067" w:type="dxa"/>
          </w:tcPr>
          <w:p w14:paraId="0CA53C43" w14:textId="77777777" w:rsidR="00FC709F" w:rsidRDefault="00FC709F" w:rsidP="0000288E">
            <w:pPr>
              <w:pStyle w:val="Heading2"/>
            </w:pPr>
            <w:r w:rsidRPr="00FC709F">
              <w:lastRenderedPageBreak/>
              <w:t>What is the objective of the cost extension or other changes?</w:t>
            </w:r>
          </w:p>
          <w:p w14:paraId="5564CB82" w14:textId="14E5F424" w:rsidR="00FC709F" w:rsidRDefault="00FC709F" w:rsidP="0000288E">
            <w:pPr>
              <w:rPr>
                <w:b/>
                <w:bCs/>
              </w:rPr>
            </w:pPr>
          </w:p>
          <w:p w14:paraId="1ABBF087" w14:textId="77777777" w:rsidR="00F34A78" w:rsidRDefault="00EB215B" w:rsidP="00EB215B">
            <w:pPr>
              <w:pStyle w:val="ListParagraph"/>
              <w:numPr>
                <w:ilvl w:val="0"/>
                <w:numId w:val="15"/>
              </w:numPr>
              <w:ind w:right="176"/>
              <w:rPr>
                <w:rFonts w:asciiTheme="minorHAnsi" w:eastAsiaTheme="minorHAnsi" w:hAnsiTheme="minorHAnsi" w:cstheme="minorBidi"/>
                <w:sz w:val="22"/>
                <w:szCs w:val="22"/>
              </w:rPr>
            </w:pPr>
            <w:r w:rsidRPr="00EB215B">
              <w:rPr>
                <w:rFonts w:asciiTheme="minorHAnsi" w:eastAsiaTheme="minorHAnsi" w:hAnsiTheme="minorHAnsi" w:cstheme="minorBidi"/>
                <w:sz w:val="22"/>
                <w:szCs w:val="22"/>
              </w:rPr>
              <w:t xml:space="preserve">To secure stronger African financial institutional and government understanding of nature-related financial risks and engagement with the TNFD to ensure that the proposed framework is fit for purpose in an African context and receives a wider adoption and uptake among key African corporates and financial institutions. </w:t>
            </w:r>
          </w:p>
          <w:p w14:paraId="2A49C20A" w14:textId="77777777" w:rsidR="00F34A78" w:rsidRDefault="00F34A78" w:rsidP="00F34A78">
            <w:pPr>
              <w:pStyle w:val="ListParagraph"/>
              <w:ind w:left="360" w:right="176"/>
              <w:rPr>
                <w:rFonts w:asciiTheme="minorHAnsi" w:eastAsiaTheme="minorHAnsi" w:hAnsiTheme="minorHAnsi" w:cstheme="minorBidi"/>
                <w:sz w:val="22"/>
                <w:szCs w:val="22"/>
              </w:rPr>
            </w:pPr>
          </w:p>
          <w:p w14:paraId="0F349679" w14:textId="1F9DFEF4" w:rsidR="00EB215B" w:rsidRPr="00EB215B" w:rsidRDefault="00EB215B" w:rsidP="00EB215B">
            <w:pPr>
              <w:pStyle w:val="ListParagraph"/>
              <w:numPr>
                <w:ilvl w:val="0"/>
                <w:numId w:val="15"/>
              </w:numPr>
              <w:ind w:right="176"/>
              <w:rPr>
                <w:rFonts w:asciiTheme="minorHAnsi" w:eastAsiaTheme="minorHAnsi" w:hAnsiTheme="minorHAnsi" w:cstheme="minorBidi"/>
                <w:sz w:val="22"/>
                <w:szCs w:val="22"/>
              </w:rPr>
            </w:pPr>
            <w:r w:rsidRPr="00EB215B">
              <w:rPr>
                <w:rFonts w:asciiTheme="minorHAnsi" w:eastAsiaTheme="minorHAnsi" w:hAnsiTheme="minorHAnsi" w:cstheme="minorBidi"/>
                <w:sz w:val="22"/>
                <w:szCs w:val="22"/>
              </w:rPr>
              <w:t xml:space="preserve">The intervention will seek to aid the transition toward nature-positive economies in Africa by encouraging direct flows of finance towards nature positive activities, </w:t>
            </w:r>
            <w:r w:rsidR="008D7664">
              <w:rPr>
                <w:rFonts w:asciiTheme="minorHAnsi" w:eastAsiaTheme="minorHAnsi" w:hAnsiTheme="minorHAnsi" w:cstheme="minorBidi"/>
                <w:sz w:val="22"/>
                <w:szCs w:val="22"/>
              </w:rPr>
              <w:t>a</w:t>
            </w:r>
            <w:r w:rsidR="008D7664" w:rsidRPr="008D7664">
              <w:rPr>
                <w:rFonts w:asciiTheme="minorHAnsi" w:eastAsiaTheme="minorHAnsi" w:hAnsiTheme="minorHAnsi" w:cstheme="minorBidi"/>
                <w:sz w:val="22"/>
                <w:szCs w:val="22"/>
              </w:rPr>
              <w:t>nd away from damaging investments</w:t>
            </w:r>
            <w:r w:rsidR="008D7664">
              <w:rPr>
                <w:rFonts w:asciiTheme="minorHAnsi" w:eastAsiaTheme="minorHAnsi" w:hAnsiTheme="minorHAnsi" w:cstheme="minorBidi"/>
                <w:sz w:val="22"/>
                <w:szCs w:val="22"/>
              </w:rPr>
              <w:t>,</w:t>
            </w:r>
            <w:r w:rsidR="008D7664" w:rsidRPr="008D7664">
              <w:rPr>
                <w:rFonts w:asciiTheme="minorHAnsi" w:eastAsiaTheme="minorHAnsi" w:hAnsiTheme="minorHAnsi" w:cstheme="minorBidi"/>
                <w:sz w:val="22"/>
                <w:szCs w:val="22"/>
              </w:rPr>
              <w:t xml:space="preserve"> </w:t>
            </w:r>
            <w:r w:rsidRPr="00EB215B">
              <w:rPr>
                <w:rFonts w:asciiTheme="minorHAnsi" w:eastAsiaTheme="minorHAnsi" w:hAnsiTheme="minorHAnsi" w:cstheme="minorBidi"/>
                <w:sz w:val="22"/>
                <w:szCs w:val="22"/>
              </w:rPr>
              <w:t>delivering benefits in terms of risk resilience, sustainability of financial institutions, and future economic fitness</w:t>
            </w:r>
            <w:r w:rsidR="008D7664">
              <w:rPr>
                <w:rFonts w:asciiTheme="minorHAnsi" w:eastAsiaTheme="minorHAnsi" w:hAnsiTheme="minorHAnsi" w:cstheme="minorBidi"/>
                <w:sz w:val="22"/>
                <w:szCs w:val="22"/>
              </w:rPr>
              <w:t xml:space="preserve">, in addition to </w:t>
            </w:r>
            <w:r w:rsidR="008D7664" w:rsidRPr="008D7664">
              <w:rPr>
                <w:rFonts w:asciiTheme="minorHAnsi" w:eastAsiaTheme="minorHAnsi" w:hAnsiTheme="minorHAnsi" w:cstheme="minorBidi"/>
                <w:sz w:val="22"/>
                <w:szCs w:val="22"/>
              </w:rPr>
              <w:t>direct climate and biodiversity benefits</w:t>
            </w:r>
            <w:r w:rsidRPr="00EB215B">
              <w:rPr>
                <w:rFonts w:asciiTheme="minorHAnsi" w:eastAsiaTheme="minorHAnsi" w:hAnsiTheme="minorHAnsi" w:cstheme="minorBidi"/>
                <w:sz w:val="22"/>
                <w:szCs w:val="22"/>
              </w:rPr>
              <w:t xml:space="preserve">.  </w:t>
            </w:r>
          </w:p>
          <w:p w14:paraId="6F7D4831" w14:textId="77777777" w:rsidR="00EB215B" w:rsidRPr="00EB215B" w:rsidRDefault="00EB215B" w:rsidP="00EB215B">
            <w:pPr>
              <w:pStyle w:val="ListParagraph"/>
              <w:ind w:left="360" w:right="176"/>
              <w:rPr>
                <w:rFonts w:asciiTheme="minorHAnsi" w:eastAsiaTheme="minorHAnsi" w:hAnsiTheme="minorHAnsi" w:cstheme="minorBidi"/>
                <w:sz w:val="22"/>
                <w:szCs w:val="22"/>
              </w:rPr>
            </w:pPr>
          </w:p>
          <w:p w14:paraId="34476E65" w14:textId="77777777" w:rsidR="00EB215B" w:rsidRPr="00EB215B" w:rsidRDefault="00EB215B" w:rsidP="00EB215B">
            <w:pPr>
              <w:pStyle w:val="ListParagraph"/>
              <w:numPr>
                <w:ilvl w:val="0"/>
                <w:numId w:val="15"/>
              </w:numPr>
              <w:ind w:right="176"/>
              <w:rPr>
                <w:rFonts w:asciiTheme="minorHAnsi" w:eastAsiaTheme="minorHAnsi" w:hAnsiTheme="minorHAnsi" w:cstheme="minorBidi"/>
                <w:sz w:val="22"/>
                <w:szCs w:val="22"/>
              </w:rPr>
            </w:pPr>
            <w:r w:rsidRPr="00EB215B">
              <w:rPr>
                <w:rFonts w:asciiTheme="minorHAnsi" w:eastAsiaTheme="minorHAnsi" w:hAnsiTheme="minorHAnsi" w:cstheme="minorBidi"/>
                <w:sz w:val="22"/>
                <w:szCs w:val="22"/>
              </w:rPr>
              <w:t>In addition to delivering the primary objective of ensuring that the TNFD is designed in a way that works effectively in an African context, the programme will also contribute to two further objectives of the initiative:</w:t>
            </w:r>
          </w:p>
          <w:p w14:paraId="2E5DEC6E" w14:textId="2ABA754B" w:rsidR="00575FB3" w:rsidRDefault="00575FB3" w:rsidP="00EB215B">
            <w:pPr>
              <w:pStyle w:val="ListParagraph"/>
              <w:numPr>
                <w:ilvl w:val="1"/>
                <w:numId w:val="15"/>
              </w:numPr>
              <w:ind w:right="176"/>
              <w:rPr>
                <w:rFonts w:asciiTheme="minorHAnsi" w:eastAsiaTheme="minorHAnsi" w:hAnsiTheme="minorHAnsi" w:cstheme="minorBidi"/>
                <w:sz w:val="22"/>
                <w:szCs w:val="22"/>
              </w:rPr>
            </w:pPr>
            <w:r w:rsidRPr="00EB215B">
              <w:rPr>
                <w:rFonts w:asciiTheme="minorHAnsi" w:eastAsiaTheme="minorHAnsi" w:hAnsiTheme="minorHAnsi" w:cstheme="minorBidi"/>
                <w:sz w:val="22"/>
                <w:szCs w:val="22"/>
              </w:rPr>
              <w:t xml:space="preserve">engaging in catalytic sovereign stakeholder outreach in support of the TNFD with a particular focus on the countries of </w:t>
            </w:r>
            <w:r>
              <w:rPr>
                <w:rFonts w:asciiTheme="minorHAnsi" w:eastAsiaTheme="minorHAnsi" w:hAnsiTheme="minorHAnsi" w:cstheme="minorBidi"/>
                <w:sz w:val="22"/>
                <w:szCs w:val="22"/>
              </w:rPr>
              <w:t xml:space="preserve">South Africa, </w:t>
            </w:r>
            <w:r w:rsidR="00837825">
              <w:rPr>
                <w:rFonts w:asciiTheme="minorHAnsi" w:eastAsiaTheme="minorHAnsi" w:hAnsiTheme="minorHAnsi" w:cstheme="minorBidi"/>
                <w:sz w:val="22"/>
                <w:szCs w:val="22"/>
              </w:rPr>
              <w:t>Egypt</w:t>
            </w:r>
            <w:r w:rsidRPr="00EB215B">
              <w:rPr>
                <w:rFonts w:asciiTheme="minorHAnsi" w:eastAsiaTheme="minorHAnsi" w:hAnsiTheme="minorHAnsi" w:cstheme="minorBidi"/>
                <w:sz w:val="22"/>
                <w:szCs w:val="22"/>
              </w:rPr>
              <w:t xml:space="preserve">, Kenya, </w:t>
            </w:r>
            <w:r>
              <w:rPr>
                <w:rFonts w:asciiTheme="minorHAnsi" w:eastAsiaTheme="minorHAnsi" w:hAnsiTheme="minorHAnsi" w:cstheme="minorBidi"/>
                <w:sz w:val="22"/>
                <w:szCs w:val="22"/>
              </w:rPr>
              <w:t>Ghana</w:t>
            </w:r>
            <w:r w:rsidRPr="00EB215B">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and </w:t>
            </w:r>
            <w:r w:rsidRPr="00EB215B">
              <w:rPr>
                <w:rFonts w:asciiTheme="minorHAnsi" w:eastAsiaTheme="minorHAnsi" w:hAnsiTheme="minorHAnsi" w:cstheme="minorBidi"/>
                <w:sz w:val="22"/>
                <w:szCs w:val="22"/>
              </w:rPr>
              <w:t>Mauritius, that could have a pivotal role in supporting the rollout of TNFD regionally</w:t>
            </w:r>
            <w:r w:rsidR="00291761">
              <w:rPr>
                <w:rFonts w:asciiTheme="minorHAnsi" w:eastAsiaTheme="minorHAnsi" w:hAnsiTheme="minorHAnsi" w:cstheme="minorBidi"/>
                <w:sz w:val="22"/>
                <w:szCs w:val="22"/>
              </w:rPr>
              <w:t>; and</w:t>
            </w:r>
          </w:p>
          <w:p w14:paraId="7F8E7CA3" w14:textId="046D2AAB" w:rsidR="00F25FC7" w:rsidRPr="00291761" w:rsidRDefault="00EB215B">
            <w:pPr>
              <w:pStyle w:val="ListParagraph"/>
              <w:numPr>
                <w:ilvl w:val="1"/>
                <w:numId w:val="15"/>
              </w:numPr>
              <w:ind w:right="176"/>
            </w:pPr>
            <w:r w:rsidRPr="00EB215B">
              <w:rPr>
                <w:rFonts w:asciiTheme="minorHAnsi" w:eastAsiaTheme="minorHAnsi" w:hAnsiTheme="minorHAnsi" w:cstheme="minorBidi"/>
                <w:sz w:val="22"/>
                <w:szCs w:val="22"/>
              </w:rPr>
              <w:t>supporting the TNFD’s efforts to enlist key G20 countries in their work, by engaging with South Africa using FSD</w:t>
            </w:r>
            <w:r w:rsidR="00A91A6F">
              <w:rPr>
                <w:rFonts w:asciiTheme="minorHAnsi" w:eastAsiaTheme="minorHAnsi" w:hAnsiTheme="minorHAnsi" w:cstheme="minorBidi"/>
                <w:sz w:val="22"/>
                <w:szCs w:val="22"/>
              </w:rPr>
              <w:t xml:space="preserve"> </w:t>
            </w:r>
            <w:r w:rsidRPr="00EB215B">
              <w:rPr>
                <w:rFonts w:asciiTheme="minorHAnsi" w:eastAsiaTheme="minorHAnsi" w:hAnsiTheme="minorHAnsi" w:cstheme="minorBidi"/>
                <w:sz w:val="22"/>
                <w:szCs w:val="22"/>
              </w:rPr>
              <w:t>A</w:t>
            </w:r>
            <w:r w:rsidR="00A91A6F">
              <w:rPr>
                <w:rFonts w:asciiTheme="minorHAnsi" w:eastAsiaTheme="minorHAnsi" w:hAnsiTheme="minorHAnsi" w:cstheme="minorBidi"/>
                <w:sz w:val="22"/>
                <w:szCs w:val="22"/>
              </w:rPr>
              <w:t>frica</w:t>
            </w:r>
            <w:r w:rsidRPr="00EB215B">
              <w:rPr>
                <w:rFonts w:asciiTheme="minorHAnsi" w:eastAsiaTheme="minorHAnsi" w:hAnsiTheme="minorHAnsi" w:cstheme="minorBidi"/>
                <w:sz w:val="22"/>
                <w:szCs w:val="22"/>
              </w:rPr>
              <w:t>’s existing network and relationships.  This will form part of a wider effort to secure G20 support following recent G7 endorsement</w:t>
            </w:r>
            <w:r w:rsidR="00291761">
              <w:rPr>
                <w:rFonts w:asciiTheme="minorHAnsi" w:eastAsiaTheme="minorHAnsi" w:hAnsiTheme="minorHAnsi" w:cstheme="minorBidi"/>
                <w:sz w:val="22"/>
                <w:szCs w:val="22"/>
              </w:rPr>
              <w:t>.</w:t>
            </w:r>
          </w:p>
          <w:p w14:paraId="55B390EA" w14:textId="444CE7C8" w:rsidR="00FC709F" w:rsidRPr="00FC709F" w:rsidRDefault="00FC709F" w:rsidP="001E2F38">
            <w:pPr>
              <w:pStyle w:val="Table"/>
              <w:jc w:val="left"/>
              <w:rPr>
                <w:sz w:val="22"/>
                <w:szCs w:val="22"/>
              </w:rPr>
            </w:pPr>
          </w:p>
        </w:tc>
      </w:tr>
      <w:tr w:rsidR="00FC709F" w14:paraId="5B10B5D0" w14:textId="77777777" w:rsidTr="65B5030A">
        <w:tc>
          <w:tcPr>
            <w:tcW w:w="9067" w:type="dxa"/>
          </w:tcPr>
          <w:p w14:paraId="0395D0CE" w14:textId="6B0A9F43" w:rsidR="00FC709F" w:rsidRDefault="00FC709F" w:rsidP="0000288E">
            <w:pPr>
              <w:pStyle w:val="Heading2"/>
            </w:pPr>
            <w:r w:rsidRPr="00FC709F">
              <w:t xml:space="preserve">What is the additional and total support the </w:t>
            </w:r>
            <w:r w:rsidR="00827C90">
              <w:t>UK</w:t>
            </w:r>
            <w:r w:rsidRPr="00FC709F">
              <w:t xml:space="preserve"> will provide?</w:t>
            </w:r>
          </w:p>
          <w:p w14:paraId="52A5F8F6" w14:textId="410BD3D0" w:rsidR="00FC709F" w:rsidRDefault="00FC709F" w:rsidP="0000288E">
            <w:pPr>
              <w:rPr>
                <w:b/>
                <w:bCs/>
              </w:rPr>
            </w:pPr>
          </w:p>
          <w:p w14:paraId="6F301C23" w14:textId="4EC50FF1" w:rsidR="00D050DA" w:rsidRDefault="00EB215B" w:rsidP="00D050DA">
            <w:pPr>
              <w:pStyle w:val="ListParagraph"/>
              <w:numPr>
                <w:ilvl w:val="0"/>
                <w:numId w:val="15"/>
              </w:numPr>
              <w:spacing w:after="0" w:line="240" w:lineRule="auto"/>
              <w:ind w:right="176"/>
              <w:rPr>
                <w:rFonts w:asciiTheme="minorHAnsi" w:eastAsiaTheme="minorHAnsi" w:hAnsiTheme="minorHAnsi" w:cstheme="minorBidi"/>
                <w:sz w:val="22"/>
                <w:szCs w:val="22"/>
              </w:rPr>
            </w:pPr>
            <w:r w:rsidRPr="00EB215B">
              <w:rPr>
                <w:rFonts w:asciiTheme="minorHAnsi" w:eastAsiaTheme="minorHAnsi" w:hAnsiTheme="minorHAnsi" w:cstheme="minorBidi"/>
                <w:sz w:val="22"/>
                <w:szCs w:val="22"/>
              </w:rPr>
              <w:t xml:space="preserve">Defra will contribute </w:t>
            </w:r>
            <w:r w:rsidR="00211D59">
              <w:rPr>
                <w:rFonts w:asciiTheme="minorHAnsi" w:eastAsiaTheme="minorHAnsi" w:hAnsiTheme="minorHAnsi" w:cstheme="minorBidi"/>
                <w:sz w:val="22"/>
                <w:szCs w:val="22"/>
              </w:rPr>
              <w:t xml:space="preserve">up to </w:t>
            </w:r>
            <w:r w:rsidRPr="00EB215B">
              <w:rPr>
                <w:rFonts w:asciiTheme="minorHAnsi" w:eastAsiaTheme="minorHAnsi" w:hAnsiTheme="minorHAnsi" w:cstheme="minorBidi"/>
                <w:sz w:val="22"/>
                <w:szCs w:val="22"/>
              </w:rPr>
              <w:t>£</w:t>
            </w:r>
            <w:r w:rsidR="002E63D5">
              <w:rPr>
                <w:rFonts w:asciiTheme="minorHAnsi" w:eastAsiaTheme="minorHAnsi" w:hAnsiTheme="minorHAnsi" w:cstheme="minorBidi"/>
                <w:sz w:val="22"/>
                <w:szCs w:val="22"/>
              </w:rPr>
              <w:t>8</w:t>
            </w:r>
            <w:r w:rsidR="00A93D24">
              <w:rPr>
                <w:rFonts w:asciiTheme="minorHAnsi" w:eastAsiaTheme="minorHAnsi" w:hAnsiTheme="minorHAnsi" w:cstheme="minorBidi"/>
                <w:sz w:val="22"/>
                <w:szCs w:val="22"/>
              </w:rPr>
              <w:t>50k</w:t>
            </w:r>
            <w:r w:rsidRPr="00EB215B">
              <w:rPr>
                <w:rFonts w:asciiTheme="minorHAnsi" w:eastAsiaTheme="minorHAnsi" w:hAnsiTheme="minorHAnsi" w:cstheme="minorBidi"/>
                <w:sz w:val="22"/>
                <w:szCs w:val="22"/>
              </w:rPr>
              <w:t xml:space="preserve"> of </w:t>
            </w:r>
            <w:r w:rsidR="00827C90">
              <w:rPr>
                <w:rFonts w:asciiTheme="minorHAnsi" w:eastAsiaTheme="minorHAnsi" w:hAnsiTheme="minorHAnsi" w:cstheme="minorBidi"/>
                <w:sz w:val="22"/>
                <w:szCs w:val="22"/>
              </w:rPr>
              <w:t>ICF (ODA)</w:t>
            </w:r>
            <w:r w:rsidRPr="00EB215B">
              <w:rPr>
                <w:rFonts w:asciiTheme="minorHAnsi" w:eastAsiaTheme="minorHAnsi" w:hAnsiTheme="minorHAnsi" w:cstheme="minorBidi"/>
                <w:sz w:val="22"/>
                <w:szCs w:val="22"/>
              </w:rPr>
              <w:t xml:space="preserve"> to fund th</w:t>
            </w:r>
            <w:r w:rsidR="00A35DCD">
              <w:rPr>
                <w:rFonts w:asciiTheme="minorHAnsi" w:eastAsiaTheme="minorHAnsi" w:hAnsiTheme="minorHAnsi" w:cstheme="minorBidi"/>
                <w:sz w:val="22"/>
                <w:szCs w:val="22"/>
              </w:rPr>
              <w:t xml:space="preserve">e </w:t>
            </w:r>
            <w:r w:rsidR="001F054B">
              <w:rPr>
                <w:rFonts w:asciiTheme="minorHAnsi" w:eastAsiaTheme="minorHAnsi" w:hAnsiTheme="minorHAnsi" w:cstheme="minorBidi"/>
                <w:sz w:val="22"/>
                <w:szCs w:val="22"/>
              </w:rPr>
              <w:t xml:space="preserve">components/workstreams </w:t>
            </w:r>
            <w:r w:rsidR="00A35DCD">
              <w:rPr>
                <w:rFonts w:asciiTheme="minorHAnsi" w:eastAsiaTheme="minorHAnsi" w:hAnsiTheme="minorHAnsi" w:cstheme="minorBidi"/>
                <w:sz w:val="22"/>
                <w:szCs w:val="22"/>
              </w:rPr>
              <w:t xml:space="preserve">of the programme </w:t>
            </w:r>
            <w:r w:rsidR="001F054B">
              <w:rPr>
                <w:rFonts w:asciiTheme="minorHAnsi" w:eastAsiaTheme="minorHAnsi" w:hAnsiTheme="minorHAnsi" w:cstheme="minorBidi"/>
                <w:sz w:val="22"/>
                <w:szCs w:val="22"/>
              </w:rPr>
              <w:t xml:space="preserve">delivering in </w:t>
            </w:r>
            <w:r w:rsidRPr="00EB215B">
              <w:rPr>
                <w:rFonts w:asciiTheme="minorHAnsi" w:eastAsiaTheme="minorHAnsi" w:hAnsiTheme="minorHAnsi" w:cstheme="minorBidi"/>
                <w:sz w:val="22"/>
                <w:szCs w:val="22"/>
              </w:rPr>
              <w:t>this financial year</w:t>
            </w:r>
            <w:r w:rsidR="00211D59">
              <w:rPr>
                <w:rFonts w:asciiTheme="minorHAnsi" w:eastAsiaTheme="minorHAnsi" w:hAnsiTheme="minorHAnsi" w:cstheme="minorBidi"/>
                <w:sz w:val="22"/>
                <w:szCs w:val="22"/>
              </w:rPr>
              <w:t xml:space="preserve"> (2021/22)</w:t>
            </w:r>
            <w:r w:rsidRPr="00EB215B">
              <w:rPr>
                <w:rFonts w:asciiTheme="minorHAnsi" w:eastAsiaTheme="minorHAnsi" w:hAnsiTheme="minorHAnsi" w:cstheme="minorBidi"/>
                <w:sz w:val="22"/>
                <w:szCs w:val="22"/>
              </w:rPr>
              <w:t xml:space="preserve">, investing </w:t>
            </w:r>
            <w:r w:rsidR="00827C90">
              <w:rPr>
                <w:rFonts w:asciiTheme="minorHAnsi" w:eastAsiaTheme="minorHAnsi" w:hAnsiTheme="minorHAnsi" w:cstheme="minorBidi"/>
                <w:sz w:val="22"/>
                <w:szCs w:val="22"/>
              </w:rPr>
              <w:t>through</w:t>
            </w:r>
            <w:r w:rsidRPr="00EB215B">
              <w:rPr>
                <w:rFonts w:asciiTheme="minorHAnsi" w:eastAsiaTheme="minorHAnsi" w:hAnsiTheme="minorHAnsi" w:cstheme="minorBidi"/>
                <w:sz w:val="22"/>
                <w:szCs w:val="22"/>
              </w:rPr>
              <w:t xml:space="preserve"> FSD Africa</w:t>
            </w:r>
            <w:r w:rsidR="000F4AB6">
              <w:rPr>
                <w:rFonts w:asciiTheme="minorHAnsi" w:eastAsiaTheme="minorHAnsi" w:hAnsiTheme="minorHAnsi" w:cstheme="minorBidi"/>
                <w:sz w:val="22"/>
                <w:szCs w:val="22"/>
              </w:rPr>
              <w:t xml:space="preserve">. </w:t>
            </w:r>
            <w:r w:rsidR="00A35DCD">
              <w:rPr>
                <w:rFonts w:asciiTheme="minorHAnsi" w:eastAsiaTheme="minorHAnsi" w:hAnsiTheme="minorHAnsi" w:cstheme="minorBidi"/>
                <w:sz w:val="22"/>
                <w:szCs w:val="22"/>
              </w:rPr>
              <w:t xml:space="preserve">In order to deliver the </w:t>
            </w:r>
            <w:r w:rsidR="002446D0">
              <w:rPr>
                <w:rFonts w:asciiTheme="minorHAnsi" w:eastAsiaTheme="minorHAnsi" w:hAnsiTheme="minorHAnsi" w:cstheme="minorBidi"/>
                <w:sz w:val="22"/>
                <w:szCs w:val="22"/>
              </w:rPr>
              <w:t>remaining components/workstreams</w:t>
            </w:r>
            <w:r w:rsidR="00A35DCD">
              <w:rPr>
                <w:rFonts w:asciiTheme="minorHAnsi" w:eastAsiaTheme="minorHAnsi" w:hAnsiTheme="minorHAnsi" w:cstheme="minorBidi"/>
                <w:sz w:val="22"/>
                <w:szCs w:val="22"/>
              </w:rPr>
              <w:t xml:space="preserve"> of the programme</w:t>
            </w:r>
            <w:r w:rsidR="00575FB3">
              <w:rPr>
                <w:rFonts w:asciiTheme="minorHAnsi" w:eastAsiaTheme="minorHAnsi" w:hAnsiTheme="minorHAnsi" w:cstheme="minorBidi"/>
                <w:sz w:val="22"/>
                <w:szCs w:val="22"/>
              </w:rPr>
              <w:t xml:space="preserve"> in 2022/23</w:t>
            </w:r>
            <w:r w:rsidR="00A35DCD">
              <w:rPr>
                <w:rFonts w:asciiTheme="minorHAnsi" w:eastAsiaTheme="minorHAnsi" w:hAnsiTheme="minorHAnsi" w:cstheme="minorBidi"/>
                <w:sz w:val="22"/>
                <w:szCs w:val="22"/>
              </w:rPr>
              <w:t>, i</w:t>
            </w:r>
            <w:r w:rsidR="000F4AB6">
              <w:rPr>
                <w:rFonts w:asciiTheme="minorHAnsi" w:eastAsiaTheme="minorHAnsi" w:hAnsiTheme="minorHAnsi" w:cstheme="minorBidi"/>
                <w:sz w:val="22"/>
                <w:szCs w:val="22"/>
              </w:rPr>
              <w:t>t is envisaged</w:t>
            </w:r>
            <w:r w:rsidR="00A35DCD">
              <w:rPr>
                <w:rFonts w:asciiTheme="minorHAnsi" w:eastAsiaTheme="minorHAnsi" w:hAnsiTheme="minorHAnsi" w:cstheme="minorBidi"/>
                <w:sz w:val="22"/>
                <w:szCs w:val="22"/>
              </w:rPr>
              <w:t xml:space="preserve"> that an additional £</w:t>
            </w:r>
            <w:r w:rsidR="002A6597">
              <w:rPr>
                <w:rFonts w:asciiTheme="minorHAnsi" w:eastAsiaTheme="minorHAnsi" w:hAnsiTheme="minorHAnsi" w:cstheme="minorBidi"/>
                <w:sz w:val="22"/>
                <w:szCs w:val="22"/>
              </w:rPr>
              <w:t>825</w:t>
            </w:r>
            <w:r w:rsidR="00A35DCD">
              <w:rPr>
                <w:rFonts w:asciiTheme="minorHAnsi" w:eastAsiaTheme="minorHAnsi" w:hAnsiTheme="minorHAnsi" w:cstheme="minorBidi"/>
                <w:sz w:val="22"/>
                <w:szCs w:val="22"/>
              </w:rPr>
              <w:t>k would be secured either from Defra, pending a successful Spending Review outcome, or through FSD Africa core funding</w:t>
            </w:r>
            <w:r w:rsidR="00827C90">
              <w:rPr>
                <w:rFonts w:asciiTheme="minorHAnsi" w:eastAsiaTheme="minorHAnsi" w:hAnsiTheme="minorHAnsi" w:cstheme="minorBidi"/>
                <w:sz w:val="22"/>
                <w:szCs w:val="22"/>
              </w:rPr>
              <w:t xml:space="preserve"> (from FCDO)</w:t>
            </w:r>
            <w:r w:rsidR="00A35DCD">
              <w:rPr>
                <w:rFonts w:asciiTheme="minorHAnsi" w:eastAsiaTheme="minorHAnsi" w:hAnsiTheme="minorHAnsi" w:cstheme="minorBidi"/>
                <w:sz w:val="22"/>
                <w:szCs w:val="22"/>
              </w:rPr>
              <w:t>.</w:t>
            </w:r>
            <w:r w:rsidR="00D050DA">
              <w:rPr>
                <w:rFonts w:asciiTheme="minorHAnsi" w:eastAsiaTheme="minorHAnsi" w:hAnsiTheme="minorHAnsi" w:cstheme="minorBidi"/>
                <w:sz w:val="22"/>
                <w:szCs w:val="22"/>
              </w:rPr>
              <w:t xml:space="preserve"> Defra’s contribution will be</w:t>
            </w:r>
            <w:r w:rsidR="00827C90">
              <w:rPr>
                <w:rFonts w:asciiTheme="minorHAnsi" w:eastAsiaTheme="minorHAnsi" w:hAnsiTheme="minorHAnsi" w:cstheme="minorBidi"/>
                <w:sz w:val="22"/>
                <w:szCs w:val="22"/>
              </w:rPr>
              <w:t xml:space="preserve"> invested in FSD Africa via budgetary</w:t>
            </w:r>
            <w:r w:rsidR="00D050DA">
              <w:rPr>
                <w:rFonts w:asciiTheme="minorHAnsi" w:eastAsiaTheme="minorHAnsi" w:hAnsiTheme="minorHAnsi" w:cstheme="minorBidi"/>
                <w:sz w:val="22"/>
                <w:szCs w:val="22"/>
              </w:rPr>
              <w:t xml:space="preserve"> transfer to FCDO via Supplementary Estimates</w:t>
            </w:r>
            <w:r w:rsidR="00827C90">
              <w:rPr>
                <w:rFonts w:asciiTheme="minorHAnsi" w:eastAsiaTheme="minorHAnsi" w:hAnsiTheme="minorHAnsi" w:cstheme="minorBidi"/>
                <w:sz w:val="22"/>
                <w:szCs w:val="22"/>
              </w:rPr>
              <w:t>.</w:t>
            </w:r>
          </w:p>
          <w:p w14:paraId="41E211D1" w14:textId="77777777" w:rsidR="00D050DA" w:rsidRPr="00D050DA" w:rsidRDefault="00D050DA" w:rsidP="00D050DA">
            <w:pPr>
              <w:pStyle w:val="ListParagraph"/>
              <w:ind w:left="360"/>
              <w:rPr>
                <w:rFonts w:asciiTheme="minorHAnsi" w:eastAsiaTheme="minorHAnsi" w:hAnsiTheme="minorHAnsi" w:cstheme="minorBidi"/>
              </w:rPr>
            </w:pPr>
          </w:p>
          <w:p w14:paraId="32F1A8D4" w14:textId="01A743DF" w:rsidR="00211D59" w:rsidRPr="00211D59" w:rsidRDefault="00211D59" w:rsidP="00211D59">
            <w:pPr>
              <w:pStyle w:val="ListParagraph"/>
              <w:numPr>
                <w:ilvl w:val="0"/>
                <w:numId w:val="15"/>
              </w:numPr>
              <w:rPr>
                <w:rFonts w:asciiTheme="minorHAnsi" w:eastAsiaTheme="minorHAnsi" w:hAnsiTheme="minorHAnsi" w:cstheme="minorBidi"/>
              </w:rPr>
            </w:pPr>
            <w:r w:rsidRPr="00211D59">
              <w:rPr>
                <w:rFonts w:asciiTheme="minorHAnsi" w:eastAsiaTheme="minorHAnsi" w:hAnsiTheme="minorHAnsi" w:cstheme="minorBidi"/>
                <w:sz w:val="22"/>
                <w:szCs w:val="22"/>
              </w:rPr>
              <w:t xml:space="preserve">The </w:t>
            </w:r>
            <w:r w:rsidR="00827C90">
              <w:rPr>
                <w:rFonts w:asciiTheme="minorHAnsi" w:eastAsiaTheme="minorHAnsi" w:hAnsiTheme="minorHAnsi" w:cstheme="minorBidi"/>
                <w:sz w:val="22"/>
                <w:szCs w:val="22"/>
              </w:rPr>
              <w:t xml:space="preserve">funding requirement </w:t>
            </w:r>
            <w:r w:rsidR="005C4B02">
              <w:rPr>
                <w:rFonts w:asciiTheme="minorHAnsi" w:eastAsiaTheme="minorHAnsi" w:hAnsiTheme="minorHAnsi" w:cstheme="minorBidi"/>
                <w:sz w:val="22"/>
                <w:szCs w:val="22"/>
              </w:rPr>
              <w:t>is</w:t>
            </w:r>
            <w:r w:rsidRPr="00211D59">
              <w:rPr>
                <w:rFonts w:asciiTheme="minorHAnsi" w:eastAsiaTheme="minorHAnsi" w:hAnsiTheme="minorHAnsi" w:cstheme="minorBidi"/>
                <w:sz w:val="22"/>
                <w:szCs w:val="22"/>
              </w:rPr>
              <w:t xml:space="preserve"> RDEL. Consolidated Budget Guidance (CBG) states capital spend is unrequited transfer payments which the recipient must use to buy capital assets; buy stocks or repay debt.  Of the outcomes set out in the Strategic Case, none of the spend meets the capital definition and therefore the spend is classified as resource RDEL. </w:t>
            </w:r>
          </w:p>
          <w:p w14:paraId="672F54CE" w14:textId="77777777" w:rsidR="00211D59" w:rsidRDefault="00211D59" w:rsidP="00211D59">
            <w:pPr>
              <w:pStyle w:val="ListParagraph"/>
              <w:ind w:left="360" w:right="176"/>
              <w:rPr>
                <w:rFonts w:asciiTheme="minorHAnsi" w:eastAsiaTheme="minorHAnsi" w:hAnsiTheme="minorHAnsi" w:cstheme="minorBidi"/>
                <w:sz w:val="22"/>
                <w:szCs w:val="22"/>
              </w:rPr>
            </w:pPr>
          </w:p>
          <w:p w14:paraId="1409F8BE" w14:textId="24455F5D" w:rsidR="00086F7E" w:rsidRDefault="00D050DA" w:rsidP="00086F7E">
            <w:pPr>
              <w:pStyle w:val="ListParagraph"/>
              <w:numPr>
                <w:ilvl w:val="0"/>
                <w:numId w:val="15"/>
              </w:numPr>
              <w:ind w:right="176"/>
              <w:rPr>
                <w:rFonts w:asciiTheme="minorHAnsi" w:eastAsiaTheme="minorHAnsi" w:hAnsiTheme="minorHAnsi" w:cstheme="minorBidi"/>
                <w:sz w:val="22"/>
                <w:szCs w:val="22"/>
              </w:rPr>
            </w:pPr>
            <w:r>
              <w:rPr>
                <w:rFonts w:asciiTheme="minorHAnsi" w:eastAsiaTheme="minorHAnsi" w:hAnsiTheme="minorHAnsi" w:cstheme="minorBidi"/>
                <w:sz w:val="22"/>
                <w:szCs w:val="22"/>
              </w:rPr>
              <w:t>The components/workstreams of the programme envisaged for this financial year, and to which the transfer of the £</w:t>
            </w:r>
            <w:r w:rsidR="002E63D5">
              <w:rPr>
                <w:rFonts w:asciiTheme="minorHAnsi" w:eastAsiaTheme="minorHAnsi" w:hAnsiTheme="minorHAnsi" w:cstheme="minorBidi"/>
                <w:sz w:val="22"/>
                <w:szCs w:val="22"/>
              </w:rPr>
              <w:t>8</w:t>
            </w:r>
            <w:r>
              <w:rPr>
                <w:rFonts w:asciiTheme="minorHAnsi" w:eastAsiaTheme="minorHAnsi" w:hAnsiTheme="minorHAnsi" w:cstheme="minorBidi"/>
                <w:sz w:val="22"/>
                <w:szCs w:val="22"/>
              </w:rPr>
              <w:t xml:space="preserve">50k </w:t>
            </w:r>
            <w:r w:rsidR="00575FB3">
              <w:rPr>
                <w:rFonts w:asciiTheme="minorHAnsi" w:eastAsiaTheme="minorHAnsi" w:hAnsiTheme="minorHAnsi" w:cstheme="minorBidi"/>
                <w:sz w:val="22"/>
                <w:szCs w:val="22"/>
              </w:rPr>
              <w:t>in 2021/22</w:t>
            </w:r>
            <w:r>
              <w:rPr>
                <w:rFonts w:asciiTheme="minorHAnsi" w:eastAsiaTheme="minorHAnsi" w:hAnsiTheme="minorHAnsi" w:cstheme="minorBidi"/>
                <w:sz w:val="22"/>
                <w:szCs w:val="22"/>
              </w:rPr>
              <w:t xml:space="preserve"> is linked, will run for ~</w:t>
            </w:r>
            <w:r w:rsidR="002A6597">
              <w:rPr>
                <w:rFonts w:asciiTheme="minorHAnsi" w:eastAsiaTheme="minorHAnsi" w:hAnsiTheme="minorHAnsi" w:cstheme="minorBidi"/>
                <w:sz w:val="22"/>
                <w:szCs w:val="22"/>
              </w:rPr>
              <w:t>5</w:t>
            </w:r>
            <w:r>
              <w:rPr>
                <w:rFonts w:asciiTheme="minorHAnsi" w:eastAsiaTheme="minorHAnsi" w:hAnsiTheme="minorHAnsi" w:cstheme="minorBidi"/>
                <w:sz w:val="22"/>
                <w:szCs w:val="22"/>
              </w:rPr>
              <w:t xml:space="preserve"> months</w:t>
            </w:r>
            <w:r w:rsidR="002A6597">
              <w:rPr>
                <w:rFonts w:asciiTheme="minorHAnsi" w:eastAsiaTheme="minorHAnsi" w:hAnsiTheme="minorHAnsi" w:cstheme="minorBidi"/>
                <w:sz w:val="22"/>
                <w:szCs w:val="22"/>
              </w:rPr>
              <w:t>, with conclusions expected in March 2022</w:t>
            </w:r>
            <w:r>
              <w:rPr>
                <w:rFonts w:asciiTheme="minorHAnsi" w:eastAsiaTheme="minorHAnsi" w:hAnsiTheme="minorHAnsi" w:cstheme="minorBidi"/>
                <w:sz w:val="22"/>
                <w:szCs w:val="22"/>
              </w:rPr>
              <w:t xml:space="preserve">. Over the course of this period, it is expected that </w:t>
            </w:r>
            <w:r w:rsidR="00575FB3">
              <w:rPr>
                <w:rFonts w:asciiTheme="minorHAnsi" w:eastAsiaTheme="minorHAnsi" w:hAnsiTheme="minorHAnsi" w:cstheme="minorBidi"/>
                <w:sz w:val="22"/>
                <w:szCs w:val="22"/>
              </w:rPr>
              <w:t xml:space="preserve">Defra’s </w:t>
            </w:r>
            <w:r>
              <w:rPr>
                <w:rFonts w:asciiTheme="minorHAnsi" w:eastAsiaTheme="minorHAnsi" w:hAnsiTheme="minorHAnsi" w:cstheme="minorBidi"/>
                <w:sz w:val="22"/>
                <w:szCs w:val="22"/>
              </w:rPr>
              <w:t xml:space="preserve">International Nature Ambition and Recovery team </w:t>
            </w:r>
            <w:r w:rsidR="00575FB3">
              <w:rPr>
                <w:rFonts w:asciiTheme="minorHAnsi" w:eastAsiaTheme="minorHAnsi" w:hAnsiTheme="minorHAnsi" w:cstheme="minorBidi"/>
                <w:sz w:val="22"/>
                <w:szCs w:val="22"/>
              </w:rPr>
              <w:t xml:space="preserve">in the International Nature, Development and Climate division </w:t>
            </w:r>
            <w:r>
              <w:rPr>
                <w:rFonts w:asciiTheme="minorHAnsi" w:eastAsiaTheme="minorHAnsi" w:hAnsiTheme="minorHAnsi" w:cstheme="minorBidi"/>
                <w:sz w:val="22"/>
                <w:szCs w:val="22"/>
              </w:rPr>
              <w:t>will be able to provide the resource support required for liaison activities between FSD Africa and</w:t>
            </w:r>
            <w:r w:rsidR="00143D7B">
              <w:rPr>
                <w:rFonts w:asciiTheme="minorHAnsi" w:eastAsiaTheme="minorHAnsi" w:hAnsiTheme="minorHAnsi" w:cstheme="minorBidi"/>
                <w:sz w:val="22"/>
                <w:szCs w:val="22"/>
              </w:rPr>
              <w:t xml:space="preserve"> the TNFD Secretariat.</w:t>
            </w:r>
            <w:r w:rsidR="00F2655F">
              <w:rPr>
                <w:rFonts w:asciiTheme="minorHAnsi" w:eastAsiaTheme="minorHAnsi" w:hAnsiTheme="minorHAnsi" w:cstheme="minorBidi"/>
                <w:sz w:val="22"/>
                <w:szCs w:val="22"/>
              </w:rPr>
              <w:t xml:space="preserve"> Defra </w:t>
            </w:r>
            <w:r w:rsidR="00F2655F">
              <w:rPr>
                <w:rFonts w:asciiTheme="minorHAnsi" w:eastAsiaTheme="minorHAnsi" w:hAnsiTheme="minorHAnsi" w:cstheme="minorBidi"/>
                <w:sz w:val="22"/>
                <w:szCs w:val="22"/>
              </w:rPr>
              <w:lastRenderedPageBreak/>
              <w:t>TNFD leads in the Green Finance team will also be involved accordingly</w:t>
            </w:r>
            <w:r w:rsidR="00200CA7">
              <w:rPr>
                <w:rFonts w:asciiTheme="minorHAnsi" w:eastAsiaTheme="minorHAnsi" w:hAnsiTheme="minorHAnsi" w:cstheme="minorBidi"/>
                <w:sz w:val="22"/>
                <w:szCs w:val="22"/>
              </w:rPr>
              <w:t xml:space="preserve"> (e.g. joining meetings between TNFD and FSD Africa)</w:t>
            </w:r>
            <w:r w:rsidR="00F2655F">
              <w:rPr>
                <w:rFonts w:asciiTheme="minorHAnsi" w:eastAsiaTheme="minorHAnsi" w:hAnsiTheme="minorHAnsi" w:cstheme="minorBidi"/>
                <w:sz w:val="22"/>
                <w:szCs w:val="22"/>
              </w:rPr>
              <w:t xml:space="preserve">, ensuring oversight from a TNFD policy perspective, and </w:t>
            </w:r>
            <w:r w:rsidR="00200CA7">
              <w:rPr>
                <w:rFonts w:asciiTheme="minorHAnsi" w:eastAsiaTheme="minorHAnsi" w:hAnsiTheme="minorHAnsi" w:cstheme="minorBidi"/>
                <w:sz w:val="22"/>
                <w:szCs w:val="22"/>
              </w:rPr>
              <w:t>that</w:t>
            </w:r>
            <w:r w:rsidR="00F2655F">
              <w:rPr>
                <w:rFonts w:asciiTheme="minorHAnsi" w:eastAsiaTheme="minorHAnsi" w:hAnsiTheme="minorHAnsi" w:cstheme="minorBidi"/>
                <w:sz w:val="22"/>
                <w:szCs w:val="22"/>
              </w:rPr>
              <w:t xml:space="preserve"> work undertaken by FSD Africa is conducive of wider work led by the wider TNFD initiative</w:t>
            </w:r>
            <w:r w:rsidR="00143D7B">
              <w:rPr>
                <w:rFonts w:asciiTheme="minorHAnsi" w:eastAsiaTheme="minorHAnsi" w:hAnsiTheme="minorHAnsi" w:cstheme="minorBidi"/>
                <w:sz w:val="22"/>
                <w:szCs w:val="22"/>
              </w:rPr>
              <w:t>.</w:t>
            </w:r>
          </w:p>
          <w:p w14:paraId="495897DF" w14:textId="77777777" w:rsidR="00D050DA" w:rsidRDefault="00D050DA" w:rsidP="00D050DA">
            <w:pPr>
              <w:pStyle w:val="ListParagraph"/>
              <w:spacing w:after="0" w:line="240" w:lineRule="auto"/>
              <w:ind w:left="360" w:right="176"/>
              <w:rPr>
                <w:rFonts w:asciiTheme="minorHAnsi" w:eastAsiaTheme="minorHAnsi" w:hAnsiTheme="minorHAnsi" w:cstheme="minorBidi"/>
                <w:sz w:val="22"/>
                <w:szCs w:val="22"/>
              </w:rPr>
            </w:pPr>
          </w:p>
          <w:p w14:paraId="1247ADD2" w14:textId="567B6B18" w:rsidR="00086F7E" w:rsidRDefault="00143D7B" w:rsidP="008F4489">
            <w:pPr>
              <w:pStyle w:val="ListParagraph"/>
              <w:numPr>
                <w:ilvl w:val="0"/>
                <w:numId w:val="15"/>
              </w:numPr>
              <w:ind w:right="176"/>
              <w:rPr>
                <w:rFonts w:asciiTheme="minorHAnsi" w:eastAsiaTheme="minorHAnsi" w:hAnsiTheme="minorHAnsi" w:cstheme="minorBidi"/>
                <w:sz w:val="22"/>
                <w:szCs w:val="22"/>
              </w:rPr>
            </w:pPr>
            <w:r>
              <w:rPr>
                <w:rFonts w:asciiTheme="minorHAnsi" w:eastAsiaTheme="minorHAnsi" w:hAnsiTheme="minorHAnsi" w:cstheme="minorBidi"/>
                <w:sz w:val="22"/>
                <w:szCs w:val="22"/>
              </w:rPr>
              <w:t>A preliminary breakdown of envisaged spend is presented below</w:t>
            </w:r>
            <w:r w:rsidR="00ED321A">
              <w:rPr>
                <w:rFonts w:asciiTheme="minorHAnsi" w:eastAsiaTheme="minorHAnsi" w:hAnsiTheme="minorHAnsi" w:cstheme="minorBidi"/>
                <w:sz w:val="22"/>
                <w:szCs w:val="22"/>
              </w:rPr>
              <w:t xml:space="preserve"> (note that delivery of outcomes for the </w:t>
            </w:r>
            <w:r w:rsidR="002E63D5">
              <w:rPr>
                <w:rFonts w:asciiTheme="minorHAnsi" w:eastAsiaTheme="minorHAnsi" w:hAnsiTheme="minorHAnsi" w:cstheme="minorBidi"/>
                <w:sz w:val="22"/>
                <w:szCs w:val="22"/>
              </w:rPr>
              <w:t xml:space="preserve">first </w:t>
            </w:r>
            <w:r w:rsidR="00ED321A">
              <w:rPr>
                <w:rFonts w:asciiTheme="minorHAnsi" w:eastAsiaTheme="minorHAnsi" w:hAnsiTheme="minorHAnsi" w:cstheme="minorBidi"/>
                <w:sz w:val="22"/>
                <w:szCs w:val="22"/>
              </w:rPr>
              <w:t>£</w:t>
            </w:r>
            <w:r w:rsidR="002E63D5">
              <w:rPr>
                <w:rFonts w:asciiTheme="minorHAnsi" w:eastAsiaTheme="minorHAnsi" w:hAnsiTheme="minorHAnsi" w:cstheme="minorBidi"/>
                <w:sz w:val="22"/>
                <w:szCs w:val="22"/>
              </w:rPr>
              <w:t>8</w:t>
            </w:r>
            <w:r w:rsidR="00ED321A">
              <w:rPr>
                <w:rFonts w:asciiTheme="minorHAnsi" w:eastAsiaTheme="minorHAnsi" w:hAnsiTheme="minorHAnsi" w:cstheme="minorBidi"/>
                <w:sz w:val="22"/>
                <w:szCs w:val="22"/>
              </w:rPr>
              <w:t>50k is independent of whether the additional £</w:t>
            </w:r>
            <w:r w:rsidR="002E63D5">
              <w:rPr>
                <w:rFonts w:asciiTheme="minorHAnsi" w:eastAsiaTheme="minorHAnsi" w:hAnsiTheme="minorHAnsi" w:cstheme="minorBidi"/>
                <w:sz w:val="22"/>
                <w:szCs w:val="22"/>
              </w:rPr>
              <w:t>8</w:t>
            </w:r>
            <w:r w:rsidR="00054A58">
              <w:rPr>
                <w:rFonts w:asciiTheme="minorHAnsi" w:eastAsiaTheme="minorHAnsi" w:hAnsiTheme="minorHAnsi" w:cstheme="minorBidi"/>
                <w:sz w:val="22"/>
                <w:szCs w:val="22"/>
              </w:rPr>
              <w:t>25</w:t>
            </w:r>
            <w:r w:rsidR="00ED321A">
              <w:rPr>
                <w:rFonts w:asciiTheme="minorHAnsi" w:eastAsiaTheme="minorHAnsi" w:hAnsiTheme="minorHAnsi" w:cstheme="minorBidi"/>
                <w:sz w:val="22"/>
                <w:szCs w:val="22"/>
              </w:rPr>
              <w:t>k is secured)</w:t>
            </w:r>
            <w:r>
              <w:rPr>
                <w:rFonts w:asciiTheme="minorHAnsi" w:eastAsiaTheme="minorHAnsi" w:hAnsiTheme="minorHAnsi" w:cstheme="minorBidi"/>
                <w:sz w:val="22"/>
                <w:szCs w:val="22"/>
              </w:rPr>
              <w:t xml:space="preserve">. </w:t>
            </w:r>
            <w:r w:rsidRPr="00143D7B">
              <w:rPr>
                <w:rFonts w:asciiTheme="minorHAnsi" w:eastAsiaTheme="minorHAnsi" w:hAnsiTheme="minorHAnsi" w:cstheme="minorBidi"/>
                <w:sz w:val="22"/>
                <w:szCs w:val="22"/>
              </w:rPr>
              <w:t xml:space="preserve">It is intended that </w:t>
            </w:r>
            <w:r w:rsidR="002E63D5">
              <w:rPr>
                <w:rFonts w:asciiTheme="minorHAnsi" w:eastAsiaTheme="minorHAnsi" w:hAnsiTheme="minorHAnsi" w:cstheme="minorBidi"/>
                <w:sz w:val="22"/>
                <w:szCs w:val="22"/>
              </w:rPr>
              <w:t xml:space="preserve">the majority of </w:t>
            </w:r>
            <w:r w:rsidRPr="00143D7B">
              <w:rPr>
                <w:rFonts w:asciiTheme="minorHAnsi" w:eastAsiaTheme="minorHAnsi" w:hAnsiTheme="minorHAnsi" w:cstheme="minorBidi"/>
                <w:sz w:val="22"/>
                <w:szCs w:val="22"/>
              </w:rPr>
              <w:t xml:space="preserve">this first tranche would be spent </w:t>
            </w:r>
            <w:r>
              <w:rPr>
                <w:rFonts w:asciiTheme="minorHAnsi" w:eastAsiaTheme="minorHAnsi" w:hAnsiTheme="minorHAnsi" w:cstheme="minorBidi"/>
                <w:sz w:val="22"/>
                <w:szCs w:val="22"/>
              </w:rPr>
              <w:t>on</w:t>
            </w:r>
            <w:r w:rsidRPr="00143D7B">
              <w:rPr>
                <w:rFonts w:asciiTheme="minorHAnsi" w:eastAsiaTheme="minorHAnsi" w:hAnsiTheme="minorHAnsi" w:cstheme="minorBidi"/>
                <w:sz w:val="22"/>
                <w:szCs w:val="22"/>
              </w:rPr>
              <w:t xml:space="preserve"> Workstream 1, </w:t>
            </w:r>
            <w:r>
              <w:rPr>
                <w:rFonts w:asciiTheme="minorHAnsi" w:eastAsiaTheme="minorHAnsi" w:hAnsiTheme="minorHAnsi" w:cstheme="minorBidi"/>
                <w:sz w:val="22"/>
                <w:szCs w:val="22"/>
              </w:rPr>
              <w:t xml:space="preserve">with a component </w:t>
            </w:r>
            <w:r w:rsidRPr="00143D7B">
              <w:rPr>
                <w:rFonts w:asciiTheme="minorHAnsi" w:eastAsiaTheme="minorHAnsi" w:hAnsiTheme="minorHAnsi" w:cstheme="minorBidi"/>
                <w:sz w:val="22"/>
                <w:szCs w:val="22"/>
              </w:rPr>
              <w:t xml:space="preserve">of the funding </w:t>
            </w:r>
            <w:r>
              <w:rPr>
                <w:rFonts w:asciiTheme="minorHAnsi" w:eastAsiaTheme="minorHAnsi" w:hAnsiTheme="minorHAnsi" w:cstheme="minorBidi"/>
                <w:sz w:val="22"/>
                <w:szCs w:val="22"/>
              </w:rPr>
              <w:t>being</w:t>
            </w:r>
            <w:r w:rsidRPr="00143D7B">
              <w:rPr>
                <w:rFonts w:asciiTheme="minorHAnsi" w:eastAsiaTheme="minorHAnsi" w:hAnsiTheme="minorHAnsi" w:cstheme="minorBidi"/>
                <w:sz w:val="22"/>
                <w:szCs w:val="22"/>
              </w:rPr>
              <w:t xml:space="preserve"> disbursed on preliminary Workstream 2 activities.</w:t>
            </w:r>
          </w:p>
          <w:p w14:paraId="40706702" w14:textId="77777777" w:rsidR="00143D7B" w:rsidRPr="00143D7B" w:rsidRDefault="00143D7B" w:rsidP="00143D7B">
            <w:pPr>
              <w:pStyle w:val="ListParagraph"/>
              <w:rPr>
                <w:rFonts w:asciiTheme="minorHAnsi" w:eastAsiaTheme="minorHAnsi" w:hAnsiTheme="minorHAnsi" w:cstheme="minorBidi"/>
              </w:rPr>
            </w:pPr>
          </w:p>
          <w:tbl>
            <w:tblPr>
              <w:tblW w:w="4385" w:type="pct"/>
              <w:tblInd w:w="664"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383"/>
              <w:gridCol w:w="1633"/>
              <w:gridCol w:w="2114"/>
              <w:gridCol w:w="1669"/>
              <w:gridCol w:w="836"/>
              <w:gridCol w:w="720"/>
            </w:tblGrid>
            <w:tr w:rsidR="00054A58" w:rsidRPr="00822E60" w14:paraId="0FA5542A" w14:textId="77777777" w:rsidTr="008F4489">
              <w:trPr>
                <w:trHeight w:val="518"/>
              </w:trPr>
              <w:tc>
                <w:tcPr>
                  <w:tcW w:w="828" w:type="pct"/>
                  <w:tcBorders>
                    <w:bottom w:val="single" w:sz="12" w:space="0" w:color="A8D08D" w:themeColor="accent6" w:themeTint="99"/>
                  </w:tcBorders>
                  <w:shd w:val="clear" w:color="auto" w:fill="auto"/>
                  <w:vAlign w:val="center"/>
                </w:tcPr>
                <w:p w14:paraId="7ED089AE" w14:textId="77777777" w:rsidR="00054A58" w:rsidRPr="00822E60" w:rsidRDefault="00054A58" w:rsidP="00054A58">
                  <w:pPr>
                    <w:spacing w:line="276" w:lineRule="auto"/>
                    <w:rPr>
                      <w:rFonts w:ascii="Trebuchet MS" w:hAnsi="Trebuchet MS" w:cs="Calibri"/>
                      <w:b/>
                      <w:bCs/>
                      <w:sz w:val="14"/>
                      <w:szCs w:val="14"/>
                    </w:rPr>
                  </w:pPr>
                  <w:r w:rsidRPr="00822E60">
                    <w:rPr>
                      <w:rFonts w:ascii="Trebuchet MS" w:hAnsi="Trebuchet MS" w:cs="Calibri"/>
                      <w:b/>
                      <w:bCs/>
                      <w:sz w:val="14"/>
                      <w:szCs w:val="14"/>
                    </w:rPr>
                    <w:t>Workstream:</w:t>
                  </w:r>
                </w:p>
              </w:tc>
              <w:tc>
                <w:tcPr>
                  <w:tcW w:w="977" w:type="pct"/>
                  <w:tcBorders>
                    <w:bottom w:val="single" w:sz="12" w:space="0" w:color="A8D08D" w:themeColor="accent6" w:themeTint="99"/>
                  </w:tcBorders>
                  <w:vAlign w:val="center"/>
                </w:tcPr>
                <w:p w14:paraId="213ED0EC" w14:textId="77777777" w:rsidR="00054A58" w:rsidRPr="00822E60" w:rsidRDefault="00054A58" w:rsidP="00054A58">
                  <w:pPr>
                    <w:spacing w:line="276" w:lineRule="auto"/>
                    <w:rPr>
                      <w:rFonts w:ascii="Trebuchet MS" w:hAnsi="Trebuchet MS" w:cs="Calibri"/>
                      <w:b/>
                      <w:bCs/>
                      <w:sz w:val="14"/>
                      <w:szCs w:val="14"/>
                    </w:rPr>
                  </w:pPr>
                  <w:r w:rsidRPr="00822E60">
                    <w:rPr>
                      <w:rFonts w:ascii="Trebuchet MS" w:hAnsi="Trebuchet MS" w:cs="Calibri"/>
                      <w:b/>
                      <w:bCs/>
                      <w:sz w:val="14"/>
                      <w:szCs w:val="14"/>
                    </w:rPr>
                    <w:t>Activities:</w:t>
                  </w:r>
                </w:p>
              </w:tc>
              <w:tc>
                <w:tcPr>
                  <w:tcW w:w="1265" w:type="pct"/>
                  <w:tcBorders>
                    <w:bottom w:val="single" w:sz="12" w:space="0" w:color="A8D08D" w:themeColor="accent6" w:themeTint="99"/>
                  </w:tcBorders>
                  <w:shd w:val="clear" w:color="auto" w:fill="auto"/>
                  <w:vAlign w:val="center"/>
                </w:tcPr>
                <w:p w14:paraId="01E1B931" w14:textId="77777777" w:rsidR="00054A58" w:rsidRPr="00822E60" w:rsidRDefault="00054A58" w:rsidP="00054A58">
                  <w:pPr>
                    <w:spacing w:line="276" w:lineRule="auto"/>
                    <w:rPr>
                      <w:rFonts w:ascii="Trebuchet MS" w:hAnsi="Trebuchet MS" w:cs="Calibri"/>
                      <w:b/>
                      <w:bCs/>
                      <w:sz w:val="14"/>
                      <w:szCs w:val="14"/>
                    </w:rPr>
                  </w:pPr>
                  <w:r w:rsidRPr="00822E60">
                    <w:rPr>
                      <w:rFonts w:ascii="Trebuchet MS" w:hAnsi="Trebuchet MS" w:cs="Calibri"/>
                      <w:b/>
                      <w:bCs/>
                      <w:sz w:val="14"/>
                      <w:szCs w:val="14"/>
                    </w:rPr>
                    <w:t>Delivered by:</w:t>
                  </w:r>
                </w:p>
              </w:tc>
              <w:tc>
                <w:tcPr>
                  <w:tcW w:w="999" w:type="pct"/>
                  <w:tcBorders>
                    <w:bottom w:val="single" w:sz="12" w:space="0" w:color="A8D08D" w:themeColor="accent6" w:themeTint="99"/>
                  </w:tcBorders>
                  <w:vAlign w:val="center"/>
                </w:tcPr>
                <w:p w14:paraId="4B8A3CE8" w14:textId="77777777" w:rsidR="00054A58" w:rsidRPr="00822E60" w:rsidRDefault="00054A58" w:rsidP="00054A58">
                  <w:pPr>
                    <w:spacing w:line="276" w:lineRule="auto"/>
                    <w:rPr>
                      <w:rFonts w:ascii="Trebuchet MS" w:hAnsi="Trebuchet MS" w:cs="Calibri"/>
                      <w:b/>
                      <w:bCs/>
                      <w:sz w:val="14"/>
                      <w:szCs w:val="14"/>
                    </w:rPr>
                  </w:pPr>
                  <w:r>
                    <w:rPr>
                      <w:rFonts w:ascii="Trebuchet MS" w:hAnsi="Trebuchet MS" w:cs="Calibri"/>
                      <w:b/>
                      <w:bCs/>
                      <w:sz w:val="14"/>
                      <w:szCs w:val="14"/>
                    </w:rPr>
                    <w:t>Spend (GBP) before end of Mar-22</w:t>
                  </w:r>
                </w:p>
              </w:tc>
              <w:tc>
                <w:tcPr>
                  <w:tcW w:w="500" w:type="pct"/>
                  <w:tcBorders>
                    <w:bottom w:val="single" w:sz="12" w:space="0" w:color="A8D08D" w:themeColor="accent6" w:themeTint="99"/>
                  </w:tcBorders>
                  <w:vAlign w:val="center"/>
                </w:tcPr>
                <w:p w14:paraId="114F5B4A" w14:textId="77777777" w:rsidR="00054A58" w:rsidRPr="00822E60" w:rsidRDefault="00054A58" w:rsidP="00054A58">
                  <w:pPr>
                    <w:spacing w:line="276" w:lineRule="auto"/>
                    <w:rPr>
                      <w:rFonts w:ascii="Trebuchet MS" w:hAnsi="Trebuchet MS" w:cs="Calibri"/>
                      <w:b/>
                      <w:bCs/>
                      <w:sz w:val="14"/>
                      <w:szCs w:val="14"/>
                    </w:rPr>
                  </w:pPr>
                  <w:r>
                    <w:rPr>
                      <w:rFonts w:ascii="Trebuchet MS" w:hAnsi="Trebuchet MS" w:cs="Calibri"/>
                      <w:b/>
                      <w:bCs/>
                      <w:sz w:val="14"/>
                      <w:szCs w:val="14"/>
                    </w:rPr>
                    <w:t>Spend (GBP) before end of Nov-22</w:t>
                  </w:r>
                </w:p>
              </w:tc>
              <w:tc>
                <w:tcPr>
                  <w:tcW w:w="431" w:type="pct"/>
                  <w:tcBorders>
                    <w:bottom w:val="single" w:sz="12" w:space="0" w:color="A8D08D" w:themeColor="accent6" w:themeTint="99"/>
                  </w:tcBorders>
                  <w:vAlign w:val="center"/>
                </w:tcPr>
                <w:p w14:paraId="2C6DE98B" w14:textId="77777777" w:rsidR="00054A58" w:rsidRPr="00822E60" w:rsidRDefault="00054A58" w:rsidP="00054A58">
                  <w:pPr>
                    <w:spacing w:line="276" w:lineRule="auto"/>
                    <w:rPr>
                      <w:rFonts w:ascii="Trebuchet MS" w:hAnsi="Trebuchet MS" w:cs="Calibri"/>
                      <w:b/>
                      <w:bCs/>
                      <w:sz w:val="14"/>
                      <w:szCs w:val="14"/>
                    </w:rPr>
                  </w:pPr>
                  <w:r>
                    <w:rPr>
                      <w:rFonts w:ascii="Trebuchet MS" w:hAnsi="Trebuchet MS" w:cs="Calibri"/>
                      <w:b/>
                      <w:bCs/>
                      <w:sz w:val="14"/>
                      <w:szCs w:val="14"/>
                    </w:rPr>
                    <w:t xml:space="preserve">Total Spend </w:t>
                  </w:r>
                  <w:r w:rsidRPr="00822E60">
                    <w:rPr>
                      <w:rFonts w:ascii="Trebuchet MS" w:hAnsi="Trebuchet MS" w:cs="Calibri"/>
                      <w:b/>
                      <w:bCs/>
                      <w:sz w:val="14"/>
                      <w:szCs w:val="14"/>
                    </w:rPr>
                    <w:t>(GBP):</w:t>
                  </w:r>
                </w:p>
              </w:tc>
            </w:tr>
            <w:tr w:rsidR="00054A58" w:rsidRPr="00822E60" w14:paraId="40F6DEE6" w14:textId="77777777" w:rsidTr="008F4489">
              <w:trPr>
                <w:trHeight w:val="265"/>
              </w:trPr>
              <w:tc>
                <w:tcPr>
                  <w:tcW w:w="828" w:type="pct"/>
                  <w:shd w:val="clear" w:color="auto" w:fill="auto"/>
                  <w:vAlign w:val="center"/>
                </w:tcPr>
                <w:p w14:paraId="549A7A7E" w14:textId="77777777" w:rsidR="00054A58" w:rsidRPr="00822E60" w:rsidRDefault="00054A58" w:rsidP="00054A58">
                  <w:pPr>
                    <w:spacing w:line="276" w:lineRule="auto"/>
                    <w:rPr>
                      <w:rFonts w:ascii="Trebuchet MS" w:hAnsi="Trebuchet MS" w:cs="Cambria"/>
                      <w:bCs/>
                      <w:iCs/>
                      <w:color w:val="000000"/>
                      <w:sz w:val="14"/>
                      <w:szCs w:val="14"/>
                      <w:lang w:val="en-US"/>
                    </w:rPr>
                  </w:pPr>
                  <w:r w:rsidRPr="00822E60">
                    <w:rPr>
                      <w:rFonts w:ascii="Trebuchet MS" w:hAnsi="Trebuchet MS" w:cs="Cambria"/>
                      <w:bCs/>
                      <w:iCs/>
                      <w:color w:val="000000"/>
                      <w:sz w:val="14"/>
                      <w:szCs w:val="14"/>
                      <w:lang w:val="en-US"/>
                    </w:rPr>
                    <w:t>Workstream 1:</w:t>
                  </w:r>
                </w:p>
                <w:p w14:paraId="455A0632" w14:textId="77777777" w:rsidR="00054A58" w:rsidRPr="00822E60" w:rsidRDefault="00054A58" w:rsidP="00054A58">
                  <w:pPr>
                    <w:spacing w:line="276" w:lineRule="auto"/>
                    <w:rPr>
                      <w:rFonts w:ascii="Trebuchet MS" w:hAnsi="Trebuchet MS" w:cs="Cambria"/>
                      <w:bCs/>
                      <w:iCs/>
                      <w:color w:val="000000"/>
                      <w:sz w:val="14"/>
                      <w:szCs w:val="14"/>
                      <w:lang w:val="en-US"/>
                    </w:rPr>
                  </w:pPr>
                  <w:r w:rsidRPr="00822E60">
                    <w:rPr>
                      <w:rFonts w:ascii="Trebuchet MS" w:hAnsi="Trebuchet MS" w:cs="Cambria"/>
                      <w:bCs/>
                      <w:iCs/>
                      <w:color w:val="000000"/>
                      <w:sz w:val="14"/>
                      <w:szCs w:val="14"/>
                      <w:lang w:val="en-US"/>
                    </w:rPr>
                    <w:t>Academic justification of TNFD in Africa</w:t>
                  </w:r>
                </w:p>
              </w:tc>
              <w:tc>
                <w:tcPr>
                  <w:tcW w:w="977" w:type="pct"/>
                  <w:vMerge w:val="restart"/>
                  <w:vAlign w:val="center"/>
                </w:tcPr>
                <w:p w14:paraId="29AC7E83" w14:textId="308EDB44"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cs="Calibri"/>
                      <w:sz w:val="14"/>
                      <w:szCs w:val="14"/>
                    </w:rPr>
                    <w:t>See Appendix 1 for current draft of activities – exact funding by workstream to be finalised for project proposal pending partner discussions</w:t>
                  </w:r>
                </w:p>
              </w:tc>
              <w:tc>
                <w:tcPr>
                  <w:tcW w:w="1265" w:type="pct"/>
                  <w:shd w:val="clear" w:color="auto" w:fill="auto"/>
                  <w:vAlign w:val="center"/>
                </w:tcPr>
                <w:p w14:paraId="597E32F7" w14:textId="77777777"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cs="Calibri"/>
                      <w:sz w:val="14"/>
                      <w:szCs w:val="14"/>
                    </w:rPr>
                    <w:t>R&amp;R Pillar</w:t>
                  </w:r>
                  <w:r w:rsidRPr="00822E60">
                    <w:rPr>
                      <w:rFonts w:ascii="Trebuchet MS" w:hAnsi="Trebuchet MS"/>
                      <w:sz w:val="14"/>
                      <w:szCs w:val="14"/>
                    </w:rPr>
                    <w:t xml:space="preserve"> </w:t>
                  </w:r>
                </w:p>
                <w:p w14:paraId="59762397" w14:textId="77777777"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sz w:val="14"/>
                      <w:szCs w:val="14"/>
                    </w:rPr>
                    <w:t>TBD Consultant</w:t>
                  </w:r>
                  <w:r>
                    <w:rPr>
                      <w:rFonts w:ascii="Trebuchet MS" w:hAnsi="Trebuchet MS"/>
                      <w:sz w:val="14"/>
                      <w:szCs w:val="14"/>
                    </w:rPr>
                    <w:t xml:space="preserve"> (intending joint engagement with McKinsey/Vivid)</w:t>
                  </w:r>
                </w:p>
              </w:tc>
              <w:tc>
                <w:tcPr>
                  <w:tcW w:w="999" w:type="pct"/>
                  <w:vAlign w:val="center"/>
                </w:tcPr>
                <w:p w14:paraId="24404D58" w14:textId="77777777" w:rsidR="00054A58" w:rsidRDefault="00054A58" w:rsidP="00054A58">
                  <w:pPr>
                    <w:spacing w:line="276" w:lineRule="auto"/>
                    <w:jc w:val="center"/>
                    <w:rPr>
                      <w:rFonts w:ascii="Trebuchet MS" w:hAnsi="Trebuchet MS" w:cs="Calibri"/>
                      <w:b/>
                      <w:bCs/>
                      <w:sz w:val="14"/>
                      <w:szCs w:val="14"/>
                    </w:rPr>
                  </w:pPr>
                  <w:r w:rsidRPr="007F4480">
                    <w:rPr>
                      <w:rFonts w:ascii="Trebuchet MS" w:hAnsi="Trebuchet MS" w:cs="Calibri"/>
                      <w:b/>
                      <w:bCs/>
                      <w:sz w:val="14"/>
                      <w:szCs w:val="14"/>
                    </w:rPr>
                    <w:t>425</w:t>
                  </w:r>
                  <w:r>
                    <w:rPr>
                      <w:rFonts w:ascii="Trebuchet MS" w:hAnsi="Trebuchet MS" w:cs="Calibri"/>
                      <w:b/>
                      <w:bCs/>
                      <w:sz w:val="14"/>
                      <w:szCs w:val="14"/>
                    </w:rPr>
                    <w:t>k</w:t>
                  </w:r>
                </w:p>
              </w:tc>
              <w:tc>
                <w:tcPr>
                  <w:tcW w:w="500" w:type="pct"/>
                  <w:vAlign w:val="center"/>
                </w:tcPr>
                <w:p w14:paraId="51E3FB9D" w14:textId="77777777" w:rsidR="00054A58" w:rsidRDefault="00054A58" w:rsidP="00054A58">
                  <w:pPr>
                    <w:spacing w:line="276" w:lineRule="auto"/>
                    <w:jc w:val="center"/>
                    <w:rPr>
                      <w:rFonts w:ascii="Trebuchet MS" w:hAnsi="Trebuchet MS" w:cs="Calibri"/>
                      <w:b/>
                      <w:bCs/>
                      <w:sz w:val="14"/>
                      <w:szCs w:val="14"/>
                    </w:rPr>
                  </w:pPr>
                  <w:r w:rsidRPr="007F4480">
                    <w:rPr>
                      <w:rFonts w:ascii="Trebuchet MS" w:hAnsi="Trebuchet MS" w:cs="Calibri"/>
                      <w:b/>
                      <w:bCs/>
                      <w:sz w:val="14"/>
                      <w:szCs w:val="14"/>
                    </w:rPr>
                    <w:t>0</w:t>
                  </w:r>
                </w:p>
              </w:tc>
              <w:tc>
                <w:tcPr>
                  <w:tcW w:w="431" w:type="pct"/>
                  <w:vAlign w:val="center"/>
                </w:tcPr>
                <w:p w14:paraId="32389D4A" w14:textId="77777777" w:rsidR="00054A58" w:rsidRPr="00822E60" w:rsidRDefault="00054A58" w:rsidP="00054A58">
                  <w:pPr>
                    <w:spacing w:line="276" w:lineRule="auto"/>
                    <w:jc w:val="center"/>
                    <w:rPr>
                      <w:rFonts w:ascii="Trebuchet MS" w:hAnsi="Trebuchet MS" w:cs="Calibri"/>
                      <w:b/>
                      <w:bCs/>
                      <w:sz w:val="14"/>
                      <w:szCs w:val="14"/>
                    </w:rPr>
                  </w:pPr>
                  <w:r>
                    <w:rPr>
                      <w:rFonts w:ascii="Trebuchet MS" w:hAnsi="Trebuchet MS" w:cs="Calibri"/>
                      <w:b/>
                      <w:bCs/>
                      <w:sz w:val="14"/>
                      <w:szCs w:val="14"/>
                    </w:rPr>
                    <w:t>425</w:t>
                  </w:r>
                  <w:r w:rsidRPr="00822E60">
                    <w:rPr>
                      <w:rFonts w:ascii="Trebuchet MS" w:hAnsi="Trebuchet MS" w:cs="Calibri"/>
                      <w:b/>
                      <w:bCs/>
                      <w:sz w:val="14"/>
                      <w:szCs w:val="14"/>
                    </w:rPr>
                    <w:t>k</w:t>
                  </w:r>
                </w:p>
              </w:tc>
            </w:tr>
            <w:tr w:rsidR="00054A58" w:rsidRPr="00822E60" w14:paraId="3DF79EA9" w14:textId="77777777" w:rsidTr="008F4489">
              <w:trPr>
                <w:trHeight w:val="276"/>
              </w:trPr>
              <w:tc>
                <w:tcPr>
                  <w:tcW w:w="828" w:type="pct"/>
                  <w:shd w:val="clear" w:color="auto" w:fill="auto"/>
                  <w:vAlign w:val="center"/>
                </w:tcPr>
                <w:p w14:paraId="59D1EE2D" w14:textId="77777777" w:rsidR="00054A58" w:rsidRPr="00822E60" w:rsidRDefault="00054A58" w:rsidP="00054A58">
                  <w:pPr>
                    <w:spacing w:line="276" w:lineRule="auto"/>
                    <w:rPr>
                      <w:rFonts w:ascii="Trebuchet MS" w:hAnsi="Trebuchet MS" w:cs="Cambria"/>
                      <w:bCs/>
                      <w:iCs/>
                      <w:color w:val="000000"/>
                      <w:sz w:val="14"/>
                      <w:szCs w:val="14"/>
                      <w:lang w:val="en-US"/>
                    </w:rPr>
                  </w:pPr>
                  <w:r w:rsidRPr="00822E60">
                    <w:rPr>
                      <w:rFonts w:ascii="Trebuchet MS" w:hAnsi="Trebuchet MS" w:cs="Cambria"/>
                      <w:bCs/>
                      <w:iCs/>
                      <w:color w:val="000000"/>
                      <w:sz w:val="14"/>
                      <w:szCs w:val="14"/>
                      <w:lang w:val="en-US"/>
                    </w:rPr>
                    <w:t>Workstream 2:</w:t>
                  </w:r>
                </w:p>
                <w:p w14:paraId="65AB1F45" w14:textId="77777777" w:rsidR="00054A58" w:rsidRPr="00822E60" w:rsidRDefault="00054A58" w:rsidP="00054A58">
                  <w:pPr>
                    <w:spacing w:line="276" w:lineRule="auto"/>
                    <w:rPr>
                      <w:rFonts w:ascii="Trebuchet MS" w:hAnsi="Trebuchet MS" w:cs="Cambria"/>
                      <w:bCs/>
                      <w:iCs/>
                      <w:color w:val="000000"/>
                      <w:sz w:val="14"/>
                      <w:szCs w:val="14"/>
                      <w:lang w:val="en-US"/>
                    </w:rPr>
                  </w:pPr>
                  <w:r w:rsidRPr="00822E60">
                    <w:rPr>
                      <w:rFonts w:ascii="Trebuchet MS" w:hAnsi="Trebuchet MS" w:cs="Cambria"/>
                      <w:bCs/>
                      <w:iCs/>
                      <w:color w:val="000000"/>
                      <w:sz w:val="14"/>
                      <w:szCs w:val="14"/>
                      <w:lang w:val="en-US"/>
                    </w:rPr>
                    <w:t>TNFD pilot case studies</w:t>
                  </w:r>
                </w:p>
              </w:tc>
              <w:tc>
                <w:tcPr>
                  <w:tcW w:w="977" w:type="pct"/>
                  <w:vMerge/>
                </w:tcPr>
                <w:p w14:paraId="70DB7B9F" w14:textId="77777777" w:rsidR="00054A58" w:rsidRPr="00822E60" w:rsidRDefault="00054A58" w:rsidP="00054A58">
                  <w:pPr>
                    <w:numPr>
                      <w:ilvl w:val="0"/>
                      <w:numId w:val="21"/>
                    </w:numPr>
                    <w:spacing w:line="276" w:lineRule="auto"/>
                    <w:jc w:val="left"/>
                    <w:rPr>
                      <w:rFonts w:ascii="Trebuchet MS" w:hAnsi="Trebuchet MS" w:cs="Cambria"/>
                      <w:bCs/>
                      <w:iCs/>
                      <w:color w:val="000000"/>
                      <w:sz w:val="14"/>
                      <w:szCs w:val="14"/>
                      <w:lang w:val="en-US"/>
                    </w:rPr>
                  </w:pPr>
                </w:p>
              </w:tc>
              <w:tc>
                <w:tcPr>
                  <w:tcW w:w="1265" w:type="pct"/>
                  <w:shd w:val="clear" w:color="auto" w:fill="auto"/>
                  <w:vAlign w:val="center"/>
                </w:tcPr>
                <w:p w14:paraId="2F226FA2" w14:textId="77777777"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cs="Calibri"/>
                      <w:sz w:val="14"/>
                      <w:szCs w:val="14"/>
                    </w:rPr>
                    <w:t>R&amp;R Pillar</w:t>
                  </w:r>
                  <w:r w:rsidRPr="00822E60">
                    <w:rPr>
                      <w:rFonts w:ascii="Trebuchet MS" w:hAnsi="Trebuchet MS"/>
                      <w:sz w:val="14"/>
                      <w:szCs w:val="14"/>
                    </w:rPr>
                    <w:t xml:space="preserve"> </w:t>
                  </w:r>
                </w:p>
                <w:p w14:paraId="572170D8" w14:textId="77777777"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sz w:val="14"/>
                      <w:szCs w:val="14"/>
                    </w:rPr>
                    <w:t>Capital Markets Pillar</w:t>
                  </w:r>
                </w:p>
                <w:p w14:paraId="38F2E3E3" w14:textId="77777777"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sz w:val="14"/>
                      <w:szCs w:val="14"/>
                    </w:rPr>
                    <w:t>[TBD Consultant]</w:t>
                  </w:r>
                </w:p>
                <w:p w14:paraId="591D5800" w14:textId="77777777"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cs="Calibri"/>
                      <w:sz w:val="14"/>
                      <w:szCs w:val="14"/>
                    </w:rPr>
                    <w:t>[Financial Institution Partners]</w:t>
                  </w:r>
                </w:p>
              </w:tc>
              <w:tc>
                <w:tcPr>
                  <w:tcW w:w="999" w:type="pct"/>
                  <w:vAlign w:val="center"/>
                </w:tcPr>
                <w:p w14:paraId="55C5DE5A" w14:textId="77777777" w:rsidR="00054A58" w:rsidRDefault="00054A58" w:rsidP="00054A58">
                  <w:pPr>
                    <w:spacing w:line="276" w:lineRule="auto"/>
                    <w:jc w:val="center"/>
                    <w:rPr>
                      <w:rFonts w:ascii="Trebuchet MS" w:hAnsi="Trebuchet MS" w:cs="Calibri"/>
                      <w:b/>
                      <w:bCs/>
                      <w:sz w:val="14"/>
                      <w:szCs w:val="14"/>
                    </w:rPr>
                  </w:pPr>
                  <w:r w:rsidRPr="007F4480">
                    <w:rPr>
                      <w:rFonts w:ascii="Trebuchet MS" w:hAnsi="Trebuchet MS" w:cs="Calibri"/>
                      <w:b/>
                      <w:bCs/>
                      <w:sz w:val="14"/>
                      <w:szCs w:val="14"/>
                    </w:rPr>
                    <w:t>350</w:t>
                  </w:r>
                  <w:r>
                    <w:rPr>
                      <w:rFonts w:ascii="Trebuchet MS" w:hAnsi="Trebuchet MS" w:cs="Calibri"/>
                      <w:b/>
                      <w:bCs/>
                      <w:sz w:val="14"/>
                      <w:szCs w:val="14"/>
                    </w:rPr>
                    <w:t>k</w:t>
                  </w:r>
                </w:p>
              </w:tc>
              <w:tc>
                <w:tcPr>
                  <w:tcW w:w="500" w:type="pct"/>
                  <w:vAlign w:val="center"/>
                </w:tcPr>
                <w:p w14:paraId="22F0012F" w14:textId="77777777" w:rsidR="00054A58" w:rsidRDefault="00054A58" w:rsidP="00054A58">
                  <w:pPr>
                    <w:spacing w:line="276" w:lineRule="auto"/>
                    <w:jc w:val="center"/>
                    <w:rPr>
                      <w:rFonts w:ascii="Trebuchet MS" w:hAnsi="Trebuchet MS" w:cs="Calibri"/>
                      <w:b/>
                      <w:bCs/>
                      <w:sz w:val="14"/>
                      <w:szCs w:val="14"/>
                    </w:rPr>
                  </w:pPr>
                  <w:r w:rsidRPr="007F4480">
                    <w:rPr>
                      <w:rFonts w:ascii="Trebuchet MS" w:hAnsi="Trebuchet MS" w:cs="Calibri"/>
                      <w:b/>
                      <w:bCs/>
                      <w:sz w:val="14"/>
                      <w:szCs w:val="14"/>
                    </w:rPr>
                    <w:t>650</w:t>
                  </w:r>
                  <w:r>
                    <w:rPr>
                      <w:rFonts w:ascii="Trebuchet MS" w:hAnsi="Trebuchet MS" w:cs="Calibri"/>
                      <w:b/>
                      <w:bCs/>
                      <w:sz w:val="14"/>
                      <w:szCs w:val="14"/>
                    </w:rPr>
                    <w:t>k</w:t>
                  </w:r>
                </w:p>
              </w:tc>
              <w:tc>
                <w:tcPr>
                  <w:tcW w:w="431" w:type="pct"/>
                  <w:vAlign w:val="center"/>
                </w:tcPr>
                <w:p w14:paraId="6C6A1D6C" w14:textId="77777777" w:rsidR="00054A58" w:rsidRPr="00822E60" w:rsidRDefault="00054A58" w:rsidP="00054A58">
                  <w:pPr>
                    <w:spacing w:line="276" w:lineRule="auto"/>
                    <w:jc w:val="center"/>
                    <w:rPr>
                      <w:rFonts w:ascii="Trebuchet MS" w:hAnsi="Trebuchet MS" w:cs="Calibri"/>
                      <w:b/>
                      <w:bCs/>
                      <w:sz w:val="14"/>
                      <w:szCs w:val="14"/>
                    </w:rPr>
                  </w:pPr>
                  <w:r>
                    <w:rPr>
                      <w:rFonts w:ascii="Trebuchet MS" w:hAnsi="Trebuchet MS" w:cs="Calibri"/>
                      <w:b/>
                      <w:bCs/>
                      <w:sz w:val="14"/>
                      <w:szCs w:val="14"/>
                    </w:rPr>
                    <w:t>1000k</w:t>
                  </w:r>
                </w:p>
              </w:tc>
            </w:tr>
            <w:tr w:rsidR="00054A58" w:rsidRPr="00822E60" w14:paraId="6FC1334A" w14:textId="77777777" w:rsidTr="008F4489">
              <w:trPr>
                <w:trHeight w:val="276"/>
              </w:trPr>
              <w:tc>
                <w:tcPr>
                  <w:tcW w:w="828" w:type="pct"/>
                  <w:shd w:val="clear" w:color="auto" w:fill="auto"/>
                  <w:vAlign w:val="center"/>
                </w:tcPr>
                <w:p w14:paraId="5F8E9EEC" w14:textId="77777777" w:rsidR="00054A58" w:rsidRPr="00822E60" w:rsidRDefault="00054A58" w:rsidP="00054A58">
                  <w:pPr>
                    <w:spacing w:line="276" w:lineRule="auto"/>
                    <w:rPr>
                      <w:rFonts w:ascii="Trebuchet MS" w:hAnsi="Trebuchet MS" w:cs="Cambria"/>
                      <w:bCs/>
                      <w:iCs/>
                      <w:color w:val="000000"/>
                      <w:sz w:val="14"/>
                      <w:szCs w:val="14"/>
                      <w:lang w:val="en-US"/>
                    </w:rPr>
                  </w:pPr>
                  <w:r w:rsidRPr="00822E60">
                    <w:rPr>
                      <w:rFonts w:ascii="Trebuchet MS" w:hAnsi="Trebuchet MS" w:cs="Cambria"/>
                      <w:bCs/>
                      <w:iCs/>
                      <w:color w:val="000000"/>
                      <w:sz w:val="14"/>
                      <w:szCs w:val="14"/>
                      <w:lang w:val="en-US"/>
                    </w:rPr>
                    <w:t>Workstream 3:</w:t>
                  </w:r>
                </w:p>
                <w:p w14:paraId="7D73A24A" w14:textId="77777777" w:rsidR="00054A58" w:rsidRPr="00822E60" w:rsidRDefault="00054A58" w:rsidP="00054A58">
                  <w:pPr>
                    <w:spacing w:line="276" w:lineRule="auto"/>
                    <w:rPr>
                      <w:rFonts w:ascii="Trebuchet MS" w:hAnsi="Trebuchet MS" w:cs="Cambria"/>
                      <w:bCs/>
                      <w:iCs/>
                      <w:color w:val="000000"/>
                      <w:sz w:val="14"/>
                      <w:szCs w:val="14"/>
                      <w:lang w:val="en-US"/>
                    </w:rPr>
                  </w:pPr>
                  <w:r w:rsidRPr="00822E60">
                    <w:rPr>
                      <w:rFonts w:ascii="Trebuchet MS" w:hAnsi="Trebuchet MS" w:cs="Segoe UI"/>
                      <w:bCs/>
                      <w:iCs/>
                      <w:color w:val="000000"/>
                      <w:sz w:val="14"/>
                      <w:szCs w:val="14"/>
                      <w:bdr w:val="none" w:sz="0" w:space="0" w:color="auto" w:frame="1"/>
                      <w:shd w:val="clear" w:color="auto" w:fill="FFFFFF"/>
                    </w:rPr>
                    <w:t>Public Sector Engagement and Advocacy</w:t>
                  </w:r>
                </w:p>
              </w:tc>
              <w:tc>
                <w:tcPr>
                  <w:tcW w:w="977" w:type="pct"/>
                  <w:vMerge/>
                </w:tcPr>
                <w:p w14:paraId="5825F9ED" w14:textId="77777777" w:rsidR="00054A58" w:rsidRPr="00822E60" w:rsidRDefault="00054A58" w:rsidP="00054A58">
                  <w:pPr>
                    <w:numPr>
                      <w:ilvl w:val="0"/>
                      <w:numId w:val="21"/>
                    </w:numPr>
                    <w:spacing w:line="276" w:lineRule="auto"/>
                    <w:jc w:val="left"/>
                    <w:rPr>
                      <w:rFonts w:ascii="Trebuchet MS" w:hAnsi="Trebuchet MS" w:cs="Calibri"/>
                      <w:color w:val="000000"/>
                      <w:sz w:val="14"/>
                      <w:szCs w:val="14"/>
                    </w:rPr>
                  </w:pPr>
                </w:p>
              </w:tc>
              <w:tc>
                <w:tcPr>
                  <w:tcW w:w="1265" w:type="pct"/>
                  <w:shd w:val="clear" w:color="auto" w:fill="auto"/>
                  <w:vAlign w:val="center"/>
                </w:tcPr>
                <w:p w14:paraId="43F1DB7B" w14:textId="77777777"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cs="Calibri"/>
                      <w:sz w:val="14"/>
                      <w:szCs w:val="14"/>
                    </w:rPr>
                    <w:t>R&amp;R Pillar</w:t>
                  </w:r>
                </w:p>
                <w:p w14:paraId="307DC41E" w14:textId="77777777"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cs="Calibri"/>
                      <w:sz w:val="14"/>
                      <w:szCs w:val="14"/>
                    </w:rPr>
                    <w:t>Strat. Comms. Function</w:t>
                  </w:r>
                  <w:r w:rsidRPr="00822E60">
                    <w:rPr>
                      <w:rFonts w:ascii="Trebuchet MS" w:hAnsi="Trebuchet MS"/>
                      <w:sz w:val="14"/>
                      <w:szCs w:val="14"/>
                    </w:rPr>
                    <w:t xml:space="preserve"> </w:t>
                  </w:r>
                </w:p>
                <w:p w14:paraId="63D982D8" w14:textId="77777777" w:rsidR="00054A58" w:rsidRPr="00822E60" w:rsidRDefault="00054A58" w:rsidP="00054A58">
                  <w:pPr>
                    <w:numPr>
                      <w:ilvl w:val="0"/>
                      <w:numId w:val="21"/>
                    </w:numPr>
                    <w:spacing w:line="276" w:lineRule="auto"/>
                    <w:jc w:val="left"/>
                    <w:rPr>
                      <w:rFonts w:ascii="Trebuchet MS" w:hAnsi="Trebuchet MS" w:cs="Calibri"/>
                      <w:sz w:val="14"/>
                      <w:szCs w:val="14"/>
                    </w:rPr>
                  </w:pPr>
                  <w:r w:rsidRPr="00822E60">
                    <w:rPr>
                      <w:rFonts w:ascii="Trebuchet MS" w:hAnsi="Trebuchet MS"/>
                      <w:sz w:val="14"/>
                      <w:szCs w:val="14"/>
                    </w:rPr>
                    <w:t>[TBD Consultant</w:t>
                  </w:r>
                  <w:r>
                    <w:rPr>
                      <w:rFonts w:ascii="Trebuchet MS" w:hAnsi="Trebuchet MS"/>
                      <w:sz w:val="14"/>
                      <w:szCs w:val="14"/>
                    </w:rPr>
                    <w:t xml:space="preserve"> e.g. Prof. Dasgupta, UNECA, WWF</w:t>
                  </w:r>
                  <w:r w:rsidRPr="00822E60">
                    <w:rPr>
                      <w:rFonts w:ascii="Trebuchet MS" w:hAnsi="Trebuchet MS"/>
                      <w:sz w:val="14"/>
                      <w:szCs w:val="14"/>
                    </w:rPr>
                    <w:t>]</w:t>
                  </w:r>
                </w:p>
              </w:tc>
              <w:tc>
                <w:tcPr>
                  <w:tcW w:w="999" w:type="pct"/>
                  <w:vAlign w:val="center"/>
                </w:tcPr>
                <w:p w14:paraId="2A7D9168" w14:textId="77777777" w:rsidR="00054A58" w:rsidRPr="00822E60" w:rsidRDefault="00054A58" w:rsidP="00054A58">
                  <w:pPr>
                    <w:spacing w:line="276" w:lineRule="auto"/>
                    <w:jc w:val="center"/>
                    <w:rPr>
                      <w:rFonts w:ascii="Trebuchet MS" w:hAnsi="Trebuchet MS" w:cs="Calibri"/>
                      <w:b/>
                      <w:bCs/>
                      <w:sz w:val="14"/>
                      <w:szCs w:val="14"/>
                    </w:rPr>
                  </w:pPr>
                  <w:r w:rsidRPr="007F4480">
                    <w:rPr>
                      <w:rFonts w:ascii="Trebuchet MS" w:hAnsi="Trebuchet MS" w:cs="Calibri"/>
                      <w:b/>
                      <w:bCs/>
                      <w:sz w:val="14"/>
                      <w:szCs w:val="14"/>
                    </w:rPr>
                    <w:t>0</w:t>
                  </w:r>
                </w:p>
              </w:tc>
              <w:tc>
                <w:tcPr>
                  <w:tcW w:w="500" w:type="pct"/>
                  <w:vAlign w:val="center"/>
                </w:tcPr>
                <w:p w14:paraId="2E3FFCB4" w14:textId="77777777" w:rsidR="00054A58" w:rsidRPr="00822E60" w:rsidRDefault="00054A58" w:rsidP="00054A58">
                  <w:pPr>
                    <w:spacing w:line="276" w:lineRule="auto"/>
                    <w:jc w:val="center"/>
                    <w:rPr>
                      <w:rFonts w:ascii="Trebuchet MS" w:hAnsi="Trebuchet MS" w:cs="Calibri"/>
                      <w:b/>
                      <w:bCs/>
                      <w:sz w:val="14"/>
                      <w:szCs w:val="14"/>
                    </w:rPr>
                  </w:pPr>
                  <w:r w:rsidRPr="007F4480">
                    <w:rPr>
                      <w:rFonts w:ascii="Trebuchet MS" w:hAnsi="Trebuchet MS" w:cs="Calibri"/>
                      <w:b/>
                      <w:bCs/>
                      <w:sz w:val="14"/>
                      <w:szCs w:val="14"/>
                    </w:rPr>
                    <w:t>100</w:t>
                  </w:r>
                  <w:r>
                    <w:rPr>
                      <w:rFonts w:ascii="Trebuchet MS" w:hAnsi="Trebuchet MS" w:cs="Calibri"/>
                      <w:b/>
                      <w:bCs/>
                      <w:sz w:val="14"/>
                      <w:szCs w:val="14"/>
                    </w:rPr>
                    <w:t>k</w:t>
                  </w:r>
                </w:p>
              </w:tc>
              <w:tc>
                <w:tcPr>
                  <w:tcW w:w="431" w:type="pct"/>
                  <w:vAlign w:val="center"/>
                </w:tcPr>
                <w:p w14:paraId="67CE4886" w14:textId="77777777" w:rsidR="00054A58" w:rsidRPr="00822E60" w:rsidRDefault="00054A58" w:rsidP="00054A58">
                  <w:pPr>
                    <w:spacing w:line="276" w:lineRule="auto"/>
                    <w:jc w:val="center"/>
                    <w:rPr>
                      <w:rFonts w:ascii="Trebuchet MS" w:hAnsi="Trebuchet MS" w:cs="Calibri"/>
                      <w:b/>
                      <w:bCs/>
                      <w:sz w:val="14"/>
                      <w:szCs w:val="14"/>
                    </w:rPr>
                  </w:pPr>
                  <w:r w:rsidRPr="00822E60">
                    <w:rPr>
                      <w:rFonts w:ascii="Trebuchet MS" w:hAnsi="Trebuchet MS" w:cs="Calibri"/>
                      <w:b/>
                      <w:bCs/>
                      <w:sz w:val="14"/>
                      <w:szCs w:val="14"/>
                    </w:rPr>
                    <w:t>1</w:t>
                  </w:r>
                  <w:r>
                    <w:rPr>
                      <w:rFonts w:ascii="Trebuchet MS" w:hAnsi="Trebuchet MS" w:cs="Calibri"/>
                      <w:b/>
                      <w:bCs/>
                      <w:sz w:val="14"/>
                      <w:szCs w:val="14"/>
                    </w:rPr>
                    <w:t>0</w:t>
                  </w:r>
                  <w:r w:rsidRPr="00822E60">
                    <w:rPr>
                      <w:rFonts w:ascii="Trebuchet MS" w:hAnsi="Trebuchet MS" w:cs="Calibri"/>
                      <w:b/>
                      <w:bCs/>
                      <w:sz w:val="14"/>
                      <w:szCs w:val="14"/>
                    </w:rPr>
                    <w:t>0k</w:t>
                  </w:r>
                </w:p>
              </w:tc>
            </w:tr>
            <w:tr w:rsidR="00054A58" w:rsidRPr="00822E60" w14:paraId="59229A01" w14:textId="77777777" w:rsidTr="008F4489">
              <w:trPr>
                <w:trHeight w:val="276"/>
              </w:trPr>
              <w:tc>
                <w:tcPr>
                  <w:tcW w:w="828" w:type="pct"/>
                  <w:vMerge w:val="restart"/>
                  <w:shd w:val="clear" w:color="auto" w:fill="auto"/>
                  <w:vAlign w:val="center"/>
                </w:tcPr>
                <w:p w14:paraId="61D98C53" w14:textId="77777777" w:rsidR="00054A58" w:rsidRPr="00947925" w:rsidRDefault="00054A58" w:rsidP="00054A58">
                  <w:pPr>
                    <w:spacing w:line="276" w:lineRule="auto"/>
                    <w:rPr>
                      <w:rFonts w:ascii="Trebuchet MS" w:hAnsi="Trebuchet MS" w:cs="Cambria"/>
                      <w:bCs/>
                      <w:i/>
                      <w:color w:val="000000"/>
                      <w:sz w:val="14"/>
                      <w:szCs w:val="14"/>
                      <w:lang w:val="en-US"/>
                    </w:rPr>
                  </w:pPr>
                  <w:r>
                    <w:rPr>
                      <w:rFonts w:ascii="Trebuchet MS" w:hAnsi="Trebuchet MS" w:cs="Cambria"/>
                      <w:bCs/>
                      <w:i/>
                      <w:color w:val="000000"/>
                      <w:sz w:val="14"/>
                      <w:szCs w:val="14"/>
                      <w:lang w:val="en-US"/>
                    </w:rPr>
                    <w:t>Operational &amp; Management Costs</w:t>
                  </w:r>
                </w:p>
              </w:tc>
              <w:tc>
                <w:tcPr>
                  <w:tcW w:w="977" w:type="pct"/>
                </w:tcPr>
                <w:p w14:paraId="71E94276" w14:textId="77777777" w:rsidR="00054A58" w:rsidRPr="00822E60" w:rsidRDefault="00054A58" w:rsidP="00054A58">
                  <w:pPr>
                    <w:numPr>
                      <w:ilvl w:val="0"/>
                      <w:numId w:val="21"/>
                    </w:numPr>
                    <w:spacing w:line="276" w:lineRule="auto"/>
                    <w:jc w:val="left"/>
                    <w:rPr>
                      <w:rFonts w:ascii="Trebuchet MS" w:hAnsi="Trebuchet MS" w:cs="Calibri"/>
                      <w:color w:val="000000"/>
                      <w:sz w:val="14"/>
                      <w:szCs w:val="14"/>
                    </w:rPr>
                  </w:pPr>
                  <w:r>
                    <w:rPr>
                      <w:rFonts w:ascii="Trebuchet MS" w:hAnsi="Trebuchet MS" w:cs="Calibri"/>
                      <w:color w:val="000000"/>
                      <w:sz w:val="14"/>
                      <w:szCs w:val="14"/>
                    </w:rPr>
                    <w:t>Retained consultants</w:t>
                  </w:r>
                </w:p>
              </w:tc>
              <w:tc>
                <w:tcPr>
                  <w:tcW w:w="1265" w:type="pct"/>
                  <w:vMerge w:val="restart"/>
                  <w:shd w:val="clear" w:color="auto" w:fill="auto"/>
                  <w:vAlign w:val="center"/>
                </w:tcPr>
                <w:p w14:paraId="1CA7A1CE" w14:textId="77777777" w:rsidR="00054A58" w:rsidRPr="00822E60" w:rsidRDefault="00054A58" w:rsidP="00054A58">
                  <w:pPr>
                    <w:numPr>
                      <w:ilvl w:val="0"/>
                      <w:numId w:val="21"/>
                    </w:numPr>
                    <w:spacing w:line="276" w:lineRule="auto"/>
                    <w:jc w:val="left"/>
                    <w:rPr>
                      <w:rFonts w:ascii="Trebuchet MS" w:hAnsi="Trebuchet MS" w:cs="Calibri"/>
                      <w:sz w:val="14"/>
                      <w:szCs w:val="14"/>
                    </w:rPr>
                  </w:pPr>
                  <w:r>
                    <w:rPr>
                      <w:rFonts w:ascii="Trebuchet MS" w:hAnsi="Trebuchet MS" w:cs="Calibri"/>
                      <w:sz w:val="14"/>
                      <w:szCs w:val="14"/>
                    </w:rPr>
                    <w:t>R&amp;R Pillar (incl. retained consultants</w:t>
                  </w:r>
                </w:p>
              </w:tc>
              <w:tc>
                <w:tcPr>
                  <w:tcW w:w="999" w:type="pct"/>
                  <w:vAlign w:val="center"/>
                </w:tcPr>
                <w:p w14:paraId="65F715E7" w14:textId="77777777" w:rsidR="00054A58" w:rsidRDefault="00054A58" w:rsidP="00054A58">
                  <w:pPr>
                    <w:spacing w:line="276" w:lineRule="auto"/>
                    <w:jc w:val="center"/>
                    <w:rPr>
                      <w:rFonts w:ascii="Trebuchet MS" w:hAnsi="Trebuchet MS" w:cs="Calibri"/>
                      <w:b/>
                      <w:bCs/>
                      <w:sz w:val="14"/>
                      <w:szCs w:val="14"/>
                    </w:rPr>
                  </w:pPr>
                  <w:r>
                    <w:rPr>
                      <w:rFonts w:ascii="Trebuchet MS" w:hAnsi="Trebuchet MS" w:cs="Calibri"/>
                      <w:b/>
                      <w:bCs/>
                      <w:sz w:val="14"/>
                      <w:szCs w:val="14"/>
                    </w:rPr>
                    <w:t>30k</w:t>
                  </w:r>
                </w:p>
              </w:tc>
              <w:tc>
                <w:tcPr>
                  <w:tcW w:w="500" w:type="pct"/>
                  <w:vAlign w:val="center"/>
                </w:tcPr>
                <w:p w14:paraId="5310365A" w14:textId="77777777" w:rsidR="00054A58" w:rsidRDefault="00054A58" w:rsidP="00054A58">
                  <w:pPr>
                    <w:spacing w:line="276" w:lineRule="auto"/>
                    <w:jc w:val="center"/>
                    <w:rPr>
                      <w:rFonts w:ascii="Trebuchet MS" w:hAnsi="Trebuchet MS" w:cs="Calibri"/>
                      <w:b/>
                      <w:bCs/>
                      <w:sz w:val="14"/>
                      <w:szCs w:val="14"/>
                    </w:rPr>
                  </w:pPr>
                  <w:r>
                    <w:rPr>
                      <w:rFonts w:ascii="Trebuchet MS" w:hAnsi="Trebuchet MS" w:cs="Calibri"/>
                      <w:b/>
                      <w:bCs/>
                      <w:sz w:val="14"/>
                      <w:szCs w:val="14"/>
                    </w:rPr>
                    <w:t>0</w:t>
                  </w:r>
                </w:p>
              </w:tc>
              <w:tc>
                <w:tcPr>
                  <w:tcW w:w="431" w:type="pct"/>
                  <w:vAlign w:val="center"/>
                </w:tcPr>
                <w:p w14:paraId="30020911" w14:textId="77777777" w:rsidR="00054A58" w:rsidRPr="00822E60" w:rsidRDefault="00054A58" w:rsidP="00054A58">
                  <w:pPr>
                    <w:spacing w:line="276" w:lineRule="auto"/>
                    <w:jc w:val="center"/>
                    <w:rPr>
                      <w:rFonts w:ascii="Trebuchet MS" w:hAnsi="Trebuchet MS" w:cs="Calibri"/>
                      <w:b/>
                      <w:bCs/>
                      <w:sz w:val="14"/>
                      <w:szCs w:val="14"/>
                    </w:rPr>
                  </w:pPr>
                  <w:r>
                    <w:rPr>
                      <w:rFonts w:ascii="Trebuchet MS" w:hAnsi="Trebuchet MS" w:cs="Calibri"/>
                      <w:b/>
                      <w:bCs/>
                      <w:sz w:val="14"/>
                      <w:szCs w:val="14"/>
                    </w:rPr>
                    <w:t>30k</w:t>
                  </w:r>
                </w:p>
              </w:tc>
            </w:tr>
            <w:tr w:rsidR="00054A58" w:rsidRPr="00822E60" w14:paraId="73A81B30" w14:textId="77777777" w:rsidTr="008F4489">
              <w:trPr>
                <w:trHeight w:val="276"/>
              </w:trPr>
              <w:tc>
                <w:tcPr>
                  <w:tcW w:w="828" w:type="pct"/>
                  <w:vMerge/>
                  <w:shd w:val="clear" w:color="auto" w:fill="auto"/>
                  <w:vAlign w:val="center"/>
                </w:tcPr>
                <w:p w14:paraId="1F7B077C" w14:textId="77777777" w:rsidR="00054A58" w:rsidRDefault="00054A58" w:rsidP="00054A58">
                  <w:pPr>
                    <w:spacing w:line="276" w:lineRule="auto"/>
                    <w:rPr>
                      <w:rFonts w:ascii="Trebuchet MS" w:hAnsi="Trebuchet MS" w:cs="Cambria"/>
                      <w:bCs/>
                      <w:i/>
                      <w:color w:val="000000"/>
                      <w:sz w:val="14"/>
                      <w:szCs w:val="14"/>
                      <w:lang w:val="en-US"/>
                    </w:rPr>
                  </w:pPr>
                </w:p>
              </w:tc>
              <w:tc>
                <w:tcPr>
                  <w:tcW w:w="977" w:type="pct"/>
                </w:tcPr>
                <w:p w14:paraId="4DDAE1D5" w14:textId="77777777" w:rsidR="00054A58" w:rsidRPr="00822E60" w:rsidRDefault="00054A58" w:rsidP="00054A58">
                  <w:pPr>
                    <w:numPr>
                      <w:ilvl w:val="0"/>
                      <w:numId w:val="21"/>
                    </w:numPr>
                    <w:spacing w:line="276" w:lineRule="auto"/>
                    <w:jc w:val="left"/>
                    <w:rPr>
                      <w:rFonts w:ascii="Trebuchet MS" w:hAnsi="Trebuchet MS" w:cs="Calibri"/>
                      <w:color w:val="000000"/>
                      <w:sz w:val="14"/>
                      <w:szCs w:val="14"/>
                    </w:rPr>
                  </w:pPr>
                  <w:r>
                    <w:rPr>
                      <w:rFonts w:ascii="Trebuchet MS" w:hAnsi="Trebuchet MS" w:cs="Calibri"/>
                      <w:color w:val="000000"/>
                      <w:sz w:val="14"/>
                      <w:szCs w:val="14"/>
                    </w:rPr>
                    <w:t>New hire – Senior Programme Manager (costing expected based on job grade, for twelve months)</w:t>
                  </w:r>
                </w:p>
              </w:tc>
              <w:tc>
                <w:tcPr>
                  <w:tcW w:w="1265" w:type="pct"/>
                  <w:vMerge/>
                  <w:shd w:val="clear" w:color="auto" w:fill="auto"/>
                  <w:vAlign w:val="center"/>
                </w:tcPr>
                <w:p w14:paraId="611694A6" w14:textId="77777777" w:rsidR="00054A58" w:rsidRPr="00822E60" w:rsidRDefault="00054A58" w:rsidP="00054A58">
                  <w:pPr>
                    <w:numPr>
                      <w:ilvl w:val="0"/>
                      <w:numId w:val="21"/>
                    </w:numPr>
                    <w:spacing w:line="276" w:lineRule="auto"/>
                    <w:jc w:val="left"/>
                    <w:rPr>
                      <w:rFonts w:ascii="Trebuchet MS" w:hAnsi="Trebuchet MS" w:cs="Calibri"/>
                      <w:sz w:val="14"/>
                      <w:szCs w:val="14"/>
                    </w:rPr>
                  </w:pPr>
                </w:p>
              </w:tc>
              <w:tc>
                <w:tcPr>
                  <w:tcW w:w="999" w:type="pct"/>
                  <w:vAlign w:val="center"/>
                </w:tcPr>
                <w:p w14:paraId="3A519034" w14:textId="77777777" w:rsidR="00054A58" w:rsidRDefault="00054A58" w:rsidP="00054A58">
                  <w:pPr>
                    <w:spacing w:line="276" w:lineRule="auto"/>
                    <w:jc w:val="center"/>
                    <w:rPr>
                      <w:rFonts w:ascii="Trebuchet MS" w:hAnsi="Trebuchet MS" w:cs="Calibri"/>
                      <w:b/>
                      <w:bCs/>
                      <w:sz w:val="14"/>
                      <w:szCs w:val="14"/>
                    </w:rPr>
                  </w:pPr>
                  <w:r>
                    <w:rPr>
                      <w:rFonts w:ascii="Trebuchet MS" w:hAnsi="Trebuchet MS" w:cs="Calibri"/>
                      <w:b/>
                      <w:bCs/>
                      <w:sz w:val="14"/>
                      <w:szCs w:val="14"/>
                    </w:rPr>
                    <w:t>45k</w:t>
                  </w:r>
                </w:p>
              </w:tc>
              <w:tc>
                <w:tcPr>
                  <w:tcW w:w="500" w:type="pct"/>
                  <w:vAlign w:val="center"/>
                </w:tcPr>
                <w:p w14:paraId="6615E3F2" w14:textId="77777777" w:rsidR="00054A58" w:rsidRDefault="00054A58" w:rsidP="00054A58">
                  <w:pPr>
                    <w:spacing w:line="276" w:lineRule="auto"/>
                    <w:jc w:val="center"/>
                    <w:rPr>
                      <w:rFonts w:ascii="Trebuchet MS" w:hAnsi="Trebuchet MS" w:cs="Calibri"/>
                      <w:b/>
                      <w:bCs/>
                      <w:sz w:val="14"/>
                      <w:szCs w:val="14"/>
                    </w:rPr>
                  </w:pPr>
                  <w:r>
                    <w:rPr>
                      <w:rFonts w:ascii="Trebuchet MS" w:hAnsi="Trebuchet MS" w:cs="Calibri"/>
                      <w:b/>
                      <w:bCs/>
                      <w:sz w:val="14"/>
                      <w:szCs w:val="14"/>
                    </w:rPr>
                    <w:t>75k</w:t>
                  </w:r>
                </w:p>
              </w:tc>
              <w:tc>
                <w:tcPr>
                  <w:tcW w:w="431" w:type="pct"/>
                  <w:vAlign w:val="center"/>
                </w:tcPr>
                <w:p w14:paraId="70D69892" w14:textId="77777777" w:rsidR="00054A58" w:rsidRPr="00822E60" w:rsidRDefault="00054A58" w:rsidP="00054A58">
                  <w:pPr>
                    <w:spacing w:line="276" w:lineRule="auto"/>
                    <w:jc w:val="center"/>
                    <w:rPr>
                      <w:rFonts w:ascii="Trebuchet MS" w:hAnsi="Trebuchet MS" w:cs="Calibri"/>
                      <w:b/>
                      <w:bCs/>
                      <w:sz w:val="14"/>
                      <w:szCs w:val="14"/>
                    </w:rPr>
                  </w:pPr>
                  <w:r>
                    <w:rPr>
                      <w:rFonts w:ascii="Trebuchet MS" w:hAnsi="Trebuchet MS" w:cs="Calibri"/>
                      <w:b/>
                      <w:bCs/>
                      <w:sz w:val="14"/>
                      <w:szCs w:val="14"/>
                    </w:rPr>
                    <w:t>120k</w:t>
                  </w:r>
                </w:p>
              </w:tc>
            </w:tr>
            <w:tr w:rsidR="00054A58" w:rsidRPr="00822E60" w14:paraId="2696F48E" w14:textId="77777777" w:rsidTr="008F4489">
              <w:trPr>
                <w:trHeight w:val="265"/>
              </w:trPr>
              <w:tc>
                <w:tcPr>
                  <w:tcW w:w="828" w:type="pct"/>
                  <w:tcBorders>
                    <w:top w:val="single" w:sz="4" w:space="0" w:color="auto"/>
                  </w:tcBorders>
                  <w:shd w:val="clear" w:color="auto" w:fill="auto"/>
                  <w:vAlign w:val="center"/>
                </w:tcPr>
                <w:p w14:paraId="1327EDE9" w14:textId="77777777" w:rsidR="00054A58" w:rsidRPr="00822E60" w:rsidRDefault="00054A58" w:rsidP="00054A58">
                  <w:pPr>
                    <w:pStyle w:val="BodyText"/>
                    <w:spacing w:before="41" w:line="276" w:lineRule="auto"/>
                    <w:ind w:left="0"/>
                    <w:jc w:val="left"/>
                    <w:rPr>
                      <w:rFonts w:ascii="Trebuchet MS" w:hAnsi="Trebuchet MS" w:cs="Segoe UI"/>
                      <w:bCs/>
                      <w:iCs/>
                      <w:color w:val="000000"/>
                      <w:sz w:val="14"/>
                      <w:szCs w:val="14"/>
                      <w:bdr w:val="none" w:sz="0" w:space="0" w:color="auto" w:frame="1"/>
                      <w:shd w:val="clear" w:color="auto" w:fill="FFFFFF"/>
                    </w:rPr>
                  </w:pPr>
                </w:p>
              </w:tc>
              <w:tc>
                <w:tcPr>
                  <w:tcW w:w="977" w:type="pct"/>
                  <w:tcBorders>
                    <w:top w:val="single" w:sz="4" w:space="0" w:color="auto"/>
                  </w:tcBorders>
                  <w:vAlign w:val="center"/>
                </w:tcPr>
                <w:p w14:paraId="7DDEC5A7" w14:textId="77777777" w:rsidR="00054A58" w:rsidRPr="00822E60" w:rsidRDefault="00054A58" w:rsidP="00054A58">
                  <w:pPr>
                    <w:spacing w:line="276" w:lineRule="auto"/>
                    <w:jc w:val="center"/>
                    <w:rPr>
                      <w:rFonts w:ascii="Trebuchet MS" w:hAnsi="Trebuchet MS" w:cs="Calibri"/>
                      <w:b/>
                      <w:bCs/>
                      <w:sz w:val="14"/>
                      <w:szCs w:val="14"/>
                    </w:rPr>
                  </w:pPr>
                  <w:r w:rsidRPr="00822E60">
                    <w:rPr>
                      <w:rFonts w:ascii="Trebuchet MS" w:hAnsi="Trebuchet MS" w:cs="Calibri"/>
                      <w:b/>
                      <w:bCs/>
                      <w:sz w:val="14"/>
                      <w:szCs w:val="14"/>
                    </w:rPr>
                    <w:t>Total</w:t>
                  </w:r>
                </w:p>
              </w:tc>
              <w:tc>
                <w:tcPr>
                  <w:tcW w:w="1265" w:type="pct"/>
                  <w:tcBorders>
                    <w:top w:val="single" w:sz="4" w:space="0" w:color="auto"/>
                  </w:tcBorders>
                  <w:shd w:val="clear" w:color="auto" w:fill="auto"/>
                  <w:vAlign w:val="center"/>
                </w:tcPr>
                <w:p w14:paraId="665198D8" w14:textId="77777777" w:rsidR="00054A58" w:rsidRPr="00822E60" w:rsidRDefault="00054A58" w:rsidP="00054A58">
                  <w:pPr>
                    <w:spacing w:line="276" w:lineRule="auto"/>
                    <w:rPr>
                      <w:rFonts w:ascii="Trebuchet MS" w:hAnsi="Trebuchet MS"/>
                      <w:sz w:val="14"/>
                      <w:szCs w:val="14"/>
                    </w:rPr>
                  </w:pPr>
                </w:p>
              </w:tc>
              <w:tc>
                <w:tcPr>
                  <w:tcW w:w="999" w:type="pct"/>
                  <w:tcBorders>
                    <w:top w:val="single" w:sz="4" w:space="0" w:color="auto"/>
                  </w:tcBorders>
                </w:tcPr>
                <w:p w14:paraId="63617600" w14:textId="77777777" w:rsidR="00054A58" w:rsidRPr="00822E60" w:rsidRDefault="00054A58" w:rsidP="00054A58">
                  <w:pPr>
                    <w:spacing w:line="276" w:lineRule="auto"/>
                    <w:jc w:val="center"/>
                    <w:rPr>
                      <w:rFonts w:ascii="Trebuchet MS" w:hAnsi="Trebuchet MS" w:cs="Calibri"/>
                      <w:b/>
                      <w:bCs/>
                      <w:sz w:val="14"/>
                      <w:szCs w:val="14"/>
                    </w:rPr>
                  </w:pPr>
                </w:p>
              </w:tc>
              <w:tc>
                <w:tcPr>
                  <w:tcW w:w="500" w:type="pct"/>
                  <w:tcBorders>
                    <w:top w:val="single" w:sz="4" w:space="0" w:color="auto"/>
                  </w:tcBorders>
                </w:tcPr>
                <w:p w14:paraId="2CF8CE8B" w14:textId="77777777" w:rsidR="00054A58" w:rsidRPr="00822E60" w:rsidRDefault="00054A58" w:rsidP="00054A58">
                  <w:pPr>
                    <w:spacing w:line="276" w:lineRule="auto"/>
                    <w:jc w:val="center"/>
                    <w:rPr>
                      <w:rFonts w:ascii="Trebuchet MS" w:hAnsi="Trebuchet MS" w:cs="Calibri"/>
                      <w:b/>
                      <w:bCs/>
                      <w:sz w:val="14"/>
                      <w:szCs w:val="14"/>
                    </w:rPr>
                  </w:pPr>
                </w:p>
              </w:tc>
              <w:tc>
                <w:tcPr>
                  <w:tcW w:w="431" w:type="pct"/>
                  <w:tcBorders>
                    <w:top w:val="single" w:sz="4" w:space="0" w:color="auto"/>
                  </w:tcBorders>
                </w:tcPr>
                <w:p w14:paraId="60187D97" w14:textId="77777777" w:rsidR="00054A58" w:rsidRPr="00822E60" w:rsidRDefault="00054A58" w:rsidP="00054A58">
                  <w:pPr>
                    <w:spacing w:line="276" w:lineRule="auto"/>
                    <w:jc w:val="center"/>
                    <w:rPr>
                      <w:rFonts w:ascii="Trebuchet MS" w:hAnsi="Trebuchet MS" w:cs="Calibri"/>
                      <w:b/>
                      <w:bCs/>
                      <w:sz w:val="14"/>
                      <w:szCs w:val="14"/>
                    </w:rPr>
                  </w:pPr>
                  <w:r w:rsidRPr="00822E60">
                    <w:rPr>
                      <w:rFonts w:ascii="Trebuchet MS" w:hAnsi="Trebuchet MS" w:cs="Calibri"/>
                      <w:b/>
                      <w:bCs/>
                      <w:sz w:val="14"/>
                      <w:szCs w:val="14"/>
                    </w:rPr>
                    <w:t>1</w:t>
                  </w:r>
                  <w:r>
                    <w:rPr>
                      <w:rFonts w:ascii="Trebuchet MS" w:hAnsi="Trebuchet MS" w:cs="Calibri"/>
                      <w:b/>
                      <w:bCs/>
                      <w:sz w:val="14"/>
                      <w:szCs w:val="14"/>
                    </w:rPr>
                    <w:t>675</w:t>
                  </w:r>
                  <w:r w:rsidRPr="00822E60">
                    <w:rPr>
                      <w:rFonts w:ascii="Trebuchet MS" w:hAnsi="Trebuchet MS" w:cs="Calibri"/>
                      <w:b/>
                      <w:bCs/>
                      <w:sz w:val="14"/>
                      <w:szCs w:val="14"/>
                    </w:rPr>
                    <w:t>k</w:t>
                  </w:r>
                </w:p>
              </w:tc>
            </w:tr>
          </w:tbl>
          <w:p w14:paraId="4585FE0F" w14:textId="77777777" w:rsidR="00143D7B" w:rsidRDefault="00143D7B" w:rsidP="00143D7B">
            <w:pPr>
              <w:pStyle w:val="ListParagraph"/>
              <w:spacing w:after="0" w:line="240" w:lineRule="auto"/>
              <w:ind w:left="360" w:right="176"/>
              <w:rPr>
                <w:rFonts w:asciiTheme="minorHAnsi" w:eastAsiaTheme="minorHAnsi" w:hAnsiTheme="minorHAnsi" w:cstheme="minorBidi"/>
                <w:sz w:val="22"/>
                <w:szCs w:val="22"/>
              </w:rPr>
            </w:pPr>
          </w:p>
          <w:p w14:paraId="62E40E0E" w14:textId="77777777" w:rsidR="00086F7E" w:rsidRPr="00086F7E" w:rsidRDefault="00086F7E" w:rsidP="00086F7E">
            <w:pPr>
              <w:pStyle w:val="ListParagraph"/>
              <w:rPr>
                <w:rFonts w:asciiTheme="minorHAnsi" w:eastAsiaTheme="minorHAnsi" w:hAnsiTheme="minorHAnsi" w:cstheme="minorBidi"/>
              </w:rPr>
            </w:pPr>
          </w:p>
          <w:p w14:paraId="310CE81D" w14:textId="21656EFE" w:rsidR="00CB45E5" w:rsidRPr="00CB45E5" w:rsidRDefault="00CB45E5" w:rsidP="00CB45E5">
            <w:pPr>
              <w:pStyle w:val="ListParagraph"/>
              <w:numPr>
                <w:ilvl w:val="0"/>
                <w:numId w:val="15"/>
              </w:numPr>
              <w:ind w:right="176"/>
              <w:rPr>
                <w:rFonts w:asciiTheme="minorHAnsi" w:eastAsiaTheme="minorHAnsi" w:hAnsiTheme="minorHAnsi" w:cstheme="minorBidi"/>
                <w:sz w:val="22"/>
                <w:szCs w:val="22"/>
              </w:rPr>
            </w:pPr>
            <w:r w:rsidRPr="004E2623">
              <w:rPr>
                <w:rFonts w:asciiTheme="minorHAnsi" w:eastAsiaTheme="minorHAnsi" w:hAnsiTheme="minorHAnsi" w:cstheme="minorBidi"/>
                <w:b/>
                <w:bCs/>
                <w:sz w:val="22"/>
                <w:szCs w:val="22"/>
              </w:rPr>
              <w:t>Affordability:</w:t>
            </w:r>
            <w:r w:rsidRPr="00CB45E5">
              <w:rPr>
                <w:rFonts w:asciiTheme="minorHAnsi" w:eastAsiaTheme="minorHAnsi" w:hAnsiTheme="minorHAnsi" w:cstheme="minorBidi"/>
                <w:sz w:val="22"/>
                <w:szCs w:val="22"/>
              </w:rPr>
              <w:t xml:space="preserve"> The funds </w:t>
            </w:r>
            <w:r w:rsidR="005C2A71">
              <w:rPr>
                <w:rFonts w:asciiTheme="minorHAnsi" w:eastAsiaTheme="minorHAnsi" w:hAnsiTheme="minorHAnsi" w:cstheme="minorBidi"/>
                <w:sz w:val="22"/>
                <w:szCs w:val="22"/>
              </w:rPr>
              <w:t xml:space="preserve">(100% RDEL) </w:t>
            </w:r>
            <w:r w:rsidRPr="00CB45E5">
              <w:rPr>
                <w:rFonts w:asciiTheme="minorHAnsi" w:eastAsiaTheme="minorHAnsi" w:hAnsiTheme="minorHAnsi" w:cstheme="minorBidi"/>
                <w:sz w:val="22"/>
                <w:szCs w:val="22"/>
              </w:rPr>
              <w:t xml:space="preserve">have been secured in FY21/22 ODA budget for the programme.  Funds for future financial years </w:t>
            </w:r>
            <w:r w:rsidR="00ED321A">
              <w:rPr>
                <w:rFonts w:asciiTheme="minorHAnsi" w:eastAsiaTheme="minorHAnsi" w:hAnsiTheme="minorHAnsi" w:cstheme="minorBidi"/>
                <w:sz w:val="22"/>
                <w:szCs w:val="22"/>
              </w:rPr>
              <w:t xml:space="preserve">(if any) </w:t>
            </w:r>
            <w:r w:rsidRPr="00CB45E5">
              <w:rPr>
                <w:rFonts w:asciiTheme="minorHAnsi" w:eastAsiaTheme="minorHAnsi" w:hAnsiTheme="minorHAnsi" w:cstheme="minorBidi"/>
                <w:sz w:val="22"/>
                <w:szCs w:val="22"/>
              </w:rPr>
              <w:t>will be secured through the spending review.</w:t>
            </w:r>
          </w:p>
          <w:p w14:paraId="22A574BA" w14:textId="4B5FC609" w:rsidR="00CB45E5" w:rsidRPr="00CB45E5" w:rsidRDefault="00CB45E5" w:rsidP="00CB45E5">
            <w:pPr>
              <w:numPr>
                <w:ilvl w:val="0"/>
                <w:numId w:val="15"/>
              </w:numPr>
              <w:rPr>
                <w:rFonts w:eastAsiaTheme="minorHAnsi"/>
              </w:rPr>
            </w:pPr>
            <w:r w:rsidRPr="004E2623">
              <w:rPr>
                <w:rFonts w:eastAsiaTheme="minorHAnsi"/>
                <w:b/>
                <w:bCs/>
                <w:sz w:val="22"/>
                <w:szCs w:val="22"/>
              </w:rPr>
              <w:t>Propriety:</w:t>
            </w:r>
            <w:r w:rsidRPr="00CB45E5">
              <w:rPr>
                <w:rFonts w:eastAsiaTheme="minorHAnsi"/>
                <w:sz w:val="22"/>
                <w:szCs w:val="22"/>
              </w:rPr>
              <w:t xml:space="preserve"> The programme will adhere to the relevant approvals and controls process. </w:t>
            </w:r>
            <w:r w:rsidR="00ED321A">
              <w:rPr>
                <w:rFonts w:eastAsiaTheme="minorHAnsi"/>
                <w:sz w:val="22"/>
                <w:szCs w:val="22"/>
              </w:rPr>
              <w:t xml:space="preserve"> Given the scale of funding</w:t>
            </w:r>
            <w:r w:rsidRPr="00CB45E5">
              <w:rPr>
                <w:rFonts w:eastAsiaTheme="minorHAnsi"/>
                <w:sz w:val="22"/>
                <w:szCs w:val="22"/>
              </w:rPr>
              <w:t>, the final business case will be cleared by the joint SROs, Tamsin Ballard and Emma Donnelly.</w:t>
            </w:r>
            <w:r w:rsidR="005C2A71">
              <w:rPr>
                <w:rFonts w:eastAsiaTheme="minorHAnsi"/>
                <w:sz w:val="22"/>
                <w:szCs w:val="22"/>
              </w:rPr>
              <w:t xml:space="preserve"> </w:t>
            </w:r>
            <w:r w:rsidR="005C2A71" w:rsidRPr="005C2A71">
              <w:rPr>
                <w:rFonts w:eastAsiaTheme="minorHAnsi"/>
                <w:sz w:val="22"/>
                <w:szCs w:val="22"/>
              </w:rPr>
              <w:t xml:space="preserve">ODA funding will be allocated under </w:t>
            </w:r>
            <w:r w:rsidR="005C2A71">
              <w:rPr>
                <w:rFonts w:eastAsiaTheme="minorHAnsi"/>
                <w:sz w:val="22"/>
                <w:szCs w:val="22"/>
              </w:rPr>
              <w:t>S</w:t>
            </w:r>
            <w:r w:rsidR="005C2A71" w:rsidRPr="005C2A71">
              <w:rPr>
                <w:rFonts w:eastAsiaTheme="minorHAnsi"/>
                <w:sz w:val="22"/>
                <w:szCs w:val="22"/>
              </w:rPr>
              <w:t>ection</w:t>
            </w:r>
            <w:r w:rsidR="005C2A71">
              <w:rPr>
                <w:rFonts w:eastAsiaTheme="minorHAnsi"/>
                <w:sz w:val="22"/>
                <w:szCs w:val="22"/>
              </w:rPr>
              <w:t xml:space="preserve"> </w:t>
            </w:r>
            <w:r w:rsidR="005C2A71" w:rsidRPr="005C2A71">
              <w:rPr>
                <w:rFonts w:eastAsiaTheme="minorHAnsi"/>
                <w:sz w:val="22"/>
                <w:szCs w:val="22"/>
              </w:rPr>
              <w:t xml:space="preserve">1 of the </w:t>
            </w:r>
            <w:r w:rsidR="005C2A71">
              <w:rPr>
                <w:rFonts w:eastAsiaTheme="minorHAnsi"/>
                <w:sz w:val="22"/>
                <w:szCs w:val="22"/>
              </w:rPr>
              <w:t>I</w:t>
            </w:r>
            <w:r w:rsidR="005C2A71" w:rsidRPr="005C2A71">
              <w:rPr>
                <w:rFonts w:eastAsiaTheme="minorHAnsi"/>
                <w:sz w:val="22"/>
                <w:szCs w:val="22"/>
              </w:rPr>
              <w:t>nternational Development Act 2002 and expenditure will be in accordance with this legislation and all ODA requirements</w:t>
            </w:r>
            <w:r w:rsidRPr="00CB45E5">
              <w:rPr>
                <w:rFonts w:eastAsiaTheme="minorHAnsi"/>
                <w:sz w:val="22"/>
                <w:szCs w:val="22"/>
              </w:rPr>
              <w:t xml:space="preserve"> </w:t>
            </w:r>
          </w:p>
          <w:p w14:paraId="53C96180" w14:textId="77777777" w:rsidR="00CB45E5" w:rsidRPr="00CB45E5" w:rsidRDefault="00CB45E5" w:rsidP="00CB45E5">
            <w:pPr>
              <w:pStyle w:val="ListParagraph"/>
              <w:ind w:left="360" w:right="176"/>
            </w:pPr>
          </w:p>
          <w:p w14:paraId="55C6F1B7" w14:textId="79C2FC88" w:rsidR="00CB45E5" w:rsidRPr="00CB45E5" w:rsidRDefault="00CB45E5" w:rsidP="009A2000">
            <w:pPr>
              <w:pStyle w:val="ListParagraph"/>
              <w:numPr>
                <w:ilvl w:val="0"/>
                <w:numId w:val="15"/>
              </w:numPr>
              <w:ind w:right="176"/>
            </w:pPr>
            <w:r w:rsidRPr="004E2623">
              <w:rPr>
                <w:rFonts w:asciiTheme="minorHAnsi" w:eastAsiaTheme="minorHAnsi" w:hAnsiTheme="minorHAnsi" w:cstheme="minorBidi"/>
                <w:b/>
                <w:bCs/>
                <w:sz w:val="22"/>
                <w:szCs w:val="22"/>
              </w:rPr>
              <w:t>Feasibility:</w:t>
            </w:r>
            <w:r w:rsidRPr="00CB45E5">
              <w:rPr>
                <w:rFonts w:asciiTheme="minorHAnsi" w:eastAsiaTheme="minorHAnsi" w:hAnsiTheme="minorHAnsi" w:cstheme="minorBidi"/>
                <w:sz w:val="22"/>
                <w:szCs w:val="22"/>
              </w:rPr>
              <w:t xml:space="preserve"> The programme will be implemented accurately and to the intended timescale. The </w:t>
            </w:r>
            <w:r>
              <w:rPr>
                <w:rFonts w:asciiTheme="minorHAnsi" w:eastAsiaTheme="minorHAnsi" w:hAnsiTheme="minorHAnsi" w:cstheme="minorBidi"/>
                <w:sz w:val="22"/>
                <w:szCs w:val="22"/>
              </w:rPr>
              <w:t>full proposal developed by FSD Africa</w:t>
            </w:r>
            <w:r w:rsidRPr="00CB45E5">
              <w:rPr>
                <w:rFonts w:asciiTheme="minorHAnsi" w:eastAsiaTheme="minorHAnsi" w:hAnsiTheme="minorHAnsi" w:cstheme="minorBidi"/>
                <w:sz w:val="22"/>
                <w:szCs w:val="22"/>
              </w:rPr>
              <w:t xml:space="preserve"> will outline an assessment of delivery risks and the governance, controls, monitoring, and reporting frameworks in place to manage these.  </w:t>
            </w:r>
          </w:p>
          <w:p w14:paraId="4C33D20C" w14:textId="77777777" w:rsidR="00CB45E5" w:rsidRPr="00CB45E5" w:rsidRDefault="00CB45E5" w:rsidP="00CB45E5">
            <w:pPr>
              <w:pStyle w:val="ListParagraph"/>
              <w:rPr>
                <w:rFonts w:asciiTheme="minorHAnsi" w:eastAsiaTheme="minorHAnsi" w:hAnsiTheme="minorHAnsi" w:cstheme="minorBidi"/>
              </w:rPr>
            </w:pPr>
          </w:p>
          <w:p w14:paraId="127B3758" w14:textId="4F241535" w:rsidR="001E2F38" w:rsidRDefault="00CB45E5" w:rsidP="009A2000">
            <w:pPr>
              <w:pStyle w:val="ListParagraph"/>
              <w:numPr>
                <w:ilvl w:val="0"/>
                <w:numId w:val="15"/>
              </w:numPr>
              <w:ind w:right="176"/>
            </w:pPr>
            <w:r w:rsidRPr="004E2623">
              <w:rPr>
                <w:rFonts w:asciiTheme="minorHAnsi" w:eastAsiaTheme="minorHAnsi" w:hAnsiTheme="minorHAnsi" w:cstheme="minorBidi"/>
                <w:b/>
                <w:bCs/>
                <w:sz w:val="22"/>
                <w:szCs w:val="22"/>
              </w:rPr>
              <w:t>Value for money:</w:t>
            </w:r>
            <w:r>
              <w:rPr>
                <w:rFonts w:asciiTheme="minorHAnsi" w:eastAsiaTheme="minorHAnsi" w:hAnsiTheme="minorHAnsi" w:cstheme="minorBidi"/>
                <w:sz w:val="22"/>
                <w:szCs w:val="22"/>
              </w:rPr>
              <w:t xml:space="preserve"> </w:t>
            </w:r>
            <w:r w:rsidR="001E2F38" w:rsidRPr="001F054B">
              <w:rPr>
                <w:rFonts w:asciiTheme="minorHAnsi" w:eastAsiaTheme="minorHAnsi" w:hAnsiTheme="minorHAnsi" w:cstheme="minorBidi"/>
                <w:sz w:val="22"/>
                <w:szCs w:val="22"/>
              </w:rPr>
              <w:t>Under option 1, which is ‘do nothing’, Private sector actors and financial institutions in African countries would not have a facilitated path to engaging with the TNFD</w:t>
            </w:r>
            <w:r w:rsidR="005C18CB" w:rsidRPr="001F054B">
              <w:rPr>
                <w:rFonts w:asciiTheme="minorHAnsi" w:eastAsiaTheme="minorHAnsi" w:hAnsiTheme="minorHAnsi" w:cstheme="minorBidi"/>
                <w:sz w:val="22"/>
                <w:szCs w:val="22"/>
              </w:rPr>
              <w:t xml:space="preserve">. Under option 2, the </w:t>
            </w:r>
            <w:r w:rsidR="005C18CB" w:rsidRPr="001F054B">
              <w:rPr>
                <w:rFonts w:asciiTheme="minorHAnsi" w:eastAsiaTheme="minorHAnsi" w:hAnsiTheme="minorHAnsi" w:cstheme="minorBidi"/>
                <w:sz w:val="22"/>
                <w:szCs w:val="22"/>
              </w:rPr>
              <w:lastRenderedPageBreak/>
              <w:t>activities are delivered by Defra and therefore likely to be less successful as it lacks an African presence, has limited financial services expertise and may be less trusted than a more impartial partner like the FSD</w:t>
            </w:r>
            <w:r w:rsidR="00A91A6F">
              <w:rPr>
                <w:rFonts w:asciiTheme="minorHAnsi" w:eastAsiaTheme="minorHAnsi" w:hAnsiTheme="minorHAnsi" w:cstheme="minorBidi"/>
                <w:sz w:val="22"/>
                <w:szCs w:val="22"/>
              </w:rPr>
              <w:t xml:space="preserve"> </w:t>
            </w:r>
            <w:r w:rsidR="005C18CB" w:rsidRPr="001F054B">
              <w:rPr>
                <w:rFonts w:asciiTheme="minorHAnsi" w:eastAsiaTheme="minorHAnsi" w:hAnsiTheme="minorHAnsi" w:cstheme="minorBidi"/>
                <w:sz w:val="22"/>
                <w:szCs w:val="22"/>
              </w:rPr>
              <w:t>A</w:t>
            </w:r>
            <w:r w:rsidR="00A91A6F">
              <w:rPr>
                <w:rFonts w:asciiTheme="minorHAnsi" w:eastAsiaTheme="minorHAnsi" w:hAnsiTheme="minorHAnsi" w:cstheme="minorBidi"/>
                <w:sz w:val="22"/>
                <w:szCs w:val="22"/>
              </w:rPr>
              <w:t>frica</w:t>
            </w:r>
            <w:r w:rsidR="005C18CB" w:rsidRPr="001F054B">
              <w:rPr>
                <w:rFonts w:asciiTheme="minorHAnsi" w:eastAsiaTheme="minorHAnsi" w:hAnsiTheme="minorHAnsi" w:cstheme="minorBidi"/>
                <w:sz w:val="22"/>
                <w:szCs w:val="22"/>
              </w:rPr>
              <w:t xml:space="preserve">. Option 3 is the option which delivers the best </w:t>
            </w:r>
            <w:r w:rsidR="00C62327" w:rsidRPr="001F054B">
              <w:rPr>
                <w:rFonts w:asciiTheme="minorHAnsi" w:eastAsiaTheme="minorHAnsi" w:hAnsiTheme="minorHAnsi" w:cstheme="minorBidi"/>
                <w:sz w:val="22"/>
                <w:szCs w:val="22"/>
              </w:rPr>
              <w:t>Vfm</w:t>
            </w:r>
            <w:r w:rsidR="005C18CB" w:rsidRPr="001F054B">
              <w:rPr>
                <w:rFonts w:asciiTheme="minorHAnsi" w:eastAsiaTheme="minorHAnsi" w:hAnsiTheme="minorHAnsi" w:cstheme="minorBidi"/>
                <w:sz w:val="22"/>
                <w:szCs w:val="22"/>
              </w:rPr>
              <w:t xml:space="preserve"> </w:t>
            </w:r>
            <w:r w:rsidR="00E60F5B" w:rsidRPr="001F054B">
              <w:rPr>
                <w:rFonts w:asciiTheme="minorHAnsi" w:eastAsiaTheme="minorHAnsi" w:hAnsiTheme="minorHAnsi" w:cstheme="minorBidi"/>
                <w:sz w:val="22"/>
                <w:szCs w:val="22"/>
              </w:rPr>
              <w:t>as it uses a trusted partner, with deep expertise on African financial services who can leverage those relationships to ensure the activities have the largest impact.</w:t>
            </w:r>
          </w:p>
          <w:p w14:paraId="24455283" w14:textId="600C5DBC" w:rsidR="001E2F38" w:rsidRPr="00086F7E" w:rsidRDefault="001E2F38" w:rsidP="000F4AB6">
            <w:pPr>
              <w:pStyle w:val="ListParagraph"/>
              <w:spacing w:after="0" w:line="240" w:lineRule="auto"/>
              <w:ind w:left="360" w:right="176"/>
              <w:rPr>
                <w:sz w:val="22"/>
                <w:szCs w:val="22"/>
              </w:rPr>
            </w:pPr>
          </w:p>
          <w:p w14:paraId="28619EEF" w14:textId="61CA540D" w:rsidR="00086F7E" w:rsidRPr="00FC709F" w:rsidRDefault="00086F7E" w:rsidP="00086F7E">
            <w:pPr>
              <w:ind w:right="176"/>
            </w:pPr>
          </w:p>
        </w:tc>
      </w:tr>
      <w:tr w:rsidR="00FC709F" w14:paraId="3035B037" w14:textId="77777777" w:rsidTr="65B5030A">
        <w:tc>
          <w:tcPr>
            <w:tcW w:w="9067" w:type="dxa"/>
          </w:tcPr>
          <w:p w14:paraId="0E10D9FF" w14:textId="77777777" w:rsidR="00FC709F" w:rsidRDefault="00FC709F" w:rsidP="0000288E">
            <w:pPr>
              <w:pStyle w:val="Heading2"/>
            </w:pPr>
            <w:r w:rsidRPr="00FC709F">
              <w:lastRenderedPageBreak/>
              <w:t>What are the expected results?</w:t>
            </w:r>
          </w:p>
          <w:p w14:paraId="5C325B61" w14:textId="54B3EA93" w:rsidR="00FC709F" w:rsidRDefault="00FC709F" w:rsidP="0000288E">
            <w:pPr>
              <w:rPr>
                <w:b/>
                <w:bCs/>
              </w:rPr>
            </w:pPr>
          </w:p>
          <w:p w14:paraId="090F3360" w14:textId="77777777" w:rsidR="009F0ACF" w:rsidRDefault="009F0ACF" w:rsidP="009F0ACF">
            <w:pPr>
              <w:pStyle w:val="ListParagraph"/>
              <w:numPr>
                <w:ilvl w:val="0"/>
                <w:numId w:val="15"/>
              </w:numPr>
              <w:ind w:right="176"/>
              <w:rPr>
                <w:rFonts w:asciiTheme="minorHAnsi" w:eastAsiaTheme="minorHAnsi" w:hAnsiTheme="minorHAnsi" w:cstheme="minorBidi"/>
                <w:sz w:val="22"/>
                <w:szCs w:val="22"/>
              </w:rPr>
            </w:pPr>
            <w:r w:rsidRPr="005E13CA">
              <w:rPr>
                <w:rFonts w:asciiTheme="minorHAnsi" w:eastAsiaTheme="minorHAnsi" w:hAnsiTheme="minorHAnsi" w:cstheme="minorBidi"/>
                <w:sz w:val="22"/>
                <w:szCs w:val="22"/>
              </w:rPr>
              <w:t>FSD Africa will work with both the public (i.e. regulatory bodies, government agencies) and private financial institutions to build awareness and institutional capacity on nature-related financial risk management within African countries.</w:t>
            </w:r>
          </w:p>
          <w:p w14:paraId="2732B1BC" w14:textId="77777777" w:rsidR="009F0ACF" w:rsidRDefault="009F0ACF" w:rsidP="009F0ACF">
            <w:pPr>
              <w:pStyle w:val="ListParagraph"/>
              <w:ind w:left="360" w:right="176"/>
              <w:rPr>
                <w:rFonts w:asciiTheme="minorHAnsi" w:eastAsiaTheme="minorHAnsi" w:hAnsiTheme="minorHAnsi" w:cstheme="minorBidi"/>
                <w:sz w:val="22"/>
                <w:szCs w:val="22"/>
              </w:rPr>
            </w:pPr>
          </w:p>
          <w:p w14:paraId="5ED93430" w14:textId="52A45AD3" w:rsidR="009F0ACF" w:rsidRPr="005E13CA" w:rsidRDefault="009F0ACF" w:rsidP="009F0ACF">
            <w:pPr>
              <w:pStyle w:val="ListParagraph"/>
              <w:numPr>
                <w:ilvl w:val="0"/>
                <w:numId w:val="15"/>
              </w:numPr>
              <w:ind w:right="176"/>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programme will have </w:t>
            </w:r>
            <w:r w:rsidRPr="005E13CA">
              <w:rPr>
                <w:rFonts w:asciiTheme="minorHAnsi" w:eastAsiaTheme="minorHAnsi" w:hAnsiTheme="minorHAnsi" w:cstheme="minorBidi"/>
                <w:sz w:val="22"/>
                <w:szCs w:val="22"/>
              </w:rPr>
              <w:t>three main workstreams:</w:t>
            </w:r>
          </w:p>
          <w:p w14:paraId="4DB40CCC" w14:textId="5C7C49DA" w:rsidR="009F0ACF" w:rsidRPr="005E13CA" w:rsidRDefault="009F0ACF" w:rsidP="009F0ACF">
            <w:pPr>
              <w:pStyle w:val="ListParagraph"/>
              <w:numPr>
                <w:ilvl w:val="1"/>
                <w:numId w:val="15"/>
              </w:numPr>
              <w:ind w:right="176"/>
              <w:rPr>
                <w:rFonts w:asciiTheme="minorHAnsi" w:eastAsiaTheme="minorHAnsi" w:hAnsiTheme="minorHAnsi" w:cstheme="minorBidi"/>
                <w:sz w:val="22"/>
                <w:szCs w:val="22"/>
              </w:rPr>
            </w:pPr>
            <w:r w:rsidRPr="005E13CA">
              <w:rPr>
                <w:rFonts w:asciiTheme="minorHAnsi" w:eastAsiaTheme="minorHAnsi" w:hAnsiTheme="minorHAnsi" w:cstheme="minorBidi"/>
                <w:b/>
                <w:bCs/>
                <w:sz w:val="22"/>
                <w:szCs w:val="22"/>
              </w:rPr>
              <w:t>Workstream 1: Providing an academic justification for TNFD in Africa, and facilitating high-impact advocacy around that.</w:t>
            </w:r>
            <w:r w:rsidRPr="005E13CA">
              <w:rPr>
                <w:rFonts w:asciiTheme="minorHAnsi" w:eastAsiaTheme="minorHAnsi" w:hAnsiTheme="minorHAnsi" w:cstheme="minorBidi"/>
                <w:sz w:val="22"/>
                <w:szCs w:val="22"/>
              </w:rPr>
              <w:t xml:space="preserve"> This would establish an ‘African voice’ in the TNFD Framework (together with the companies that participate in Workstream 2) and will emphasise the context-specific nature-related risks, impacts and opportunities facing the continent. </w:t>
            </w:r>
            <w:r>
              <w:rPr>
                <w:rFonts w:asciiTheme="minorHAnsi" w:eastAsiaTheme="minorHAnsi" w:hAnsiTheme="minorHAnsi" w:cstheme="minorBidi"/>
                <w:sz w:val="22"/>
                <w:szCs w:val="22"/>
              </w:rPr>
              <w:t xml:space="preserve">This </w:t>
            </w:r>
            <w:r w:rsidRPr="005E13CA">
              <w:rPr>
                <w:rFonts w:asciiTheme="minorHAnsi" w:eastAsiaTheme="minorHAnsi" w:hAnsiTheme="minorHAnsi" w:cstheme="minorBidi"/>
                <w:sz w:val="22"/>
                <w:szCs w:val="22"/>
              </w:rPr>
              <w:t xml:space="preserve">deliverable should stand alone to the TNFD, remain focused on nature-related risks and opportunities, and be accessible to multiple audiences; </w:t>
            </w:r>
          </w:p>
          <w:p w14:paraId="0F5BD584" w14:textId="77777777" w:rsidR="009F0ACF" w:rsidRPr="005E13CA" w:rsidRDefault="009F0ACF" w:rsidP="009F0ACF">
            <w:pPr>
              <w:pStyle w:val="ListParagraph"/>
              <w:numPr>
                <w:ilvl w:val="1"/>
                <w:numId w:val="15"/>
              </w:numPr>
              <w:ind w:right="176"/>
              <w:rPr>
                <w:rFonts w:asciiTheme="minorHAnsi" w:eastAsiaTheme="minorHAnsi" w:hAnsiTheme="minorHAnsi" w:cstheme="minorBidi"/>
                <w:sz w:val="22"/>
                <w:szCs w:val="22"/>
              </w:rPr>
            </w:pPr>
            <w:r w:rsidRPr="005E13CA">
              <w:rPr>
                <w:rFonts w:asciiTheme="minorHAnsi" w:eastAsiaTheme="minorHAnsi" w:hAnsiTheme="minorHAnsi" w:cstheme="minorBidi"/>
                <w:b/>
                <w:bCs/>
                <w:sz w:val="22"/>
                <w:szCs w:val="22"/>
              </w:rPr>
              <w:t>Workstream 2: Construct a series of pilot case studies in the financial sector that establishes examples of successful risk assessment and mitigation.</w:t>
            </w:r>
            <w:r w:rsidRPr="005E13CA">
              <w:rPr>
                <w:rFonts w:asciiTheme="minorHAnsi" w:eastAsiaTheme="minorHAnsi" w:hAnsiTheme="minorHAnsi" w:cstheme="minorBidi"/>
                <w:sz w:val="22"/>
                <w:szCs w:val="22"/>
              </w:rPr>
              <w:t xml:space="preserve"> This requires the development and testing of a draft framework, selecting ‘champions’ to gather data on exposure and opportunities, and deeply reflecting and reporting on lessons learned, including feasibility of implementation of di</w:t>
            </w:r>
            <w:r>
              <w:rPr>
                <w:rFonts w:asciiTheme="minorHAnsi" w:eastAsiaTheme="minorHAnsi" w:hAnsiTheme="minorHAnsi" w:cstheme="minorBidi"/>
                <w:sz w:val="22"/>
                <w:szCs w:val="22"/>
              </w:rPr>
              <w:t>s</w:t>
            </w:r>
            <w:r w:rsidRPr="005E13CA">
              <w:rPr>
                <w:rFonts w:asciiTheme="minorHAnsi" w:eastAsiaTheme="minorHAnsi" w:hAnsiTheme="minorHAnsi" w:cstheme="minorBidi"/>
                <w:sz w:val="22"/>
                <w:szCs w:val="22"/>
              </w:rPr>
              <w:t>closure</w:t>
            </w:r>
            <w:r>
              <w:rPr>
                <w:rFonts w:asciiTheme="minorHAnsi" w:eastAsiaTheme="minorHAnsi" w:hAnsiTheme="minorHAnsi" w:cstheme="minorBidi"/>
                <w:sz w:val="22"/>
                <w:szCs w:val="22"/>
              </w:rPr>
              <w:t>s</w:t>
            </w:r>
            <w:r w:rsidRPr="005E13CA">
              <w:rPr>
                <w:rFonts w:asciiTheme="minorHAnsi" w:eastAsiaTheme="minorHAnsi" w:hAnsiTheme="minorHAnsi" w:cstheme="minorBidi"/>
                <w:sz w:val="22"/>
                <w:szCs w:val="22"/>
              </w:rPr>
              <w:t xml:space="preserve"> etc. </w:t>
            </w:r>
            <w:r>
              <w:rPr>
                <w:rFonts w:asciiTheme="minorHAnsi" w:eastAsiaTheme="minorHAnsi" w:hAnsiTheme="minorHAnsi" w:cstheme="minorBidi"/>
                <w:sz w:val="22"/>
                <w:szCs w:val="22"/>
              </w:rPr>
              <w:t>It is</w:t>
            </w:r>
            <w:r w:rsidRPr="005E13CA">
              <w:rPr>
                <w:rFonts w:asciiTheme="minorHAnsi" w:eastAsiaTheme="minorHAnsi" w:hAnsiTheme="minorHAnsi" w:cstheme="minorBidi"/>
                <w:sz w:val="22"/>
                <w:szCs w:val="22"/>
              </w:rPr>
              <w:t xml:space="preserve"> envisage</w:t>
            </w:r>
            <w:r>
              <w:rPr>
                <w:rFonts w:asciiTheme="minorHAnsi" w:eastAsiaTheme="minorHAnsi" w:hAnsiTheme="minorHAnsi" w:cstheme="minorBidi"/>
                <w:sz w:val="22"/>
                <w:szCs w:val="22"/>
              </w:rPr>
              <w:t>d that</w:t>
            </w:r>
            <w:r w:rsidRPr="005E13CA">
              <w:rPr>
                <w:rFonts w:asciiTheme="minorHAnsi" w:eastAsiaTheme="minorHAnsi" w:hAnsiTheme="minorHAnsi" w:cstheme="minorBidi"/>
                <w:sz w:val="22"/>
                <w:szCs w:val="22"/>
              </w:rPr>
              <w:t xml:space="preserve"> such ‘champions’ would form a core part of the ‘African voice’ working group, preliminarily through a taskforce that offers a ‘TNFD Secretariat for Africa’</w:t>
            </w:r>
            <w:r>
              <w:rPr>
                <w:rFonts w:asciiTheme="minorHAnsi" w:eastAsiaTheme="minorHAnsi" w:hAnsiTheme="minorHAnsi" w:cstheme="minorBidi"/>
                <w:sz w:val="22"/>
                <w:szCs w:val="22"/>
              </w:rPr>
              <w:t>, and are expected to</w:t>
            </w:r>
            <w:r w:rsidRPr="005E13CA">
              <w:rPr>
                <w:rFonts w:asciiTheme="minorHAnsi" w:eastAsiaTheme="minorHAnsi" w:hAnsiTheme="minorHAnsi" w:cstheme="minorBidi"/>
                <w:sz w:val="22"/>
                <w:szCs w:val="22"/>
              </w:rPr>
              <w:t xml:space="preserve"> join the TNFD Forum;</w:t>
            </w:r>
          </w:p>
          <w:p w14:paraId="534BFEE8" w14:textId="77777777" w:rsidR="0000288E" w:rsidRDefault="009F0ACF" w:rsidP="009F0ACF">
            <w:pPr>
              <w:pStyle w:val="ListParagraph"/>
              <w:numPr>
                <w:ilvl w:val="1"/>
                <w:numId w:val="15"/>
              </w:numPr>
              <w:ind w:right="176"/>
              <w:rPr>
                <w:rFonts w:asciiTheme="minorHAnsi" w:eastAsiaTheme="minorHAnsi" w:hAnsiTheme="minorHAnsi" w:cstheme="minorBidi"/>
                <w:sz w:val="22"/>
                <w:szCs w:val="22"/>
              </w:rPr>
            </w:pPr>
            <w:r w:rsidRPr="005E13CA">
              <w:rPr>
                <w:rFonts w:asciiTheme="minorHAnsi" w:eastAsiaTheme="minorHAnsi" w:hAnsiTheme="minorHAnsi" w:cstheme="minorBidi"/>
                <w:b/>
                <w:bCs/>
                <w:sz w:val="22"/>
                <w:szCs w:val="22"/>
              </w:rPr>
              <w:t>Workstream 3:  Outreach to the public sector through a co-ordinated programme of advocacy</w:t>
            </w:r>
            <w:r w:rsidRPr="005E13CA">
              <w:rPr>
                <w:rFonts w:asciiTheme="minorHAnsi" w:eastAsiaTheme="minorHAnsi" w:hAnsiTheme="minorHAnsi" w:cstheme="minorBidi"/>
                <w:sz w:val="22"/>
                <w:szCs w:val="22"/>
              </w:rPr>
              <w:t xml:space="preserve">, supporting key government bodies and regulators to influence the design of the TNFD programme, and integrating the preliminary framework into local disclosure regulation. </w:t>
            </w:r>
            <w:r>
              <w:rPr>
                <w:rFonts w:asciiTheme="minorHAnsi" w:eastAsiaTheme="minorHAnsi" w:hAnsiTheme="minorHAnsi" w:cstheme="minorBidi"/>
                <w:sz w:val="22"/>
                <w:szCs w:val="22"/>
              </w:rPr>
              <w:t>E</w:t>
            </w:r>
            <w:r w:rsidRPr="005E13CA">
              <w:rPr>
                <w:rFonts w:asciiTheme="minorHAnsi" w:eastAsiaTheme="minorHAnsi" w:hAnsiTheme="minorHAnsi" w:cstheme="minorBidi"/>
                <w:sz w:val="22"/>
                <w:szCs w:val="22"/>
              </w:rPr>
              <w:t xml:space="preserve">ngagement with Central Banks </w:t>
            </w:r>
            <w:r>
              <w:rPr>
                <w:rFonts w:asciiTheme="minorHAnsi" w:eastAsiaTheme="minorHAnsi" w:hAnsiTheme="minorHAnsi" w:cstheme="minorBidi"/>
                <w:sz w:val="22"/>
                <w:szCs w:val="22"/>
              </w:rPr>
              <w:t>will</w:t>
            </w:r>
            <w:r w:rsidRPr="005E13CA">
              <w:rPr>
                <w:rFonts w:asciiTheme="minorHAnsi" w:eastAsiaTheme="minorHAnsi" w:hAnsiTheme="minorHAnsi" w:cstheme="minorBidi"/>
                <w:sz w:val="22"/>
                <w:szCs w:val="22"/>
              </w:rPr>
              <w:t xml:space="preserve"> be included within this framework.</w:t>
            </w:r>
          </w:p>
          <w:p w14:paraId="2B1BC2A8" w14:textId="602C476E" w:rsidR="00D01E6B" w:rsidRPr="00ED56A6" w:rsidRDefault="00D01E6B" w:rsidP="00ED56A6">
            <w:pPr>
              <w:ind w:right="176"/>
              <w:rPr>
                <w:rFonts w:eastAsiaTheme="minorHAnsi"/>
              </w:rPr>
            </w:pPr>
          </w:p>
        </w:tc>
      </w:tr>
      <w:tr w:rsidR="00FC709F" w14:paraId="08CF350B" w14:textId="77777777" w:rsidTr="65B5030A">
        <w:tc>
          <w:tcPr>
            <w:tcW w:w="9067" w:type="dxa"/>
          </w:tcPr>
          <w:p w14:paraId="6C401E47" w14:textId="77777777" w:rsidR="00FC709F" w:rsidRDefault="00FC709F" w:rsidP="0000288E">
            <w:pPr>
              <w:pStyle w:val="Heading2"/>
            </w:pPr>
            <w:r w:rsidRPr="00FC709F">
              <w:t>What is the approach to implementation?</w:t>
            </w:r>
          </w:p>
          <w:p w14:paraId="2C797697" w14:textId="5B808CFB" w:rsidR="00FC709F" w:rsidRDefault="00FC709F" w:rsidP="0000288E"/>
          <w:p w14:paraId="2FD50224" w14:textId="2B7BFAB2" w:rsidR="002F7827" w:rsidRDefault="002F7827" w:rsidP="002F7827">
            <w:pPr>
              <w:pStyle w:val="ListParagraph"/>
              <w:numPr>
                <w:ilvl w:val="0"/>
                <w:numId w:val="15"/>
              </w:numPr>
              <w:ind w:right="176"/>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It is </w:t>
            </w:r>
            <w:r w:rsidRPr="00D01E6B">
              <w:rPr>
                <w:rFonts w:asciiTheme="minorHAnsi" w:eastAsiaTheme="minorHAnsi" w:hAnsiTheme="minorHAnsi" w:cstheme="minorBidi"/>
                <w:sz w:val="22"/>
                <w:szCs w:val="22"/>
              </w:rPr>
              <w:t>envisage</w:t>
            </w:r>
            <w:r>
              <w:rPr>
                <w:rFonts w:asciiTheme="minorHAnsi" w:eastAsiaTheme="minorHAnsi" w:hAnsiTheme="minorHAnsi" w:cstheme="minorBidi"/>
                <w:sz w:val="22"/>
                <w:szCs w:val="22"/>
              </w:rPr>
              <w:t>d</w:t>
            </w:r>
            <w:r w:rsidRPr="00D01E6B">
              <w:rPr>
                <w:rFonts w:asciiTheme="minorHAnsi" w:eastAsiaTheme="minorHAnsi" w:hAnsiTheme="minorHAnsi" w:cstheme="minorBidi"/>
                <w:sz w:val="22"/>
                <w:szCs w:val="22"/>
              </w:rPr>
              <w:t xml:space="preserve"> Workstream 1 </w:t>
            </w:r>
            <w:r>
              <w:rPr>
                <w:rFonts w:asciiTheme="minorHAnsi" w:eastAsiaTheme="minorHAnsi" w:hAnsiTheme="minorHAnsi" w:cstheme="minorBidi"/>
                <w:sz w:val="22"/>
                <w:szCs w:val="22"/>
              </w:rPr>
              <w:t>will</w:t>
            </w:r>
            <w:r w:rsidRPr="00D01E6B">
              <w:rPr>
                <w:rFonts w:asciiTheme="minorHAnsi" w:eastAsiaTheme="minorHAnsi" w:hAnsiTheme="minorHAnsi" w:cstheme="minorBidi"/>
                <w:sz w:val="22"/>
                <w:szCs w:val="22"/>
              </w:rPr>
              <w:t xml:space="preserve"> be finalised </w:t>
            </w:r>
            <w:r>
              <w:rPr>
                <w:rFonts w:asciiTheme="minorHAnsi" w:eastAsiaTheme="minorHAnsi" w:hAnsiTheme="minorHAnsi" w:cstheme="minorBidi"/>
                <w:sz w:val="22"/>
                <w:szCs w:val="22"/>
              </w:rPr>
              <w:t>within</w:t>
            </w:r>
            <w:r w:rsidRPr="00D01E6B">
              <w:rPr>
                <w:rFonts w:asciiTheme="minorHAnsi" w:eastAsiaTheme="minorHAnsi" w:hAnsiTheme="minorHAnsi" w:cstheme="minorBidi"/>
                <w:sz w:val="22"/>
                <w:szCs w:val="22"/>
              </w:rPr>
              <w:t xml:space="preserve"> </w:t>
            </w:r>
            <w:r w:rsidR="00BE1759">
              <w:rPr>
                <w:rFonts w:asciiTheme="minorHAnsi" w:eastAsiaTheme="minorHAnsi" w:hAnsiTheme="minorHAnsi" w:cstheme="minorBidi"/>
                <w:sz w:val="22"/>
                <w:szCs w:val="22"/>
              </w:rPr>
              <w:t>five</w:t>
            </w:r>
            <w:r w:rsidRPr="00D01E6B">
              <w:rPr>
                <w:rFonts w:asciiTheme="minorHAnsi" w:eastAsiaTheme="minorHAnsi" w:hAnsiTheme="minorHAnsi" w:cstheme="minorBidi"/>
                <w:sz w:val="22"/>
                <w:szCs w:val="22"/>
              </w:rPr>
              <w:t xml:space="preserve"> months of th</w:t>
            </w:r>
            <w:r>
              <w:rPr>
                <w:rFonts w:asciiTheme="minorHAnsi" w:eastAsiaTheme="minorHAnsi" w:hAnsiTheme="minorHAnsi" w:cstheme="minorBidi"/>
                <w:sz w:val="22"/>
                <w:szCs w:val="22"/>
              </w:rPr>
              <w:t>e start of the</w:t>
            </w:r>
            <w:r w:rsidRPr="00D01E6B">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programme</w:t>
            </w:r>
            <w:r w:rsidRPr="00D01E6B">
              <w:rPr>
                <w:rFonts w:asciiTheme="minorHAnsi" w:eastAsiaTheme="minorHAnsi" w:hAnsiTheme="minorHAnsi" w:cstheme="minorBidi"/>
                <w:sz w:val="22"/>
                <w:szCs w:val="22"/>
              </w:rPr>
              <w:t xml:space="preserve">, with a draft report delivered prior to the end of the financial year. Workstream 2 would </w:t>
            </w:r>
            <w:r>
              <w:rPr>
                <w:rFonts w:asciiTheme="minorHAnsi" w:eastAsiaTheme="minorHAnsi" w:hAnsiTheme="minorHAnsi" w:cstheme="minorBidi"/>
                <w:sz w:val="22"/>
                <w:szCs w:val="22"/>
              </w:rPr>
              <w:t xml:space="preserve">also start at the outset of the programme, and potentially </w:t>
            </w:r>
            <w:r w:rsidRPr="00D01E6B">
              <w:rPr>
                <w:rFonts w:asciiTheme="minorHAnsi" w:eastAsiaTheme="minorHAnsi" w:hAnsiTheme="minorHAnsi" w:cstheme="minorBidi"/>
                <w:sz w:val="22"/>
                <w:szCs w:val="22"/>
              </w:rPr>
              <w:t>run</w:t>
            </w:r>
            <w:r>
              <w:rPr>
                <w:rFonts w:asciiTheme="minorHAnsi" w:eastAsiaTheme="minorHAnsi" w:hAnsiTheme="minorHAnsi" w:cstheme="minorBidi"/>
                <w:sz w:val="22"/>
                <w:szCs w:val="22"/>
              </w:rPr>
              <w:t xml:space="preserve"> for the whole </w:t>
            </w:r>
            <w:r w:rsidRPr="00D01E6B">
              <w:rPr>
                <w:rFonts w:asciiTheme="minorHAnsi" w:eastAsiaTheme="minorHAnsi" w:hAnsiTheme="minorHAnsi" w:cstheme="minorBidi"/>
                <w:sz w:val="22"/>
                <w:szCs w:val="22"/>
              </w:rPr>
              <w:t>12 months</w:t>
            </w:r>
            <w:r>
              <w:rPr>
                <w:rFonts w:asciiTheme="minorHAnsi" w:eastAsiaTheme="minorHAnsi" w:hAnsiTheme="minorHAnsi" w:cstheme="minorBidi"/>
                <w:sz w:val="22"/>
                <w:szCs w:val="22"/>
              </w:rPr>
              <w:t xml:space="preserve"> (with the second part funded either by Defra funds secured through </w:t>
            </w:r>
            <w:r w:rsidR="00945EB2">
              <w:rPr>
                <w:rFonts w:asciiTheme="minorHAnsi" w:eastAsiaTheme="minorHAnsi" w:hAnsiTheme="minorHAnsi" w:cstheme="minorBidi"/>
                <w:sz w:val="22"/>
                <w:szCs w:val="22"/>
              </w:rPr>
              <w:t>the spending review</w:t>
            </w:r>
            <w:r>
              <w:rPr>
                <w:rFonts w:asciiTheme="minorHAnsi" w:eastAsiaTheme="minorHAnsi" w:hAnsiTheme="minorHAnsi" w:cstheme="minorBidi"/>
                <w:sz w:val="22"/>
                <w:szCs w:val="22"/>
              </w:rPr>
              <w:t xml:space="preserve">, or </w:t>
            </w:r>
            <w:r w:rsidR="00A34828">
              <w:rPr>
                <w:rFonts w:asciiTheme="minorHAnsi" w:eastAsiaTheme="minorHAnsi" w:hAnsiTheme="minorHAnsi" w:cstheme="minorBidi"/>
                <w:sz w:val="22"/>
                <w:szCs w:val="22"/>
              </w:rPr>
              <w:t xml:space="preserve">by FCDO </w:t>
            </w:r>
            <w:r>
              <w:rPr>
                <w:rFonts w:asciiTheme="minorHAnsi" w:eastAsiaTheme="minorHAnsi" w:hAnsiTheme="minorHAnsi" w:cstheme="minorBidi"/>
                <w:sz w:val="22"/>
                <w:szCs w:val="22"/>
              </w:rPr>
              <w:t>via FSD</w:t>
            </w:r>
            <w:r w:rsidR="00ED321A">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A</w:t>
            </w:r>
            <w:r w:rsidR="00ED321A">
              <w:rPr>
                <w:rFonts w:asciiTheme="minorHAnsi" w:eastAsiaTheme="minorHAnsi" w:hAnsiTheme="minorHAnsi" w:cstheme="minorBidi"/>
                <w:sz w:val="22"/>
                <w:szCs w:val="22"/>
              </w:rPr>
              <w:t>frica</w:t>
            </w:r>
            <w:r>
              <w:rPr>
                <w:rFonts w:asciiTheme="minorHAnsi" w:eastAsiaTheme="minorHAnsi" w:hAnsiTheme="minorHAnsi" w:cstheme="minorBidi"/>
                <w:sz w:val="22"/>
                <w:szCs w:val="22"/>
              </w:rPr>
              <w:t xml:space="preserve"> core funding</w:t>
            </w:r>
            <w:r w:rsidR="00A34828">
              <w:rPr>
                <w:rFonts w:asciiTheme="minorHAnsi" w:eastAsiaTheme="minorHAnsi" w:hAnsiTheme="minorHAnsi" w:cstheme="minorBidi"/>
                <w:sz w:val="22"/>
                <w:szCs w:val="22"/>
              </w:rPr>
              <w:t>, although the latter option would negatively impact on the overall delivery of the wider FSD Africa programme by diverting key resources</w:t>
            </w:r>
            <w:r>
              <w:rPr>
                <w:rFonts w:asciiTheme="minorHAnsi" w:eastAsiaTheme="minorHAnsi" w:hAnsiTheme="minorHAnsi" w:cstheme="minorBidi"/>
                <w:sz w:val="22"/>
                <w:szCs w:val="22"/>
              </w:rPr>
              <w:t>). Workstream 2 will be</w:t>
            </w:r>
            <w:r w:rsidRPr="00D01E6B">
              <w:rPr>
                <w:rFonts w:asciiTheme="minorHAnsi" w:eastAsiaTheme="minorHAnsi" w:hAnsiTheme="minorHAnsi" w:cstheme="minorBidi"/>
                <w:sz w:val="22"/>
                <w:szCs w:val="22"/>
              </w:rPr>
              <w:t xml:space="preserve"> informed</w:t>
            </w:r>
            <w:r>
              <w:rPr>
                <w:rFonts w:asciiTheme="minorHAnsi" w:eastAsiaTheme="minorHAnsi" w:hAnsiTheme="minorHAnsi" w:cstheme="minorBidi"/>
                <w:sz w:val="22"/>
                <w:szCs w:val="22"/>
              </w:rPr>
              <w:t xml:space="preserve"> by</w:t>
            </w:r>
            <w:r w:rsidRPr="00D01E6B">
              <w:rPr>
                <w:rFonts w:asciiTheme="minorHAnsi" w:eastAsiaTheme="minorHAnsi" w:hAnsiTheme="minorHAnsi" w:cstheme="minorBidi"/>
                <w:sz w:val="22"/>
                <w:szCs w:val="22"/>
              </w:rPr>
              <w:t xml:space="preserve">, but not reliant </w:t>
            </w:r>
            <w:r>
              <w:rPr>
                <w:rFonts w:asciiTheme="minorHAnsi" w:eastAsiaTheme="minorHAnsi" w:hAnsiTheme="minorHAnsi" w:cstheme="minorBidi"/>
                <w:sz w:val="22"/>
                <w:szCs w:val="22"/>
              </w:rPr>
              <w:t>up</w:t>
            </w:r>
            <w:r w:rsidRPr="00D01E6B">
              <w:rPr>
                <w:rFonts w:asciiTheme="minorHAnsi" w:eastAsiaTheme="minorHAnsi" w:hAnsiTheme="minorHAnsi" w:cstheme="minorBidi"/>
                <w:sz w:val="22"/>
                <w:szCs w:val="22"/>
              </w:rPr>
              <w:t>on</w:t>
            </w:r>
            <w:r>
              <w:rPr>
                <w:rFonts w:asciiTheme="minorHAnsi" w:eastAsiaTheme="minorHAnsi" w:hAnsiTheme="minorHAnsi" w:cstheme="minorBidi"/>
                <w:sz w:val="22"/>
                <w:szCs w:val="22"/>
              </w:rPr>
              <w:t>,</w:t>
            </w:r>
            <w:r w:rsidRPr="00D01E6B">
              <w:rPr>
                <w:rFonts w:asciiTheme="minorHAnsi" w:eastAsiaTheme="minorHAnsi" w:hAnsiTheme="minorHAnsi" w:cstheme="minorBidi"/>
                <w:sz w:val="22"/>
                <w:szCs w:val="22"/>
              </w:rPr>
              <w:t xml:space="preserve"> Workstream 1. Workstream 3, and its program of outreach, will be informed by Workstream 1’s findings, and will build directly off both Workstream 1 &amp; 2’s advocacy deliverables and outcomes.</w:t>
            </w:r>
            <w:r>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lastRenderedPageBreak/>
              <w:t>Workstream 3 is expected to start at the end of this financial year, and continue until the end of the 12 months. An indicative timeline for the programme can be found below.</w:t>
            </w:r>
          </w:p>
          <w:p w14:paraId="7D1F43C9" w14:textId="6912B2EE" w:rsidR="00FA5FC4" w:rsidRDefault="002F7827" w:rsidP="00FA5FC4">
            <w:pPr>
              <w:ind w:right="176"/>
              <w:rPr>
                <w:rFonts w:eastAsiaTheme="minorHAnsi"/>
              </w:rPr>
            </w:pPr>
            <w:r>
              <w:rPr>
                <w:noProof/>
              </w:rPr>
              <w:drawing>
                <wp:inline distT="0" distB="0" distL="0" distR="0" wp14:anchorId="0D6739EB" wp14:editId="4C259D99">
                  <wp:extent cx="5939790" cy="3341370"/>
                  <wp:effectExtent l="0" t="0" r="381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39790" cy="3341370"/>
                          </a:xfrm>
                          <a:prstGeom prst="rect">
                            <a:avLst/>
                          </a:prstGeom>
                        </pic:spPr>
                      </pic:pic>
                    </a:graphicData>
                  </a:graphic>
                </wp:inline>
              </w:drawing>
            </w:r>
          </w:p>
          <w:p w14:paraId="6969A2A5" w14:textId="0E028451" w:rsidR="002F7827" w:rsidRPr="00DB6D59" w:rsidRDefault="002F7827" w:rsidP="002F7827">
            <w:pPr>
              <w:spacing w:line="276" w:lineRule="auto"/>
              <w:jc w:val="center"/>
              <w:rPr>
                <w:rFonts w:ascii="Trebuchet MS" w:hAnsi="Trebuchet MS" w:cs="Cambria"/>
                <w:b/>
                <w:bCs/>
                <w:sz w:val="18"/>
                <w:szCs w:val="18"/>
              </w:rPr>
            </w:pPr>
            <w:r w:rsidRPr="00DB6D59">
              <w:rPr>
                <w:rFonts w:ascii="Trebuchet MS" w:hAnsi="Trebuchet MS" w:cs="Cambria"/>
                <w:b/>
                <w:bCs/>
                <w:sz w:val="18"/>
                <w:szCs w:val="18"/>
              </w:rPr>
              <w:t xml:space="preserve">Figure </w:t>
            </w:r>
            <w:r>
              <w:rPr>
                <w:rFonts w:ascii="Trebuchet MS" w:hAnsi="Trebuchet MS" w:cs="Cambria"/>
                <w:b/>
                <w:bCs/>
                <w:sz w:val="18"/>
                <w:szCs w:val="18"/>
              </w:rPr>
              <w:t>2</w:t>
            </w:r>
            <w:r w:rsidRPr="00DB6D59">
              <w:rPr>
                <w:rFonts w:ascii="Trebuchet MS" w:hAnsi="Trebuchet MS" w:cs="Cambria"/>
                <w:b/>
                <w:bCs/>
                <w:sz w:val="18"/>
                <w:szCs w:val="18"/>
              </w:rPr>
              <w:t xml:space="preserve">: Timeline of </w:t>
            </w:r>
            <w:r w:rsidR="00DA376B">
              <w:rPr>
                <w:rFonts w:ascii="Trebuchet MS" w:hAnsi="Trebuchet MS" w:cs="Cambria"/>
                <w:b/>
                <w:bCs/>
                <w:sz w:val="18"/>
                <w:szCs w:val="18"/>
              </w:rPr>
              <w:t>programme</w:t>
            </w:r>
            <w:r>
              <w:rPr>
                <w:rFonts w:ascii="Trebuchet MS" w:hAnsi="Trebuchet MS" w:cs="Cambria"/>
                <w:b/>
                <w:bCs/>
                <w:sz w:val="18"/>
                <w:szCs w:val="18"/>
              </w:rPr>
              <w:t xml:space="preserve"> phasing</w:t>
            </w:r>
          </w:p>
          <w:p w14:paraId="14918F80" w14:textId="7B9A63C0" w:rsidR="002F7827" w:rsidRPr="0012219E" w:rsidRDefault="002F7827" w:rsidP="002F7827">
            <w:pPr>
              <w:spacing w:line="276" w:lineRule="auto"/>
              <w:jc w:val="center"/>
              <w:rPr>
                <w:rFonts w:ascii="Trebuchet MS" w:hAnsi="Trebuchet MS" w:cs="Cambria"/>
                <w:i/>
                <w:iCs/>
                <w:sz w:val="18"/>
                <w:szCs w:val="18"/>
              </w:rPr>
            </w:pPr>
            <w:r>
              <w:rPr>
                <w:rFonts w:ascii="Trebuchet MS" w:hAnsi="Trebuchet MS" w:cs="Cambria"/>
                <w:i/>
                <w:iCs/>
                <w:sz w:val="18"/>
                <w:szCs w:val="18"/>
              </w:rPr>
              <w:t xml:space="preserve">Note: Items 1-3 align with WS1, 4-6 with WS2 and 7-8 with WS3. Items 9 &amp; 10 are general activities considered to run in parallel, but be aligned with this </w:t>
            </w:r>
            <w:r w:rsidR="00DA376B">
              <w:rPr>
                <w:rFonts w:ascii="Trebuchet MS" w:hAnsi="Trebuchet MS" w:cs="Cambria"/>
                <w:i/>
                <w:iCs/>
                <w:sz w:val="18"/>
                <w:szCs w:val="18"/>
              </w:rPr>
              <w:t>programme</w:t>
            </w:r>
            <w:r>
              <w:rPr>
                <w:rFonts w:ascii="Trebuchet MS" w:hAnsi="Trebuchet MS" w:cs="Cambria"/>
                <w:i/>
                <w:iCs/>
                <w:sz w:val="18"/>
                <w:szCs w:val="18"/>
              </w:rPr>
              <w:t>.</w:t>
            </w:r>
          </w:p>
          <w:p w14:paraId="2BF10395" w14:textId="77777777" w:rsidR="005E13CA" w:rsidRDefault="005E13CA" w:rsidP="005E13CA">
            <w:pPr>
              <w:pStyle w:val="ListParagraph"/>
              <w:ind w:left="360" w:right="176"/>
              <w:rPr>
                <w:rFonts w:asciiTheme="minorHAnsi" w:eastAsiaTheme="minorHAnsi" w:hAnsiTheme="minorHAnsi" w:cstheme="minorBidi"/>
                <w:sz w:val="22"/>
                <w:szCs w:val="22"/>
              </w:rPr>
            </w:pPr>
          </w:p>
          <w:p w14:paraId="20126834" w14:textId="793972AB" w:rsidR="00FA5FC4" w:rsidRPr="008F4489" w:rsidRDefault="00FA5FC4" w:rsidP="00FA5FC4">
            <w:pPr>
              <w:pStyle w:val="ListParagraph"/>
              <w:numPr>
                <w:ilvl w:val="0"/>
                <w:numId w:val="15"/>
              </w:numPr>
              <w:ind w:right="176"/>
              <w:rPr>
                <w:rFonts w:asciiTheme="minorHAnsi" w:hAnsiTheme="minorHAnsi" w:cstheme="minorBidi"/>
                <w:sz w:val="22"/>
                <w:szCs w:val="22"/>
              </w:rPr>
            </w:pPr>
            <w:bookmarkStart w:id="3" w:name="_Hlk86071649"/>
            <w:r w:rsidRPr="008F4489">
              <w:rPr>
                <w:rFonts w:asciiTheme="minorHAnsi" w:hAnsiTheme="minorHAnsi" w:cstheme="minorBidi"/>
                <w:sz w:val="22"/>
                <w:szCs w:val="22"/>
              </w:rPr>
              <w:t xml:space="preserve">The programme will seek to align with existing FSD Africa’s governance models, with the FCDO acting as the main point of contact, holding a seat on the FSD Africa Board and Investment Committee, and retaining full oversight of the organisation’s work. </w:t>
            </w:r>
          </w:p>
          <w:p w14:paraId="5BA71CDC" w14:textId="77777777" w:rsidR="00FA5FC4" w:rsidRPr="008F4489" w:rsidRDefault="00FA5FC4" w:rsidP="008F4489">
            <w:pPr>
              <w:pStyle w:val="ListParagraph"/>
              <w:ind w:left="360" w:right="176"/>
              <w:rPr>
                <w:rFonts w:asciiTheme="minorHAnsi" w:hAnsiTheme="minorHAnsi" w:cstheme="minorBidi"/>
                <w:sz w:val="22"/>
                <w:szCs w:val="22"/>
              </w:rPr>
            </w:pPr>
          </w:p>
          <w:p w14:paraId="561196C6" w14:textId="04412CF8" w:rsidR="00707157" w:rsidRDefault="00215973" w:rsidP="651F2C79">
            <w:pPr>
              <w:pStyle w:val="ListParagraph"/>
              <w:numPr>
                <w:ilvl w:val="0"/>
                <w:numId w:val="15"/>
              </w:numPr>
              <w:ind w:right="176"/>
              <w:rPr>
                <w:rFonts w:asciiTheme="minorHAnsi" w:hAnsiTheme="minorHAnsi" w:cstheme="minorBidi"/>
                <w:sz w:val="22"/>
                <w:szCs w:val="22"/>
              </w:rPr>
            </w:pPr>
            <w:r w:rsidRPr="651F2C79">
              <w:rPr>
                <w:rFonts w:asciiTheme="minorHAnsi" w:hAnsiTheme="minorHAnsi" w:cstheme="minorBidi"/>
                <w:sz w:val="22"/>
                <w:szCs w:val="22"/>
              </w:rPr>
              <w:t>FSD Africa will report to Defra on progress of the initiative as it is delivered</w:t>
            </w:r>
            <w:r w:rsidR="00707157">
              <w:rPr>
                <w:rFonts w:asciiTheme="minorHAnsi" w:hAnsiTheme="minorHAnsi" w:cstheme="minorBidi"/>
                <w:sz w:val="22"/>
                <w:szCs w:val="22"/>
              </w:rPr>
              <w:t xml:space="preserve">. </w:t>
            </w:r>
            <w:r w:rsidR="00707157" w:rsidRPr="00707157">
              <w:rPr>
                <w:rFonts w:asciiTheme="minorHAnsi" w:hAnsiTheme="minorHAnsi" w:cstheme="minorBidi"/>
                <w:sz w:val="22"/>
                <w:szCs w:val="22"/>
              </w:rPr>
              <w:t xml:space="preserve">Defra </w:t>
            </w:r>
            <w:r w:rsidR="00707157">
              <w:rPr>
                <w:rFonts w:asciiTheme="minorHAnsi" w:hAnsiTheme="minorHAnsi" w:cstheme="minorBidi"/>
                <w:sz w:val="22"/>
                <w:szCs w:val="22"/>
              </w:rPr>
              <w:t xml:space="preserve">will take part in formal </w:t>
            </w:r>
            <w:r w:rsidR="00707157" w:rsidRPr="00707157">
              <w:rPr>
                <w:rFonts w:asciiTheme="minorHAnsi" w:hAnsiTheme="minorHAnsi" w:cstheme="minorBidi"/>
                <w:sz w:val="22"/>
                <w:szCs w:val="22"/>
              </w:rPr>
              <w:t xml:space="preserve">bi-monthly project </w:t>
            </w:r>
            <w:r w:rsidR="00707157">
              <w:rPr>
                <w:rFonts w:asciiTheme="minorHAnsi" w:hAnsiTheme="minorHAnsi" w:cstheme="minorBidi"/>
                <w:sz w:val="22"/>
                <w:szCs w:val="22"/>
              </w:rPr>
              <w:t>S</w:t>
            </w:r>
            <w:r w:rsidR="00707157" w:rsidRPr="00707157">
              <w:rPr>
                <w:rFonts w:asciiTheme="minorHAnsi" w:hAnsiTheme="minorHAnsi" w:cstheme="minorBidi"/>
                <w:sz w:val="22"/>
                <w:szCs w:val="22"/>
              </w:rPr>
              <w:t xml:space="preserve">teering </w:t>
            </w:r>
            <w:r w:rsidR="00707157">
              <w:rPr>
                <w:rFonts w:asciiTheme="minorHAnsi" w:hAnsiTheme="minorHAnsi" w:cstheme="minorBidi"/>
                <w:sz w:val="22"/>
                <w:szCs w:val="22"/>
              </w:rPr>
              <w:t>C</w:t>
            </w:r>
            <w:r w:rsidR="00707157" w:rsidRPr="00707157">
              <w:rPr>
                <w:rFonts w:asciiTheme="minorHAnsi" w:hAnsiTheme="minorHAnsi" w:cstheme="minorBidi"/>
                <w:sz w:val="22"/>
                <w:szCs w:val="22"/>
              </w:rPr>
              <w:t xml:space="preserve">ommittee meetings, </w:t>
            </w:r>
            <w:r w:rsidR="00707157">
              <w:rPr>
                <w:rFonts w:asciiTheme="minorHAnsi" w:hAnsiTheme="minorHAnsi" w:cstheme="minorBidi"/>
                <w:sz w:val="22"/>
                <w:szCs w:val="22"/>
              </w:rPr>
              <w:t xml:space="preserve">where contracted delivery partners will report back to FSD Africa on progress against agree milestones under the different workstreams. Monthly calls will also be set up between FSD Africa, Defra and FCDO, providing a more informal setting for updates on progress of work under the initiative, and regular input/feedback opportunities. </w:t>
            </w:r>
          </w:p>
          <w:p w14:paraId="7BD21021" w14:textId="77777777" w:rsidR="00707157" w:rsidRPr="008F4489" w:rsidRDefault="00707157" w:rsidP="008F4489">
            <w:pPr>
              <w:pStyle w:val="ListParagraph"/>
              <w:ind w:left="360" w:right="176"/>
              <w:rPr>
                <w:rFonts w:asciiTheme="minorHAnsi" w:hAnsiTheme="minorHAnsi" w:cstheme="minorBidi"/>
                <w:sz w:val="22"/>
                <w:szCs w:val="22"/>
              </w:rPr>
            </w:pPr>
          </w:p>
          <w:p w14:paraId="41FD0441" w14:textId="4927718B" w:rsidR="00BA36F5" w:rsidRDefault="00707157" w:rsidP="00CF41F6">
            <w:pPr>
              <w:pStyle w:val="ListParagraph"/>
              <w:numPr>
                <w:ilvl w:val="0"/>
                <w:numId w:val="15"/>
              </w:numPr>
              <w:ind w:right="176"/>
              <w:rPr>
                <w:rFonts w:asciiTheme="minorHAnsi" w:hAnsiTheme="minorHAnsi" w:cstheme="minorBidi"/>
                <w:sz w:val="22"/>
                <w:szCs w:val="22"/>
              </w:rPr>
            </w:pPr>
            <w:r w:rsidRPr="008F4489">
              <w:rPr>
                <w:rFonts w:asciiTheme="minorHAnsi" w:hAnsiTheme="minorHAnsi" w:cstheme="minorBidi"/>
                <w:sz w:val="22"/>
                <w:szCs w:val="22"/>
              </w:rPr>
              <w:t>[Outcomes and outputs of the initiative will be integrated into FSD</w:t>
            </w:r>
            <w:r w:rsidR="00A91A6F" w:rsidRPr="008F4489">
              <w:rPr>
                <w:rFonts w:asciiTheme="minorHAnsi" w:hAnsiTheme="minorHAnsi" w:cstheme="minorBidi"/>
                <w:sz w:val="22"/>
                <w:szCs w:val="22"/>
              </w:rPr>
              <w:t xml:space="preserve"> </w:t>
            </w:r>
            <w:r w:rsidRPr="008F4489">
              <w:rPr>
                <w:rFonts w:asciiTheme="minorHAnsi" w:hAnsiTheme="minorHAnsi" w:cstheme="minorBidi"/>
                <w:sz w:val="22"/>
                <w:szCs w:val="22"/>
              </w:rPr>
              <w:t>A</w:t>
            </w:r>
            <w:r w:rsidR="00A91A6F" w:rsidRPr="008F4489">
              <w:rPr>
                <w:rFonts w:asciiTheme="minorHAnsi" w:hAnsiTheme="minorHAnsi" w:cstheme="minorBidi"/>
                <w:sz w:val="22"/>
                <w:szCs w:val="22"/>
              </w:rPr>
              <w:t>frica</w:t>
            </w:r>
            <w:r w:rsidRPr="008F4489">
              <w:rPr>
                <w:rFonts w:asciiTheme="minorHAnsi" w:hAnsiTheme="minorHAnsi" w:cstheme="minorBidi"/>
                <w:sz w:val="22"/>
                <w:szCs w:val="22"/>
              </w:rPr>
              <w:t>’s MOU/logframe</w:t>
            </w:r>
            <w:r w:rsidR="00215973" w:rsidRPr="008F4489">
              <w:rPr>
                <w:rFonts w:asciiTheme="minorHAnsi" w:hAnsiTheme="minorHAnsi" w:cstheme="minorBidi"/>
                <w:sz w:val="22"/>
                <w:szCs w:val="22"/>
              </w:rPr>
              <w:t xml:space="preserve">, reporting </w:t>
            </w:r>
            <w:r w:rsidRPr="008F4489">
              <w:rPr>
                <w:rFonts w:asciiTheme="minorHAnsi" w:hAnsiTheme="minorHAnsi" w:cstheme="minorBidi"/>
                <w:sz w:val="22"/>
                <w:szCs w:val="22"/>
              </w:rPr>
              <w:t>to FCDO</w:t>
            </w:r>
            <w:r w:rsidR="00215973" w:rsidRPr="008F4489">
              <w:rPr>
                <w:rFonts w:asciiTheme="minorHAnsi" w:hAnsiTheme="minorHAnsi" w:cstheme="minorBidi"/>
                <w:sz w:val="22"/>
                <w:szCs w:val="22"/>
              </w:rPr>
              <w:t xml:space="preserve"> against the initiative’s logframe.</w:t>
            </w:r>
            <w:r w:rsidR="00215973" w:rsidRPr="651F2C79">
              <w:rPr>
                <w:rFonts w:asciiTheme="minorHAnsi" w:hAnsiTheme="minorHAnsi" w:cstheme="minorBidi"/>
                <w:sz w:val="22"/>
                <w:szCs w:val="22"/>
              </w:rPr>
              <w:t xml:space="preserve"> </w:t>
            </w:r>
            <w:r w:rsidR="00BA36F5">
              <w:rPr>
                <w:rFonts w:asciiTheme="minorHAnsi" w:hAnsiTheme="minorHAnsi" w:cstheme="minorBidi"/>
                <w:sz w:val="22"/>
                <w:szCs w:val="22"/>
              </w:rPr>
              <w:t xml:space="preserve">As such, </w:t>
            </w:r>
            <w:r w:rsidR="00BA36F5" w:rsidRPr="00BA36F5">
              <w:rPr>
                <w:rFonts w:asciiTheme="minorHAnsi" w:hAnsiTheme="minorHAnsi" w:cstheme="minorBidi"/>
                <w:sz w:val="22"/>
                <w:szCs w:val="22"/>
              </w:rPr>
              <w:t>FCDO</w:t>
            </w:r>
            <w:r w:rsidR="00BA36F5">
              <w:rPr>
                <w:rFonts w:asciiTheme="minorHAnsi" w:hAnsiTheme="minorHAnsi" w:cstheme="minorBidi"/>
                <w:sz w:val="22"/>
                <w:szCs w:val="22"/>
              </w:rPr>
              <w:t>’s</w:t>
            </w:r>
            <w:r w:rsidR="00BA36F5" w:rsidRPr="00BA36F5">
              <w:rPr>
                <w:rFonts w:asciiTheme="minorHAnsi" w:hAnsiTheme="minorHAnsi" w:cstheme="minorBidi"/>
                <w:sz w:val="22"/>
                <w:szCs w:val="22"/>
              </w:rPr>
              <w:t xml:space="preserve"> A</w:t>
            </w:r>
            <w:r w:rsidR="00BA36F5">
              <w:rPr>
                <w:rFonts w:asciiTheme="minorHAnsi" w:hAnsiTheme="minorHAnsi" w:cstheme="minorBidi"/>
                <w:sz w:val="22"/>
                <w:szCs w:val="22"/>
              </w:rPr>
              <w:t>nnual Review of the wider F</w:t>
            </w:r>
            <w:r w:rsidR="00BA36F5" w:rsidRPr="00BA36F5">
              <w:rPr>
                <w:rFonts w:asciiTheme="minorHAnsi" w:hAnsiTheme="minorHAnsi" w:cstheme="minorBidi"/>
                <w:sz w:val="22"/>
                <w:szCs w:val="22"/>
              </w:rPr>
              <w:t>SD</w:t>
            </w:r>
            <w:r w:rsidR="00A91A6F">
              <w:rPr>
                <w:rFonts w:asciiTheme="minorHAnsi" w:hAnsiTheme="minorHAnsi" w:cstheme="minorBidi"/>
                <w:sz w:val="22"/>
                <w:szCs w:val="22"/>
              </w:rPr>
              <w:t xml:space="preserve"> </w:t>
            </w:r>
            <w:r w:rsidR="00BA36F5" w:rsidRPr="00BA36F5">
              <w:rPr>
                <w:rFonts w:asciiTheme="minorHAnsi" w:hAnsiTheme="minorHAnsi" w:cstheme="minorBidi"/>
                <w:sz w:val="22"/>
                <w:szCs w:val="22"/>
              </w:rPr>
              <w:t>A</w:t>
            </w:r>
            <w:r w:rsidR="00A91A6F">
              <w:rPr>
                <w:rFonts w:asciiTheme="minorHAnsi" w:hAnsiTheme="minorHAnsi" w:cstheme="minorBidi"/>
                <w:sz w:val="22"/>
                <w:szCs w:val="22"/>
              </w:rPr>
              <w:t>frica</w:t>
            </w:r>
            <w:r w:rsidR="00BA36F5" w:rsidRPr="00BA36F5">
              <w:rPr>
                <w:rFonts w:asciiTheme="minorHAnsi" w:hAnsiTheme="minorHAnsi" w:cstheme="minorBidi"/>
                <w:sz w:val="22"/>
                <w:szCs w:val="22"/>
              </w:rPr>
              <w:t xml:space="preserve"> </w:t>
            </w:r>
            <w:r w:rsidR="00BA36F5">
              <w:rPr>
                <w:rFonts w:asciiTheme="minorHAnsi" w:hAnsiTheme="minorHAnsi" w:cstheme="minorBidi"/>
                <w:sz w:val="22"/>
                <w:szCs w:val="22"/>
              </w:rPr>
              <w:t xml:space="preserve">programme </w:t>
            </w:r>
            <w:r w:rsidR="00BA36F5" w:rsidRPr="00BA36F5">
              <w:rPr>
                <w:rFonts w:asciiTheme="minorHAnsi" w:hAnsiTheme="minorHAnsi" w:cstheme="minorBidi"/>
                <w:sz w:val="22"/>
                <w:szCs w:val="22"/>
              </w:rPr>
              <w:t xml:space="preserve">will </w:t>
            </w:r>
            <w:r w:rsidR="00BA36F5">
              <w:rPr>
                <w:rFonts w:asciiTheme="minorHAnsi" w:hAnsiTheme="minorHAnsi" w:cstheme="minorBidi"/>
                <w:sz w:val="22"/>
                <w:szCs w:val="22"/>
              </w:rPr>
              <w:t xml:space="preserve">cover </w:t>
            </w:r>
            <w:r w:rsidR="00BA36F5" w:rsidRPr="00BA36F5">
              <w:rPr>
                <w:rFonts w:asciiTheme="minorHAnsi" w:hAnsiTheme="minorHAnsi" w:cstheme="minorBidi"/>
                <w:sz w:val="22"/>
                <w:szCs w:val="22"/>
              </w:rPr>
              <w:t>the components</w:t>
            </w:r>
            <w:r w:rsidR="00BA36F5">
              <w:rPr>
                <w:rFonts w:asciiTheme="minorHAnsi" w:hAnsiTheme="minorHAnsi" w:cstheme="minorBidi"/>
                <w:sz w:val="22"/>
                <w:szCs w:val="22"/>
              </w:rPr>
              <w:t xml:space="preserve"> </w:t>
            </w:r>
            <w:r w:rsidR="00BA36F5" w:rsidRPr="00BA36F5">
              <w:rPr>
                <w:rFonts w:asciiTheme="minorHAnsi" w:hAnsiTheme="minorHAnsi" w:cstheme="minorBidi"/>
                <w:sz w:val="22"/>
                <w:szCs w:val="22"/>
              </w:rPr>
              <w:t>fund</w:t>
            </w:r>
            <w:r w:rsidR="00BA36F5">
              <w:rPr>
                <w:rFonts w:asciiTheme="minorHAnsi" w:hAnsiTheme="minorHAnsi" w:cstheme="minorBidi"/>
                <w:sz w:val="22"/>
                <w:szCs w:val="22"/>
              </w:rPr>
              <w:t>ed</w:t>
            </w:r>
            <w:r w:rsidR="00BA36F5" w:rsidRPr="00BA36F5">
              <w:rPr>
                <w:rFonts w:asciiTheme="minorHAnsi" w:hAnsiTheme="minorHAnsi" w:cstheme="minorBidi"/>
                <w:sz w:val="22"/>
                <w:szCs w:val="22"/>
              </w:rPr>
              <w:t xml:space="preserve"> under </w:t>
            </w:r>
            <w:r w:rsidR="00BA36F5">
              <w:rPr>
                <w:rFonts w:asciiTheme="minorHAnsi" w:hAnsiTheme="minorHAnsi" w:cstheme="minorBidi"/>
                <w:sz w:val="22"/>
                <w:szCs w:val="22"/>
              </w:rPr>
              <w:t>this</w:t>
            </w:r>
            <w:r w:rsidR="00BA36F5" w:rsidRPr="00BA36F5">
              <w:rPr>
                <w:rFonts w:asciiTheme="minorHAnsi" w:hAnsiTheme="minorHAnsi" w:cstheme="minorBidi"/>
                <w:sz w:val="22"/>
                <w:szCs w:val="22"/>
              </w:rPr>
              <w:t xml:space="preserve"> B</w:t>
            </w:r>
            <w:r w:rsidR="00BA36F5">
              <w:rPr>
                <w:rFonts w:asciiTheme="minorHAnsi" w:hAnsiTheme="minorHAnsi" w:cstheme="minorBidi"/>
                <w:sz w:val="22"/>
                <w:szCs w:val="22"/>
              </w:rPr>
              <w:t>usiness Case Ad</w:t>
            </w:r>
            <w:r w:rsidR="00BA36F5" w:rsidRPr="00BA36F5">
              <w:rPr>
                <w:rFonts w:asciiTheme="minorHAnsi" w:hAnsiTheme="minorHAnsi" w:cstheme="minorBidi"/>
                <w:sz w:val="22"/>
                <w:szCs w:val="22"/>
              </w:rPr>
              <w:t>dendum</w:t>
            </w:r>
            <w:r w:rsidR="00BA36F5">
              <w:rPr>
                <w:rFonts w:asciiTheme="minorHAnsi" w:hAnsiTheme="minorHAnsi" w:cstheme="minorBidi"/>
                <w:sz w:val="22"/>
                <w:szCs w:val="22"/>
              </w:rPr>
              <w:t>, which will be formally communicated and incorporated into the TNFD programme’s Annual Review</w:t>
            </w:r>
            <w:r w:rsidR="00110072">
              <w:rPr>
                <w:rFonts w:asciiTheme="minorHAnsi" w:hAnsiTheme="minorHAnsi" w:cstheme="minorBidi"/>
                <w:sz w:val="22"/>
                <w:szCs w:val="22"/>
              </w:rPr>
              <w:t xml:space="preserve"> via a </w:t>
            </w:r>
            <w:r w:rsidR="00110072" w:rsidRPr="008F4489">
              <w:rPr>
                <w:rFonts w:asciiTheme="minorHAnsi" w:hAnsiTheme="minorHAnsi" w:cstheme="minorBidi"/>
                <w:sz w:val="22"/>
                <w:szCs w:val="22"/>
              </w:rPr>
              <w:t>direct link to the FCDO Annual Review</w:t>
            </w:r>
            <w:r w:rsidR="00BA36F5">
              <w:rPr>
                <w:rFonts w:asciiTheme="minorHAnsi" w:hAnsiTheme="minorHAnsi" w:cstheme="minorBidi"/>
                <w:sz w:val="22"/>
                <w:szCs w:val="22"/>
              </w:rPr>
              <w:t>.]</w:t>
            </w:r>
            <w:r w:rsidR="00BA36F5" w:rsidRPr="00BA36F5">
              <w:rPr>
                <w:rFonts w:asciiTheme="minorHAnsi" w:hAnsiTheme="minorHAnsi" w:cstheme="minorBidi"/>
                <w:sz w:val="22"/>
                <w:szCs w:val="22"/>
              </w:rPr>
              <w:t xml:space="preserve"> </w:t>
            </w:r>
          </w:p>
          <w:p w14:paraId="22990B61" w14:textId="77777777" w:rsidR="00BA36F5" w:rsidRPr="008F4489" w:rsidRDefault="00BA36F5" w:rsidP="008F4489">
            <w:pPr>
              <w:pStyle w:val="ListParagraph"/>
              <w:ind w:left="360" w:right="176"/>
              <w:rPr>
                <w:rFonts w:asciiTheme="minorHAnsi" w:hAnsiTheme="minorHAnsi" w:cstheme="minorBidi"/>
                <w:sz w:val="22"/>
                <w:szCs w:val="22"/>
              </w:rPr>
            </w:pPr>
          </w:p>
          <w:p w14:paraId="61902EDA" w14:textId="4B1CBF98" w:rsidR="0000288E" w:rsidRPr="00D00DFC" w:rsidRDefault="00BA36F5" w:rsidP="651F2C79">
            <w:pPr>
              <w:pStyle w:val="ListParagraph"/>
              <w:numPr>
                <w:ilvl w:val="0"/>
                <w:numId w:val="15"/>
              </w:numPr>
              <w:ind w:right="176"/>
              <w:rPr>
                <w:rFonts w:asciiTheme="minorHAnsi" w:hAnsiTheme="minorHAnsi" w:cstheme="minorBidi"/>
                <w:sz w:val="22"/>
                <w:szCs w:val="22"/>
              </w:rPr>
            </w:pPr>
            <w:r>
              <w:rPr>
                <w:rFonts w:asciiTheme="minorHAnsi" w:hAnsiTheme="minorHAnsi" w:cstheme="minorBidi"/>
                <w:sz w:val="22"/>
                <w:szCs w:val="22"/>
              </w:rPr>
              <w:t>[</w:t>
            </w:r>
            <w:r w:rsidR="00215973" w:rsidRPr="008F4489">
              <w:rPr>
                <w:rFonts w:asciiTheme="minorHAnsi" w:hAnsiTheme="minorHAnsi" w:cstheme="minorBidi"/>
                <w:sz w:val="22"/>
                <w:szCs w:val="22"/>
              </w:rPr>
              <w:t>FCDO will actively monitor overall delivery through the existing FSD Africa programme’s Monitoring and Evaluation activities</w:t>
            </w:r>
            <w:r>
              <w:rPr>
                <w:rFonts w:asciiTheme="minorHAnsi" w:hAnsiTheme="minorHAnsi" w:cstheme="minorBidi"/>
                <w:sz w:val="22"/>
                <w:szCs w:val="22"/>
              </w:rPr>
              <w:t>, actively involve</w:t>
            </w:r>
            <w:r w:rsidR="00215973" w:rsidRPr="008F4489">
              <w:rPr>
                <w:rFonts w:asciiTheme="minorHAnsi" w:hAnsiTheme="minorHAnsi" w:cstheme="minorBidi"/>
                <w:sz w:val="22"/>
                <w:szCs w:val="22"/>
              </w:rPr>
              <w:t xml:space="preserve"> </w:t>
            </w:r>
            <w:r>
              <w:rPr>
                <w:rFonts w:asciiTheme="minorHAnsi" w:hAnsiTheme="minorHAnsi" w:cstheme="minorBidi"/>
                <w:sz w:val="22"/>
                <w:szCs w:val="22"/>
              </w:rPr>
              <w:t>Defra during the Annual Review process,</w:t>
            </w:r>
            <w:r w:rsidR="00215973" w:rsidRPr="651F2C79">
              <w:rPr>
                <w:rFonts w:asciiTheme="minorHAnsi" w:hAnsiTheme="minorHAnsi" w:cstheme="minorBidi"/>
                <w:sz w:val="22"/>
                <w:szCs w:val="22"/>
              </w:rPr>
              <w:t xml:space="preserve"> </w:t>
            </w:r>
            <w:r w:rsidR="00215973" w:rsidRPr="008F4489">
              <w:rPr>
                <w:rFonts w:asciiTheme="minorHAnsi" w:hAnsiTheme="minorHAnsi" w:cstheme="minorBidi"/>
                <w:sz w:val="22"/>
                <w:szCs w:val="22"/>
              </w:rPr>
              <w:t>and share any concerns/updates with Defra as appropriate.</w:t>
            </w:r>
            <w:r w:rsidR="00707157">
              <w:rPr>
                <w:rFonts w:asciiTheme="minorHAnsi" w:hAnsiTheme="minorHAnsi" w:cstheme="minorBidi"/>
                <w:sz w:val="22"/>
                <w:szCs w:val="22"/>
              </w:rPr>
              <w:t>]</w:t>
            </w:r>
          </w:p>
          <w:bookmarkEnd w:id="3"/>
          <w:p w14:paraId="216317EC" w14:textId="77777777" w:rsidR="00215973" w:rsidRDefault="00215973" w:rsidP="00215973">
            <w:pPr>
              <w:pStyle w:val="Table"/>
              <w:jc w:val="left"/>
              <w:rPr>
                <w:sz w:val="22"/>
                <w:szCs w:val="22"/>
              </w:rPr>
            </w:pPr>
          </w:p>
          <w:p w14:paraId="0246F829" w14:textId="77777777" w:rsidR="005A7D70" w:rsidRPr="00B809F2" w:rsidRDefault="005A7D70" w:rsidP="00B809F2">
            <w:pPr>
              <w:rPr>
                <w:b/>
                <w:i/>
                <w:color w:val="2F5496" w:themeColor="accent5" w:themeShade="BF"/>
                <w:sz w:val="22"/>
                <w:szCs w:val="22"/>
              </w:rPr>
            </w:pPr>
            <w:r w:rsidRPr="00B809F2">
              <w:rPr>
                <w:b/>
                <w:i/>
                <w:color w:val="2F5496" w:themeColor="accent5" w:themeShade="BF"/>
                <w:sz w:val="22"/>
                <w:szCs w:val="22"/>
              </w:rPr>
              <w:t>Managing risks and monitoring performance</w:t>
            </w:r>
          </w:p>
          <w:p w14:paraId="1CA1C15F" w14:textId="4C593A89" w:rsidR="005A7D70" w:rsidRDefault="005A7D70" w:rsidP="001E2F38">
            <w:pPr>
              <w:pStyle w:val="Table"/>
              <w:jc w:val="left"/>
              <w:rPr>
                <w:sz w:val="22"/>
                <w:szCs w:val="22"/>
              </w:rPr>
            </w:pPr>
          </w:p>
          <w:p w14:paraId="71CA13EC" w14:textId="352F7AE1" w:rsidR="000A719D" w:rsidRDefault="00CC3FE2" w:rsidP="00CC3FE2">
            <w:pPr>
              <w:pStyle w:val="ListParagraph"/>
              <w:numPr>
                <w:ilvl w:val="0"/>
                <w:numId w:val="15"/>
              </w:numPr>
              <w:ind w:right="176"/>
              <w:rPr>
                <w:rFonts w:asciiTheme="minorHAnsi" w:eastAsiaTheme="minorHAnsi" w:hAnsiTheme="minorHAnsi" w:cstheme="minorBidi"/>
                <w:sz w:val="22"/>
                <w:szCs w:val="22"/>
              </w:rPr>
            </w:pPr>
            <w:r w:rsidRPr="00CC3FE2">
              <w:rPr>
                <w:rFonts w:asciiTheme="minorHAnsi" w:eastAsiaTheme="minorHAnsi" w:hAnsiTheme="minorHAnsi" w:cstheme="minorBidi"/>
                <w:sz w:val="22"/>
                <w:szCs w:val="22"/>
              </w:rPr>
              <w:t xml:space="preserve">FSD Africa </w:t>
            </w:r>
            <w:r w:rsidR="000A719D">
              <w:rPr>
                <w:rFonts w:asciiTheme="minorHAnsi" w:eastAsiaTheme="minorHAnsi" w:hAnsiTheme="minorHAnsi" w:cstheme="minorBidi"/>
                <w:sz w:val="22"/>
                <w:szCs w:val="22"/>
              </w:rPr>
              <w:t xml:space="preserve">operates with a </w:t>
            </w:r>
            <w:r w:rsidRPr="00CC3FE2">
              <w:rPr>
                <w:rFonts w:asciiTheme="minorHAnsi" w:eastAsiaTheme="minorHAnsi" w:hAnsiTheme="minorHAnsi" w:cstheme="minorBidi"/>
                <w:sz w:val="22"/>
                <w:szCs w:val="22"/>
              </w:rPr>
              <w:t xml:space="preserve">“nested logframes” </w:t>
            </w:r>
            <w:r w:rsidR="000A719D">
              <w:rPr>
                <w:rFonts w:asciiTheme="minorHAnsi" w:eastAsiaTheme="minorHAnsi" w:hAnsiTheme="minorHAnsi" w:cstheme="minorBidi"/>
                <w:sz w:val="22"/>
                <w:szCs w:val="22"/>
              </w:rPr>
              <w:t xml:space="preserve">approach </w:t>
            </w:r>
            <w:r w:rsidRPr="00CC3FE2">
              <w:rPr>
                <w:rFonts w:asciiTheme="minorHAnsi" w:eastAsiaTheme="minorHAnsi" w:hAnsiTheme="minorHAnsi" w:cstheme="minorBidi"/>
                <w:sz w:val="22"/>
                <w:szCs w:val="22"/>
              </w:rPr>
              <w:t xml:space="preserve">to track progress against expectations, </w:t>
            </w:r>
            <w:r w:rsidR="000A719D">
              <w:rPr>
                <w:rFonts w:asciiTheme="minorHAnsi" w:eastAsiaTheme="minorHAnsi" w:hAnsiTheme="minorHAnsi" w:cstheme="minorBidi"/>
                <w:sz w:val="22"/>
                <w:szCs w:val="22"/>
              </w:rPr>
              <w:t>with</w:t>
            </w:r>
            <w:r w:rsidRPr="00CC3FE2">
              <w:rPr>
                <w:rFonts w:asciiTheme="minorHAnsi" w:eastAsiaTheme="minorHAnsi" w:hAnsiTheme="minorHAnsi" w:cstheme="minorBidi"/>
                <w:sz w:val="22"/>
                <w:szCs w:val="22"/>
              </w:rPr>
              <w:t xml:space="preserve"> an overarching programme-level logframe </w:t>
            </w:r>
            <w:r w:rsidR="000A719D">
              <w:rPr>
                <w:rFonts w:asciiTheme="minorHAnsi" w:eastAsiaTheme="minorHAnsi" w:hAnsiTheme="minorHAnsi" w:cstheme="minorBidi"/>
                <w:sz w:val="22"/>
                <w:szCs w:val="22"/>
              </w:rPr>
              <w:t>for</w:t>
            </w:r>
            <w:r w:rsidRPr="00CC3FE2">
              <w:rPr>
                <w:rFonts w:asciiTheme="minorHAnsi" w:eastAsiaTheme="minorHAnsi" w:hAnsiTheme="minorHAnsi" w:cstheme="minorBidi"/>
                <w:sz w:val="22"/>
                <w:szCs w:val="22"/>
              </w:rPr>
              <w:t xml:space="preserve"> aggregate</w:t>
            </w:r>
            <w:r w:rsidR="000A719D">
              <w:rPr>
                <w:rFonts w:asciiTheme="minorHAnsi" w:eastAsiaTheme="minorHAnsi" w:hAnsiTheme="minorHAnsi" w:cstheme="minorBidi"/>
                <w:sz w:val="22"/>
                <w:szCs w:val="22"/>
              </w:rPr>
              <w:t>d</w:t>
            </w:r>
            <w:r w:rsidRPr="00CC3FE2">
              <w:rPr>
                <w:rFonts w:asciiTheme="minorHAnsi" w:eastAsiaTheme="minorHAnsi" w:hAnsiTheme="minorHAnsi" w:cstheme="minorBidi"/>
                <w:sz w:val="22"/>
                <w:szCs w:val="22"/>
              </w:rPr>
              <w:t xml:space="preserve"> results</w:t>
            </w:r>
            <w:r w:rsidR="006F5ECA">
              <w:rPr>
                <w:rStyle w:val="FootnoteReference"/>
                <w:rFonts w:asciiTheme="minorHAnsi" w:eastAsiaTheme="minorHAnsi" w:hAnsiTheme="minorHAnsi" w:cstheme="minorBidi"/>
                <w:sz w:val="22"/>
                <w:szCs w:val="22"/>
              </w:rPr>
              <w:footnoteReference w:id="9"/>
            </w:r>
            <w:r w:rsidRPr="00CC3FE2">
              <w:rPr>
                <w:rFonts w:asciiTheme="minorHAnsi" w:eastAsiaTheme="minorHAnsi" w:hAnsiTheme="minorHAnsi" w:cstheme="minorBidi"/>
                <w:sz w:val="22"/>
                <w:szCs w:val="22"/>
              </w:rPr>
              <w:t xml:space="preserve">, </w:t>
            </w:r>
            <w:r w:rsidR="000A719D">
              <w:rPr>
                <w:rFonts w:asciiTheme="minorHAnsi" w:eastAsiaTheme="minorHAnsi" w:hAnsiTheme="minorHAnsi" w:cstheme="minorBidi"/>
                <w:sz w:val="22"/>
                <w:szCs w:val="22"/>
              </w:rPr>
              <w:t>u</w:t>
            </w:r>
            <w:r w:rsidRPr="00CC3FE2">
              <w:rPr>
                <w:rFonts w:asciiTheme="minorHAnsi" w:eastAsiaTheme="minorHAnsi" w:hAnsiTheme="minorHAnsi" w:cstheme="minorBidi"/>
                <w:sz w:val="22"/>
                <w:szCs w:val="22"/>
              </w:rPr>
              <w:t>nd</w:t>
            </w:r>
            <w:r w:rsidR="000A719D">
              <w:rPr>
                <w:rFonts w:asciiTheme="minorHAnsi" w:eastAsiaTheme="minorHAnsi" w:hAnsiTheme="minorHAnsi" w:cstheme="minorBidi"/>
                <w:sz w:val="22"/>
                <w:szCs w:val="22"/>
              </w:rPr>
              <w:t>erpinned</w:t>
            </w:r>
            <w:r w:rsidRPr="00CC3FE2">
              <w:rPr>
                <w:rFonts w:asciiTheme="minorHAnsi" w:eastAsiaTheme="minorHAnsi" w:hAnsiTheme="minorHAnsi" w:cstheme="minorBidi"/>
                <w:sz w:val="22"/>
                <w:szCs w:val="22"/>
              </w:rPr>
              <w:t xml:space="preserve"> </w:t>
            </w:r>
            <w:r w:rsidR="000A719D">
              <w:rPr>
                <w:rFonts w:asciiTheme="minorHAnsi" w:eastAsiaTheme="minorHAnsi" w:hAnsiTheme="minorHAnsi" w:cstheme="minorBidi"/>
                <w:sz w:val="22"/>
                <w:szCs w:val="22"/>
              </w:rPr>
              <w:t xml:space="preserve">by separate </w:t>
            </w:r>
            <w:r w:rsidRPr="00CC3FE2">
              <w:rPr>
                <w:rFonts w:asciiTheme="minorHAnsi" w:eastAsiaTheme="minorHAnsi" w:hAnsiTheme="minorHAnsi" w:cstheme="minorBidi"/>
                <w:sz w:val="22"/>
                <w:szCs w:val="22"/>
              </w:rPr>
              <w:t xml:space="preserve">individual logframes capturing the results of each project </w:t>
            </w:r>
            <w:r w:rsidR="000A719D">
              <w:rPr>
                <w:rFonts w:asciiTheme="minorHAnsi" w:eastAsiaTheme="minorHAnsi" w:hAnsiTheme="minorHAnsi" w:cstheme="minorBidi"/>
                <w:sz w:val="22"/>
                <w:szCs w:val="22"/>
              </w:rPr>
              <w:t>being delivered by the programme</w:t>
            </w:r>
            <w:r w:rsidRPr="00CC3FE2">
              <w:rPr>
                <w:rFonts w:asciiTheme="minorHAnsi" w:eastAsiaTheme="minorHAnsi" w:hAnsiTheme="minorHAnsi" w:cstheme="minorBidi"/>
                <w:sz w:val="22"/>
                <w:szCs w:val="22"/>
              </w:rPr>
              <w:t xml:space="preserve">. </w:t>
            </w:r>
          </w:p>
          <w:p w14:paraId="5BEA97D5" w14:textId="77777777" w:rsidR="000A719D" w:rsidRDefault="000A719D" w:rsidP="000A719D">
            <w:pPr>
              <w:pStyle w:val="ListParagraph"/>
              <w:ind w:left="360" w:right="176"/>
              <w:rPr>
                <w:rFonts w:asciiTheme="minorHAnsi" w:eastAsiaTheme="minorHAnsi" w:hAnsiTheme="minorHAnsi" w:cstheme="minorBidi"/>
                <w:sz w:val="22"/>
                <w:szCs w:val="22"/>
              </w:rPr>
            </w:pPr>
          </w:p>
          <w:p w14:paraId="0AA700EF" w14:textId="2A752E73" w:rsidR="005A7D70" w:rsidRPr="000A719D" w:rsidRDefault="00CC3FE2" w:rsidP="009A2000">
            <w:pPr>
              <w:pStyle w:val="ListParagraph"/>
              <w:numPr>
                <w:ilvl w:val="0"/>
                <w:numId w:val="15"/>
              </w:numPr>
              <w:ind w:right="176"/>
              <w:rPr>
                <w:rFonts w:asciiTheme="minorHAnsi" w:eastAsiaTheme="minorHAnsi" w:hAnsiTheme="minorHAnsi" w:cstheme="minorBidi"/>
                <w:sz w:val="22"/>
                <w:szCs w:val="22"/>
              </w:rPr>
            </w:pPr>
            <w:r w:rsidRPr="000A719D">
              <w:rPr>
                <w:rFonts w:asciiTheme="minorHAnsi" w:eastAsiaTheme="minorHAnsi" w:hAnsiTheme="minorHAnsi" w:cstheme="minorBidi"/>
                <w:sz w:val="22"/>
                <w:szCs w:val="22"/>
              </w:rPr>
              <w:t xml:space="preserve">FSD Africa </w:t>
            </w:r>
            <w:r w:rsidR="000A719D" w:rsidRPr="000A719D">
              <w:rPr>
                <w:rFonts w:asciiTheme="minorHAnsi" w:eastAsiaTheme="minorHAnsi" w:hAnsiTheme="minorHAnsi" w:cstheme="minorBidi"/>
                <w:sz w:val="22"/>
                <w:szCs w:val="22"/>
              </w:rPr>
              <w:t>will</w:t>
            </w:r>
            <w:r w:rsidRPr="000A719D">
              <w:rPr>
                <w:rFonts w:asciiTheme="minorHAnsi" w:eastAsiaTheme="minorHAnsi" w:hAnsiTheme="minorHAnsi" w:cstheme="minorBidi"/>
                <w:sz w:val="22"/>
                <w:szCs w:val="22"/>
              </w:rPr>
              <w:t xml:space="preserve"> develop and share an individual logframe for this initiative with D</w:t>
            </w:r>
            <w:r w:rsidR="000A719D" w:rsidRPr="000A719D">
              <w:rPr>
                <w:rFonts w:asciiTheme="minorHAnsi" w:eastAsiaTheme="minorHAnsi" w:hAnsiTheme="minorHAnsi" w:cstheme="minorBidi"/>
                <w:sz w:val="22"/>
                <w:szCs w:val="22"/>
              </w:rPr>
              <w:t>efra</w:t>
            </w:r>
            <w:r w:rsidRPr="000A719D">
              <w:rPr>
                <w:rFonts w:asciiTheme="minorHAnsi" w:eastAsiaTheme="minorHAnsi" w:hAnsiTheme="minorHAnsi" w:cstheme="minorBidi"/>
                <w:sz w:val="22"/>
                <w:szCs w:val="22"/>
              </w:rPr>
              <w:t xml:space="preserve"> as part of their reporting</w:t>
            </w:r>
            <w:r w:rsidR="000A719D" w:rsidRPr="000A719D">
              <w:rPr>
                <w:rFonts w:asciiTheme="minorHAnsi" w:eastAsiaTheme="minorHAnsi" w:hAnsiTheme="minorHAnsi" w:cstheme="minorBidi"/>
                <w:sz w:val="22"/>
                <w:szCs w:val="22"/>
              </w:rPr>
              <w:t xml:space="preserve">. </w:t>
            </w:r>
            <w:r w:rsidR="00F81B1F" w:rsidRPr="000A719D">
              <w:rPr>
                <w:rFonts w:asciiTheme="minorHAnsi" w:eastAsiaTheme="minorHAnsi" w:hAnsiTheme="minorHAnsi" w:cstheme="minorBidi"/>
                <w:sz w:val="22"/>
                <w:szCs w:val="22"/>
              </w:rPr>
              <w:t>S</w:t>
            </w:r>
            <w:r w:rsidR="005A7D70" w:rsidRPr="000A719D">
              <w:rPr>
                <w:rFonts w:asciiTheme="minorHAnsi" w:eastAsiaTheme="minorHAnsi" w:hAnsiTheme="minorHAnsi" w:cstheme="minorBidi"/>
                <w:sz w:val="22"/>
                <w:szCs w:val="22"/>
              </w:rPr>
              <w:t xml:space="preserve">ix main indicators (that may be disaggregated further) </w:t>
            </w:r>
            <w:r w:rsidR="00F81B1F" w:rsidRPr="000A719D">
              <w:rPr>
                <w:rFonts w:asciiTheme="minorHAnsi" w:eastAsiaTheme="minorHAnsi" w:hAnsiTheme="minorHAnsi" w:cstheme="minorBidi"/>
                <w:sz w:val="22"/>
                <w:szCs w:val="22"/>
              </w:rPr>
              <w:t>have been initially proposed t</w:t>
            </w:r>
            <w:r w:rsidR="005A7D70" w:rsidRPr="000A719D">
              <w:rPr>
                <w:rFonts w:asciiTheme="minorHAnsi" w:eastAsiaTheme="minorHAnsi" w:hAnsiTheme="minorHAnsi" w:cstheme="minorBidi"/>
                <w:sz w:val="22"/>
                <w:szCs w:val="22"/>
              </w:rPr>
              <w:t xml:space="preserve">o track impact over the lifetime of this </w:t>
            </w:r>
            <w:r w:rsidR="00DA376B" w:rsidRPr="000A719D">
              <w:rPr>
                <w:rFonts w:asciiTheme="minorHAnsi" w:eastAsiaTheme="minorHAnsi" w:hAnsiTheme="minorHAnsi" w:cstheme="minorBidi"/>
                <w:sz w:val="22"/>
                <w:szCs w:val="22"/>
              </w:rPr>
              <w:t>programme</w:t>
            </w:r>
            <w:r w:rsidR="005A7D70" w:rsidRPr="000A719D">
              <w:rPr>
                <w:rFonts w:asciiTheme="minorHAnsi" w:eastAsiaTheme="minorHAnsi" w:hAnsiTheme="minorHAnsi" w:cstheme="minorBidi"/>
                <w:sz w:val="22"/>
                <w:szCs w:val="22"/>
              </w:rPr>
              <w:t>.</w:t>
            </w:r>
          </w:p>
          <w:p w14:paraId="43DB7D7B" w14:textId="77777777" w:rsidR="005A7D70" w:rsidRPr="005A7D70" w:rsidRDefault="005A7D70" w:rsidP="005A7D70">
            <w:pPr>
              <w:pStyle w:val="Table"/>
              <w:jc w:val="left"/>
              <w:rPr>
                <w:sz w:val="22"/>
                <w:szCs w:val="22"/>
              </w:rPr>
            </w:pPr>
          </w:p>
          <w:p w14:paraId="5669BB69" w14:textId="29CAF226" w:rsidR="005A7D70" w:rsidRPr="005A7D70" w:rsidRDefault="002A519D" w:rsidP="00211D59">
            <w:pPr>
              <w:pStyle w:val="Table"/>
              <w:numPr>
                <w:ilvl w:val="0"/>
                <w:numId w:val="20"/>
              </w:numPr>
              <w:rPr>
                <w:sz w:val="22"/>
                <w:szCs w:val="22"/>
              </w:rPr>
            </w:pPr>
            <w:r>
              <w:rPr>
                <w:sz w:val="22"/>
                <w:szCs w:val="22"/>
              </w:rPr>
              <w:t>Number of</w:t>
            </w:r>
            <w:r w:rsidR="005A7D70" w:rsidRPr="005A7D70">
              <w:rPr>
                <w:sz w:val="22"/>
                <w:szCs w:val="22"/>
              </w:rPr>
              <w:t xml:space="preserve"> institutions (disaggregated by type, i.e. financial institutions or regulator) that have:</w:t>
            </w:r>
          </w:p>
          <w:p w14:paraId="3147A248" w14:textId="080C36E5" w:rsidR="005A7D70" w:rsidRPr="005A7D70" w:rsidRDefault="005A7D70" w:rsidP="00211D59">
            <w:pPr>
              <w:pStyle w:val="Table"/>
              <w:numPr>
                <w:ilvl w:val="2"/>
                <w:numId w:val="20"/>
              </w:numPr>
              <w:rPr>
                <w:sz w:val="22"/>
                <w:szCs w:val="22"/>
              </w:rPr>
            </w:pPr>
            <w:r w:rsidRPr="005A7D70">
              <w:rPr>
                <w:sz w:val="22"/>
                <w:szCs w:val="22"/>
              </w:rPr>
              <w:t>been reached by TFND capacity building events and/or advocacy campaigns, along with knowledge and attitudes to TNFD pre- and post-exposure to capacity building (as measured by rapid survey);</w:t>
            </w:r>
          </w:p>
          <w:p w14:paraId="242976A8" w14:textId="3BB9D088" w:rsidR="005A7D70" w:rsidRPr="005A7D70" w:rsidRDefault="005A7D70" w:rsidP="00211D59">
            <w:pPr>
              <w:pStyle w:val="Table"/>
              <w:numPr>
                <w:ilvl w:val="2"/>
                <w:numId w:val="20"/>
              </w:numPr>
              <w:rPr>
                <w:sz w:val="22"/>
                <w:szCs w:val="22"/>
              </w:rPr>
            </w:pPr>
            <w:r w:rsidRPr="005A7D70">
              <w:rPr>
                <w:sz w:val="22"/>
                <w:szCs w:val="22"/>
              </w:rPr>
              <w:t xml:space="preserve">signed/are signing up to TNFD (at pilot stage and through longer-term commitment); </w:t>
            </w:r>
          </w:p>
          <w:p w14:paraId="65B9BDFB" w14:textId="6281D00A" w:rsidR="005A7D70" w:rsidRPr="005A7D70" w:rsidRDefault="005A7D70" w:rsidP="00211D59">
            <w:pPr>
              <w:pStyle w:val="Table"/>
              <w:numPr>
                <w:ilvl w:val="2"/>
                <w:numId w:val="20"/>
              </w:numPr>
              <w:rPr>
                <w:sz w:val="22"/>
                <w:szCs w:val="22"/>
              </w:rPr>
            </w:pPr>
            <w:r w:rsidRPr="005A7D70">
              <w:rPr>
                <w:sz w:val="22"/>
                <w:szCs w:val="22"/>
              </w:rPr>
              <w:t xml:space="preserve">participated in the design of the TNFD framework (either through formal focus groups &amp; workshops, or through more informal feedback collection mechanisms); </w:t>
            </w:r>
          </w:p>
          <w:p w14:paraId="21BA33CE" w14:textId="2916F949" w:rsidR="005A7D70" w:rsidRPr="005A7D70" w:rsidRDefault="005A7D70" w:rsidP="00211D59">
            <w:pPr>
              <w:pStyle w:val="Table"/>
              <w:numPr>
                <w:ilvl w:val="2"/>
                <w:numId w:val="20"/>
              </w:numPr>
              <w:rPr>
                <w:sz w:val="22"/>
                <w:szCs w:val="22"/>
              </w:rPr>
            </w:pPr>
            <w:r w:rsidRPr="005A7D70">
              <w:rPr>
                <w:sz w:val="22"/>
                <w:szCs w:val="22"/>
              </w:rPr>
              <w:t>completed first disclosure reports (specific to financial institutions), with consideration of trends over time, i.e. will many more institutions commence self-disclosures over time?</w:t>
            </w:r>
          </w:p>
          <w:p w14:paraId="7F6235B5" w14:textId="69B85C64" w:rsidR="005A7D70" w:rsidRPr="005A7D70" w:rsidRDefault="002A519D" w:rsidP="00211D59">
            <w:pPr>
              <w:pStyle w:val="Table"/>
              <w:numPr>
                <w:ilvl w:val="0"/>
                <w:numId w:val="20"/>
              </w:numPr>
              <w:rPr>
                <w:sz w:val="22"/>
                <w:szCs w:val="22"/>
              </w:rPr>
            </w:pPr>
            <w:r>
              <w:rPr>
                <w:sz w:val="22"/>
                <w:szCs w:val="22"/>
              </w:rPr>
              <w:t>Number of</w:t>
            </w:r>
            <w:r w:rsidR="005A7D70" w:rsidRPr="005A7D70">
              <w:rPr>
                <w:sz w:val="22"/>
                <w:szCs w:val="22"/>
              </w:rPr>
              <w:t xml:space="preserve"> nature-related policies and/or regulations developed, with independent assessment of their ability to positively influence behaviour, reporting requirements, and investment flows;</w:t>
            </w:r>
          </w:p>
          <w:p w14:paraId="75B352B8" w14:textId="5AED5745" w:rsidR="005A7D70" w:rsidRPr="005A7D70" w:rsidRDefault="002A519D" w:rsidP="00211D59">
            <w:pPr>
              <w:pStyle w:val="Table"/>
              <w:numPr>
                <w:ilvl w:val="0"/>
                <w:numId w:val="20"/>
              </w:numPr>
              <w:rPr>
                <w:sz w:val="22"/>
                <w:szCs w:val="22"/>
              </w:rPr>
            </w:pPr>
            <w:r>
              <w:rPr>
                <w:sz w:val="22"/>
                <w:szCs w:val="22"/>
              </w:rPr>
              <w:t xml:space="preserve">Number of </w:t>
            </w:r>
            <w:r w:rsidR="005A7D70" w:rsidRPr="005A7D70">
              <w:rPr>
                <w:sz w:val="22"/>
                <w:szCs w:val="22"/>
              </w:rPr>
              <w:t xml:space="preserve">financial institutions currently exposed to nature-related risks, disaggregated by level of exposure (mild exposure, medium exposure, extreme exposure), and </w:t>
            </w:r>
            <w:r>
              <w:rPr>
                <w:sz w:val="22"/>
                <w:szCs w:val="22"/>
              </w:rPr>
              <w:t>number</w:t>
            </w:r>
            <w:r w:rsidRPr="005A7D70">
              <w:rPr>
                <w:sz w:val="22"/>
                <w:szCs w:val="22"/>
              </w:rPr>
              <w:t xml:space="preserve"> </w:t>
            </w:r>
            <w:r w:rsidR="005A7D70" w:rsidRPr="005A7D70">
              <w:rPr>
                <w:sz w:val="22"/>
                <w:szCs w:val="22"/>
              </w:rPr>
              <w:t>who develop commercial and/or climate-action plans to address said risks;</w:t>
            </w:r>
          </w:p>
          <w:p w14:paraId="7B794152" w14:textId="6CA63A0D" w:rsidR="005A7D70" w:rsidRPr="005A7D70" w:rsidRDefault="005A7D70" w:rsidP="00211D59">
            <w:pPr>
              <w:pStyle w:val="Table"/>
              <w:numPr>
                <w:ilvl w:val="0"/>
                <w:numId w:val="20"/>
              </w:numPr>
              <w:rPr>
                <w:sz w:val="22"/>
                <w:szCs w:val="22"/>
              </w:rPr>
            </w:pPr>
            <w:r w:rsidRPr="005A7D70">
              <w:rPr>
                <w:sz w:val="22"/>
                <w:szCs w:val="22"/>
              </w:rPr>
              <w:t>Changes in investment models/practice based on levels of exposure to nature-related risks.</w:t>
            </w:r>
            <w:r w:rsidR="002A519D">
              <w:rPr>
                <w:sz w:val="22"/>
                <w:szCs w:val="22"/>
              </w:rPr>
              <w:t xml:space="preserve"> </w:t>
            </w:r>
          </w:p>
          <w:p w14:paraId="75CBD6F4" w14:textId="3E1DBD36" w:rsidR="005A7D70" w:rsidRPr="005A7D70" w:rsidRDefault="005A7D70" w:rsidP="00211D59">
            <w:pPr>
              <w:pStyle w:val="Table"/>
              <w:numPr>
                <w:ilvl w:val="0"/>
                <w:numId w:val="20"/>
              </w:numPr>
              <w:rPr>
                <w:sz w:val="22"/>
                <w:szCs w:val="22"/>
              </w:rPr>
            </w:pPr>
            <w:r w:rsidRPr="005A7D70">
              <w:rPr>
                <w:sz w:val="22"/>
                <w:szCs w:val="22"/>
              </w:rPr>
              <w:t xml:space="preserve">Annual profit margins of </w:t>
            </w:r>
            <w:r w:rsidR="002E7AF3">
              <w:rPr>
                <w:sz w:val="22"/>
                <w:szCs w:val="22"/>
              </w:rPr>
              <w:t>TNFD</w:t>
            </w:r>
            <w:r w:rsidRPr="005A7D70">
              <w:rPr>
                <w:sz w:val="22"/>
                <w:szCs w:val="22"/>
              </w:rPr>
              <w:t xml:space="preserve"> participants vs non-participants, where any correlation between this indicator and the one above are considered anecdotally;</w:t>
            </w:r>
          </w:p>
          <w:p w14:paraId="1627830C" w14:textId="72D4A161" w:rsidR="005A7D70" w:rsidRDefault="005A7D70" w:rsidP="00211D59">
            <w:pPr>
              <w:pStyle w:val="Table"/>
              <w:numPr>
                <w:ilvl w:val="0"/>
                <w:numId w:val="20"/>
              </w:numPr>
              <w:rPr>
                <w:sz w:val="22"/>
                <w:szCs w:val="22"/>
              </w:rPr>
            </w:pPr>
            <w:r w:rsidRPr="005A7D70">
              <w:rPr>
                <w:sz w:val="22"/>
                <w:szCs w:val="22"/>
              </w:rPr>
              <w:t xml:space="preserve">Net biodiversity/natural capital gains as a result of this </w:t>
            </w:r>
            <w:r w:rsidR="00DA376B">
              <w:rPr>
                <w:sz w:val="22"/>
                <w:szCs w:val="22"/>
              </w:rPr>
              <w:t>programme</w:t>
            </w:r>
            <w:r w:rsidRPr="005A7D70">
              <w:rPr>
                <w:sz w:val="22"/>
                <w:szCs w:val="22"/>
              </w:rPr>
              <w:t xml:space="preserve"> – measurement plan and indicators to be considered in </w:t>
            </w:r>
            <w:r w:rsidR="00DA376B">
              <w:rPr>
                <w:sz w:val="22"/>
                <w:szCs w:val="22"/>
              </w:rPr>
              <w:t>programme</w:t>
            </w:r>
            <w:r w:rsidRPr="005A7D70">
              <w:rPr>
                <w:sz w:val="22"/>
                <w:szCs w:val="22"/>
              </w:rPr>
              <w:t xml:space="preserve"> design, and </w:t>
            </w:r>
            <w:r w:rsidR="003C5844">
              <w:rPr>
                <w:sz w:val="22"/>
                <w:szCs w:val="22"/>
              </w:rPr>
              <w:t>developed engaging Prof.</w:t>
            </w:r>
            <w:r w:rsidRPr="005A7D70">
              <w:rPr>
                <w:sz w:val="22"/>
                <w:szCs w:val="22"/>
              </w:rPr>
              <w:t xml:space="preserve"> Dasgupta.</w:t>
            </w:r>
          </w:p>
          <w:p w14:paraId="3B1E6B48" w14:textId="19068253" w:rsidR="00CB45E5" w:rsidRDefault="00CB45E5" w:rsidP="00CB45E5">
            <w:pPr>
              <w:pStyle w:val="Table"/>
              <w:rPr>
                <w:sz w:val="22"/>
                <w:szCs w:val="22"/>
              </w:rPr>
            </w:pPr>
          </w:p>
          <w:p w14:paraId="55FA0323" w14:textId="0749D97B" w:rsidR="00CB45E5" w:rsidRPr="00CB45E5" w:rsidRDefault="00CB45E5" w:rsidP="008F4489">
            <w:pPr>
              <w:pStyle w:val="ListParagraph"/>
              <w:numPr>
                <w:ilvl w:val="0"/>
                <w:numId w:val="15"/>
              </w:numPr>
              <w:ind w:right="176"/>
              <w:rPr>
                <w:rFonts w:asciiTheme="minorHAnsi" w:eastAsiaTheme="minorHAnsi" w:hAnsiTheme="minorHAnsi" w:cstheme="minorBidi"/>
                <w:sz w:val="22"/>
                <w:szCs w:val="22"/>
              </w:rPr>
            </w:pPr>
            <w:r w:rsidRPr="00CB45E5">
              <w:rPr>
                <w:rFonts w:asciiTheme="minorHAnsi" w:eastAsiaTheme="minorHAnsi" w:hAnsiTheme="minorHAnsi" w:cstheme="minorBidi"/>
                <w:sz w:val="22"/>
                <w:szCs w:val="22"/>
              </w:rPr>
              <w:t xml:space="preserve">A </w:t>
            </w:r>
            <w:r w:rsidR="00DC2556">
              <w:rPr>
                <w:rFonts w:asciiTheme="minorHAnsi" w:eastAsiaTheme="minorHAnsi" w:hAnsiTheme="minorHAnsi" w:cstheme="minorBidi"/>
                <w:sz w:val="22"/>
                <w:szCs w:val="22"/>
              </w:rPr>
              <w:t>comprehensive</w:t>
            </w:r>
            <w:r w:rsidRPr="00CB45E5">
              <w:rPr>
                <w:rFonts w:asciiTheme="minorHAnsi" w:eastAsiaTheme="minorHAnsi" w:hAnsiTheme="minorHAnsi" w:cstheme="minorBidi"/>
                <w:sz w:val="22"/>
                <w:szCs w:val="22"/>
              </w:rPr>
              <w:t xml:space="preserve"> risk</w:t>
            </w:r>
            <w:r w:rsidR="00DC2556">
              <w:rPr>
                <w:rFonts w:asciiTheme="minorHAnsi" w:eastAsiaTheme="minorHAnsi" w:hAnsiTheme="minorHAnsi" w:cstheme="minorBidi"/>
                <w:sz w:val="22"/>
                <w:szCs w:val="22"/>
              </w:rPr>
              <w:t xml:space="preserve"> assessment</w:t>
            </w:r>
            <w:r w:rsidRPr="00CB45E5">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has been produced by FSD Africa</w:t>
            </w:r>
            <w:r w:rsidR="00DC2556" w:rsidRPr="00CB45E5">
              <w:rPr>
                <w:rFonts w:asciiTheme="minorHAnsi" w:eastAsiaTheme="minorHAnsi" w:hAnsiTheme="minorHAnsi" w:cstheme="minorBidi"/>
                <w:sz w:val="22"/>
                <w:szCs w:val="22"/>
              </w:rPr>
              <w:t xml:space="preserve"> in line with the</w:t>
            </w:r>
            <w:r w:rsidR="00DC2556">
              <w:rPr>
                <w:rFonts w:asciiTheme="minorHAnsi" w:eastAsiaTheme="minorHAnsi" w:hAnsiTheme="minorHAnsi" w:cstheme="minorBidi"/>
                <w:sz w:val="22"/>
                <w:szCs w:val="22"/>
              </w:rPr>
              <w:t xml:space="preserve">ir </w:t>
            </w:r>
            <w:r w:rsidR="00DC2556" w:rsidRPr="00CB45E5">
              <w:rPr>
                <w:rFonts w:asciiTheme="minorHAnsi" w:eastAsiaTheme="minorHAnsi" w:hAnsiTheme="minorHAnsi" w:cstheme="minorBidi"/>
                <w:sz w:val="22"/>
                <w:szCs w:val="22"/>
              </w:rPr>
              <w:t>Investment Guidelines</w:t>
            </w:r>
            <w:r w:rsidRPr="00CB45E5">
              <w:rPr>
                <w:rFonts w:asciiTheme="minorHAnsi" w:eastAsiaTheme="minorHAnsi" w:hAnsiTheme="minorHAnsi" w:cstheme="minorBidi"/>
                <w:sz w:val="22"/>
                <w:szCs w:val="22"/>
              </w:rPr>
              <w:t xml:space="preserve">. </w:t>
            </w:r>
            <w:r w:rsidR="00C558FF">
              <w:rPr>
                <w:rFonts w:asciiTheme="minorHAnsi" w:eastAsiaTheme="minorHAnsi" w:hAnsiTheme="minorHAnsi" w:cstheme="minorBidi"/>
                <w:sz w:val="22"/>
                <w:szCs w:val="22"/>
              </w:rPr>
              <w:t>The table below presents Defra’s assessment of the perceived risks of the programme, which has partly been informed by FSD Africa’s own assessment.</w:t>
            </w:r>
          </w:p>
          <w:tbl>
            <w:tblPr>
              <w:tblW w:w="9072"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1419"/>
              <w:gridCol w:w="3827"/>
            </w:tblGrid>
            <w:tr w:rsidR="004F6DC4" w:rsidRPr="00BF3D82" w14:paraId="045B09BE" w14:textId="77777777" w:rsidTr="008F4489">
              <w:tc>
                <w:tcPr>
                  <w:tcW w:w="2109" w:type="pct"/>
                  <w:shd w:val="clear" w:color="auto" w:fill="00AF41"/>
                </w:tcPr>
                <w:p w14:paraId="3DDD2810" w14:textId="77777777" w:rsidR="004F6DC4" w:rsidRPr="00885076" w:rsidRDefault="004F6DC4" w:rsidP="004F6DC4">
                  <w:pPr>
                    <w:spacing w:after="120"/>
                    <w:rPr>
                      <w:b/>
                      <w:bCs/>
                      <w:color w:val="FFFFFF" w:themeColor="background1"/>
                    </w:rPr>
                  </w:pPr>
                  <w:r w:rsidRPr="00885076">
                    <w:rPr>
                      <w:b/>
                      <w:bCs/>
                      <w:color w:val="FFFFFF" w:themeColor="background1"/>
                    </w:rPr>
                    <w:t>Risk</w:t>
                  </w:r>
                </w:p>
              </w:tc>
              <w:tc>
                <w:tcPr>
                  <w:tcW w:w="782" w:type="pct"/>
                  <w:shd w:val="clear" w:color="auto" w:fill="00AF41"/>
                </w:tcPr>
                <w:p w14:paraId="6856BCDC" w14:textId="77777777" w:rsidR="004F6DC4" w:rsidRPr="00885076" w:rsidRDefault="004F6DC4" w:rsidP="004F6DC4">
                  <w:pPr>
                    <w:spacing w:after="120"/>
                    <w:rPr>
                      <w:b/>
                      <w:bCs/>
                      <w:color w:val="FFFFFF" w:themeColor="background1"/>
                    </w:rPr>
                  </w:pPr>
                  <w:r>
                    <w:rPr>
                      <w:b/>
                      <w:bCs/>
                      <w:color w:val="FFFFFF" w:themeColor="background1"/>
                    </w:rPr>
                    <w:t>Residual</w:t>
                  </w:r>
                  <w:r w:rsidRPr="00885076">
                    <w:rPr>
                      <w:b/>
                      <w:bCs/>
                      <w:color w:val="FFFFFF" w:themeColor="background1"/>
                    </w:rPr>
                    <w:t xml:space="preserve"> risk</w:t>
                  </w:r>
                </w:p>
              </w:tc>
              <w:tc>
                <w:tcPr>
                  <w:tcW w:w="2109" w:type="pct"/>
                  <w:shd w:val="clear" w:color="auto" w:fill="00AF41"/>
                </w:tcPr>
                <w:p w14:paraId="629835F6" w14:textId="77777777" w:rsidR="004F6DC4" w:rsidRPr="00885076" w:rsidRDefault="004F6DC4" w:rsidP="004F6DC4">
                  <w:pPr>
                    <w:spacing w:after="120"/>
                    <w:rPr>
                      <w:b/>
                      <w:bCs/>
                      <w:color w:val="FFFFFF" w:themeColor="background1"/>
                    </w:rPr>
                  </w:pPr>
                  <w:r w:rsidRPr="00885076">
                    <w:rPr>
                      <w:b/>
                      <w:bCs/>
                      <w:color w:val="FFFFFF" w:themeColor="background1"/>
                    </w:rPr>
                    <w:t>Mitigation</w:t>
                  </w:r>
                </w:p>
              </w:tc>
            </w:tr>
            <w:tr w:rsidR="004F6DC4" w:rsidRPr="00BF3D82" w14:paraId="709B2176" w14:textId="77777777" w:rsidTr="008F4489">
              <w:tc>
                <w:tcPr>
                  <w:tcW w:w="2109" w:type="pct"/>
                </w:tcPr>
                <w:p w14:paraId="33917CAA" w14:textId="77777777" w:rsidR="004F6DC4" w:rsidRPr="00023D0F" w:rsidRDefault="004F6DC4" w:rsidP="004F6DC4">
                  <w:pPr>
                    <w:spacing w:after="120"/>
                    <w:rPr>
                      <w:b/>
                      <w:bCs/>
                    </w:rPr>
                  </w:pPr>
                  <w:r w:rsidRPr="00246048">
                    <w:rPr>
                      <w:b/>
                      <w:bCs/>
                    </w:rPr>
                    <w:t>REPUTATIONAL:</w:t>
                  </w:r>
                  <w:r>
                    <w:t xml:space="preserve"> </w:t>
                  </w:r>
                  <w:r w:rsidRPr="00066752">
                    <w:rPr>
                      <w:b/>
                      <w:bCs/>
                    </w:rPr>
                    <w:t>Due to</w:t>
                  </w:r>
                  <w:r>
                    <w:t xml:space="preserve"> the specific geographic focus of the programme on African countries, </w:t>
                  </w:r>
                  <w:r w:rsidRPr="00066752">
                    <w:rPr>
                      <w:b/>
                      <w:bCs/>
                    </w:rPr>
                    <w:t>there is a risk that</w:t>
                  </w:r>
                  <w:r>
                    <w:t xml:space="preserve"> complaints may be raised about HMG not supporting pilots in other areas of the world (e.g. Latin America), </w:t>
                  </w:r>
                  <w:r w:rsidRPr="00066752">
                    <w:rPr>
                      <w:b/>
                      <w:bCs/>
                    </w:rPr>
                    <w:t xml:space="preserve">the result </w:t>
                  </w:r>
                  <w:r w:rsidRPr="00066752">
                    <w:rPr>
                      <w:b/>
                      <w:bCs/>
                    </w:rPr>
                    <w:lastRenderedPageBreak/>
                    <w:t xml:space="preserve">of which would be </w:t>
                  </w:r>
                  <w:r w:rsidRPr="00BF03EA">
                    <w:t xml:space="preserve">a perceived imbalance in how </w:t>
                  </w:r>
                  <w:r>
                    <w:t>HMG is engaging developing countries in the development of the TNFD framework</w:t>
                  </w:r>
                </w:p>
              </w:tc>
              <w:tc>
                <w:tcPr>
                  <w:tcW w:w="782" w:type="pct"/>
                  <w:shd w:val="clear" w:color="auto" w:fill="00B050"/>
                </w:tcPr>
                <w:p w14:paraId="6F6859E6" w14:textId="77777777" w:rsidR="004F6DC4" w:rsidRDefault="004F6DC4" w:rsidP="004F6DC4">
                  <w:pPr>
                    <w:spacing w:after="120"/>
                    <w:rPr>
                      <w:highlight w:val="yellow"/>
                    </w:rPr>
                  </w:pPr>
                  <w:r w:rsidRPr="00333DCA">
                    <w:lastRenderedPageBreak/>
                    <w:t>Minor</w:t>
                  </w:r>
                </w:p>
              </w:tc>
              <w:tc>
                <w:tcPr>
                  <w:tcW w:w="2109" w:type="pct"/>
                </w:tcPr>
                <w:p w14:paraId="114DCC16" w14:textId="77777777" w:rsidR="004F6DC4" w:rsidRDefault="004F6DC4" w:rsidP="004F6DC4">
                  <w:pPr>
                    <w:spacing w:after="120"/>
                  </w:pPr>
                  <w:r>
                    <w:t xml:space="preserve">Defra (owner) to frame the initiative in the context of the </w:t>
                  </w:r>
                  <w:r w:rsidRPr="00246048">
                    <w:t>Integrated Review</w:t>
                  </w:r>
                  <w:r>
                    <w:t>, which tilts s</w:t>
                  </w:r>
                  <w:r w:rsidRPr="00246048">
                    <w:t xml:space="preserve">ecurity, </w:t>
                  </w:r>
                  <w:r>
                    <w:t>d</w:t>
                  </w:r>
                  <w:r w:rsidRPr="00246048">
                    <w:t xml:space="preserve">efence, </w:t>
                  </w:r>
                  <w:r>
                    <w:t>d</w:t>
                  </w:r>
                  <w:r w:rsidRPr="00246048">
                    <w:t xml:space="preserve">evelopment and </w:t>
                  </w:r>
                  <w:r>
                    <w:t>f</w:t>
                  </w:r>
                  <w:r w:rsidRPr="00246048">
                    <w:t xml:space="preserve">oreign </w:t>
                  </w:r>
                  <w:r>
                    <w:t>p</w:t>
                  </w:r>
                  <w:r w:rsidRPr="00246048">
                    <w:t xml:space="preserve">olicy </w:t>
                  </w:r>
                  <w:r>
                    <w:t>to</w:t>
                  </w:r>
                  <w:r w:rsidRPr="00246048">
                    <w:t xml:space="preserve"> the Indo-Pacific</w:t>
                  </w:r>
                  <w:r>
                    <w:t xml:space="preserve">, an area where African </w:t>
                  </w:r>
                  <w:r>
                    <w:lastRenderedPageBreak/>
                    <w:t>countries present the strongest case for support</w:t>
                  </w:r>
                </w:p>
              </w:tc>
            </w:tr>
            <w:tr w:rsidR="004F6DC4" w:rsidRPr="00BF3D82" w14:paraId="50D324F8" w14:textId="77777777" w:rsidTr="008F4489">
              <w:tc>
                <w:tcPr>
                  <w:tcW w:w="2109" w:type="pct"/>
                </w:tcPr>
                <w:p w14:paraId="0A5F91EC" w14:textId="77777777" w:rsidR="004F6DC4" w:rsidRPr="00BF643C" w:rsidRDefault="004F6DC4" w:rsidP="004F6DC4">
                  <w:pPr>
                    <w:spacing w:after="120"/>
                  </w:pPr>
                  <w:r>
                    <w:rPr>
                      <w:b/>
                      <w:bCs/>
                    </w:rPr>
                    <w:lastRenderedPageBreak/>
                    <w:t xml:space="preserve">POLITICAL: Due to </w:t>
                  </w:r>
                  <w:r>
                    <w:t xml:space="preserve">the programme being conceived as a contribution to the wider TNFD initiative, but somewhat separate from it, </w:t>
                  </w:r>
                  <w:r>
                    <w:rPr>
                      <w:b/>
                      <w:bCs/>
                    </w:rPr>
                    <w:t xml:space="preserve">there is a risk that </w:t>
                  </w:r>
                  <w:r>
                    <w:t>the two initiatives do</w:t>
                  </w:r>
                  <w:r w:rsidRPr="007A75B1">
                    <w:t xml:space="preserve"> not move in sync</w:t>
                  </w:r>
                  <w:r>
                    <w:t>,</w:t>
                  </w:r>
                  <w:r w:rsidRPr="007A75B1">
                    <w:t xml:space="preserve"> </w:t>
                  </w:r>
                  <w:r>
                    <w:rPr>
                      <w:b/>
                      <w:bCs/>
                    </w:rPr>
                    <w:t xml:space="preserve">the result of which would be </w:t>
                  </w:r>
                  <w:r>
                    <w:t>a potential delegitimisation and/or complex handling of the TNFD’s work</w:t>
                  </w:r>
                </w:p>
              </w:tc>
              <w:tc>
                <w:tcPr>
                  <w:tcW w:w="782" w:type="pct"/>
                  <w:shd w:val="clear" w:color="auto" w:fill="FFFF00"/>
                </w:tcPr>
                <w:p w14:paraId="0F6DCD80" w14:textId="77777777" w:rsidR="004F6DC4" w:rsidRPr="00333DCA" w:rsidRDefault="004F6DC4" w:rsidP="004F6DC4">
                  <w:pPr>
                    <w:spacing w:after="120"/>
                  </w:pPr>
                  <w:r>
                    <w:rPr>
                      <w:highlight w:val="yellow"/>
                    </w:rPr>
                    <w:t>Moderate</w:t>
                  </w:r>
                </w:p>
              </w:tc>
              <w:tc>
                <w:tcPr>
                  <w:tcW w:w="2109" w:type="pct"/>
                </w:tcPr>
                <w:p w14:paraId="027154E9" w14:textId="370B8741" w:rsidR="004F6DC4" w:rsidRDefault="004F6DC4" w:rsidP="004F6DC4">
                  <w:pPr>
                    <w:spacing w:after="120"/>
                  </w:pPr>
                  <w:r>
                    <w:t xml:space="preserve">Defra (owner) will ensure </w:t>
                  </w:r>
                  <w:r w:rsidRPr="00BF643C">
                    <w:t xml:space="preserve">close engagement </w:t>
                  </w:r>
                  <w:r>
                    <w:t xml:space="preserve">between FSD Africa </w:t>
                  </w:r>
                  <w:r w:rsidR="00AD694B">
                    <w:t xml:space="preserve">and </w:t>
                  </w:r>
                  <w:r w:rsidR="00AD694B" w:rsidRPr="00BF643C">
                    <w:t>the</w:t>
                  </w:r>
                  <w:r w:rsidRPr="00BF643C">
                    <w:t xml:space="preserve"> TNFD Secretariat, establishing touchpoints in the development of the proposal, to ensure alignment with the wider TNFD programme objectives.</w:t>
                  </w:r>
                </w:p>
              </w:tc>
            </w:tr>
            <w:tr w:rsidR="004F6DC4" w:rsidRPr="00BF3D82" w14:paraId="051E9777" w14:textId="77777777" w:rsidTr="008F4489">
              <w:tc>
                <w:tcPr>
                  <w:tcW w:w="2109" w:type="pct"/>
                </w:tcPr>
                <w:p w14:paraId="4F3E0C05" w14:textId="786F59AF" w:rsidR="004F6DC4" w:rsidRPr="00023D0F" w:rsidRDefault="004F6DC4" w:rsidP="004F6DC4">
                  <w:pPr>
                    <w:spacing w:after="120"/>
                    <w:rPr>
                      <w:b/>
                      <w:bCs/>
                    </w:rPr>
                  </w:pPr>
                  <w:r w:rsidRPr="00066752">
                    <w:rPr>
                      <w:b/>
                      <w:bCs/>
                    </w:rPr>
                    <w:t>FINANCIAL: Due to</w:t>
                  </w:r>
                  <w:r>
                    <w:t xml:space="preserve"> the increased pressure on available financial resources driven by the aids budget cuts to 0.5 of GNI, </w:t>
                  </w:r>
                  <w:r w:rsidRPr="00066752">
                    <w:rPr>
                      <w:b/>
                      <w:bCs/>
                    </w:rPr>
                    <w:t>there is a risk that</w:t>
                  </w:r>
                  <w:r>
                    <w:t xml:space="preserve"> FCDO may cut all funding to FSD</w:t>
                  </w:r>
                  <w:r w:rsidR="00A91A6F">
                    <w:t xml:space="preserve"> </w:t>
                  </w:r>
                  <w:r>
                    <w:t>A</w:t>
                  </w:r>
                  <w:r w:rsidR="00A91A6F">
                    <w:t>frica</w:t>
                  </w:r>
                  <w:r>
                    <w:t xml:space="preserve">, </w:t>
                  </w:r>
                  <w:r w:rsidRPr="00066752">
                    <w:rPr>
                      <w:b/>
                      <w:bCs/>
                    </w:rPr>
                    <w:t xml:space="preserve">the result of which would be </w:t>
                  </w:r>
                  <w:r>
                    <w:t>the inability of FSD Africa to maintain the required level of resources to deliver the programme</w:t>
                  </w:r>
                </w:p>
              </w:tc>
              <w:tc>
                <w:tcPr>
                  <w:tcW w:w="782" w:type="pct"/>
                  <w:shd w:val="clear" w:color="auto" w:fill="00B050"/>
                </w:tcPr>
                <w:p w14:paraId="1A600911" w14:textId="77777777" w:rsidR="004F6DC4" w:rsidRDefault="004F6DC4" w:rsidP="004F6DC4">
                  <w:pPr>
                    <w:spacing w:after="120"/>
                    <w:rPr>
                      <w:highlight w:val="yellow"/>
                    </w:rPr>
                  </w:pPr>
                  <w:r w:rsidRPr="00333DCA">
                    <w:t>Minor</w:t>
                  </w:r>
                </w:p>
              </w:tc>
              <w:tc>
                <w:tcPr>
                  <w:tcW w:w="2109" w:type="pct"/>
                </w:tcPr>
                <w:p w14:paraId="71487E34" w14:textId="1B573094" w:rsidR="004F6DC4" w:rsidRDefault="004F6DC4" w:rsidP="004F6DC4">
                  <w:pPr>
                    <w:spacing w:after="120"/>
                  </w:pPr>
                  <w:r>
                    <w:t xml:space="preserve">FCDO (owner) have already </w:t>
                  </w:r>
                  <w:r>
                    <w:rPr>
                      <w:rFonts w:ascii="Calibri" w:eastAsia="Arial" w:hAnsi="Calibri" w:cs="Calibri"/>
                      <w:sz w:val="24"/>
                      <w:szCs w:val="24"/>
                    </w:rPr>
                    <w:t>refocus</w:t>
                  </w:r>
                  <w:r>
                    <w:rPr>
                      <w:rFonts w:ascii="Calibri" w:eastAsia="Arial" w:hAnsi="Calibri" w:cs="Calibri"/>
                    </w:rPr>
                    <w:t>ed</w:t>
                  </w:r>
                  <w:r>
                    <w:rPr>
                      <w:rFonts w:ascii="Calibri" w:eastAsia="Arial" w:hAnsi="Calibri" w:cs="Calibri"/>
                      <w:sz w:val="24"/>
                      <w:szCs w:val="24"/>
                    </w:rPr>
                    <w:t xml:space="preserve"> the programme</w:t>
                  </w:r>
                  <w:r>
                    <w:rPr>
                      <w:rFonts w:ascii="Calibri" w:eastAsia="Arial" w:hAnsi="Calibri" w:cs="Calibri"/>
                    </w:rPr>
                    <w:t>’s resources to</w:t>
                  </w:r>
                  <w:r>
                    <w:rPr>
                      <w:rFonts w:ascii="Calibri" w:eastAsia="Arial" w:hAnsi="Calibri" w:cs="Calibri"/>
                      <w:sz w:val="24"/>
                      <w:szCs w:val="24"/>
                    </w:rPr>
                    <w:t xml:space="preserve"> deliver against a new plan with new results targets</w:t>
                  </w:r>
                  <w:r>
                    <w:rPr>
                      <w:rFonts w:ascii="Calibri" w:eastAsia="Arial" w:hAnsi="Calibri" w:cs="Calibri"/>
                    </w:rPr>
                    <w:t>. This resulted in a withdrawal from a wider network of country specific FSDs, and a consolidation of budget into a reframed regional initiative (FSD</w:t>
                  </w:r>
                  <w:r w:rsidR="00A91A6F">
                    <w:rPr>
                      <w:rFonts w:ascii="Calibri" w:eastAsia="Arial" w:hAnsi="Calibri" w:cs="Calibri"/>
                    </w:rPr>
                    <w:t xml:space="preserve"> </w:t>
                  </w:r>
                  <w:r>
                    <w:rPr>
                      <w:rFonts w:ascii="Calibri" w:eastAsia="Arial" w:hAnsi="Calibri" w:cs="Calibri"/>
                    </w:rPr>
                    <w:t>A</w:t>
                  </w:r>
                  <w:r w:rsidR="00A91A6F">
                    <w:rPr>
                      <w:rFonts w:ascii="Calibri" w:eastAsia="Arial" w:hAnsi="Calibri" w:cs="Calibri"/>
                    </w:rPr>
                    <w:t>frica</w:t>
                  </w:r>
                  <w:r>
                    <w:rPr>
                      <w:rFonts w:ascii="Calibri" w:eastAsia="Arial" w:hAnsi="Calibri" w:cs="Calibri"/>
                    </w:rPr>
                    <w:t xml:space="preserve">) </w:t>
                  </w:r>
                </w:p>
              </w:tc>
            </w:tr>
            <w:tr w:rsidR="004F6DC4" w:rsidRPr="00BF3D82" w14:paraId="3D10F91F" w14:textId="77777777" w:rsidTr="008F4489">
              <w:tc>
                <w:tcPr>
                  <w:tcW w:w="2109" w:type="pct"/>
                </w:tcPr>
                <w:p w14:paraId="01A56C67" w14:textId="77777777" w:rsidR="004F6DC4" w:rsidRDefault="004F6DC4" w:rsidP="004F6DC4">
                  <w:pPr>
                    <w:spacing w:after="120"/>
                    <w:rPr>
                      <w:b/>
                      <w:bCs/>
                    </w:rPr>
                  </w:pPr>
                  <w:r w:rsidRPr="00023D0F">
                    <w:rPr>
                      <w:b/>
                      <w:bCs/>
                    </w:rPr>
                    <w:t>FINANCIAL: Due to</w:t>
                  </w:r>
                  <w:r>
                    <w:t xml:space="preserve"> uncertainty on availability of resources to fund future phases of this initiative, </w:t>
                  </w:r>
                  <w:r w:rsidRPr="00023D0F">
                    <w:rPr>
                      <w:b/>
                      <w:bCs/>
                    </w:rPr>
                    <w:t>there is a risk of</w:t>
                  </w:r>
                  <w:r>
                    <w:t xml:space="preserve"> the programme coming to an end after the completion of phase one at the end of this financial year, </w:t>
                  </w:r>
                  <w:r w:rsidRPr="00023D0F">
                    <w:rPr>
                      <w:b/>
                      <w:bCs/>
                    </w:rPr>
                    <w:t>the result of which would be</w:t>
                  </w:r>
                  <w:r>
                    <w:t xml:space="preserve"> a reduced impact of the programme, with more limited practical benefits for the uptake of the TNFD framework in an African context</w:t>
                  </w:r>
                </w:p>
              </w:tc>
              <w:tc>
                <w:tcPr>
                  <w:tcW w:w="782" w:type="pct"/>
                  <w:shd w:val="clear" w:color="auto" w:fill="FFFF00"/>
                </w:tcPr>
                <w:p w14:paraId="423C596D" w14:textId="77777777" w:rsidR="004F6DC4" w:rsidRPr="001045F7" w:rsidRDefault="004F6DC4" w:rsidP="004F6DC4">
                  <w:pPr>
                    <w:spacing w:after="120"/>
                    <w:rPr>
                      <w:highlight w:val="yellow"/>
                    </w:rPr>
                  </w:pPr>
                  <w:r>
                    <w:rPr>
                      <w:highlight w:val="yellow"/>
                    </w:rPr>
                    <w:t>Moderate</w:t>
                  </w:r>
                </w:p>
              </w:tc>
              <w:tc>
                <w:tcPr>
                  <w:tcW w:w="2109" w:type="pct"/>
                </w:tcPr>
                <w:p w14:paraId="203F724F" w14:textId="77777777" w:rsidR="004F6DC4" w:rsidRDefault="004F6DC4" w:rsidP="004F6DC4">
                  <w:pPr>
                    <w:spacing w:after="120"/>
                  </w:pPr>
                  <w:r>
                    <w:t xml:space="preserve">Defra (owner) to start scoping options to allocate a portion of the Spending Review 21 allocation to fund phase two of the programme, and engage with FCDO to discuss alternative funding options in the eventuality that availability of Defra funds appears to be unlikely  </w:t>
                  </w:r>
                </w:p>
              </w:tc>
            </w:tr>
            <w:tr w:rsidR="004F6DC4" w:rsidRPr="00BF3D82" w14:paraId="570148CA" w14:textId="77777777" w:rsidTr="008F4489">
              <w:tc>
                <w:tcPr>
                  <w:tcW w:w="2109" w:type="pct"/>
                </w:tcPr>
                <w:p w14:paraId="4F31EB7C" w14:textId="77777777" w:rsidR="004F6DC4" w:rsidRPr="00BF3D82" w:rsidRDefault="004F6DC4" w:rsidP="004F6DC4">
                  <w:pPr>
                    <w:spacing w:after="120"/>
                  </w:pPr>
                  <w:r>
                    <w:rPr>
                      <w:b/>
                      <w:bCs/>
                    </w:rPr>
                    <w:t>FINANCIAL</w:t>
                  </w:r>
                  <w:r w:rsidRPr="00BF3D82">
                    <w:rPr>
                      <w:b/>
                      <w:bCs/>
                    </w:rPr>
                    <w:t>: Due to</w:t>
                  </w:r>
                  <w:r w:rsidRPr="00BF3D82">
                    <w:t xml:space="preserve"> </w:t>
                  </w:r>
                  <w:r>
                    <w:t>the need to rapidly disburse the funds in this financial year</w:t>
                  </w:r>
                  <w:r w:rsidRPr="00BF3D82">
                    <w:rPr>
                      <w:b/>
                      <w:bCs/>
                    </w:rPr>
                    <w:t xml:space="preserve"> there is a risk </w:t>
                  </w:r>
                  <w:r w:rsidRPr="001045F7">
                    <w:rPr>
                      <w:b/>
                      <w:bCs/>
                    </w:rPr>
                    <w:t>of</w:t>
                  </w:r>
                  <w:r w:rsidRPr="001045F7">
                    <w:t xml:space="preserve"> poor deliverable design, failure to reach out to best value-for-money external providers, and to choose lower value-adding activities</w:t>
                  </w:r>
                  <w:r>
                    <w:t>,</w:t>
                  </w:r>
                  <w:r w:rsidRPr="001045F7">
                    <w:t xml:space="preserve"> </w:t>
                  </w:r>
                  <w:r w:rsidRPr="001045F7">
                    <w:rPr>
                      <w:b/>
                      <w:bCs/>
                    </w:rPr>
                    <w:t>the result of which would be</w:t>
                  </w:r>
                  <w:r>
                    <w:t xml:space="preserve"> </w:t>
                  </w:r>
                  <w:r w:rsidRPr="00BF3D82">
                    <w:t xml:space="preserve">a </w:t>
                  </w:r>
                  <w:r>
                    <w:t xml:space="preserve">reduced efficacy in the programme’s ability to </w:t>
                  </w:r>
                  <w:r w:rsidRPr="00BF3D82">
                    <w:t>fully meeting its objectives</w:t>
                  </w:r>
                  <w:r>
                    <w:t>,</w:t>
                  </w:r>
                  <w:r w:rsidRPr="00BF3D82">
                    <w:t xml:space="preserve"> </w:t>
                  </w:r>
                  <w:r>
                    <w:t>and consequently the impacts that result from Defra’s funding</w:t>
                  </w:r>
                </w:p>
              </w:tc>
              <w:tc>
                <w:tcPr>
                  <w:tcW w:w="782" w:type="pct"/>
                  <w:shd w:val="clear" w:color="auto" w:fill="FFFF00"/>
                </w:tcPr>
                <w:p w14:paraId="4923C9FD" w14:textId="77777777" w:rsidR="004F6DC4" w:rsidRPr="001045F7" w:rsidRDefault="004F6DC4" w:rsidP="004F6DC4">
                  <w:pPr>
                    <w:spacing w:after="120"/>
                    <w:rPr>
                      <w:highlight w:val="yellow"/>
                    </w:rPr>
                  </w:pPr>
                  <w:r w:rsidRPr="001045F7">
                    <w:rPr>
                      <w:highlight w:val="yellow"/>
                    </w:rPr>
                    <w:t>Moderate</w:t>
                  </w:r>
                </w:p>
              </w:tc>
              <w:tc>
                <w:tcPr>
                  <w:tcW w:w="2109" w:type="pct"/>
                </w:tcPr>
                <w:p w14:paraId="7D08D5DC" w14:textId="77777777" w:rsidR="004F6DC4" w:rsidRPr="00BF3D82" w:rsidRDefault="004F6DC4" w:rsidP="004F6DC4">
                  <w:pPr>
                    <w:spacing w:after="120"/>
                  </w:pPr>
                  <w:r>
                    <w:t>FSD Africa (owner) to scope c</w:t>
                  </w:r>
                  <w:r w:rsidRPr="00D521A1">
                    <w:t xml:space="preserve">onsultants and deliverables </w:t>
                  </w:r>
                  <w:r>
                    <w:t>so that</w:t>
                  </w:r>
                  <w:r w:rsidRPr="00D521A1">
                    <w:t xml:space="preserve"> value-for-money is maintained</w:t>
                  </w:r>
                  <w:r>
                    <w:t xml:space="preserve">, selecting </w:t>
                  </w:r>
                  <w:r w:rsidRPr="003728DF">
                    <w:t>partners who have a clear need and capacity to absorb grants or procurements to deliver high-quality outcomes</w:t>
                  </w:r>
                  <w:r>
                    <w:t xml:space="preserve">, and engaging in </w:t>
                  </w:r>
                  <w:r w:rsidRPr="0021471F">
                    <w:t xml:space="preserve">early </w:t>
                  </w:r>
                  <w:r>
                    <w:t xml:space="preserve">discussions </w:t>
                  </w:r>
                  <w:r w:rsidRPr="0021471F">
                    <w:t>with compliance team to understand feasible turnaround of effective due diligence in project design</w:t>
                  </w:r>
                </w:p>
              </w:tc>
            </w:tr>
            <w:tr w:rsidR="004F6DC4" w:rsidRPr="00BF3D82" w14:paraId="459EDB96" w14:textId="77777777" w:rsidTr="008F4489">
              <w:tc>
                <w:tcPr>
                  <w:tcW w:w="2109" w:type="pct"/>
                </w:tcPr>
                <w:p w14:paraId="67524E90" w14:textId="77777777" w:rsidR="004F6DC4" w:rsidRPr="00BF3D82" w:rsidRDefault="004F6DC4" w:rsidP="004F6DC4">
                  <w:pPr>
                    <w:rPr>
                      <w:lang w:eastAsia="en-GB"/>
                    </w:rPr>
                  </w:pPr>
                  <w:r>
                    <w:rPr>
                      <w:b/>
                      <w:bCs/>
                      <w:lang w:eastAsia="en-GB"/>
                    </w:rPr>
                    <w:t>OPERATIONAL</w:t>
                  </w:r>
                  <w:r w:rsidRPr="00BF3D82">
                    <w:rPr>
                      <w:b/>
                      <w:bCs/>
                      <w:lang w:eastAsia="en-GB"/>
                    </w:rPr>
                    <w:t>: Due to</w:t>
                  </w:r>
                  <w:r w:rsidRPr="00BF3D82">
                    <w:rPr>
                      <w:lang w:eastAsia="en-GB"/>
                    </w:rPr>
                    <w:t xml:space="preserve"> </w:t>
                  </w:r>
                  <w:r>
                    <w:rPr>
                      <w:lang w:eastAsia="en-GB"/>
                    </w:rPr>
                    <w:t xml:space="preserve">pilots being undertaken by selected stakeholders </w:t>
                  </w:r>
                  <w:r w:rsidRPr="000B2456">
                    <w:rPr>
                      <w:lang w:eastAsia="en-GB"/>
                    </w:rPr>
                    <w:t>(financial institutions and regulators)</w:t>
                  </w:r>
                  <w:r w:rsidRPr="00BF3D82">
                    <w:rPr>
                      <w:lang w:eastAsia="en-GB"/>
                    </w:rPr>
                    <w:t>,</w:t>
                  </w:r>
                  <w:r w:rsidRPr="00BF3D82">
                    <w:rPr>
                      <w:b/>
                      <w:bCs/>
                      <w:lang w:eastAsia="en-GB"/>
                    </w:rPr>
                    <w:t xml:space="preserve"> there is a risk that</w:t>
                  </w:r>
                  <w:r>
                    <w:rPr>
                      <w:b/>
                      <w:bCs/>
                      <w:lang w:eastAsia="en-GB"/>
                    </w:rPr>
                    <w:t xml:space="preserve"> </w:t>
                  </w:r>
                  <w:r>
                    <w:rPr>
                      <w:lang w:eastAsia="en-GB"/>
                    </w:rPr>
                    <w:t xml:space="preserve">there will be less control on the outcomes of the case studies, </w:t>
                  </w:r>
                  <w:r w:rsidRPr="00BF3D82">
                    <w:rPr>
                      <w:b/>
                      <w:bCs/>
                      <w:lang w:eastAsia="en-GB"/>
                    </w:rPr>
                    <w:t>the result of which would be</w:t>
                  </w:r>
                  <w:r>
                    <w:rPr>
                      <w:b/>
                      <w:bCs/>
                      <w:lang w:eastAsia="en-GB"/>
                    </w:rPr>
                    <w:t xml:space="preserve"> </w:t>
                  </w:r>
                  <w:r w:rsidRPr="00E15ACF">
                    <w:rPr>
                      <w:lang w:eastAsia="en-GB"/>
                    </w:rPr>
                    <w:t>that</w:t>
                  </w:r>
                  <w:r w:rsidRPr="00BF3D82">
                    <w:rPr>
                      <w:lang w:eastAsia="en-GB"/>
                    </w:rPr>
                    <w:t xml:space="preserve"> </w:t>
                  </w:r>
                  <w:r>
                    <w:rPr>
                      <w:lang w:eastAsia="en-GB"/>
                    </w:rPr>
                    <w:t>s</w:t>
                  </w:r>
                  <w:r w:rsidRPr="000B2456">
                    <w:rPr>
                      <w:lang w:eastAsia="en-GB"/>
                    </w:rPr>
                    <w:t xml:space="preserve">uccess </w:t>
                  </w:r>
                  <w:r>
                    <w:rPr>
                      <w:lang w:eastAsia="en-GB"/>
                    </w:rPr>
                    <w:t>will partly lie</w:t>
                  </w:r>
                  <w:r w:rsidRPr="000B2456">
                    <w:rPr>
                      <w:lang w:eastAsia="en-GB"/>
                    </w:rPr>
                    <w:t xml:space="preserve"> in </w:t>
                  </w:r>
                  <w:r>
                    <w:rPr>
                      <w:lang w:eastAsia="en-GB"/>
                    </w:rPr>
                    <w:t xml:space="preserve">the </w:t>
                  </w:r>
                  <w:r w:rsidRPr="000B2456">
                    <w:rPr>
                      <w:lang w:eastAsia="en-GB"/>
                    </w:rPr>
                    <w:t>hands of external parties</w:t>
                  </w:r>
                </w:p>
              </w:tc>
              <w:tc>
                <w:tcPr>
                  <w:tcW w:w="782" w:type="pct"/>
                  <w:shd w:val="clear" w:color="auto" w:fill="FFFF00"/>
                </w:tcPr>
                <w:p w14:paraId="5B9CDAB4" w14:textId="77777777" w:rsidR="004F6DC4" w:rsidRPr="00BF3D82" w:rsidRDefault="004F6DC4" w:rsidP="004F6DC4">
                  <w:pPr>
                    <w:rPr>
                      <w:lang w:eastAsia="en-GB"/>
                    </w:rPr>
                  </w:pPr>
                  <w:r>
                    <w:rPr>
                      <w:lang w:eastAsia="en-GB"/>
                    </w:rPr>
                    <w:t>Moderate</w:t>
                  </w:r>
                </w:p>
              </w:tc>
              <w:tc>
                <w:tcPr>
                  <w:tcW w:w="2109" w:type="pct"/>
                </w:tcPr>
                <w:p w14:paraId="2B7F16EA" w14:textId="77777777" w:rsidR="004F6DC4" w:rsidRPr="00BF3D82" w:rsidRDefault="004F6DC4" w:rsidP="004F6DC4">
                  <w:pPr>
                    <w:rPr>
                      <w:lang w:eastAsia="en-GB"/>
                    </w:rPr>
                  </w:pPr>
                  <w:r>
                    <w:rPr>
                      <w:lang w:eastAsia="en-GB"/>
                    </w:rPr>
                    <w:t xml:space="preserve">FSD Africa (owner) to </w:t>
                  </w:r>
                  <w:r w:rsidRPr="00816A7A">
                    <w:rPr>
                      <w:lang w:eastAsia="en-GB"/>
                    </w:rPr>
                    <w:t xml:space="preserve">set </w:t>
                  </w:r>
                  <w:r>
                    <w:rPr>
                      <w:lang w:eastAsia="en-GB"/>
                    </w:rPr>
                    <w:t xml:space="preserve">expectations on experimental character of work, adopt a </w:t>
                  </w:r>
                  <w:r w:rsidRPr="00816A7A">
                    <w:rPr>
                      <w:lang w:eastAsia="en-GB"/>
                    </w:rPr>
                    <w:t xml:space="preserve">highly-iterative </w:t>
                  </w:r>
                  <w:r>
                    <w:rPr>
                      <w:lang w:eastAsia="en-GB"/>
                    </w:rPr>
                    <w:t>approach, and e</w:t>
                  </w:r>
                  <w:r w:rsidRPr="00816A7A">
                    <w:rPr>
                      <w:lang w:eastAsia="en-GB"/>
                    </w:rPr>
                    <w:t>nsur</w:t>
                  </w:r>
                  <w:r>
                    <w:rPr>
                      <w:lang w:eastAsia="en-GB"/>
                    </w:rPr>
                    <w:t>e</w:t>
                  </w:r>
                  <w:r w:rsidRPr="00816A7A">
                    <w:rPr>
                      <w:lang w:eastAsia="en-GB"/>
                    </w:rPr>
                    <w:t xml:space="preserve"> buy-in </w:t>
                  </w:r>
                  <w:r>
                    <w:rPr>
                      <w:lang w:eastAsia="en-GB"/>
                    </w:rPr>
                    <w:t>of</w:t>
                  </w:r>
                  <w:r w:rsidRPr="00816A7A">
                    <w:rPr>
                      <w:lang w:eastAsia="en-GB"/>
                    </w:rPr>
                    <w:t xml:space="preserve"> high-level leadership of chosen ‘champions’</w:t>
                  </w:r>
                  <w:r>
                    <w:rPr>
                      <w:lang w:eastAsia="en-GB"/>
                    </w:rPr>
                    <w:t xml:space="preserve"> in selected stakeholders </w:t>
                  </w:r>
                </w:p>
              </w:tc>
            </w:tr>
            <w:tr w:rsidR="004F6DC4" w:rsidRPr="00BF3D82" w14:paraId="312ACE8C" w14:textId="77777777" w:rsidTr="008F4489">
              <w:tc>
                <w:tcPr>
                  <w:tcW w:w="2109" w:type="pct"/>
                </w:tcPr>
                <w:p w14:paraId="7A5AD564" w14:textId="77777777" w:rsidR="004F6DC4" w:rsidRPr="00BF3D82" w:rsidRDefault="004F6DC4" w:rsidP="004F6DC4">
                  <w:pPr>
                    <w:rPr>
                      <w:lang w:eastAsia="en-GB"/>
                    </w:rPr>
                  </w:pPr>
                  <w:r w:rsidRPr="00BF3D82">
                    <w:rPr>
                      <w:b/>
                      <w:bCs/>
                      <w:lang w:eastAsia="en-GB"/>
                    </w:rPr>
                    <w:lastRenderedPageBreak/>
                    <w:t>DELIVERY: Due to</w:t>
                  </w:r>
                  <w:r w:rsidRPr="00BF3D82">
                    <w:rPr>
                      <w:lang w:eastAsia="en-GB"/>
                    </w:rPr>
                    <w:t xml:space="preserve"> </w:t>
                  </w:r>
                  <w:r w:rsidRPr="00D822E2">
                    <w:rPr>
                      <w:lang w:eastAsia="en-GB"/>
                    </w:rPr>
                    <w:t>the political importance of establishing a successful TNFD Framework</w:t>
                  </w:r>
                  <w:r w:rsidRPr="00BF3D82">
                    <w:rPr>
                      <w:lang w:eastAsia="en-GB"/>
                    </w:rPr>
                    <w:t xml:space="preserve">, </w:t>
                  </w:r>
                  <w:r w:rsidRPr="00BF3D82">
                    <w:rPr>
                      <w:b/>
                      <w:bCs/>
                      <w:lang w:eastAsia="en-GB"/>
                    </w:rPr>
                    <w:t xml:space="preserve">there is a risk of </w:t>
                  </w:r>
                  <w:r w:rsidRPr="002077BD">
                    <w:rPr>
                      <w:lang w:eastAsia="en-GB"/>
                    </w:rPr>
                    <w:t>FSD Africa not having</w:t>
                  </w:r>
                  <w:r w:rsidRPr="004A3FC9">
                    <w:rPr>
                      <w:lang w:eastAsia="en-GB"/>
                    </w:rPr>
                    <w:t xml:space="preserve"> </w:t>
                  </w:r>
                  <w:r w:rsidRPr="00D822E2">
                    <w:rPr>
                      <w:lang w:eastAsia="en-GB"/>
                    </w:rPr>
                    <w:t>the necessary capacity to implement the programme and its workstreams</w:t>
                  </w:r>
                  <w:r>
                    <w:rPr>
                      <w:lang w:eastAsia="en-GB"/>
                    </w:rPr>
                    <w:t>,</w:t>
                  </w:r>
                  <w:r w:rsidRPr="00CB45E5">
                    <w:t xml:space="preserve"> </w:t>
                  </w:r>
                  <w:r w:rsidRPr="00BF3D82">
                    <w:rPr>
                      <w:b/>
                      <w:bCs/>
                      <w:lang w:eastAsia="en-GB"/>
                    </w:rPr>
                    <w:t xml:space="preserve">the result of which would be </w:t>
                  </w:r>
                  <w:r>
                    <w:rPr>
                      <w:lang w:eastAsia="en-GB"/>
                    </w:rPr>
                    <w:t>a delay in the delivery of the desired outcomes of the programme, with consequent missed opportunities in terms of alignment of the TNFD framework with African countries’ needs</w:t>
                  </w:r>
                  <w:r w:rsidRPr="00BF3D82">
                    <w:rPr>
                      <w:b/>
                      <w:bCs/>
                      <w:lang w:eastAsia="en-GB"/>
                    </w:rPr>
                    <w:t xml:space="preserve"> </w:t>
                  </w:r>
                </w:p>
              </w:tc>
              <w:tc>
                <w:tcPr>
                  <w:tcW w:w="782" w:type="pct"/>
                  <w:shd w:val="clear" w:color="auto" w:fill="FFFF00"/>
                </w:tcPr>
                <w:p w14:paraId="09B95D9C" w14:textId="77777777" w:rsidR="004F6DC4" w:rsidRPr="00BF3D82" w:rsidRDefault="004F6DC4" w:rsidP="004F6DC4">
                  <w:pPr>
                    <w:rPr>
                      <w:lang w:eastAsia="en-GB"/>
                    </w:rPr>
                  </w:pPr>
                  <w:r w:rsidRPr="00BF3D82">
                    <w:rPr>
                      <w:lang w:eastAsia="en-GB"/>
                    </w:rPr>
                    <w:t>M</w:t>
                  </w:r>
                  <w:r>
                    <w:rPr>
                      <w:lang w:eastAsia="en-GB"/>
                    </w:rPr>
                    <w:t>oderate</w:t>
                  </w:r>
                </w:p>
              </w:tc>
              <w:tc>
                <w:tcPr>
                  <w:tcW w:w="2109" w:type="pct"/>
                </w:tcPr>
                <w:p w14:paraId="2748DBF3" w14:textId="77777777" w:rsidR="004F6DC4" w:rsidRPr="00BF3D82" w:rsidRDefault="004F6DC4" w:rsidP="004F6DC4">
                  <w:pPr>
                    <w:rPr>
                      <w:lang w:eastAsia="en-GB"/>
                    </w:rPr>
                  </w:pPr>
                  <w:r>
                    <w:rPr>
                      <w:lang w:eastAsia="en-GB"/>
                    </w:rPr>
                    <w:t xml:space="preserve">FSD Africa (Owner) to </w:t>
                  </w:r>
                  <w:r w:rsidRPr="00A55AEC">
                    <w:rPr>
                      <w:lang w:eastAsia="en-GB"/>
                    </w:rPr>
                    <w:t>work with top-flight consultants who are comfortable with working to restrictive timelines</w:t>
                  </w:r>
                  <w:r>
                    <w:rPr>
                      <w:lang w:eastAsia="en-GB"/>
                    </w:rPr>
                    <w:t xml:space="preserve">, </w:t>
                  </w:r>
                  <w:r w:rsidRPr="00A55AEC">
                    <w:rPr>
                      <w:lang w:eastAsia="en-GB"/>
                    </w:rPr>
                    <w:t xml:space="preserve">able to mobilise the </w:t>
                  </w:r>
                  <w:r>
                    <w:rPr>
                      <w:lang w:eastAsia="en-GB"/>
                    </w:rPr>
                    <w:t xml:space="preserve">required </w:t>
                  </w:r>
                  <w:r w:rsidRPr="00A55AEC">
                    <w:rPr>
                      <w:lang w:eastAsia="en-GB"/>
                    </w:rPr>
                    <w:t>capacity to do so</w:t>
                  </w:r>
                  <w:r>
                    <w:rPr>
                      <w:lang w:eastAsia="en-GB"/>
                    </w:rPr>
                    <w:t xml:space="preserve">, and that require </w:t>
                  </w:r>
                  <w:r w:rsidRPr="00A55AEC">
                    <w:rPr>
                      <w:lang w:eastAsia="en-GB"/>
                    </w:rPr>
                    <w:t>less intensive management</w:t>
                  </w:r>
                  <w:r>
                    <w:rPr>
                      <w:lang w:eastAsia="en-GB"/>
                    </w:rPr>
                    <w:t xml:space="preserve">. FSD Africa will also </w:t>
                  </w:r>
                  <w:r>
                    <w:t>hire devoted resources within its own team</w:t>
                  </w:r>
                </w:p>
              </w:tc>
            </w:tr>
            <w:tr w:rsidR="004F6DC4" w:rsidRPr="00BF3D82" w14:paraId="2DA86AAF" w14:textId="77777777" w:rsidTr="008F4489">
              <w:tc>
                <w:tcPr>
                  <w:tcW w:w="2109" w:type="pct"/>
                </w:tcPr>
                <w:p w14:paraId="52429F75" w14:textId="77777777" w:rsidR="004F6DC4" w:rsidRPr="00BF3D82" w:rsidRDefault="004F6DC4" w:rsidP="004F6DC4">
                  <w:pPr>
                    <w:rPr>
                      <w:lang w:eastAsia="en-GB"/>
                    </w:rPr>
                  </w:pPr>
                  <w:r>
                    <w:rPr>
                      <w:b/>
                      <w:bCs/>
                      <w:lang w:eastAsia="en-GB"/>
                    </w:rPr>
                    <w:t>POLTICAL</w:t>
                  </w:r>
                  <w:r w:rsidRPr="00BF3D82">
                    <w:rPr>
                      <w:b/>
                      <w:bCs/>
                      <w:lang w:eastAsia="en-GB"/>
                    </w:rPr>
                    <w:t>: Due to</w:t>
                  </w:r>
                  <w:r w:rsidRPr="00BF3D82">
                    <w:rPr>
                      <w:lang w:eastAsia="en-GB"/>
                    </w:rPr>
                    <w:t xml:space="preserve"> </w:t>
                  </w:r>
                  <w:r>
                    <w:rPr>
                      <w:lang w:eastAsia="en-GB"/>
                    </w:rPr>
                    <w:t xml:space="preserve">precedents set by previous financial accords (e.g. </w:t>
                  </w:r>
                  <w:r w:rsidRPr="006F0837">
                    <w:rPr>
                      <w:lang w:eastAsia="en-GB"/>
                    </w:rPr>
                    <w:t>Basel III</w:t>
                  </w:r>
                  <w:r>
                    <w:rPr>
                      <w:lang w:eastAsia="en-GB"/>
                    </w:rPr>
                    <w:t xml:space="preserve">), where a </w:t>
                  </w:r>
                  <w:r w:rsidRPr="006F0837">
                    <w:rPr>
                      <w:lang w:eastAsia="en-GB"/>
                    </w:rPr>
                    <w:t>one-size fits all</w:t>
                  </w:r>
                  <w:r>
                    <w:rPr>
                      <w:lang w:eastAsia="en-GB"/>
                    </w:rPr>
                    <w:t xml:space="preserve"> approach has been adopted</w:t>
                  </w:r>
                  <w:r w:rsidRPr="00BF3D82">
                    <w:rPr>
                      <w:lang w:eastAsia="en-GB"/>
                    </w:rPr>
                    <w:t xml:space="preserve">, </w:t>
                  </w:r>
                  <w:r w:rsidRPr="00BF3D82">
                    <w:rPr>
                      <w:b/>
                      <w:bCs/>
                      <w:lang w:eastAsia="en-GB"/>
                    </w:rPr>
                    <w:t>there is a risk that</w:t>
                  </w:r>
                  <w:r w:rsidRPr="00BF3D82">
                    <w:rPr>
                      <w:lang w:eastAsia="en-GB"/>
                    </w:rPr>
                    <w:t xml:space="preserve"> </w:t>
                  </w:r>
                  <w:r>
                    <w:rPr>
                      <w:lang w:eastAsia="en-GB"/>
                    </w:rPr>
                    <w:t>the initiative is perceived as placing further and excessive burden on African businesses</w:t>
                  </w:r>
                  <w:r w:rsidRPr="00BF3D82">
                    <w:rPr>
                      <w:lang w:eastAsia="en-GB"/>
                    </w:rPr>
                    <w:t xml:space="preserve">, </w:t>
                  </w:r>
                  <w:r w:rsidRPr="00BF3D82">
                    <w:rPr>
                      <w:b/>
                      <w:bCs/>
                      <w:lang w:eastAsia="en-GB"/>
                    </w:rPr>
                    <w:t>the result of which would be</w:t>
                  </w:r>
                  <w:r w:rsidRPr="00BF3D82">
                    <w:rPr>
                      <w:lang w:eastAsia="en-GB"/>
                    </w:rPr>
                    <w:t xml:space="preserve"> </w:t>
                  </w:r>
                  <w:r w:rsidRPr="006F0837">
                    <w:rPr>
                      <w:lang w:eastAsia="en-GB"/>
                    </w:rPr>
                    <w:t xml:space="preserve">diminishing political capital </w:t>
                  </w:r>
                  <w:r>
                    <w:rPr>
                      <w:lang w:eastAsia="en-GB"/>
                    </w:rPr>
                    <w:t xml:space="preserve">that could be </w:t>
                  </w:r>
                  <w:r w:rsidRPr="006F0837">
                    <w:rPr>
                      <w:lang w:eastAsia="en-GB"/>
                    </w:rPr>
                    <w:t>spent on addressing nature-related risk</w:t>
                  </w:r>
                </w:p>
              </w:tc>
              <w:tc>
                <w:tcPr>
                  <w:tcW w:w="782" w:type="pct"/>
                  <w:shd w:val="clear" w:color="auto" w:fill="00B050"/>
                </w:tcPr>
                <w:p w14:paraId="60EC3A19" w14:textId="77777777" w:rsidR="004F6DC4" w:rsidRPr="00BF3D82" w:rsidRDefault="004F6DC4" w:rsidP="004F6DC4">
                  <w:pPr>
                    <w:rPr>
                      <w:lang w:eastAsia="en-GB"/>
                    </w:rPr>
                  </w:pPr>
                  <w:r w:rsidRPr="00BF3D82">
                    <w:rPr>
                      <w:lang w:eastAsia="en-GB"/>
                    </w:rPr>
                    <w:t>M</w:t>
                  </w:r>
                  <w:r>
                    <w:rPr>
                      <w:lang w:eastAsia="en-GB"/>
                    </w:rPr>
                    <w:t>inor</w:t>
                  </w:r>
                </w:p>
              </w:tc>
              <w:tc>
                <w:tcPr>
                  <w:tcW w:w="2109" w:type="pct"/>
                </w:tcPr>
                <w:p w14:paraId="617DAED1" w14:textId="77777777" w:rsidR="004F6DC4" w:rsidRPr="00BF3D82" w:rsidRDefault="004F6DC4" w:rsidP="004F6DC4">
                  <w:pPr>
                    <w:keepNext/>
                    <w:rPr>
                      <w:lang w:eastAsia="en-GB"/>
                    </w:rPr>
                  </w:pPr>
                  <w:r>
                    <w:rPr>
                      <w:lang w:eastAsia="en-GB"/>
                    </w:rPr>
                    <w:t>FSD Africa (Owner) to build on existing r</w:t>
                  </w:r>
                  <w:r w:rsidRPr="006F0837">
                    <w:rPr>
                      <w:lang w:eastAsia="en-GB"/>
                    </w:rPr>
                    <w:t>elationships with regulators and public-sector actors</w:t>
                  </w:r>
                  <w:r>
                    <w:rPr>
                      <w:lang w:eastAsia="en-GB"/>
                    </w:rPr>
                    <w:t>, and c</w:t>
                  </w:r>
                  <w:r w:rsidRPr="006F0837">
                    <w:rPr>
                      <w:lang w:eastAsia="en-GB"/>
                    </w:rPr>
                    <w:t>arry cover of working through TNFD coalitions, and funded by UK government</w:t>
                  </w:r>
                  <w:r>
                    <w:rPr>
                      <w:lang w:eastAsia="en-GB"/>
                    </w:rPr>
                    <w:t xml:space="preserve"> </w:t>
                  </w:r>
                </w:p>
              </w:tc>
            </w:tr>
          </w:tbl>
          <w:p w14:paraId="5C45F14D" w14:textId="77777777" w:rsidR="005A7D70" w:rsidRDefault="005A7D70" w:rsidP="001E2F38">
            <w:pPr>
              <w:pStyle w:val="Table"/>
              <w:jc w:val="left"/>
              <w:rPr>
                <w:sz w:val="22"/>
                <w:szCs w:val="22"/>
              </w:rPr>
            </w:pPr>
          </w:p>
          <w:p w14:paraId="16B5E97A" w14:textId="73624945" w:rsidR="005A7D70" w:rsidRPr="00FC709F" w:rsidRDefault="005A7D70" w:rsidP="001E2F38">
            <w:pPr>
              <w:pStyle w:val="Table"/>
              <w:jc w:val="left"/>
              <w:rPr>
                <w:sz w:val="22"/>
                <w:szCs w:val="22"/>
              </w:rPr>
            </w:pPr>
          </w:p>
        </w:tc>
      </w:tr>
      <w:tr w:rsidR="00FC709F" w14:paraId="2A939150" w14:textId="77777777" w:rsidTr="65B5030A">
        <w:tc>
          <w:tcPr>
            <w:tcW w:w="9067" w:type="dxa"/>
          </w:tcPr>
          <w:p w14:paraId="141990E5" w14:textId="7B72CF2A" w:rsidR="00FC709F" w:rsidRDefault="00FC709F" w:rsidP="0000288E">
            <w:pPr>
              <w:pStyle w:val="Heading2"/>
            </w:pPr>
            <w:r w:rsidRPr="00FC709F">
              <w:lastRenderedPageBreak/>
              <w:t>Describe any key changes to the original business case including the theory of change or new evidence from ongoing monitoring, evaluation or learning work</w:t>
            </w:r>
            <w:r w:rsidR="0000288E">
              <w:t>.</w:t>
            </w:r>
          </w:p>
          <w:p w14:paraId="26B0447A" w14:textId="77777777" w:rsidR="00FC709F" w:rsidRDefault="00FC709F" w:rsidP="0000288E">
            <w:pPr>
              <w:rPr>
                <w:b/>
                <w:bCs/>
              </w:rPr>
            </w:pPr>
          </w:p>
          <w:p w14:paraId="67FC68D9" w14:textId="4FA4AA33" w:rsidR="004E2623" w:rsidRPr="004E2623" w:rsidRDefault="004E2623" w:rsidP="651F2C79">
            <w:pPr>
              <w:pStyle w:val="ListParagraph"/>
              <w:numPr>
                <w:ilvl w:val="0"/>
                <w:numId w:val="15"/>
              </w:numPr>
              <w:ind w:right="176"/>
              <w:rPr>
                <w:rFonts w:asciiTheme="minorHAnsi" w:hAnsiTheme="minorHAnsi" w:cstheme="minorBidi"/>
                <w:sz w:val="22"/>
                <w:szCs w:val="22"/>
              </w:rPr>
            </w:pPr>
            <w:r w:rsidRPr="651F2C79">
              <w:rPr>
                <w:rFonts w:asciiTheme="minorHAnsi" w:hAnsiTheme="minorHAnsi" w:cstheme="minorBidi"/>
                <w:sz w:val="22"/>
                <w:szCs w:val="22"/>
              </w:rPr>
              <w:t>The programme is envisaged to align with FSD Africa’s Risk and Resilience (R&amp;R) Pillar’s Theory of Change</w:t>
            </w:r>
            <w:r w:rsidR="00851707">
              <w:rPr>
                <w:rFonts w:asciiTheme="minorHAnsi" w:hAnsiTheme="minorHAnsi" w:cstheme="minorBidi"/>
                <w:sz w:val="22"/>
                <w:szCs w:val="22"/>
              </w:rPr>
              <w:t>, rather than the TNFD Secretariat Business Case</w:t>
            </w:r>
            <w:r w:rsidRPr="651F2C79">
              <w:rPr>
                <w:rFonts w:asciiTheme="minorHAnsi" w:hAnsiTheme="minorHAnsi" w:cstheme="minorBidi"/>
                <w:sz w:val="22"/>
                <w:szCs w:val="22"/>
              </w:rPr>
              <w:t xml:space="preserve">. This is currently being revised, and FSD Africa will provisionally assess the </w:t>
            </w:r>
            <w:r w:rsidR="00DA376B" w:rsidRPr="651F2C79">
              <w:rPr>
                <w:rFonts w:asciiTheme="minorHAnsi" w:hAnsiTheme="minorHAnsi" w:cstheme="minorBidi"/>
                <w:sz w:val="22"/>
                <w:szCs w:val="22"/>
              </w:rPr>
              <w:t>programme</w:t>
            </w:r>
            <w:r w:rsidRPr="651F2C79">
              <w:rPr>
                <w:rFonts w:asciiTheme="minorHAnsi" w:hAnsiTheme="minorHAnsi" w:cstheme="minorBidi"/>
                <w:sz w:val="22"/>
                <w:szCs w:val="22"/>
              </w:rPr>
              <w:t>’s impacts based on three outcome areas proposed by their Development Impact (DI) Pillar:</w:t>
            </w:r>
          </w:p>
          <w:p w14:paraId="594F3295" w14:textId="77777777" w:rsidR="004E2623" w:rsidRPr="004E2623" w:rsidRDefault="004E2623" w:rsidP="004E2623">
            <w:pPr>
              <w:pStyle w:val="ListParagraph"/>
              <w:ind w:left="360" w:right="176"/>
              <w:rPr>
                <w:rFonts w:asciiTheme="minorHAnsi" w:eastAsiaTheme="minorHAnsi" w:hAnsiTheme="minorHAnsi" w:cstheme="minorBidi"/>
                <w:sz w:val="22"/>
                <w:szCs w:val="22"/>
              </w:rPr>
            </w:pPr>
          </w:p>
          <w:p w14:paraId="1896AA8A" w14:textId="0FE0EA72" w:rsidR="004E2623" w:rsidRPr="004E2623" w:rsidRDefault="004E2623" w:rsidP="004E2623">
            <w:pPr>
              <w:pStyle w:val="ListParagraph"/>
              <w:numPr>
                <w:ilvl w:val="0"/>
                <w:numId w:val="23"/>
              </w:numPr>
              <w:ind w:right="176"/>
              <w:rPr>
                <w:rFonts w:asciiTheme="minorHAnsi" w:eastAsiaTheme="minorHAnsi" w:hAnsiTheme="minorHAnsi" w:cstheme="minorBidi"/>
                <w:sz w:val="22"/>
                <w:szCs w:val="22"/>
              </w:rPr>
            </w:pPr>
            <w:r w:rsidRPr="004E2623">
              <w:rPr>
                <w:rFonts w:asciiTheme="minorHAnsi" w:eastAsiaTheme="minorHAnsi" w:hAnsiTheme="minorHAnsi" w:cstheme="minorBidi"/>
                <w:b/>
                <w:bCs/>
                <w:sz w:val="22"/>
                <w:szCs w:val="22"/>
              </w:rPr>
              <w:t>Creating economic opportunity:</w:t>
            </w:r>
            <w:r w:rsidRPr="004E2623">
              <w:rPr>
                <w:rFonts w:asciiTheme="minorHAnsi" w:eastAsiaTheme="minorHAnsi" w:hAnsiTheme="minorHAnsi" w:cstheme="minorBidi"/>
                <w:sz w:val="22"/>
                <w:szCs w:val="22"/>
              </w:rPr>
              <w:t xml:space="preserve"> 23% of Africa GDP is dependent on nature and so in order to preserve economic growth, it is imperative that natural ecosystems be protected. The thesis of this </w:t>
            </w:r>
            <w:r w:rsidR="00DA376B">
              <w:rPr>
                <w:rFonts w:asciiTheme="minorHAnsi" w:eastAsiaTheme="minorHAnsi" w:hAnsiTheme="minorHAnsi" w:cstheme="minorBidi"/>
                <w:sz w:val="22"/>
                <w:szCs w:val="22"/>
              </w:rPr>
              <w:t>programme</w:t>
            </w:r>
            <w:r w:rsidRPr="004E2623">
              <w:rPr>
                <w:rFonts w:asciiTheme="minorHAnsi" w:eastAsiaTheme="minorHAnsi" w:hAnsiTheme="minorHAnsi" w:cstheme="minorBidi"/>
                <w:sz w:val="22"/>
                <w:szCs w:val="22"/>
              </w:rPr>
              <w:t xml:space="preserve"> is that by getting financial institutions to identify, report and then act on nature-related risks, capital flows will be directed away from activities that result in nature loss and towards activities that support a nature-positive economy. As a result, the many industries in Africa that rely heavily on natural ecosystem services (either directly or indirectly through supply chain) will not only be protected, but also enhanced.</w:t>
            </w:r>
            <w:r>
              <w:rPr>
                <w:rFonts w:asciiTheme="minorHAnsi" w:eastAsiaTheme="minorHAnsi" w:hAnsiTheme="minorHAnsi" w:cstheme="minorBidi"/>
                <w:sz w:val="22"/>
                <w:szCs w:val="22"/>
              </w:rPr>
              <w:t xml:space="preserve"> The programme also seeks to </w:t>
            </w:r>
            <w:r w:rsidRPr="004E2623">
              <w:rPr>
                <w:rFonts w:asciiTheme="minorHAnsi" w:eastAsiaTheme="minorHAnsi" w:hAnsiTheme="minorHAnsi" w:cstheme="minorBidi"/>
                <w:sz w:val="22"/>
                <w:szCs w:val="22"/>
              </w:rPr>
              <w:t>demonstrate that a nature-positive pathway for African countries will result in higher economic growth than the business-as-usual scenario.</w:t>
            </w:r>
          </w:p>
          <w:p w14:paraId="67192D33" w14:textId="5737F4F2" w:rsidR="004E2623" w:rsidRPr="004E2623" w:rsidRDefault="004E2623" w:rsidP="004E2623">
            <w:pPr>
              <w:pStyle w:val="ListParagraph"/>
              <w:numPr>
                <w:ilvl w:val="0"/>
                <w:numId w:val="23"/>
              </w:numPr>
              <w:ind w:right="176"/>
              <w:rPr>
                <w:rFonts w:asciiTheme="minorHAnsi" w:eastAsiaTheme="minorHAnsi" w:hAnsiTheme="minorHAnsi" w:cstheme="minorBidi"/>
                <w:sz w:val="22"/>
                <w:szCs w:val="22"/>
              </w:rPr>
            </w:pPr>
            <w:r w:rsidRPr="004E2623">
              <w:rPr>
                <w:rFonts w:asciiTheme="minorHAnsi" w:eastAsiaTheme="minorHAnsi" w:hAnsiTheme="minorHAnsi" w:cstheme="minorBidi"/>
                <w:b/>
                <w:bCs/>
                <w:sz w:val="22"/>
                <w:szCs w:val="22"/>
              </w:rPr>
              <w:t>Delivering environmental benefits:</w:t>
            </w:r>
            <w:r w:rsidRPr="004E2623">
              <w:rPr>
                <w:rFonts w:asciiTheme="minorHAnsi" w:eastAsiaTheme="minorHAnsi" w:hAnsiTheme="minorHAnsi" w:cstheme="minorBidi"/>
                <w:sz w:val="22"/>
                <w:szCs w:val="22"/>
              </w:rPr>
              <w:t xml:space="preserve"> This is a significant long-term benefit of this </w:t>
            </w:r>
            <w:r w:rsidR="00DA376B">
              <w:rPr>
                <w:rFonts w:asciiTheme="minorHAnsi" w:eastAsiaTheme="minorHAnsi" w:hAnsiTheme="minorHAnsi" w:cstheme="minorBidi"/>
                <w:sz w:val="22"/>
                <w:szCs w:val="22"/>
              </w:rPr>
              <w:t>programme</w:t>
            </w:r>
            <w:r w:rsidRPr="004E2623">
              <w:rPr>
                <w:rFonts w:asciiTheme="minorHAnsi" w:eastAsiaTheme="minorHAnsi" w:hAnsiTheme="minorHAnsi" w:cstheme="minorBidi"/>
                <w:sz w:val="22"/>
                <w:szCs w:val="22"/>
              </w:rPr>
              <w:t xml:space="preserve"> (outside of the </w:t>
            </w:r>
            <w:r w:rsidR="00DA376B">
              <w:rPr>
                <w:rFonts w:asciiTheme="minorHAnsi" w:eastAsiaTheme="minorHAnsi" w:hAnsiTheme="minorHAnsi" w:cstheme="minorBidi"/>
                <w:sz w:val="22"/>
                <w:szCs w:val="22"/>
              </w:rPr>
              <w:t>programme</w:t>
            </w:r>
            <w:r w:rsidRPr="004E2623">
              <w:rPr>
                <w:rFonts w:asciiTheme="minorHAnsi" w:eastAsiaTheme="minorHAnsi" w:hAnsiTheme="minorHAnsi" w:cstheme="minorBidi"/>
                <w:sz w:val="22"/>
                <w:szCs w:val="22"/>
              </w:rPr>
              <w:t xml:space="preserve"> lifecycle). TNFD is intended to not just be a compliance exercise, but a fit-for-purpose vehicle that changes behaviour and investment decisions amongst financial institutions and corporates globally resulting in increased natural capital. </w:t>
            </w:r>
            <w:r>
              <w:rPr>
                <w:rFonts w:asciiTheme="minorHAnsi" w:eastAsiaTheme="minorHAnsi" w:hAnsiTheme="minorHAnsi" w:cstheme="minorBidi"/>
                <w:sz w:val="22"/>
                <w:szCs w:val="22"/>
              </w:rPr>
              <w:t>FSD Africa</w:t>
            </w:r>
            <w:r w:rsidRPr="004E2623">
              <w:rPr>
                <w:rFonts w:asciiTheme="minorHAnsi" w:eastAsiaTheme="minorHAnsi" w:hAnsiTheme="minorHAnsi" w:cstheme="minorBidi"/>
                <w:sz w:val="22"/>
                <w:szCs w:val="22"/>
              </w:rPr>
              <w:t xml:space="preserve"> intend to develop indicators as part of Workstream 2 that reflect how TNFD can drive both mitigation and adaptation outcomes through uncovering of risk, capability-building and regulatory support activities as part of the framework development process.</w:t>
            </w:r>
          </w:p>
          <w:p w14:paraId="4BE7D8CA" w14:textId="171A4FD4" w:rsidR="004E2623" w:rsidRPr="004E2623" w:rsidRDefault="004E2623" w:rsidP="004E2623">
            <w:pPr>
              <w:pStyle w:val="ListParagraph"/>
              <w:numPr>
                <w:ilvl w:val="0"/>
                <w:numId w:val="23"/>
              </w:numPr>
              <w:ind w:right="176"/>
              <w:rPr>
                <w:rFonts w:asciiTheme="minorHAnsi" w:eastAsiaTheme="minorHAnsi" w:hAnsiTheme="minorHAnsi" w:cstheme="minorBidi"/>
                <w:sz w:val="22"/>
                <w:szCs w:val="22"/>
              </w:rPr>
            </w:pPr>
            <w:r w:rsidRPr="004E2623">
              <w:rPr>
                <w:rFonts w:asciiTheme="minorHAnsi" w:eastAsiaTheme="minorHAnsi" w:hAnsiTheme="minorHAnsi" w:cstheme="minorBidi"/>
                <w:b/>
                <w:bCs/>
                <w:sz w:val="22"/>
                <w:szCs w:val="22"/>
              </w:rPr>
              <w:lastRenderedPageBreak/>
              <w:t>Addressing fragility and vulnerability:</w:t>
            </w:r>
            <w:r w:rsidRPr="004E2623">
              <w:rPr>
                <w:rFonts w:asciiTheme="minorHAnsi" w:eastAsiaTheme="minorHAnsi" w:hAnsiTheme="minorHAnsi" w:cstheme="minorBidi"/>
                <w:sz w:val="22"/>
                <w:szCs w:val="22"/>
              </w:rPr>
              <w:t xml:space="preserve"> As per the R&amp;R Pillars mission and approach, this </w:t>
            </w:r>
            <w:r>
              <w:rPr>
                <w:rFonts w:asciiTheme="minorHAnsi" w:eastAsiaTheme="minorHAnsi" w:hAnsiTheme="minorHAnsi" w:cstheme="minorBidi"/>
                <w:sz w:val="22"/>
                <w:szCs w:val="22"/>
              </w:rPr>
              <w:t>programme</w:t>
            </w:r>
            <w:r w:rsidRPr="004E2623">
              <w:rPr>
                <w:rFonts w:asciiTheme="minorHAnsi" w:eastAsiaTheme="minorHAnsi" w:hAnsiTheme="minorHAnsi" w:cstheme="minorBidi"/>
                <w:sz w:val="22"/>
                <w:szCs w:val="22"/>
              </w:rPr>
              <w:t xml:space="preserve"> would be framed around capturing and identifying major risks and obstacles to resilience facing Africa. Protecting the lives and livelihoods of those most at risk to natural capital loss (and nature-negative trends) is a high-priority as this addresses critical resilience issues such as food security. Highlighting the risks and opportunities in this space and re-orienting the financial sector towards nature-positive actions will help increase the resilience of those most highly dependent on nature for food and jobs.</w:t>
            </w:r>
          </w:p>
          <w:p w14:paraId="1874A05E" w14:textId="77777777" w:rsidR="004E2623" w:rsidRPr="004E2623" w:rsidRDefault="004E2623" w:rsidP="004E2623">
            <w:pPr>
              <w:pStyle w:val="ListParagraph"/>
              <w:ind w:left="360" w:right="176"/>
              <w:rPr>
                <w:rFonts w:asciiTheme="minorHAnsi" w:eastAsiaTheme="minorHAnsi" w:hAnsiTheme="minorHAnsi" w:cstheme="minorBidi"/>
                <w:sz w:val="22"/>
                <w:szCs w:val="22"/>
              </w:rPr>
            </w:pPr>
          </w:p>
          <w:p w14:paraId="4D38E79A" w14:textId="48310FB0" w:rsidR="004E2623" w:rsidRPr="004E2623" w:rsidRDefault="004E2623" w:rsidP="004E2623">
            <w:pPr>
              <w:pStyle w:val="ListParagraph"/>
              <w:numPr>
                <w:ilvl w:val="0"/>
                <w:numId w:val="15"/>
              </w:numPr>
              <w:ind w:right="176"/>
              <w:rPr>
                <w:rFonts w:asciiTheme="minorHAnsi" w:eastAsiaTheme="minorHAnsi" w:hAnsiTheme="minorHAnsi" w:cstheme="minorBidi"/>
                <w:sz w:val="22"/>
                <w:szCs w:val="22"/>
              </w:rPr>
            </w:pPr>
            <w:r w:rsidRPr="004E2623">
              <w:rPr>
                <w:rFonts w:asciiTheme="minorHAnsi" w:eastAsiaTheme="minorHAnsi" w:hAnsiTheme="minorHAnsi" w:cstheme="minorBidi"/>
                <w:sz w:val="22"/>
                <w:szCs w:val="22"/>
              </w:rPr>
              <w:t xml:space="preserve">In the initial part of the </w:t>
            </w:r>
            <w:r>
              <w:rPr>
                <w:rFonts w:asciiTheme="minorHAnsi" w:eastAsiaTheme="minorHAnsi" w:hAnsiTheme="minorHAnsi" w:cstheme="minorBidi"/>
                <w:sz w:val="22"/>
                <w:szCs w:val="22"/>
              </w:rPr>
              <w:t xml:space="preserve">programme </w:t>
            </w:r>
            <w:r w:rsidRPr="004E2623">
              <w:rPr>
                <w:rFonts w:asciiTheme="minorHAnsi" w:eastAsiaTheme="minorHAnsi" w:hAnsiTheme="minorHAnsi" w:cstheme="minorBidi"/>
                <w:sz w:val="22"/>
                <w:szCs w:val="22"/>
              </w:rPr>
              <w:t xml:space="preserve">work will be undertaken </w:t>
            </w:r>
            <w:r>
              <w:rPr>
                <w:rFonts w:asciiTheme="minorHAnsi" w:eastAsiaTheme="minorHAnsi" w:hAnsiTheme="minorHAnsi" w:cstheme="minorBidi"/>
                <w:sz w:val="22"/>
                <w:szCs w:val="22"/>
              </w:rPr>
              <w:t xml:space="preserve">by FSD Africa </w:t>
            </w:r>
            <w:r w:rsidRPr="004E2623">
              <w:rPr>
                <w:rFonts w:asciiTheme="minorHAnsi" w:eastAsiaTheme="minorHAnsi" w:hAnsiTheme="minorHAnsi" w:cstheme="minorBidi"/>
                <w:sz w:val="22"/>
                <w:szCs w:val="22"/>
              </w:rPr>
              <w:t xml:space="preserve">to develop more specific mapping of impact pathways using </w:t>
            </w:r>
            <w:r w:rsidR="003C5844">
              <w:rPr>
                <w:rFonts w:asciiTheme="minorHAnsi" w:eastAsiaTheme="minorHAnsi" w:hAnsiTheme="minorHAnsi" w:cstheme="minorBidi"/>
                <w:sz w:val="22"/>
                <w:szCs w:val="22"/>
              </w:rPr>
              <w:t>FSD Africa’s</w:t>
            </w:r>
            <w:r w:rsidR="003C5844" w:rsidRPr="004E2623">
              <w:rPr>
                <w:rFonts w:asciiTheme="minorHAnsi" w:eastAsiaTheme="minorHAnsi" w:hAnsiTheme="minorHAnsi" w:cstheme="minorBidi"/>
                <w:sz w:val="22"/>
                <w:szCs w:val="22"/>
              </w:rPr>
              <w:t xml:space="preserve"> </w:t>
            </w:r>
            <w:r w:rsidRPr="004E2623">
              <w:rPr>
                <w:rFonts w:asciiTheme="minorHAnsi" w:eastAsiaTheme="minorHAnsi" w:hAnsiTheme="minorHAnsi" w:cstheme="minorBidi"/>
                <w:sz w:val="22"/>
                <w:szCs w:val="22"/>
              </w:rPr>
              <w:t xml:space="preserve">emerging </w:t>
            </w:r>
            <w:r w:rsidR="003C5844">
              <w:rPr>
                <w:rFonts w:asciiTheme="minorHAnsi" w:eastAsiaTheme="minorHAnsi" w:hAnsiTheme="minorHAnsi" w:cstheme="minorBidi"/>
                <w:sz w:val="22"/>
                <w:szCs w:val="22"/>
              </w:rPr>
              <w:t>Development Impact (</w:t>
            </w:r>
            <w:r w:rsidRPr="004E2623">
              <w:rPr>
                <w:rFonts w:asciiTheme="minorHAnsi" w:eastAsiaTheme="minorHAnsi" w:hAnsiTheme="minorHAnsi" w:cstheme="minorBidi"/>
                <w:sz w:val="22"/>
                <w:szCs w:val="22"/>
              </w:rPr>
              <w:t>DI</w:t>
            </w:r>
            <w:r w:rsidR="003C5844">
              <w:rPr>
                <w:rFonts w:asciiTheme="minorHAnsi" w:eastAsiaTheme="minorHAnsi" w:hAnsiTheme="minorHAnsi" w:cstheme="minorBidi"/>
                <w:sz w:val="22"/>
                <w:szCs w:val="22"/>
              </w:rPr>
              <w:t>)</w:t>
            </w:r>
            <w:r w:rsidRPr="004E2623">
              <w:rPr>
                <w:rFonts w:asciiTheme="minorHAnsi" w:eastAsiaTheme="minorHAnsi" w:hAnsiTheme="minorHAnsi" w:cstheme="minorBidi"/>
                <w:sz w:val="22"/>
                <w:szCs w:val="22"/>
              </w:rPr>
              <w:t xml:space="preserve"> </w:t>
            </w:r>
            <w:r w:rsidR="003C5844">
              <w:rPr>
                <w:rFonts w:asciiTheme="minorHAnsi" w:eastAsiaTheme="minorHAnsi" w:hAnsiTheme="minorHAnsi" w:cstheme="minorBidi"/>
                <w:sz w:val="22"/>
                <w:szCs w:val="22"/>
              </w:rPr>
              <w:t xml:space="preserve">pillar’s </w:t>
            </w:r>
            <w:r w:rsidRPr="004E2623">
              <w:rPr>
                <w:rFonts w:asciiTheme="minorHAnsi" w:eastAsiaTheme="minorHAnsi" w:hAnsiTheme="minorHAnsi" w:cstheme="minorBidi"/>
                <w:sz w:val="22"/>
                <w:szCs w:val="22"/>
              </w:rPr>
              <w:t>‘Green Theory of Change’.</w:t>
            </w:r>
          </w:p>
          <w:p w14:paraId="10329096" w14:textId="16E00AA1" w:rsidR="00FC709F" w:rsidRPr="00FC709F" w:rsidRDefault="00FC709F" w:rsidP="001E2F38">
            <w:pPr>
              <w:pStyle w:val="Table"/>
              <w:jc w:val="left"/>
              <w:rPr>
                <w:sz w:val="22"/>
                <w:szCs w:val="22"/>
              </w:rPr>
            </w:pPr>
          </w:p>
        </w:tc>
      </w:tr>
    </w:tbl>
    <w:p w14:paraId="4D6B6B8E" w14:textId="2D09F93C" w:rsidR="00FC709F" w:rsidRDefault="00FC709F" w:rsidP="00FC709F">
      <w:pPr>
        <w:rPr>
          <w:lang w:eastAsia="en-GB"/>
        </w:rPr>
      </w:pPr>
    </w:p>
    <w:p w14:paraId="72AB33AF" w14:textId="2CEAA5F4" w:rsidR="00FC709F" w:rsidRDefault="00FC709F" w:rsidP="00FC709F">
      <w:pPr>
        <w:rPr>
          <w:lang w:eastAsia="en-GB"/>
        </w:rPr>
      </w:pPr>
    </w:p>
    <w:p w14:paraId="2E3254A5" w14:textId="5BE61754" w:rsidR="00FC709F" w:rsidRDefault="00FC709F" w:rsidP="00FC709F"/>
    <w:p w14:paraId="0DDC7E7C" w14:textId="5EED04EE" w:rsidR="00FC709F" w:rsidRDefault="00FC709F" w:rsidP="00FC709F">
      <w:pPr>
        <w:rPr>
          <w:lang w:eastAsia="en-GB"/>
        </w:rPr>
      </w:pPr>
    </w:p>
    <w:p w14:paraId="45E30CE8" w14:textId="77777777" w:rsidR="00FC709F" w:rsidRPr="00FC709F" w:rsidRDefault="00FC709F" w:rsidP="00FC709F">
      <w:pPr>
        <w:rPr>
          <w:lang w:eastAsia="en-GB"/>
        </w:rPr>
      </w:pPr>
    </w:p>
    <w:sectPr w:rsidR="00FC709F" w:rsidRPr="00FC709F" w:rsidSect="00FC709F">
      <w:headerReference w:type="default" r:id="rId15"/>
      <w:footerReference w:type="default" r:id="rId16"/>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BB5BA" w14:textId="77777777" w:rsidR="001D53E7" w:rsidRDefault="001D53E7" w:rsidP="00053B36">
      <w:r>
        <w:separator/>
      </w:r>
    </w:p>
  </w:endnote>
  <w:endnote w:type="continuationSeparator" w:id="0">
    <w:p w14:paraId="568B9F9D" w14:textId="77777777" w:rsidR="001D53E7" w:rsidRDefault="001D53E7" w:rsidP="00053B36">
      <w:r>
        <w:continuationSeparator/>
      </w:r>
    </w:p>
  </w:endnote>
  <w:endnote w:type="continuationNotice" w:id="1">
    <w:p w14:paraId="0809AA25" w14:textId="77777777" w:rsidR="001D53E7" w:rsidRDefault="001D5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heSansCorrespondence">
    <w:altName w:val="Century Gothic"/>
    <w:charset w:val="00"/>
    <w:family w:val="swiss"/>
    <w:pitch w:val="variable"/>
    <w:sig w:usb0="800000A7"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532948"/>
      <w:docPartObj>
        <w:docPartGallery w:val="Page Numbers (Bottom of Page)"/>
        <w:docPartUnique/>
      </w:docPartObj>
    </w:sdtPr>
    <w:sdtEndPr>
      <w:rPr>
        <w:noProof/>
      </w:rPr>
    </w:sdtEndPr>
    <w:sdtContent>
      <w:p w14:paraId="32E931CE" w14:textId="2980254E" w:rsidR="009A2000" w:rsidRDefault="009A2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4FE5DA" w14:textId="77777777" w:rsidR="009A2000" w:rsidRDefault="009A2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DE44D" w14:textId="77777777" w:rsidR="001D53E7" w:rsidRDefault="001D53E7" w:rsidP="00053B36">
      <w:r>
        <w:separator/>
      </w:r>
    </w:p>
  </w:footnote>
  <w:footnote w:type="continuationSeparator" w:id="0">
    <w:p w14:paraId="64B4BF29" w14:textId="77777777" w:rsidR="001D53E7" w:rsidRDefault="001D53E7" w:rsidP="00053B36">
      <w:r>
        <w:continuationSeparator/>
      </w:r>
    </w:p>
  </w:footnote>
  <w:footnote w:type="continuationNotice" w:id="1">
    <w:p w14:paraId="488A85A1" w14:textId="77777777" w:rsidR="001D53E7" w:rsidRDefault="001D53E7"/>
  </w:footnote>
  <w:footnote w:id="2">
    <w:p w14:paraId="7FB8A425" w14:textId="386BEC79" w:rsidR="009A2000" w:rsidRDefault="009A2000">
      <w:pPr>
        <w:pStyle w:val="FootnoteText"/>
      </w:pPr>
      <w:r>
        <w:rPr>
          <w:rStyle w:val="FootnoteReference"/>
        </w:rPr>
        <w:footnoteRef/>
      </w:r>
      <w:r>
        <w:t xml:space="preserve"> </w:t>
      </w:r>
      <w:hyperlink r:id="rId1" w:history="1">
        <w:r w:rsidRPr="001A7703">
          <w:rPr>
            <w:rStyle w:val="Hyperlink"/>
          </w:rPr>
          <w:t>https://www.weforum.org/reports/the-global-risks-report-2020</w:t>
        </w:r>
      </w:hyperlink>
      <w:r>
        <w:t xml:space="preserve"> and </w:t>
      </w:r>
      <w:hyperlink r:id="rId2" w:history="1">
        <w:r w:rsidRPr="001A7703">
          <w:rPr>
            <w:rStyle w:val="Hyperlink"/>
          </w:rPr>
          <w:t>https://www.weforum.org/reports/nature-risk-rising-why-the-crisis-engulfing-nature-matters-for-business-and-the-economy</w:t>
        </w:r>
      </w:hyperlink>
    </w:p>
  </w:footnote>
  <w:footnote w:id="3">
    <w:p w14:paraId="48DB56C0" w14:textId="06CF70D7" w:rsidR="009A2000" w:rsidRDefault="009A2000">
      <w:pPr>
        <w:pStyle w:val="FootnoteText"/>
      </w:pPr>
      <w:r>
        <w:rPr>
          <w:rStyle w:val="FootnoteReference"/>
        </w:rPr>
        <w:footnoteRef/>
      </w:r>
      <w:r>
        <w:t xml:space="preserve"> </w:t>
      </w:r>
      <w:hyperlink r:id="rId3" w:history="1">
        <w:r>
          <w:rPr>
            <w:rStyle w:val="Hyperlink"/>
          </w:rPr>
          <w:t>WEF_New_Nature_Economy_Report_2020.pdf (weforum.org)</w:t>
        </w:r>
      </w:hyperlink>
    </w:p>
  </w:footnote>
  <w:footnote w:id="4">
    <w:p w14:paraId="4950EAB5" w14:textId="73A9B819" w:rsidR="009A2000" w:rsidRDefault="009A2000">
      <w:pPr>
        <w:pStyle w:val="FootnoteText"/>
      </w:pPr>
      <w:r>
        <w:rPr>
          <w:rStyle w:val="FootnoteReference"/>
        </w:rPr>
        <w:footnoteRef/>
      </w:r>
      <w:r>
        <w:t xml:space="preserve"> </w:t>
      </w:r>
      <w:hyperlink r:id="rId4" w:history="1">
        <w:r>
          <w:rPr>
            <w:rStyle w:val="Hyperlink"/>
          </w:rPr>
          <w:t>Final Report - The Economics of Biodiversity: The Dasgupta Review - GOV.UK (www.gov.uk)</w:t>
        </w:r>
      </w:hyperlink>
    </w:p>
  </w:footnote>
  <w:footnote w:id="5">
    <w:p w14:paraId="525F1434" w14:textId="6A670099" w:rsidR="009A2000" w:rsidRDefault="009A2000">
      <w:pPr>
        <w:pStyle w:val="FootnoteText"/>
      </w:pPr>
      <w:r>
        <w:rPr>
          <w:rStyle w:val="FootnoteReference"/>
        </w:rPr>
        <w:footnoteRef/>
      </w:r>
      <w:r>
        <w:t xml:space="preserve"> i.e. non-rivalry and non-excludability in consumption</w:t>
      </w:r>
    </w:p>
  </w:footnote>
  <w:footnote w:id="6">
    <w:p w14:paraId="05570DC1" w14:textId="65728474" w:rsidR="009A2000" w:rsidRDefault="009A2000">
      <w:pPr>
        <w:pStyle w:val="FootnoteText"/>
      </w:pPr>
      <w:r>
        <w:rPr>
          <w:rStyle w:val="FootnoteReference"/>
        </w:rPr>
        <w:footnoteRef/>
      </w:r>
      <w:r w:rsidRPr="00F67989">
        <w:t>https://www.globallandscapesforum.org/publication/nature-in-scope-a-summary-of-the-proposed-scope-governance-work-plan-communication-and-resourcing-plan-of-the-tnfd/</w:t>
      </w:r>
    </w:p>
  </w:footnote>
  <w:footnote w:id="7">
    <w:p w14:paraId="0FB44F64" w14:textId="755040C3" w:rsidR="009A2000" w:rsidRDefault="009A2000">
      <w:pPr>
        <w:pStyle w:val="FootnoteText"/>
      </w:pPr>
      <w:r>
        <w:rPr>
          <w:rStyle w:val="FootnoteReference"/>
        </w:rPr>
        <w:footnoteRef/>
      </w:r>
      <w:r>
        <w:t xml:space="preserve"> </w:t>
      </w:r>
      <w:r w:rsidRPr="00FC74DE">
        <w:t>https://www.pnas.org/content/115/25/6506</w:t>
      </w:r>
    </w:p>
  </w:footnote>
  <w:footnote w:id="8">
    <w:p w14:paraId="7CCB3435" w14:textId="77777777" w:rsidR="009A2000" w:rsidRDefault="009A2000" w:rsidP="00285CF3">
      <w:pPr>
        <w:pStyle w:val="FootnoteText"/>
      </w:pPr>
      <w:r>
        <w:rPr>
          <w:rStyle w:val="FootnoteReference"/>
        </w:rPr>
        <w:footnoteRef/>
      </w:r>
      <w:r>
        <w:t xml:space="preserve"> </w:t>
      </w:r>
      <w:r w:rsidRPr="005648F8">
        <w:t>https://www.weforum.org/reports/new-nature-economy-report-ii-the-future-of-nature-and-business</w:t>
      </w:r>
    </w:p>
  </w:footnote>
  <w:footnote w:id="9">
    <w:p w14:paraId="7989E1C7" w14:textId="2E704974" w:rsidR="009A2000" w:rsidRDefault="009A2000">
      <w:pPr>
        <w:pStyle w:val="FootnoteText"/>
      </w:pPr>
      <w:r>
        <w:rPr>
          <w:rStyle w:val="FootnoteReference"/>
        </w:rPr>
        <w:footnoteRef/>
      </w:r>
      <w:r>
        <w:t xml:space="preserve"> </w:t>
      </w:r>
      <w:r w:rsidRPr="006F5ECA">
        <w:t>https://devtracker.fcdo.gov.uk/projects/GB-1-205238/summary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FD8D" w14:textId="001AFF91" w:rsidR="009A2000" w:rsidRDefault="009A2000">
    <w:pPr>
      <w:pStyle w:val="Header"/>
    </w:pPr>
    <w:r>
      <w:t>Defra ODA Business Case Addendum template v1.1</w:t>
    </w:r>
  </w:p>
  <w:p w14:paraId="26F950E7" w14:textId="77777777" w:rsidR="009A2000" w:rsidRDefault="009A2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29F2"/>
    <w:multiLevelType w:val="hybridMultilevel"/>
    <w:tmpl w:val="CE4CF5AA"/>
    <w:lvl w:ilvl="0" w:tplc="1116DD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A0B9E"/>
    <w:multiLevelType w:val="hybridMultilevel"/>
    <w:tmpl w:val="CCB83E5E"/>
    <w:lvl w:ilvl="0" w:tplc="1116DDB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4C7BD3"/>
    <w:multiLevelType w:val="hybridMultilevel"/>
    <w:tmpl w:val="7AE659E6"/>
    <w:lvl w:ilvl="0" w:tplc="10A62F96">
      <w:start w:val="1"/>
      <w:numFmt w:val="decimal"/>
      <w:lvlText w:val="%1."/>
      <w:lvlJc w:val="left"/>
      <w:pPr>
        <w:ind w:left="720" w:hanging="360"/>
      </w:pPr>
      <w:rPr>
        <w:rFonts w:ascii="Arial" w:hAnsi="Arial" w:cs="Arial" w:hint="default"/>
        <w:b w:val="0"/>
        <w:i w:val="0"/>
        <w:sz w:val="22"/>
        <w:szCs w:val="22"/>
      </w:rPr>
    </w:lvl>
    <w:lvl w:ilvl="1" w:tplc="1F5EE4C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197609"/>
    <w:multiLevelType w:val="hybridMultilevel"/>
    <w:tmpl w:val="105ABA4C"/>
    <w:lvl w:ilvl="0" w:tplc="1116DD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DF6C4E"/>
    <w:multiLevelType w:val="hybridMultilevel"/>
    <w:tmpl w:val="73DE766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C37B9E"/>
    <w:multiLevelType w:val="hybridMultilevel"/>
    <w:tmpl w:val="44942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00A94"/>
    <w:multiLevelType w:val="hybridMultilevel"/>
    <w:tmpl w:val="FCCE20CA"/>
    <w:lvl w:ilvl="0" w:tplc="0809000F">
      <w:start w:val="1"/>
      <w:numFmt w:val="decimal"/>
      <w:lvlText w:val="%1."/>
      <w:lvlJc w:val="left"/>
      <w:pPr>
        <w:ind w:left="360" w:hanging="360"/>
      </w:pPr>
    </w:lvl>
    <w:lvl w:ilvl="1" w:tplc="08090013">
      <w:start w:val="1"/>
      <w:numFmt w:val="upperRoman"/>
      <w:lvlText w:val="%2."/>
      <w:lvlJc w:val="right"/>
      <w:pPr>
        <w:ind w:left="1080" w:hanging="360"/>
      </w:pPr>
    </w:lvl>
    <w:lvl w:ilvl="2" w:tplc="DA7A0C9E">
      <w:start w:val="1"/>
      <w:numFmt w:val="bullet"/>
      <w:lvlText w:val="-"/>
      <w:lvlJc w:val="left"/>
      <w:pPr>
        <w:ind w:left="1800" w:hanging="180"/>
      </w:pPr>
      <w:rPr>
        <w:rFonts w:ascii="Calibri" w:eastAsiaTheme="minorHAnsi" w:hAnsi="Calibri" w:cstheme="minorBidi"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82112B8"/>
    <w:multiLevelType w:val="hybridMultilevel"/>
    <w:tmpl w:val="AD1213BA"/>
    <w:lvl w:ilvl="0" w:tplc="BFAA4C80">
      <w:numFmt w:val="bullet"/>
      <w:lvlText w:val="•"/>
      <w:lvlJc w:val="left"/>
      <w:pPr>
        <w:ind w:left="720" w:hanging="360"/>
      </w:pPr>
      <w:rPr>
        <w:rFonts w:ascii="Calibri" w:eastAsiaTheme="minorEastAsia" w:hAnsi="Calibri" w:cs="Calibri" w:hint="default"/>
      </w:rPr>
    </w:lvl>
    <w:lvl w:ilvl="1" w:tplc="08090013">
      <w:start w:val="1"/>
      <w:numFmt w:val="upp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DB553A"/>
    <w:multiLevelType w:val="hybridMultilevel"/>
    <w:tmpl w:val="E090A1BC"/>
    <w:lvl w:ilvl="0" w:tplc="0809000F">
      <w:start w:val="1"/>
      <w:numFmt w:val="decimal"/>
      <w:lvlText w:val="%1."/>
      <w:lvlJc w:val="left"/>
      <w:pPr>
        <w:ind w:left="360" w:hanging="360"/>
      </w:pPr>
    </w:lvl>
    <w:lvl w:ilvl="1" w:tplc="08090013">
      <w:start w:val="1"/>
      <w:numFmt w:val="upperRoman"/>
      <w:lvlText w:val="%2."/>
      <w:lvlJc w:val="righ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F4B63B8"/>
    <w:multiLevelType w:val="hybridMultilevel"/>
    <w:tmpl w:val="C70CCF88"/>
    <w:lvl w:ilvl="0" w:tplc="1116DD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AE501A"/>
    <w:multiLevelType w:val="hybridMultilevel"/>
    <w:tmpl w:val="341ED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1B3FEF"/>
    <w:multiLevelType w:val="hybridMultilevel"/>
    <w:tmpl w:val="E6E4517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1032A0C"/>
    <w:multiLevelType w:val="hybridMultilevel"/>
    <w:tmpl w:val="B262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A868F0"/>
    <w:multiLevelType w:val="hybridMultilevel"/>
    <w:tmpl w:val="33D85A7E"/>
    <w:lvl w:ilvl="0" w:tplc="1116DD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4A279E"/>
    <w:multiLevelType w:val="hybridMultilevel"/>
    <w:tmpl w:val="1BA290E6"/>
    <w:lvl w:ilvl="0" w:tplc="BFAA4C80">
      <w:numFmt w:val="bullet"/>
      <w:lvlText w:val="•"/>
      <w:lvlJc w:val="left"/>
      <w:pPr>
        <w:ind w:left="144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9416F2"/>
    <w:multiLevelType w:val="hybridMultilevel"/>
    <w:tmpl w:val="D4CAD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077B41"/>
    <w:multiLevelType w:val="hybridMultilevel"/>
    <w:tmpl w:val="7ACEACCE"/>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B66974"/>
    <w:multiLevelType w:val="hybridMultilevel"/>
    <w:tmpl w:val="A8BEFD5A"/>
    <w:lvl w:ilvl="0" w:tplc="1116DD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C509AC"/>
    <w:multiLevelType w:val="hybridMultilevel"/>
    <w:tmpl w:val="AF422774"/>
    <w:lvl w:ilvl="0" w:tplc="BFAA4C80">
      <w:numFmt w:val="bullet"/>
      <w:lvlText w:val="•"/>
      <w:lvlJc w:val="left"/>
      <w:pPr>
        <w:ind w:left="1440" w:hanging="720"/>
      </w:pPr>
      <w:rPr>
        <w:rFonts w:ascii="Calibri" w:eastAsiaTheme="minorEastAsia" w:hAnsi="Calibri" w:cs="Calibri" w:hint="default"/>
      </w:rPr>
    </w:lvl>
    <w:lvl w:ilvl="1" w:tplc="F27AD678">
      <w:numFmt w:val="bullet"/>
      <w:lvlText w:val=""/>
      <w:lvlJc w:val="left"/>
      <w:pPr>
        <w:ind w:left="2160" w:hanging="720"/>
      </w:pPr>
      <w:rPr>
        <w:rFonts w:ascii="Symbol" w:eastAsiaTheme="minorEastAsia" w:hAnsi="Symbol"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1732317"/>
    <w:multiLevelType w:val="hybridMultilevel"/>
    <w:tmpl w:val="C91A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9E7252"/>
    <w:multiLevelType w:val="hybridMultilevel"/>
    <w:tmpl w:val="FA76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76DCE"/>
    <w:multiLevelType w:val="hybridMultilevel"/>
    <w:tmpl w:val="91C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5A32EB"/>
    <w:multiLevelType w:val="hybridMultilevel"/>
    <w:tmpl w:val="0C1C0DAA"/>
    <w:lvl w:ilvl="0" w:tplc="3FD434AC">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3681676">
    <w:abstractNumId w:val="19"/>
  </w:num>
  <w:num w:numId="2" w16cid:durableId="1346831768">
    <w:abstractNumId w:val="21"/>
  </w:num>
  <w:num w:numId="3" w16cid:durableId="1419016909">
    <w:abstractNumId w:val="15"/>
  </w:num>
  <w:num w:numId="4" w16cid:durableId="1156386229">
    <w:abstractNumId w:val="20"/>
  </w:num>
  <w:num w:numId="5" w16cid:durableId="775713911">
    <w:abstractNumId w:val="12"/>
  </w:num>
  <w:num w:numId="6" w16cid:durableId="504827208">
    <w:abstractNumId w:val="22"/>
  </w:num>
  <w:num w:numId="7" w16cid:durableId="1534421517">
    <w:abstractNumId w:val="2"/>
  </w:num>
  <w:num w:numId="8" w16cid:durableId="1111629986">
    <w:abstractNumId w:val="4"/>
  </w:num>
  <w:num w:numId="9" w16cid:durableId="1910729563">
    <w:abstractNumId w:val="9"/>
  </w:num>
  <w:num w:numId="10" w16cid:durableId="1064135884">
    <w:abstractNumId w:val="0"/>
  </w:num>
  <w:num w:numId="11" w16cid:durableId="949702894">
    <w:abstractNumId w:val="1"/>
  </w:num>
  <w:num w:numId="12" w16cid:durableId="28183973">
    <w:abstractNumId w:val="3"/>
  </w:num>
  <w:num w:numId="13" w16cid:durableId="2055303968">
    <w:abstractNumId w:val="13"/>
  </w:num>
  <w:num w:numId="14" w16cid:durableId="1820461178">
    <w:abstractNumId w:val="17"/>
  </w:num>
  <w:num w:numId="15" w16cid:durableId="806970874">
    <w:abstractNumId w:val="8"/>
  </w:num>
  <w:num w:numId="16" w16cid:durableId="1461538181">
    <w:abstractNumId w:val="6"/>
  </w:num>
  <w:num w:numId="17" w16cid:durableId="1225144574">
    <w:abstractNumId w:val="11"/>
  </w:num>
  <w:num w:numId="18" w16cid:durableId="1057511625">
    <w:abstractNumId w:val="5"/>
  </w:num>
  <w:num w:numId="19" w16cid:durableId="1952853290">
    <w:abstractNumId w:val="18"/>
  </w:num>
  <w:num w:numId="20" w16cid:durableId="122816214">
    <w:abstractNumId w:val="14"/>
  </w:num>
  <w:num w:numId="21" w16cid:durableId="131488861">
    <w:abstractNumId w:val="10"/>
  </w:num>
  <w:num w:numId="22" w16cid:durableId="272829990">
    <w:abstractNumId w:val="16"/>
  </w:num>
  <w:num w:numId="23" w16cid:durableId="11690567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2E5"/>
    <w:rsid w:val="0000288E"/>
    <w:rsid w:val="000144DD"/>
    <w:rsid w:val="0002027B"/>
    <w:rsid w:val="0005310D"/>
    <w:rsid w:val="00053B36"/>
    <w:rsid w:val="00054A58"/>
    <w:rsid w:val="000561EC"/>
    <w:rsid w:val="000843D4"/>
    <w:rsid w:val="00086F7E"/>
    <w:rsid w:val="00087E84"/>
    <w:rsid w:val="000956FB"/>
    <w:rsid w:val="000A719D"/>
    <w:rsid w:val="000C3CEA"/>
    <w:rsid w:val="000D008A"/>
    <w:rsid w:val="000E0FEC"/>
    <w:rsid w:val="000F13EC"/>
    <w:rsid w:val="000F4AB6"/>
    <w:rsid w:val="00110072"/>
    <w:rsid w:val="001322CF"/>
    <w:rsid w:val="0013608C"/>
    <w:rsid w:val="00143D7B"/>
    <w:rsid w:val="001454D4"/>
    <w:rsid w:val="001628C3"/>
    <w:rsid w:val="00167121"/>
    <w:rsid w:val="00194D09"/>
    <w:rsid w:val="001B20B2"/>
    <w:rsid w:val="001D53E7"/>
    <w:rsid w:val="001E1BA9"/>
    <w:rsid w:val="001E2F38"/>
    <w:rsid w:val="001F054B"/>
    <w:rsid w:val="001F7DC1"/>
    <w:rsid w:val="00200CA7"/>
    <w:rsid w:val="00211D59"/>
    <w:rsid w:val="00215973"/>
    <w:rsid w:val="002214B2"/>
    <w:rsid w:val="00222E76"/>
    <w:rsid w:val="00240CE6"/>
    <w:rsid w:val="002446D0"/>
    <w:rsid w:val="00270327"/>
    <w:rsid w:val="00285CF3"/>
    <w:rsid w:val="00291761"/>
    <w:rsid w:val="00294A77"/>
    <w:rsid w:val="002A519D"/>
    <w:rsid w:val="002A6597"/>
    <w:rsid w:val="002E63D5"/>
    <w:rsid w:val="002E7AF3"/>
    <w:rsid w:val="002F7827"/>
    <w:rsid w:val="00305B84"/>
    <w:rsid w:val="00314E76"/>
    <w:rsid w:val="003511DB"/>
    <w:rsid w:val="0035145A"/>
    <w:rsid w:val="00363153"/>
    <w:rsid w:val="00363C5B"/>
    <w:rsid w:val="003651EF"/>
    <w:rsid w:val="003728D0"/>
    <w:rsid w:val="003C5844"/>
    <w:rsid w:val="003F1503"/>
    <w:rsid w:val="00430005"/>
    <w:rsid w:val="004534F1"/>
    <w:rsid w:val="00456247"/>
    <w:rsid w:val="00457FF5"/>
    <w:rsid w:val="004652FE"/>
    <w:rsid w:val="004710A1"/>
    <w:rsid w:val="0049468E"/>
    <w:rsid w:val="004A52E5"/>
    <w:rsid w:val="004D23EB"/>
    <w:rsid w:val="004D3359"/>
    <w:rsid w:val="004E2623"/>
    <w:rsid w:val="004F6DC4"/>
    <w:rsid w:val="00511406"/>
    <w:rsid w:val="00533F9E"/>
    <w:rsid w:val="00534C10"/>
    <w:rsid w:val="00541EDE"/>
    <w:rsid w:val="0055648F"/>
    <w:rsid w:val="00557EB6"/>
    <w:rsid w:val="00575EB6"/>
    <w:rsid w:val="00575FB3"/>
    <w:rsid w:val="00582ED7"/>
    <w:rsid w:val="00591637"/>
    <w:rsid w:val="005A4D62"/>
    <w:rsid w:val="005A52C8"/>
    <w:rsid w:val="005A7D70"/>
    <w:rsid w:val="005C18CB"/>
    <w:rsid w:val="005C2A71"/>
    <w:rsid w:val="005C4B02"/>
    <w:rsid w:val="005D1EA1"/>
    <w:rsid w:val="005D3415"/>
    <w:rsid w:val="005D37E9"/>
    <w:rsid w:val="005D64E0"/>
    <w:rsid w:val="005E13CA"/>
    <w:rsid w:val="005E4212"/>
    <w:rsid w:val="005F791A"/>
    <w:rsid w:val="00614ED8"/>
    <w:rsid w:val="00633982"/>
    <w:rsid w:val="0064115D"/>
    <w:rsid w:val="00653B05"/>
    <w:rsid w:val="0067782E"/>
    <w:rsid w:val="006C5FF1"/>
    <w:rsid w:val="006D0830"/>
    <w:rsid w:val="006D306A"/>
    <w:rsid w:val="006F5ECA"/>
    <w:rsid w:val="006F7CE3"/>
    <w:rsid w:val="00707157"/>
    <w:rsid w:val="00712E18"/>
    <w:rsid w:val="007209BA"/>
    <w:rsid w:val="00747A00"/>
    <w:rsid w:val="00747CB1"/>
    <w:rsid w:val="00747D31"/>
    <w:rsid w:val="00764C19"/>
    <w:rsid w:val="007B1853"/>
    <w:rsid w:val="007C11AF"/>
    <w:rsid w:val="007D09C5"/>
    <w:rsid w:val="007D10AB"/>
    <w:rsid w:val="007D42BD"/>
    <w:rsid w:val="008031D7"/>
    <w:rsid w:val="0080568E"/>
    <w:rsid w:val="0080616D"/>
    <w:rsid w:val="0081743B"/>
    <w:rsid w:val="00827C90"/>
    <w:rsid w:val="00837825"/>
    <w:rsid w:val="00841B10"/>
    <w:rsid w:val="00851291"/>
    <w:rsid w:val="00851707"/>
    <w:rsid w:val="00861910"/>
    <w:rsid w:val="00861CF5"/>
    <w:rsid w:val="00876B91"/>
    <w:rsid w:val="008771A4"/>
    <w:rsid w:val="00882EBD"/>
    <w:rsid w:val="00887BD0"/>
    <w:rsid w:val="0089423F"/>
    <w:rsid w:val="008D7664"/>
    <w:rsid w:val="008F4263"/>
    <w:rsid w:val="008F4489"/>
    <w:rsid w:val="008F4D0C"/>
    <w:rsid w:val="008F6480"/>
    <w:rsid w:val="00921AE1"/>
    <w:rsid w:val="00926904"/>
    <w:rsid w:val="00934315"/>
    <w:rsid w:val="00945EB2"/>
    <w:rsid w:val="00970AA1"/>
    <w:rsid w:val="00981EE4"/>
    <w:rsid w:val="0098417B"/>
    <w:rsid w:val="009A0E9E"/>
    <w:rsid w:val="009A2000"/>
    <w:rsid w:val="009C5220"/>
    <w:rsid w:val="009C569E"/>
    <w:rsid w:val="009F0ACF"/>
    <w:rsid w:val="009F20F5"/>
    <w:rsid w:val="009F3A5E"/>
    <w:rsid w:val="00A044A9"/>
    <w:rsid w:val="00A12C15"/>
    <w:rsid w:val="00A26B98"/>
    <w:rsid w:val="00A274A6"/>
    <w:rsid w:val="00A34828"/>
    <w:rsid w:val="00A35DCD"/>
    <w:rsid w:val="00A366CC"/>
    <w:rsid w:val="00A519D0"/>
    <w:rsid w:val="00A8158F"/>
    <w:rsid w:val="00A91A6F"/>
    <w:rsid w:val="00A93D24"/>
    <w:rsid w:val="00AA01A3"/>
    <w:rsid w:val="00AC46D4"/>
    <w:rsid w:val="00AC5355"/>
    <w:rsid w:val="00AD694B"/>
    <w:rsid w:val="00AF0747"/>
    <w:rsid w:val="00B244E2"/>
    <w:rsid w:val="00B36B73"/>
    <w:rsid w:val="00B571CB"/>
    <w:rsid w:val="00B60772"/>
    <w:rsid w:val="00B809F2"/>
    <w:rsid w:val="00B841C2"/>
    <w:rsid w:val="00B84EFB"/>
    <w:rsid w:val="00B940B6"/>
    <w:rsid w:val="00BA36F5"/>
    <w:rsid w:val="00BB2F04"/>
    <w:rsid w:val="00BD32A6"/>
    <w:rsid w:val="00BD75A4"/>
    <w:rsid w:val="00BE0BC5"/>
    <w:rsid w:val="00BE1759"/>
    <w:rsid w:val="00BF158D"/>
    <w:rsid w:val="00C06031"/>
    <w:rsid w:val="00C23E51"/>
    <w:rsid w:val="00C25A96"/>
    <w:rsid w:val="00C42E5B"/>
    <w:rsid w:val="00C5022A"/>
    <w:rsid w:val="00C558FF"/>
    <w:rsid w:val="00C62327"/>
    <w:rsid w:val="00C76E0D"/>
    <w:rsid w:val="00C80ABC"/>
    <w:rsid w:val="00C91897"/>
    <w:rsid w:val="00C9361F"/>
    <w:rsid w:val="00CB45E5"/>
    <w:rsid w:val="00CB6FB4"/>
    <w:rsid w:val="00CC3FE2"/>
    <w:rsid w:val="00CE0B23"/>
    <w:rsid w:val="00CE1038"/>
    <w:rsid w:val="00CE7BB6"/>
    <w:rsid w:val="00CF24F6"/>
    <w:rsid w:val="00CF2691"/>
    <w:rsid w:val="00D00DFC"/>
    <w:rsid w:val="00D01E6B"/>
    <w:rsid w:val="00D050DA"/>
    <w:rsid w:val="00D22706"/>
    <w:rsid w:val="00D22D9E"/>
    <w:rsid w:val="00D320DF"/>
    <w:rsid w:val="00D71A30"/>
    <w:rsid w:val="00D74712"/>
    <w:rsid w:val="00D7660F"/>
    <w:rsid w:val="00D822E2"/>
    <w:rsid w:val="00D87937"/>
    <w:rsid w:val="00DA162A"/>
    <w:rsid w:val="00DA16E3"/>
    <w:rsid w:val="00DA376B"/>
    <w:rsid w:val="00DA3ED7"/>
    <w:rsid w:val="00DB1381"/>
    <w:rsid w:val="00DB1865"/>
    <w:rsid w:val="00DB37C9"/>
    <w:rsid w:val="00DC2556"/>
    <w:rsid w:val="00DC5BA6"/>
    <w:rsid w:val="00DE08C1"/>
    <w:rsid w:val="00DF01EA"/>
    <w:rsid w:val="00DF7EE9"/>
    <w:rsid w:val="00E0513A"/>
    <w:rsid w:val="00E20753"/>
    <w:rsid w:val="00E256DE"/>
    <w:rsid w:val="00E52BD8"/>
    <w:rsid w:val="00E56680"/>
    <w:rsid w:val="00E60476"/>
    <w:rsid w:val="00E60F5B"/>
    <w:rsid w:val="00E61A53"/>
    <w:rsid w:val="00E63B47"/>
    <w:rsid w:val="00E826E9"/>
    <w:rsid w:val="00E828B8"/>
    <w:rsid w:val="00E96451"/>
    <w:rsid w:val="00EA3A2F"/>
    <w:rsid w:val="00EB215B"/>
    <w:rsid w:val="00EB6DED"/>
    <w:rsid w:val="00EC20D0"/>
    <w:rsid w:val="00ED2C27"/>
    <w:rsid w:val="00ED321A"/>
    <w:rsid w:val="00ED524D"/>
    <w:rsid w:val="00ED56A6"/>
    <w:rsid w:val="00EF2687"/>
    <w:rsid w:val="00F06ECA"/>
    <w:rsid w:val="00F25FC7"/>
    <w:rsid w:val="00F2655F"/>
    <w:rsid w:val="00F310E3"/>
    <w:rsid w:val="00F34A78"/>
    <w:rsid w:val="00F369C1"/>
    <w:rsid w:val="00F4180A"/>
    <w:rsid w:val="00F4330D"/>
    <w:rsid w:val="00F66764"/>
    <w:rsid w:val="00F67989"/>
    <w:rsid w:val="00F7632F"/>
    <w:rsid w:val="00F81B1F"/>
    <w:rsid w:val="00F9175C"/>
    <w:rsid w:val="00F918BC"/>
    <w:rsid w:val="00FA4420"/>
    <w:rsid w:val="00FA5FC4"/>
    <w:rsid w:val="00FA79D4"/>
    <w:rsid w:val="00FC57A7"/>
    <w:rsid w:val="00FC709F"/>
    <w:rsid w:val="00FC74DE"/>
    <w:rsid w:val="1151BCD9"/>
    <w:rsid w:val="141E0B56"/>
    <w:rsid w:val="16579F34"/>
    <w:rsid w:val="1B2F6E07"/>
    <w:rsid w:val="36958235"/>
    <w:rsid w:val="39EBB952"/>
    <w:rsid w:val="3F1ECC16"/>
    <w:rsid w:val="3F9C4A17"/>
    <w:rsid w:val="4167E626"/>
    <w:rsid w:val="41B12696"/>
    <w:rsid w:val="4724C22E"/>
    <w:rsid w:val="4FF3EDE9"/>
    <w:rsid w:val="50790C26"/>
    <w:rsid w:val="5F7AEF8D"/>
    <w:rsid w:val="6485EF4F"/>
    <w:rsid w:val="651F2C79"/>
    <w:rsid w:val="65B5030A"/>
    <w:rsid w:val="6E3BBC3A"/>
    <w:rsid w:val="6FD39B3D"/>
    <w:rsid w:val="75BA410A"/>
    <w:rsid w:val="7D588B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15FB5"/>
  <w15:chartTrackingRefBased/>
  <w15:docId w15:val="{3289D750-0115-4030-93AC-D18DA12BD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B36"/>
    <w:pPr>
      <w:spacing w:after="0" w:line="240" w:lineRule="auto"/>
      <w:jc w:val="both"/>
    </w:pPr>
  </w:style>
  <w:style w:type="paragraph" w:styleId="Heading1">
    <w:name w:val="heading 1"/>
    <w:basedOn w:val="Normal"/>
    <w:next w:val="Normal"/>
    <w:link w:val="Heading1Char"/>
    <w:uiPriority w:val="9"/>
    <w:qFormat/>
    <w:rsid w:val="007C11AF"/>
    <w:pPr>
      <w:shd w:val="clear" w:color="auto" w:fill="008938"/>
      <w:spacing w:after="120" w:line="276" w:lineRule="auto"/>
      <w:outlineLvl w:val="0"/>
    </w:pPr>
    <w:rPr>
      <w:rFonts w:ascii="Calibri" w:eastAsiaTheme="minorEastAsia" w:hAnsi="Calibri" w:cs="Calibri"/>
      <w:b/>
      <w:bCs/>
      <w:caps/>
      <w:color w:val="FFFFFF" w:themeColor="background1"/>
      <w:sz w:val="28"/>
    </w:rPr>
  </w:style>
  <w:style w:type="paragraph" w:styleId="Heading2">
    <w:name w:val="heading 2"/>
    <w:basedOn w:val="Table"/>
    <w:next w:val="Normal"/>
    <w:link w:val="Heading2Char"/>
    <w:uiPriority w:val="9"/>
    <w:unhideWhenUsed/>
    <w:qFormat/>
    <w:rsid w:val="0000288E"/>
    <w:pPr>
      <w:jc w:val="left"/>
      <w:outlineLvl w:val="1"/>
    </w:pPr>
    <w:rPr>
      <w:b/>
      <w:bCs/>
      <w:color w:val="008938"/>
      <w:sz w:val="24"/>
      <w:szCs w:val="24"/>
    </w:rPr>
  </w:style>
  <w:style w:type="paragraph" w:styleId="Heading3">
    <w:name w:val="heading 3"/>
    <w:basedOn w:val="Normal"/>
    <w:next w:val="Normal"/>
    <w:link w:val="Heading3Char"/>
    <w:uiPriority w:val="9"/>
    <w:unhideWhenUsed/>
    <w:qFormat/>
    <w:rsid w:val="004A52E5"/>
    <w:pPr>
      <w:spacing w:before="120" w:after="120" w:line="276" w:lineRule="auto"/>
      <w:outlineLvl w:val="2"/>
    </w:pPr>
    <w:rPr>
      <w:rFonts w:ascii="Calibri" w:eastAsiaTheme="minorEastAsia" w:hAnsi="Calibri" w:cs="Calibri"/>
      <w:caps/>
      <w:color w:val="008938"/>
      <w:spacing w:val="15"/>
    </w:rPr>
  </w:style>
  <w:style w:type="paragraph" w:styleId="Heading4">
    <w:name w:val="heading 4"/>
    <w:basedOn w:val="Normal"/>
    <w:next w:val="Normal"/>
    <w:link w:val="Heading4Char"/>
    <w:uiPriority w:val="9"/>
    <w:unhideWhenUsed/>
    <w:rsid w:val="004A52E5"/>
    <w:pPr>
      <w:pBdr>
        <w:top w:val="dotted" w:sz="6" w:space="2" w:color="5B9BD5" w:themeColor="accent1"/>
      </w:pBdr>
      <w:spacing w:before="200" w:line="276" w:lineRule="auto"/>
      <w:outlineLvl w:val="3"/>
    </w:pPr>
    <w:rPr>
      <w:rFonts w:ascii="Calibri" w:eastAsiaTheme="minorEastAsia" w:hAnsi="Calibri" w:cs="Calibri"/>
      <w:caps/>
      <w:color w:val="008938"/>
      <w:spacing w:val="10"/>
    </w:rPr>
  </w:style>
  <w:style w:type="paragraph" w:styleId="Heading5">
    <w:name w:val="heading 5"/>
    <w:basedOn w:val="Normal"/>
    <w:next w:val="Normal"/>
    <w:link w:val="Heading5Char"/>
    <w:uiPriority w:val="9"/>
    <w:unhideWhenUsed/>
    <w:rsid w:val="004A52E5"/>
    <w:pPr>
      <w:pBdr>
        <w:bottom w:val="single" w:sz="6" w:space="1" w:color="5B9BD5" w:themeColor="accent1"/>
      </w:pBdr>
      <w:spacing w:before="200" w:line="276" w:lineRule="auto"/>
      <w:outlineLvl w:val="4"/>
    </w:pPr>
    <w:rPr>
      <w:rFonts w:ascii="Calibri" w:eastAsiaTheme="minorEastAsia" w:hAnsi="Calibri" w:cs="Calibri"/>
      <w:caps/>
      <w:color w:val="2E74B5" w:themeColor="accent1" w:themeShade="BF"/>
      <w:spacing w:val="10"/>
    </w:rPr>
  </w:style>
  <w:style w:type="paragraph" w:styleId="Heading6">
    <w:name w:val="heading 6"/>
    <w:basedOn w:val="Normal"/>
    <w:next w:val="Normal"/>
    <w:link w:val="Heading6Char"/>
    <w:uiPriority w:val="9"/>
    <w:unhideWhenUsed/>
    <w:rsid w:val="004A52E5"/>
    <w:pPr>
      <w:pBdr>
        <w:bottom w:val="dotted" w:sz="6" w:space="1" w:color="5B9BD5" w:themeColor="accent1"/>
      </w:pBdr>
      <w:spacing w:before="200" w:line="276" w:lineRule="auto"/>
      <w:outlineLvl w:val="5"/>
    </w:pPr>
    <w:rPr>
      <w:rFonts w:ascii="Calibri" w:eastAsiaTheme="minorEastAsia" w:hAnsi="Calibri" w:cs="Calibri"/>
      <w:caps/>
      <w:color w:val="2E74B5" w:themeColor="accent1" w:themeShade="BF"/>
      <w:spacing w:val="10"/>
    </w:rPr>
  </w:style>
  <w:style w:type="paragraph" w:styleId="Heading7">
    <w:name w:val="heading 7"/>
    <w:basedOn w:val="Normal"/>
    <w:next w:val="Normal"/>
    <w:link w:val="Heading7Char"/>
    <w:uiPriority w:val="9"/>
    <w:unhideWhenUsed/>
    <w:rsid w:val="004A52E5"/>
    <w:pPr>
      <w:spacing w:before="200" w:line="276" w:lineRule="auto"/>
      <w:outlineLvl w:val="6"/>
    </w:pPr>
    <w:rPr>
      <w:rFonts w:ascii="Calibri" w:eastAsiaTheme="minorEastAsia" w:hAnsi="Calibri" w:cs="Calibri"/>
      <w:caps/>
      <w:color w:val="2E74B5" w:themeColor="accent1" w:themeShade="BF"/>
      <w:spacing w:val="10"/>
    </w:rPr>
  </w:style>
  <w:style w:type="paragraph" w:styleId="Heading8">
    <w:name w:val="heading 8"/>
    <w:basedOn w:val="Normal"/>
    <w:next w:val="Normal"/>
    <w:link w:val="Heading8Char"/>
    <w:uiPriority w:val="9"/>
    <w:semiHidden/>
    <w:unhideWhenUsed/>
    <w:rsid w:val="004A52E5"/>
    <w:pPr>
      <w:spacing w:before="200" w:line="276" w:lineRule="auto"/>
      <w:outlineLvl w:val="7"/>
    </w:pPr>
    <w:rPr>
      <w:rFonts w:ascii="Calibri" w:eastAsiaTheme="minorEastAsia" w:hAnsi="Calibri" w:cs="Calibri"/>
      <w:caps/>
      <w:spacing w:val="10"/>
      <w:sz w:val="18"/>
      <w:szCs w:val="18"/>
    </w:rPr>
  </w:style>
  <w:style w:type="paragraph" w:styleId="Heading9">
    <w:name w:val="heading 9"/>
    <w:basedOn w:val="Normal"/>
    <w:next w:val="Normal"/>
    <w:link w:val="Heading9Char"/>
    <w:uiPriority w:val="9"/>
    <w:semiHidden/>
    <w:unhideWhenUsed/>
    <w:qFormat/>
    <w:rsid w:val="004A52E5"/>
    <w:pPr>
      <w:spacing w:before="200" w:line="276" w:lineRule="auto"/>
      <w:outlineLvl w:val="8"/>
    </w:pPr>
    <w:rPr>
      <w:rFonts w:ascii="Calibri" w:eastAsiaTheme="minorEastAsia" w:hAnsi="Calibri" w:cs="Calibr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1AF"/>
    <w:rPr>
      <w:rFonts w:ascii="Calibri" w:eastAsiaTheme="minorEastAsia" w:hAnsi="Calibri" w:cs="Calibri"/>
      <w:b/>
      <w:bCs/>
      <w:caps/>
      <w:color w:val="FFFFFF" w:themeColor="background1"/>
      <w:sz w:val="28"/>
      <w:shd w:val="clear" w:color="auto" w:fill="008938"/>
    </w:rPr>
  </w:style>
  <w:style w:type="character" w:customStyle="1" w:styleId="Heading2Char">
    <w:name w:val="Heading 2 Char"/>
    <w:basedOn w:val="DefaultParagraphFont"/>
    <w:link w:val="Heading2"/>
    <w:uiPriority w:val="9"/>
    <w:rsid w:val="0000288E"/>
    <w:rPr>
      <w:rFonts w:eastAsiaTheme="minorEastAsia"/>
      <w:b/>
      <w:bCs/>
      <w:noProof/>
      <w:color w:val="008938"/>
      <w:sz w:val="24"/>
      <w:szCs w:val="24"/>
    </w:rPr>
  </w:style>
  <w:style w:type="character" w:customStyle="1" w:styleId="Heading3Char">
    <w:name w:val="Heading 3 Char"/>
    <w:basedOn w:val="DefaultParagraphFont"/>
    <w:link w:val="Heading3"/>
    <w:uiPriority w:val="9"/>
    <w:rsid w:val="004A52E5"/>
    <w:rPr>
      <w:rFonts w:ascii="Calibri" w:eastAsiaTheme="minorEastAsia" w:hAnsi="Calibri" w:cs="Calibri"/>
      <w:caps/>
      <w:color w:val="008938"/>
      <w:spacing w:val="15"/>
    </w:rPr>
  </w:style>
  <w:style w:type="character" w:customStyle="1" w:styleId="Heading4Char">
    <w:name w:val="Heading 4 Char"/>
    <w:basedOn w:val="DefaultParagraphFont"/>
    <w:link w:val="Heading4"/>
    <w:uiPriority w:val="9"/>
    <w:rsid w:val="004A52E5"/>
    <w:rPr>
      <w:rFonts w:ascii="Calibri" w:eastAsiaTheme="minorEastAsia" w:hAnsi="Calibri" w:cs="Calibri"/>
      <w:caps/>
      <w:color w:val="008938"/>
      <w:spacing w:val="10"/>
    </w:rPr>
  </w:style>
  <w:style w:type="character" w:customStyle="1" w:styleId="Heading5Char">
    <w:name w:val="Heading 5 Char"/>
    <w:basedOn w:val="DefaultParagraphFont"/>
    <w:link w:val="Heading5"/>
    <w:uiPriority w:val="9"/>
    <w:rsid w:val="004A52E5"/>
    <w:rPr>
      <w:rFonts w:ascii="Calibri" w:eastAsiaTheme="minorEastAsia" w:hAnsi="Calibri" w:cs="Calibri"/>
      <w:caps/>
      <w:color w:val="2E74B5" w:themeColor="accent1" w:themeShade="BF"/>
      <w:spacing w:val="10"/>
    </w:rPr>
  </w:style>
  <w:style w:type="character" w:customStyle="1" w:styleId="Heading6Char">
    <w:name w:val="Heading 6 Char"/>
    <w:basedOn w:val="DefaultParagraphFont"/>
    <w:link w:val="Heading6"/>
    <w:uiPriority w:val="9"/>
    <w:rsid w:val="004A52E5"/>
    <w:rPr>
      <w:rFonts w:ascii="Calibri" w:eastAsiaTheme="minorEastAsia" w:hAnsi="Calibri" w:cs="Calibri"/>
      <w:caps/>
      <w:color w:val="2E74B5" w:themeColor="accent1" w:themeShade="BF"/>
      <w:spacing w:val="10"/>
    </w:rPr>
  </w:style>
  <w:style w:type="character" w:customStyle="1" w:styleId="Heading7Char">
    <w:name w:val="Heading 7 Char"/>
    <w:basedOn w:val="DefaultParagraphFont"/>
    <w:link w:val="Heading7"/>
    <w:uiPriority w:val="9"/>
    <w:rsid w:val="004A52E5"/>
    <w:rPr>
      <w:rFonts w:ascii="Calibri" w:eastAsiaTheme="minorEastAsia" w:hAnsi="Calibri" w:cs="Calibri"/>
      <w:caps/>
      <w:color w:val="2E74B5" w:themeColor="accent1" w:themeShade="BF"/>
      <w:spacing w:val="10"/>
    </w:rPr>
  </w:style>
  <w:style w:type="character" w:customStyle="1" w:styleId="Heading8Char">
    <w:name w:val="Heading 8 Char"/>
    <w:basedOn w:val="DefaultParagraphFont"/>
    <w:link w:val="Heading8"/>
    <w:uiPriority w:val="9"/>
    <w:semiHidden/>
    <w:rsid w:val="004A52E5"/>
    <w:rPr>
      <w:rFonts w:ascii="Calibri" w:eastAsiaTheme="minorEastAsia" w:hAnsi="Calibri" w:cs="Calibri"/>
      <w:caps/>
      <w:spacing w:val="10"/>
      <w:sz w:val="18"/>
      <w:szCs w:val="18"/>
    </w:rPr>
  </w:style>
  <w:style w:type="character" w:customStyle="1" w:styleId="Heading9Char">
    <w:name w:val="Heading 9 Char"/>
    <w:basedOn w:val="DefaultParagraphFont"/>
    <w:link w:val="Heading9"/>
    <w:uiPriority w:val="9"/>
    <w:semiHidden/>
    <w:rsid w:val="004A52E5"/>
    <w:rPr>
      <w:rFonts w:ascii="Calibri" w:eastAsiaTheme="minorEastAsia" w:hAnsi="Calibri" w:cs="Calibri"/>
      <w:i/>
      <w:iCs/>
      <w:caps/>
      <w:spacing w:val="10"/>
      <w:sz w:val="18"/>
      <w:szCs w:val="18"/>
    </w:rPr>
  </w:style>
  <w:style w:type="paragraph" w:styleId="Title">
    <w:name w:val="Title"/>
    <w:basedOn w:val="Normal"/>
    <w:next w:val="Normal"/>
    <w:link w:val="TitleChar"/>
    <w:uiPriority w:val="10"/>
    <w:rsid w:val="004A52E5"/>
    <w:pPr>
      <w:spacing w:line="276" w:lineRule="auto"/>
      <w:jc w:val="center"/>
    </w:pPr>
    <w:rPr>
      <w:rFonts w:asciiTheme="majorHAnsi" w:eastAsiaTheme="majorEastAsia" w:hAnsiTheme="majorHAnsi" w:cstheme="majorBidi"/>
      <w:caps/>
      <w:color w:val="5B9BD5" w:themeColor="accent1"/>
      <w:spacing w:val="10"/>
      <w:sz w:val="44"/>
    </w:rPr>
  </w:style>
  <w:style w:type="character" w:customStyle="1" w:styleId="TitleChar">
    <w:name w:val="Title Char"/>
    <w:basedOn w:val="DefaultParagraphFont"/>
    <w:link w:val="Title"/>
    <w:uiPriority w:val="10"/>
    <w:rsid w:val="004A52E5"/>
    <w:rPr>
      <w:rFonts w:asciiTheme="majorHAnsi" w:eastAsiaTheme="majorEastAsia" w:hAnsiTheme="majorHAnsi" w:cstheme="majorBidi"/>
      <w:caps/>
      <w:color w:val="5B9BD5" w:themeColor="accent1"/>
      <w:spacing w:val="10"/>
      <w:sz w:val="44"/>
    </w:rPr>
  </w:style>
  <w:style w:type="table" w:styleId="TableGrid">
    <w:name w:val="Table Grid"/>
    <w:basedOn w:val="TableNormal"/>
    <w:uiPriority w:val="39"/>
    <w:rsid w:val="004A52E5"/>
    <w:pPr>
      <w:spacing w:before="60" w:after="80" w:line="240" w:lineRule="auto"/>
    </w:pPr>
    <w:rPr>
      <w:rFonts w:eastAsiaTheme="minorEastAsia"/>
      <w:sz w:val="20"/>
      <w:szCs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table" w:styleId="LightGrid">
    <w:name w:val="Light Grid"/>
    <w:basedOn w:val="TableNormal"/>
    <w:uiPriority w:val="62"/>
    <w:rsid w:val="004A52E5"/>
    <w:pPr>
      <w:spacing w:after="0" w:line="240" w:lineRule="auto"/>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link w:val="NoSpacingChar"/>
    <w:uiPriority w:val="1"/>
    <w:qFormat/>
    <w:rsid w:val="004A52E5"/>
    <w:pPr>
      <w:spacing w:after="0" w:line="240" w:lineRule="auto"/>
    </w:pPr>
    <w:rPr>
      <w:rFonts w:eastAsiaTheme="minorEastAsia"/>
      <w:sz w:val="20"/>
      <w:szCs w:val="20"/>
    </w:rPr>
  </w:style>
  <w:style w:type="paragraph" w:styleId="Caption">
    <w:name w:val="caption"/>
    <w:basedOn w:val="Normal"/>
    <w:next w:val="Normal"/>
    <w:uiPriority w:val="35"/>
    <w:unhideWhenUsed/>
    <w:qFormat/>
    <w:rsid w:val="004A52E5"/>
    <w:pPr>
      <w:spacing w:line="276" w:lineRule="auto"/>
    </w:pPr>
    <w:rPr>
      <w:rFonts w:ascii="Calibri" w:eastAsiaTheme="minorEastAsia" w:hAnsi="Calibri" w:cs="Calibri"/>
      <w:bCs/>
      <w:color w:val="008938"/>
      <w:szCs w:val="16"/>
    </w:rPr>
  </w:style>
  <w:style w:type="paragraph" w:styleId="Subtitle">
    <w:name w:val="Subtitle"/>
    <w:basedOn w:val="Normal"/>
    <w:next w:val="Normal"/>
    <w:link w:val="SubtitleChar"/>
    <w:uiPriority w:val="11"/>
    <w:rsid w:val="004A52E5"/>
    <w:pPr>
      <w:spacing w:after="500"/>
    </w:pPr>
    <w:rPr>
      <w:rFonts w:ascii="Calibri" w:eastAsiaTheme="minorEastAsia" w:hAnsi="Calibri" w:cs="Calibri"/>
      <w:caps/>
      <w:color w:val="595959" w:themeColor="text1" w:themeTint="A6"/>
      <w:spacing w:val="10"/>
      <w:sz w:val="21"/>
      <w:szCs w:val="21"/>
    </w:rPr>
  </w:style>
  <w:style w:type="character" w:customStyle="1" w:styleId="SubtitleChar">
    <w:name w:val="Subtitle Char"/>
    <w:basedOn w:val="DefaultParagraphFont"/>
    <w:link w:val="Subtitle"/>
    <w:uiPriority w:val="11"/>
    <w:rsid w:val="004A52E5"/>
    <w:rPr>
      <w:rFonts w:ascii="Calibri" w:eastAsiaTheme="minorEastAsia" w:hAnsi="Calibri" w:cs="Calibri"/>
      <w:caps/>
      <w:color w:val="595959" w:themeColor="text1" w:themeTint="A6"/>
      <w:spacing w:val="10"/>
      <w:sz w:val="21"/>
      <w:szCs w:val="21"/>
    </w:rPr>
  </w:style>
  <w:style w:type="character" w:styleId="Strong">
    <w:name w:val="Strong"/>
    <w:uiPriority w:val="22"/>
    <w:rsid w:val="004A52E5"/>
    <w:rPr>
      <w:b/>
      <w:bCs/>
    </w:rPr>
  </w:style>
  <w:style w:type="character" w:styleId="Emphasis">
    <w:name w:val="Emphasis"/>
    <w:uiPriority w:val="20"/>
    <w:rsid w:val="004A52E5"/>
    <w:rPr>
      <w:caps/>
      <w:color w:val="1F4D78" w:themeColor="accent1" w:themeShade="7F"/>
      <w:spacing w:val="5"/>
    </w:rPr>
  </w:style>
  <w:style w:type="character" w:customStyle="1" w:styleId="NoSpacingChar">
    <w:name w:val="No Spacing Char"/>
    <w:link w:val="NoSpacing"/>
    <w:uiPriority w:val="1"/>
    <w:rsid w:val="004A52E5"/>
    <w:rPr>
      <w:rFonts w:eastAsiaTheme="minorEastAsia"/>
      <w:sz w:val="20"/>
      <w:szCs w:val="20"/>
    </w:rPr>
  </w:style>
  <w:style w:type="paragraph" w:styleId="ListParagraph">
    <w:name w:val="List Paragraph"/>
    <w:aliases w:val="Numbered Para 1,Dot pt,No Spacing1,List Paragraph Char Char Char,Indicator Text,List Paragraph1,Bullet Points,MAIN CONTENT,List Paragraph12,F5 List Paragraph,OBC Bullet,Bullet 1,List Paragraph11,Colorful List - Accent 11,Normal numbered,L"/>
    <w:basedOn w:val="Normal"/>
    <w:link w:val="ListParagraphChar"/>
    <w:uiPriority w:val="34"/>
    <w:qFormat/>
    <w:rsid w:val="004A52E5"/>
    <w:pPr>
      <w:spacing w:after="120" w:line="276" w:lineRule="auto"/>
      <w:ind w:left="720"/>
      <w:contextualSpacing/>
    </w:pPr>
    <w:rPr>
      <w:rFonts w:ascii="Calibri" w:eastAsiaTheme="minorEastAsia" w:hAnsi="Calibri" w:cs="Calibri"/>
    </w:rPr>
  </w:style>
  <w:style w:type="paragraph" w:styleId="Quote">
    <w:name w:val="Quote"/>
    <w:basedOn w:val="Normal"/>
    <w:next w:val="Normal"/>
    <w:link w:val="QuoteChar"/>
    <w:uiPriority w:val="29"/>
    <w:rsid w:val="004A52E5"/>
    <w:pPr>
      <w:spacing w:after="120" w:line="276" w:lineRule="auto"/>
    </w:pPr>
    <w:rPr>
      <w:rFonts w:ascii="Calibri" w:eastAsiaTheme="minorEastAsia" w:hAnsi="Calibri" w:cs="Calibri"/>
      <w:i/>
      <w:iCs/>
      <w:sz w:val="24"/>
      <w:szCs w:val="24"/>
    </w:rPr>
  </w:style>
  <w:style w:type="character" w:customStyle="1" w:styleId="QuoteChar">
    <w:name w:val="Quote Char"/>
    <w:basedOn w:val="DefaultParagraphFont"/>
    <w:link w:val="Quote"/>
    <w:uiPriority w:val="29"/>
    <w:rsid w:val="004A52E5"/>
    <w:rPr>
      <w:rFonts w:ascii="Calibri" w:eastAsiaTheme="minorEastAsia" w:hAnsi="Calibri" w:cs="Calibri"/>
      <w:i/>
      <w:iCs/>
      <w:sz w:val="24"/>
      <w:szCs w:val="24"/>
    </w:rPr>
  </w:style>
  <w:style w:type="paragraph" w:styleId="IntenseQuote">
    <w:name w:val="Intense Quote"/>
    <w:basedOn w:val="Normal"/>
    <w:next w:val="Normal"/>
    <w:link w:val="IntenseQuoteChar"/>
    <w:uiPriority w:val="30"/>
    <w:rsid w:val="004A52E5"/>
    <w:pPr>
      <w:spacing w:before="240" w:after="240"/>
      <w:ind w:left="1080" w:right="1080"/>
      <w:jc w:val="center"/>
    </w:pPr>
    <w:rPr>
      <w:rFonts w:ascii="Calibri" w:eastAsiaTheme="minorEastAsia" w:hAnsi="Calibri" w:cs="Calibri"/>
      <w:color w:val="5B9BD5" w:themeColor="accent1"/>
      <w:sz w:val="24"/>
      <w:szCs w:val="24"/>
    </w:rPr>
  </w:style>
  <w:style w:type="character" w:customStyle="1" w:styleId="IntenseQuoteChar">
    <w:name w:val="Intense Quote Char"/>
    <w:basedOn w:val="DefaultParagraphFont"/>
    <w:link w:val="IntenseQuote"/>
    <w:uiPriority w:val="30"/>
    <w:rsid w:val="004A52E5"/>
    <w:rPr>
      <w:rFonts w:ascii="Calibri" w:eastAsiaTheme="minorEastAsia" w:hAnsi="Calibri" w:cs="Calibri"/>
      <w:color w:val="5B9BD5" w:themeColor="accent1"/>
      <w:sz w:val="24"/>
      <w:szCs w:val="24"/>
    </w:rPr>
  </w:style>
  <w:style w:type="character" w:styleId="SubtleEmphasis">
    <w:name w:val="Subtle Emphasis"/>
    <w:uiPriority w:val="19"/>
    <w:rsid w:val="004A52E5"/>
    <w:rPr>
      <w:i/>
      <w:iCs/>
      <w:color w:val="1F4D78" w:themeColor="accent1" w:themeShade="7F"/>
    </w:rPr>
  </w:style>
  <w:style w:type="character" w:styleId="IntenseEmphasis">
    <w:name w:val="Intense Emphasis"/>
    <w:uiPriority w:val="21"/>
    <w:rsid w:val="004A52E5"/>
    <w:rPr>
      <w:b/>
      <w:bCs/>
      <w:caps/>
      <w:color w:val="1F4D78" w:themeColor="accent1" w:themeShade="7F"/>
      <w:spacing w:val="10"/>
    </w:rPr>
  </w:style>
  <w:style w:type="character" w:styleId="SubtleReference">
    <w:name w:val="Subtle Reference"/>
    <w:uiPriority w:val="31"/>
    <w:rsid w:val="004A52E5"/>
    <w:rPr>
      <w:b/>
      <w:bCs/>
      <w:color w:val="5B9BD5" w:themeColor="accent1"/>
    </w:rPr>
  </w:style>
  <w:style w:type="character" w:styleId="IntenseReference">
    <w:name w:val="Intense Reference"/>
    <w:uiPriority w:val="32"/>
    <w:rsid w:val="004A52E5"/>
    <w:rPr>
      <w:b/>
      <w:bCs/>
      <w:i/>
      <w:iCs/>
      <w:caps/>
      <w:color w:val="5B9BD5" w:themeColor="accent1"/>
    </w:rPr>
  </w:style>
  <w:style w:type="character" w:styleId="BookTitle">
    <w:name w:val="Book Title"/>
    <w:uiPriority w:val="33"/>
    <w:rsid w:val="004A52E5"/>
    <w:rPr>
      <w:b/>
      <w:bCs/>
      <w:i/>
      <w:iCs/>
      <w:spacing w:val="0"/>
    </w:rPr>
  </w:style>
  <w:style w:type="paragraph" w:styleId="TOCHeading">
    <w:name w:val="TOC Heading"/>
    <w:basedOn w:val="Heading1"/>
    <w:next w:val="Normal"/>
    <w:uiPriority w:val="39"/>
    <w:unhideWhenUsed/>
    <w:qFormat/>
    <w:rsid w:val="004A52E5"/>
    <w:pPr>
      <w:outlineLvl w:val="9"/>
    </w:pPr>
  </w:style>
  <w:style w:type="character" w:styleId="Hyperlink">
    <w:name w:val="Hyperlink"/>
    <w:basedOn w:val="DefaultParagraphFont"/>
    <w:uiPriority w:val="99"/>
    <w:unhideWhenUsed/>
    <w:rsid w:val="004A52E5"/>
    <w:rPr>
      <w:color w:val="013AD9"/>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L Char"/>
    <w:basedOn w:val="DefaultParagraphFont"/>
    <w:link w:val="ListParagraph"/>
    <w:uiPriority w:val="34"/>
    <w:qFormat/>
    <w:rsid w:val="004A52E5"/>
    <w:rPr>
      <w:rFonts w:ascii="Calibri" w:eastAsiaTheme="minorEastAsia" w:hAnsi="Calibri" w:cs="Calibri"/>
    </w:rPr>
  </w:style>
  <w:style w:type="table" w:customStyle="1" w:styleId="GridTable4-Accent61">
    <w:name w:val="Grid Table 4 - Accent 61"/>
    <w:basedOn w:val="TableNormal"/>
    <w:next w:val="GridTable4-Accent6"/>
    <w:uiPriority w:val="49"/>
    <w:rsid w:val="004A52E5"/>
    <w:pPr>
      <w:spacing w:after="0" w:line="240" w:lineRule="auto"/>
    </w:pPr>
    <w:rPr>
      <w:rFonts w:eastAsiaTheme="minorEastAsia"/>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4A52E5"/>
    <w:pPr>
      <w:spacing w:after="0" w:line="240" w:lineRule="auto"/>
    </w:pPr>
    <w:rPr>
      <w:rFonts w:eastAsiaTheme="minorEastAsia"/>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asicParagraph">
    <w:name w:val="[Basic Paragraph]"/>
    <w:basedOn w:val="Normal"/>
    <w:uiPriority w:val="99"/>
    <w:rsid w:val="004A52E5"/>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character" w:styleId="FollowedHyperlink">
    <w:name w:val="FollowedHyperlink"/>
    <w:basedOn w:val="DefaultParagraphFont"/>
    <w:uiPriority w:val="99"/>
    <w:semiHidden/>
    <w:unhideWhenUsed/>
    <w:rsid w:val="004A52E5"/>
    <w:rPr>
      <w:color w:val="954F72" w:themeColor="followedHyperlink"/>
      <w:u w:val="single"/>
    </w:rPr>
  </w:style>
  <w:style w:type="character" w:styleId="CommentReference">
    <w:name w:val="annotation reference"/>
    <w:basedOn w:val="DefaultParagraphFont"/>
    <w:uiPriority w:val="99"/>
    <w:semiHidden/>
    <w:unhideWhenUsed/>
    <w:rsid w:val="004A52E5"/>
    <w:rPr>
      <w:sz w:val="16"/>
      <w:szCs w:val="16"/>
    </w:rPr>
  </w:style>
  <w:style w:type="paragraph" w:styleId="CommentText">
    <w:name w:val="annotation text"/>
    <w:basedOn w:val="Normal"/>
    <w:link w:val="CommentTextChar"/>
    <w:uiPriority w:val="99"/>
    <w:unhideWhenUsed/>
    <w:rsid w:val="004A52E5"/>
    <w:rPr>
      <w:rFonts w:ascii="Calibri" w:eastAsiaTheme="minorEastAsia" w:hAnsi="Calibri" w:cs="Calibri"/>
    </w:rPr>
  </w:style>
  <w:style w:type="character" w:customStyle="1" w:styleId="CommentTextChar">
    <w:name w:val="Comment Text Char"/>
    <w:basedOn w:val="DefaultParagraphFont"/>
    <w:link w:val="CommentText"/>
    <w:uiPriority w:val="99"/>
    <w:rsid w:val="004A52E5"/>
    <w:rPr>
      <w:rFonts w:ascii="Calibri" w:eastAsiaTheme="minorEastAsia" w:hAnsi="Calibri" w:cs="Calibri"/>
    </w:rPr>
  </w:style>
  <w:style w:type="paragraph" w:styleId="BalloonText">
    <w:name w:val="Balloon Text"/>
    <w:basedOn w:val="Normal"/>
    <w:link w:val="BalloonTextChar"/>
    <w:uiPriority w:val="99"/>
    <w:semiHidden/>
    <w:unhideWhenUsed/>
    <w:rsid w:val="004A52E5"/>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4A52E5"/>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4A52E5"/>
    <w:pPr>
      <w:spacing w:before="200" w:after="200"/>
    </w:pPr>
    <w:rPr>
      <w:b/>
      <w:bCs/>
    </w:rPr>
  </w:style>
  <w:style w:type="character" w:customStyle="1" w:styleId="CommentSubjectChar">
    <w:name w:val="Comment Subject Char"/>
    <w:basedOn w:val="CommentTextChar"/>
    <w:link w:val="CommentSubject"/>
    <w:uiPriority w:val="99"/>
    <w:semiHidden/>
    <w:rsid w:val="004A52E5"/>
    <w:rPr>
      <w:rFonts w:ascii="Calibri" w:eastAsiaTheme="minorEastAsia" w:hAnsi="Calibri" w:cs="Calibri"/>
      <w:b/>
      <w:bCs/>
    </w:rPr>
  </w:style>
  <w:style w:type="paragraph" w:customStyle="1" w:styleId="Default">
    <w:name w:val="Default"/>
    <w:rsid w:val="004A52E5"/>
    <w:pPr>
      <w:autoSpaceDE w:val="0"/>
      <w:autoSpaceDN w:val="0"/>
      <w:adjustRightInd w:val="0"/>
      <w:spacing w:after="0" w:line="240" w:lineRule="auto"/>
    </w:pPr>
    <w:rPr>
      <w:rFonts w:ascii="Calibri" w:eastAsiaTheme="minorEastAsia" w:hAnsi="Calibri" w:cs="Calibri"/>
      <w:color w:val="000000"/>
      <w:sz w:val="24"/>
      <w:szCs w:val="24"/>
    </w:rPr>
  </w:style>
  <w:style w:type="paragraph" w:styleId="TOC2">
    <w:name w:val="toc 2"/>
    <w:basedOn w:val="Normal"/>
    <w:next w:val="Normal"/>
    <w:autoRedefine/>
    <w:uiPriority w:val="39"/>
    <w:unhideWhenUsed/>
    <w:rsid w:val="004A52E5"/>
    <w:pPr>
      <w:tabs>
        <w:tab w:val="right" w:leader="dot" w:pos="9628"/>
      </w:tabs>
      <w:spacing w:after="100" w:line="276" w:lineRule="auto"/>
    </w:pPr>
    <w:rPr>
      <w:rFonts w:ascii="Calibri" w:eastAsiaTheme="minorEastAsia" w:hAnsi="Calibri" w:cs="Calibri"/>
    </w:rPr>
  </w:style>
  <w:style w:type="paragraph" w:styleId="NormalWeb">
    <w:name w:val="Normal (Web)"/>
    <w:basedOn w:val="Normal"/>
    <w:uiPriority w:val="99"/>
    <w:unhideWhenUsed/>
    <w:rsid w:val="004A52E5"/>
    <w:pPr>
      <w:spacing w:before="100" w:beforeAutospacing="1" w:after="100" w:afterAutospacing="1"/>
    </w:pPr>
    <w:rPr>
      <w:rFonts w:ascii="Times New Roman" w:eastAsia="Times New Roman" w:hAnsi="Times New Roman" w:cs="Times New Roman"/>
      <w:sz w:val="24"/>
      <w:szCs w:val="24"/>
      <w:lang w:eastAsia="en-GB"/>
    </w:rPr>
  </w:style>
  <w:style w:type="table" w:styleId="GridTable2-Accent1">
    <w:name w:val="Grid Table 2 Accent 1"/>
    <w:basedOn w:val="TableNormal"/>
    <w:uiPriority w:val="47"/>
    <w:rsid w:val="004A52E5"/>
    <w:pPr>
      <w:spacing w:after="0" w:line="240" w:lineRule="auto"/>
    </w:pPr>
    <w:rPr>
      <w:rFonts w:eastAsiaTheme="minorEastAsia"/>
      <w:sz w:val="20"/>
      <w:szCs w:val="20"/>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3">
    <w:name w:val="toc 3"/>
    <w:basedOn w:val="Normal"/>
    <w:next w:val="Normal"/>
    <w:autoRedefine/>
    <w:uiPriority w:val="39"/>
    <w:unhideWhenUsed/>
    <w:rsid w:val="004A52E5"/>
    <w:pPr>
      <w:spacing w:after="100" w:line="276" w:lineRule="auto"/>
      <w:ind w:left="400"/>
    </w:pPr>
    <w:rPr>
      <w:rFonts w:ascii="Calibri" w:eastAsiaTheme="minorEastAsia" w:hAnsi="Calibri" w:cs="Calibri"/>
    </w:rPr>
  </w:style>
  <w:style w:type="paragraph" w:customStyle="1" w:styleId="Body">
    <w:name w:val="Body"/>
    <w:basedOn w:val="Normal"/>
    <w:link w:val="BodyChar"/>
    <w:qFormat/>
    <w:rsid w:val="00712E18"/>
    <w:rPr>
      <w:rFonts w:eastAsia="Times New Roman"/>
      <w:b/>
      <w:bCs/>
      <w:color w:val="008000"/>
      <w:sz w:val="28"/>
      <w:szCs w:val="28"/>
      <w:lang w:eastAsia="en-GB"/>
    </w:rPr>
  </w:style>
  <w:style w:type="character" w:customStyle="1" w:styleId="BodyChar">
    <w:name w:val="Body Char"/>
    <w:basedOn w:val="DefaultParagraphFont"/>
    <w:link w:val="Body"/>
    <w:rsid w:val="00712E18"/>
    <w:rPr>
      <w:rFonts w:eastAsia="Times New Roman"/>
      <w:b/>
      <w:bCs/>
      <w:color w:val="008000"/>
      <w:sz w:val="28"/>
      <w:szCs w:val="28"/>
      <w:lang w:eastAsia="en-GB"/>
    </w:rPr>
  </w:style>
  <w:style w:type="paragraph" w:styleId="Revision">
    <w:name w:val="Revision"/>
    <w:hidden/>
    <w:uiPriority w:val="99"/>
    <w:semiHidden/>
    <w:rsid w:val="004A52E5"/>
    <w:pPr>
      <w:spacing w:after="0" w:line="240" w:lineRule="auto"/>
    </w:pPr>
    <w:rPr>
      <w:rFonts w:eastAsiaTheme="minorEastAsia"/>
      <w:sz w:val="20"/>
      <w:szCs w:val="20"/>
    </w:rPr>
  </w:style>
  <w:style w:type="paragraph" w:styleId="FootnoteText">
    <w:name w:val="footnote text"/>
    <w:basedOn w:val="Normal"/>
    <w:link w:val="FootnoteTextChar"/>
    <w:uiPriority w:val="99"/>
    <w:qFormat/>
    <w:rsid w:val="004A52E5"/>
    <w:rPr>
      <w:rFonts w:eastAsia="MS Mincho" w:cs="Times New Roman"/>
      <w:sz w:val="16"/>
    </w:rPr>
  </w:style>
  <w:style w:type="character" w:customStyle="1" w:styleId="FootnoteTextChar">
    <w:name w:val="Footnote Text Char"/>
    <w:basedOn w:val="DefaultParagraphFont"/>
    <w:link w:val="FootnoteText"/>
    <w:uiPriority w:val="99"/>
    <w:rsid w:val="004A52E5"/>
    <w:rPr>
      <w:rFonts w:eastAsia="MS Mincho" w:cs="Times New Roman"/>
      <w:sz w:val="16"/>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
    <w:basedOn w:val="DefaultParagraphFont"/>
    <w:uiPriority w:val="99"/>
    <w:qFormat/>
    <w:rsid w:val="004A52E5"/>
    <w:rPr>
      <w:vertAlign w:val="superscript"/>
    </w:rPr>
  </w:style>
  <w:style w:type="paragraph" w:styleId="Header">
    <w:name w:val="header"/>
    <w:basedOn w:val="Normal"/>
    <w:link w:val="HeaderChar"/>
    <w:uiPriority w:val="99"/>
    <w:unhideWhenUsed/>
    <w:rsid w:val="004A52E5"/>
    <w:pPr>
      <w:tabs>
        <w:tab w:val="center" w:pos="4513"/>
        <w:tab w:val="right" w:pos="9026"/>
      </w:tabs>
    </w:pPr>
    <w:rPr>
      <w:rFonts w:ascii="Calibri" w:eastAsiaTheme="minorEastAsia" w:hAnsi="Calibri" w:cs="Calibri"/>
    </w:rPr>
  </w:style>
  <w:style w:type="character" w:customStyle="1" w:styleId="HeaderChar">
    <w:name w:val="Header Char"/>
    <w:basedOn w:val="DefaultParagraphFont"/>
    <w:link w:val="Header"/>
    <w:uiPriority w:val="99"/>
    <w:rsid w:val="004A52E5"/>
    <w:rPr>
      <w:rFonts w:ascii="Calibri" w:eastAsiaTheme="minorEastAsia" w:hAnsi="Calibri" w:cs="Calibri"/>
    </w:rPr>
  </w:style>
  <w:style w:type="paragraph" w:styleId="Footer">
    <w:name w:val="footer"/>
    <w:basedOn w:val="Normal"/>
    <w:link w:val="FooterChar"/>
    <w:uiPriority w:val="99"/>
    <w:unhideWhenUsed/>
    <w:rsid w:val="004A52E5"/>
    <w:pPr>
      <w:tabs>
        <w:tab w:val="center" w:pos="4513"/>
        <w:tab w:val="right" w:pos="9026"/>
      </w:tabs>
    </w:pPr>
    <w:rPr>
      <w:rFonts w:ascii="Calibri" w:eastAsiaTheme="minorEastAsia" w:hAnsi="Calibri" w:cs="Calibri"/>
    </w:rPr>
  </w:style>
  <w:style w:type="character" w:customStyle="1" w:styleId="FooterChar">
    <w:name w:val="Footer Char"/>
    <w:basedOn w:val="DefaultParagraphFont"/>
    <w:link w:val="Footer"/>
    <w:uiPriority w:val="99"/>
    <w:rsid w:val="004A52E5"/>
    <w:rPr>
      <w:rFonts w:ascii="Calibri" w:eastAsiaTheme="minorEastAsia" w:hAnsi="Calibri" w:cs="Calibri"/>
    </w:rPr>
  </w:style>
  <w:style w:type="table" w:customStyle="1" w:styleId="TableGrid0">
    <w:name w:val="TableGrid"/>
    <w:rsid w:val="004A52E5"/>
    <w:pPr>
      <w:spacing w:after="0" w:line="240" w:lineRule="auto"/>
    </w:pPr>
    <w:rPr>
      <w:rFonts w:eastAsiaTheme="minorEastAsia"/>
      <w:lang w:eastAsia="en-GB"/>
    </w:rPr>
    <w:tblPr>
      <w:tblCellMar>
        <w:top w:w="0" w:type="dxa"/>
        <w:left w:w="0" w:type="dxa"/>
        <w:bottom w:w="0" w:type="dxa"/>
        <w:right w:w="0" w:type="dxa"/>
      </w:tblCellMar>
    </w:tblPr>
  </w:style>
  <w:style w:type="paragraph" w:styleId="TOC1">
    <w:name w:val="toc 1"/>
    <w:basedOn w:val="Normal"/>
    <w:next w:val="Normal"/>
    <w:autoRedefine/>
    <w:uiPriority w:val="39"/>
    <w:unhideWhenUsed/>
    <w:rsid w:val="004A52E5"/>
    <w:pPr>
      <w:spacing w:after="100" w:line="276" w:lineRule="auto"/>
    </w:pPr>
    <w:rPr>
      <w:rFonts w:ascii="Calibri" w:eastAsiaTheme="minorEastAsia" w:hAnsi="Calibri" w:cs="Calibri"/>
    </w:rPr>
  </w:style>
  <w:style w:type="character" w:customStyle="1" w:styleId="UnresolvedMention1">
    <w:name w:val="Unresolved Mention1"/>
    <w:basedOn w:val="DefaultParagraphFont"/>
    <w:uiPriority w:val="99"/>
    <w:semiHidden/>
    <w:unhideWhenUsed/>
    <w:rsid w:val="004A52E5"/>
    <w:rPr>
      <w:color w:val="605E5C"/>
      <w:shd w:val="clear" w:color="auto" w:fill="E1DFDD"/>
    </w:rPr>
  </w:style>
  <w:style w:type="character" w:customStyle="1" w:styleId="UnresolvedMention2">
    <w:name w:val="Unresolved Mention2"/>
    <w:basedOn w:val="DefaultParagraphFont"/>
    <w:uiPriority w:val="99"/>
    <w:semiHidden/>
    <w:unhideWhenUsed/>
    <w:rsid w:val="004A52E5"/>
    <w:rPr>
      <w:color w:val="605E5C"/>
      <w:shd w:val="clear" w:color="auto" w:fill="E1DFDD"/>
    </w:rPr>
  </w:style>
  <w:style w:type="table" w:styleId="GridTable2-Accent2">
    <w:name w:val="Grid Table 2 Accent 2"/>
    <w:basedOn w:val="TableNormal"/>
    <w:uiPriority w:val="47"/>
    <w:rsid w:val="004A52E5"/>
    <w:pPr>
      <w:spacing w:after="0" w:line="240" w:lineRule="auto"/>
    </w:pPr>
    <w:rPr>
      <w:rFonts w:eastAsiaTheme="minorEastAsia"/>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ragraph">
    <w:name w:val="paragraph"/>
    <w:basedOn w:val="Normal"/>
    <w:rsid w:val="004A52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A52E5"/>
  </w:style>
  <w:style w:type="character" w:customStyle="1" w:styleId="spellingerror">
    <w:name w:val="spellingerror"/>
    <w:basedOn w:val="DefaultParagraphFont"/>
    <w:rsid w:val="004A52E5"/>
  </w:style>
  <w:style w:type="character" w:customStyle="1" w:styleId="eop">
    <w:name w:val="eop"/>
    <w:basedOn w:val="DefaultParagraphFont"/>
    <w:rsid w:val="004A52E5"/>
  </w:style>
  <w:style w:type="character" w:customStyle="1" w:styleId="contextualspellingandgrammarerror">
    <w:name w:val="contextualspellingandgrammarerror"/>
    <w:basedOn w:val="DefaultParagraphFont"/>
    <w:rsid w:val="004A52E5"/>
  </w:style>
  <w:style w:type="character" w:customStyle="1" w:styleId="normaltextrun1">
    <w:name w:val="normaltextrun1"/>
    <w:basedOn w:val="DefaultParagraphFont"/>
    <w:rsid w:val="004A52E5"/>
  </w:style>
  <w:style w:type="character" w:customStyle="1" w:styleId="UnresolvedMention3">
    <w:name w:val="Unresolved Mention3"/>
    <w:basedOn w:val="DefaultParagraphFont"/>
    <w:uiPriority w:val="99"/>
    <w:semiHidden/>
    <w:unhideWhenUsed/>
    <w:rsid w:val="004A52E5"/>
    <w:rPr>
      <w:color w:val="605E5C"/>
      <w:shd w:val="clear" w:color="auto" w:fill="E1DFDD"/>
    </w:rPr>
  </w:style>
  <w:style w:type="character" w:customStyle="1" w:styleId="UnresolvedMention4">
    <w:name w:val="Unresolved Mention4"/>
    <w:basedOn w:val="DefaultParagraphFont"/>
    <w:uiPriority w:val="99"/>
    <w:semiHidden/>
    <w:unhideWhenUsed/>
    <w:rsid w:val="004A52E5"/>
    <w:rPr>
      <w:color w:val="605E5C"/>
      <w:shd w:val="clear" w:color="auto" w:fill="E1DFDD"/>
    </w:rPr>
  </w:style>
  <w:style w:type="table" w:styleId="ListTable4-Accent1">
    <w:name w:val="List Table 4 Accent 1"/>
    <w:basedOn w:val="TableNormal"/>
    <w:uiPriority w:val="49"/>
    <w:rsid w:val="004A52E5"/>
    <w:pPr>
      <w:spacing w:after="0" w:line="240" w:lineRule="auto"/>
    </w:pPr>
    <w:rPr>
      <w:rFonts w:eastAsiaTheme="minorEastAsia"/>
      <w:sz w:val="20"/>
      <w:szCs w:val="20"/>
    </w:rPr>
    <w:tblPr>
      <w:tblStyleRowBandSize w:val="1"/>
      <w:tblStyleColBandSize w:val="1"/>
      <w:tblBorders>
        <w:top w:val="single" w:sz="6" w:space="0" w:color="008938"/>
        <w:left w:val="single" w:sz="6" w:space="0" w:color="008938"/>
        <w:bottom w:val="single" w:sz="6" w:space="0" w:color="008938"/>
        <w:right w:val="single" w:sz="6" w:space="0" w:color="008938"/>
        <w:insideH w:val="single" w:sz="6" w:space="0" w:color="008938"/>
      </w:tblBorders>
    </w:tblPr>
    <w:tcPr>
      <w:shd w:val="clear" w:color="auto" w:fill="008938"/>
    </w:tc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4A52E5"/>
    <w:pPr>
      <w:spacing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4A52E5"/>
    <w:pPr>
      <w:spacing w:after="0" w:line="240" w:lineRule="auto"/>
    </w:pPr>
    <w:rPr>
      <w:rFonts w:eastAsiaTheme="minorEastAsia"/>
      <w:sz w:val="20"/>
      <w:szCs w:val="20"/>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5">
    <w:name w:val="toc 5"/>
    <w:basedOn w:val="Normal"/>
    <w:next w:val="Normal"/>
    <w:autoRedefine/>
    <w:uiPriority w:val="39"/>
    <w:unhideWhenUsed/>
    <w:rsid w:val="004A52E5"/>
    <w:pPr>
      <w:spacing w:after="100"/>
      <w:ind w:left="880"/>
    </w:pPr>
    <w:rPr>
      <w:rFonts w:eastAsiaTheme="minorEastAsia"/>
      <w:lang w:eastAsia="en-GB"/>
    </w:rPr>
  </w:style>
  <w:style w:type="table" w:styleId="PlainTable2">
    <w:name w:val="Plain Table 2"/>
    <w:basedOn w:val="TableNormal"/>
    <w:uiPriority w:val="42"/>
    <w:rsid w:val="004A52E5"/>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eofFigures">
    <w:name w:val="table of figures"/>
    <w:basedOn w:val="Normal"/>
    <w:next w:val="Normal"/>
    <w:uiPriority w:val="99"/>
    <w:unhideWhenUsed/>
    <w:rsid w:val="004A52E5"/>
    <w:pPr>
      <w:spacing w:line="276" w:lineRule="auto"/>
    </w:pPr>
    <w:rPr>
      <w:rFonts w:ascii="Calibri" w:eastAsiaTheme="minorEastAsia" w:hAnsi="Calibri" w:cs="Calibri"/>
    </w:rPr>
  </w:style>
  <w:style w:type="character" w:customStyle="1" w:styleId="UnresolvedMention5">
    <w:name w:val="Unresolved Mention5"/>
    <w:basedOn w:val="DefaultParagraphFont"/>
    <w:uiPriority w:val="99"/>
    <w:semiHidden/>
    <w:unhideWhenUsed/>
    <w:rsid w:val="004A52E5"/>
    <w:rPr>
      <w:color w:val="605E5C"/>
      <w:shd w:val="clear" w:color="auto" w:fill="E1DFDD"/>
    </w:rPr>
  </w:style>
  <w:style w:type="paragraph" w:customStyle="1" w:styleId="Table">
    <w:name w:val="Table"/>
    <w:basedOn w:val="Normal"/>
    <w:link w:val="TableChar"/>
    <w:qFormat/>
    <w:rsid w:val="00CF2691"/>
    <w:pPr>
      <w:spacing w:before="60"/>
    </w:pPr>
    <w:rPr>
      <w:rFonts w:eastAsiaTheme="minorEastAsia"/>
      <w:noProof/>
      <w:sz w:val="20"/>
      <w:szCs w:val="20"/>
    </w:rPr>
  </w:style>
  <w:style w:type="character" w:customStyle="1" w:styleId="TableChar">
    <w:name w:val="Table Char"/>
    <w:basedOn w:val="DefaultParagraphFont"/>
    <w:link w:val="Table"/>
    <w:rsid w:val="00CF2691"/>
    <w:rPr>
      <w:rFonts w:eastAsiaTheme="minorEastAsia"/>
      <w:noProof/>
      <w:sz w:val="20"/>
      <w:szCs w:val="20"/>
    </w:rPr>
  </w:style>
  <w:style w:type="table" w:styleId="PlainTable1">
    <w:name w:val="Plain Table 1"/>
    <w:basedOn w:val="TableNormal"/>
    <w:uiPriority w:val="41"/>
    <w:rsid w:val="00FC70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143D7B"/>
    <w:pPr>
      <w:tabs>
        <w:tab w:val="center" w:pos="4150"/>
      </w:tabs>
      <w:ind w:left="709"/>
    </w:pPr>
    <w:rPr>
      <w:rFonts w:ascii="TheSansCorrespondence" w:eastAsia="Times New Roman" w:hAnsi="TheSansCorrespondence" w:cs="Times New Roman"/>
      <w:sz w:val="20"/>
      <w:szCs w:val="24"/>
    </w:rPr>
  </w:style>
  <w:style w:type="character" w:customStyle="1" w:styleId="BodyTextChar">
    <w:name w:val="Body Text Char"/>
    <w:basedOn w:val="DefaultParagraphFont"/>
    <w:link w:val="BodyText"/>
    <w:rsid w:val="00143D7B"/>
    <w:rPr>
      <w:rFonts w:ascii="TheSansCorrespondence" w:eastAsia="Times New Roman" w:hAnsi="TheSansCorrespondence" w:cs="Times New Roman"/>
      <w:sz w:val="20"/>
      <w:szCs w:val="24"/>
    </w:rPr>
  </w:style>
  <w:style w:type="character" w:styleId="UnresolvedMention">
    <w:name w:val="Unresolved Mention"/>
    <w:basedOn w:val="DefaultParagraphFont"/>
    <w:uiPriority w:val="99"/>
    <w:unhideWhenUsed/>
    <w:rsid w:val="006F5ECA"/>
    <w:rPr>
      <w:color w:val="605E5C"/>
      <w:shd w:val="clear" w:color="auto" w:fill="E1DFDD"/>
    </w:rPr>
  </w:style>
  <w:style w:type="character" w:styleId="Mention">
    <w:name w:val="Mention"/>
    <w:basedOn w:val="DefaultParagraphFont"/>
    <w:uiPriority w:val="99"/>
    <w:unhideWhenUsed/>
    <w:rsid w:val="007D09C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13057">
      <w:bodyDiv w:val="1"/>
      <w:marLeft w:val="0"/>
      <w:marRight w:val="0"/>
      <w:marTop w:val="0"/>
      <w:marBottom w:val="0"/>
      <w:divBdr>
        <w:top w:val="none" w:sz="0" w:space="0" w:color="auto"/>
        <w:left w:val="none" w:sz="0" w:space="0" w:color="auto"/>
        <w:bottom w:val="none" w:sz="0" w:space="0" w:color="auto"/>
        <w:right w:val="none" w:sz="0" w:space="0" w:color="auto"/>
      </w:divBdr>
    </w:div>
    <w:div w:id="114493402">
      <w:bodyDiv w:val="1"/>
      <w:marLeft w:val="0"/>
      <w:marRight w:val="0"/>
      <w:marTop w:val="0"/>
      <w:marBottom w:val="0"/>
      <w:divBdr>
        <w:top w:val="none" w:sz="0" w:space="0" w:color="auto"/>
        <w:left w:val="none" w:sz="0" w:space="0" w:color="auto"/>
        <w:bottom w:val="none" w:sz="0" w:space="0" w:color="auto"/>
        <w:right w:val="none" w:sz="0" w:space="0" w:color="auto"/>
      </w:divBdr>
    </w:div>
    <w:div w:id="192767954">
      <w:bodyDiv w:val="1"/>
      <w:marLeft w:val="0"/>
      <w:marRight w:val="0"/>
      <w:marTop w:val="0"/>
      <w:marBottom w:val="0"/>
      <w:divBdr>
        <w:top w:val="none" w:sz="0" w:space="0" w:color="auto"/>
        <w:left w:val="none" w:sz="0" w:space="0" w:color="auto"/>
        <w:bottom w:val="none" w:sz="0" w:space="0" w:color="auto"/>
        <w:right w:val="none" w:sz="0" w:space="0" w:color="auto"/>
      </w:divBdr>
    </w:div>
    <w:div w:id="1082022136">
      <w:bodyDiv w:val="1"/>
      <w:marLeft w:val="0"/>
      <w:marRight w:val="0"/>
      <w:marTop w:val="0"/>
      <w:marBottom w:val="0"/>
      <w:divBdr>
        <w:top w:val="none" w:sz="0" w:space="0" w:color="auto"/>
        <w:left w:val="none" w:sz="0" w:space="0" w:color="auto"/>
        <w:bottom w:val="none" w:sz="0" w:space="0" w:color="auto"/>
        <w:right w:val="none" w:sz="0" w:space="0" w:color="auto"/>
      </w:divBdr>
    </w:div>
    <w:div w:id="146566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_rels/footnotes.xml.rels><?xml version="1.0" encoding="UTF-8" standalone="yes"?>
<Relationships xmlns="http://schemas.openxmlformats.org/package/2006/relationships"><Relationship Id="rId3" Type="http://schemas.openxmlformats.org/officeDocument/2006/relationships/hyperlink" Target="http://www3.weforum.org/docs/WEF_New_Nature_Economy_Report_2020.pdf" TargetMode="External"/><Relationship Id="rId2" Type="http://schemas.openxmlformats.org/officeDocument/2006/relationships/hyperlink" Target="https://www.weforum.org/reports/nature-risk-rising-why-the-crisis-engulfing-nature-matters-for-business-and-the-economy" TargetMode="External"/><Relationship Id="rId1" Type="http://schemas.openxmlformats.org/officeDocument/2006/relationships/hyperlink" Target="https://www.weforum.org/reports/the-global-risks-report-2020" TargetMode="External"/><Relationship Id="rId4" Type="http://schemas.openxmlformats.org/officeDocument/2006/relationships/hyperlink" Target="https://www.gov.uk/government/publications/final-report-the-economics-of-biodiversity-the-dasgupta-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lc_EmailFrom xmlns="0f50e317-d97a-4d4b-be23-be7479f90fa5"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axCatchAllLabel xmlns="662745e8-e224-48e8-a2e3-254862b8c2f5" xsi:nil="true"/>
    <dlc_EmailTo xmlns="0f50e317-d97a-4d4b-be23-be7479f90fa5" xsi:nil="true"/>
    <dlc_EmailSubject xmlns="0f50e317-d97a-4d4b-be23-be7479f90fa5" xsi:nil="true"/>
    <Topic xmlns="662745e8-e224-48e8-a2e3-254862b8c2f5">Climate_Change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dlc_EmailReceivedUTC xmlns="0f50e317-d97a-4d4b-be23-be7479f90fa5" xsi:nil="true"/>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dlc_EmailCC xmlns="0f50e317-d97a-4d4b-be23-be7479f90fa5" xsi:nil="true"/>
    <bcb1675984d34ae3a1ed6b6e433c98de xmlns="0f50e317-d97a-4d4b-be23-be7479f90fa5">
      <Terms xmlns="http://schemas.microsoft.com/office/infopath/2007/PartnerControls"/>
    </bcb1675984d34ae3a1ed6b6e433c98de>
    <Team xmlns="662745e8-e224-48e8-a2e3-254862b8c2f5">International</Team>
    <dlc_EmailSentUTC xmlns="0f50e317-d97a-4d4b-be23-be7479f90fa5" xsi:nil="true"/>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peb8f3fab875401ca34a9f28cac46400 xmlns="0f50e317-d97a-4d4b-be23-be7479f90fa5">
      <Terms xmlns="http://schemas.microsoft.com/office/infopath/2007/PartnerControls"/>
    </peb8f3fab875401ca34a9f28cac46400>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1F80BC828DE22449B5D380DCF570D346" ma:contentTypeVersion="87" ma:contentTypeDescription="new Document or upload" ma:contentTypeScope="" ma:versionID="bfd2b357b7ae3001e881b835ab27421d">
  <xsd:schema xmlns:xsd="http://www.w3.org/2001/XMLSchema" xmlns:xs="http://www.w3.org/2001/XMLSchema" xmlns:p="http://schemas.microsoft.com/office/2006/metadata/properties" xmlns:ns2="0f50e317-d97a-4d4b-be23-be7479f90fa5" xmlns:ns3="662745e8-e224-48e8-a2e3-254862b8c2f5" xmlns:ns4="939fabe6-7e13-4a90-a531-f7d49577c378" targetNamespace="http://schemas.microsoft.com/office/2006/metadata/properties" ma:root="true" ma:fieldsID="452b3ec055cadac514980285b0a6714d" ns2:_="" ns3:_="" ns4:_="">
    <xsd:import namespace="0f50e317-d97a-4d4b-be23-be7479f90fa5"/>
    <xsd:import namespace="662745e8-e224-48e8-a2e3-254862b8c2f5"/>
    <xsd:import namespace="939fabe6-7e13-4a90-a531-f7d49577c378"/>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3:HOMigrated" minOccurs="0"/>
                <xsd:element ref="ns3:Team" minOccurs="0"/>
                <xsd:element ref="ns3:Topic" minOccurs="0"/>
                <xsd:element ref="ns3:ddeb1fd0a9ad4436a96525d34737dc44" minOccurs="0"/>
                <xsd:element ref="ns3:k85d23755b3a46b5a51451cf336b2e9b" minOccurs="0"/>
                <xsd:element ref="ns3:fe59e9859d6a491389c5b03567f5dda5" minOccurs="0"/>
                <xsd:element ref="ns3:n7493b4506bf40e28c373b1e51a33445" minOccurs="0"/>
                <xsd:element ref="ns3:TaxCatchAllLabel" minOccurs="0"/>
                <xsd:element ref="ns3:cf401361b24e474cb011be6eb76c0e76" minOccurs="0"/>
                <xsd:element ref="ns2:bcb1675984d34ae3a1ed6b6e433c98de" minOccurs="0"/>
                <xsd:element ref="ns3:lae2bfa7b6474897ab4a53f76ea236c7" minOccurs="0"/>
                <xsd:element ref="ns2:peb8f3fab875401ca34a9f28cac46400"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0e317-d97a-4d4b-be23-be7479f90fa5" elementFormDefault="qualified">
    <xsd:import namespace="http://schemas.microsoft.com/office/2006/documentManagement/types"/>
    <xsd:import namespace="http://schemas.microsoft.com/office/infopath/2007/PartnerControls"/>
    <xsd:element name="dlc_EmailSubject" ma:index="4" nillable="true" ma:displayName="Subject" ma:internalName="dlc_EmailSubject" ma:readOnly="false">
      <xsd:simpleType>
        <xsd:restriction base="dms:Note"/>
      </xsd:simpleType>
    </xsd:element>
    <xsd:element name="dlc_EmailTo" ma:index="5" nillable="true" ma:displayName="To" ma:internalName="dlc_EmailTo" ma:readOnly="false">
      <xsd:simpleType>
        <xsd:restriction base="dms:Note"/>
      </xsd:simpleType>
    </xsd:element>
    <xsd:element name="dlc_EmailFrom" ma:index="6" nillable="true" ma:displayName="From" ma:internalName="dlc_EmailFrom" ma:readOnly="false">
      <xsd:simpleType>
        <xsd:restriction base="dms:Text">
          <xsd:maxLength value="255"/>
        </xsd:restriction>
      </xsd:simpleType>
    </xsd:element>
    <xsd:element name="dlc_EmailCC" ma:index="7" nillable="true" ma:displayName="CC" ma:internalName="dlc_EmailCC" ma:readOnly="false">
      <xsd:simpleType>
        <xsd:restriction base="dms:Note">
          <xsd:maxLength value="255"/>
        </xsd:restriction>
      </xsd:simpleType>
    </xsd:element>
    <xsd:element name="dlc_EmailSentUTC" ma:index="8" nillable="true" ma:displayName="Date Sent" ma:format="DateTime" ma:internalName="dlc_EmailSentUTC" ma:readOnly="false">
      <xsd:simpleType>
        <xsd:restriction base="dms:DateTime"/>
      </xsd:simpleType>
    </xsd:element>
    <xsd:element name="dlc_EmailReceivedUTC" ma:index="9" nillable="true" ma:displayName="Date Received" ma:format="DateTime" ma:internalName="dlc_EmailReceivedUTC" ma:readOnly="false">
      <xsd:simpleType>
        <xsd:restriction base="dms:DateTime"/>
      </xsd:simpleType>
    </xsd:element>
    <xsd:element name="bcb1675984d34ae3a1ed6b6e433c98de" ma:index="31" nillable="true" ma:taxonomy="true" ma:internalName="bcb1675984d34ae3a1ed6b6e433c98de" ma:taxonomyFieldName="Directorate" ma:displayName="Directorate" ma:readOnly="false" ma:fieldId="{bcb16759-84d3-4ae3-a1ed-6b6e433c98de}" ma:sspId="d1117845-93f6-4da3-abaa-fcb4fa669c78" ma:termSetId="a3042207-bc74-4e42-93b3-dbb4e6115b83" ma:anchorId="00000000-0000-0000-0000-000000000000" ma:open="false" ma:isKeyword="false">
      <xsd:complexType>
        <xsd:sequence>
          <xsd:element ref="pc:Terms" minOccurs="0" maxOccurs="1"/>
        </xsd:sequence>
      </xsd:complexType>
    </xsd:element>
    <xsd:element name="peb8f3fab875401ca34a9f28cac46400" ma:index="33" nillable="true" ma:taxonomy="true" ma:internalName="peb8f3fab875401ca34a9f28cac46400" ma:taxonomyFieldName="SecurityClassification" ma:displayName="SecurityClassification" ma:readOnly="false" ma:fieldId="{9eb8f3fa-b875-401c-a34a-9f28cac46400}" ma:sspId="d1117845-93f6-4da3-abaa-fcb4fa669c78" ma:termSetId="cb8bbbf2-2a11-43af-a18e-40ed7c8e4b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HOMigrated" ma:index="15" nillable="true" ma:displayName="Migrated" ma:default="0" ma:internalName="HOMigrated">
      <xsd:simpleType>
        <xsd:restriction base="dms:Boolean"/>
      </xsd:simpleType>
    </xsd:element>
    <xsd:element name="Team" ma:index="17" nillable="true" ma:displayName="Team" ma:default="International" ma:internalName="Team">
      <xsd:simpleType>
        <xsd:restriction base="dms:Text"/>
      </xsd:simpleType>
    </xsd:element>
    <xsd:element name="Topic" ma:index="18" nillable="true" ma:displayName="Topic" ma:default="Climate_Chang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k85d23755b3a46b5a51451cf336b2e9b" ma:index="22" nillable="true" ma:taxonomy="true" ma:internalName="k85d23755b3a46b5a51451cf336b2e9b" ma:taxonomyFieldName="InformationType" ma:displayName="Information Type" ma:readOnly="fals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24" nillable="true" ma:taxonomy="true" ma:internalName="n7493b4506bf40e28c373b1e51a33445" ma:taxonomyFieldName="HOSiteType" ma:displayName="Site type" ma:readOnly="fals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6aa36ca5-392a-411c-bda6-8ea3e20f0f8b}" ma:internalName="TaxCatchAllLabel" ma:readOnly="false" ma:showField="CatchAllDataLabel" ma:web="0f50e317-d97a-4d4b-be23-be7479f90fa5">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28"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lae2bfa7b6474897ab4a53f76ea236c7" ma:index="32"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6aa36ca5-392a-411c-bda6-8ea3e20f0f8b}" ma:internalName="TaxCatchAll" ma:readOnly="false" ma:showField="CatchAllData" ma:web="0f50e317-d97a-4d4b-be23-be7479f90f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9fabe6-7e13-4a90-a531-f7d49577c378"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AutoTags" ma:index="39" nillable="true" ma:displayName="Tags" ma:internalName="MediaServiceAutoTags"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94ADF-4378-43DB-BD90-D2CABCFCD141}">
  <ds:schemaRefs>
    <ds:schemaRef ds:uri="http://schemas.microsoft.com/sharepoint/v3/contenttype/forms"/>
  </ds:schemaRefs>
</ds:datastoreItem>
</file>

<file path=customXml/itemProps2.xml><?xml version="1.0" encoding="utf-8"?>
<ds:datastoreItem xmlns:ds="http://schemas.openxmlformats.org/officeDocument/2006/customXml" ds:itemID="{9B70C8F8-22FA-4256-A148-014323581E02}">
  <ds:schemaRefs>
    <ds:schemaRef ds:uri="http://schemas.microsoft.com/office/2006/metadata/properties"/>
    <ds:schemaRef ds:uri="http://schemas.microsoft.com/office/infopath/2007/PartnerControls"/>
    <ds:schemaRef ds:uri="0f50e317-d97a-4d4b-be23-be7479f90fa5"/>
    <ds:schemaRef ds:uri="662745e8-e224-48e8-a2e3-254862b8c2f5"/>
  </ds:schemaRefs>
</ds:datastoreItem>
</file>

<file path=customXml/itemProps3.xml><?xml version="1.0" encoding="utf-8"?>
<ds:datastoreItem xmlns:ds="http://schemas.openxmlformats.org/officeDocument/2006/customXml" ds:itemID="{6B1FFBC4-D652-4CA6-A2F8-7D722F8CB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0e317-d97a-4d4b-be23-be7479f90fa5"/>
    <ds:schemaRef ds:uri="662745e8-e224-48e8-a2e3-254862b8c2f5"/>
    <ds:schemaRef ds:uri="939fabe6-7e13-4a90-a531-f7d49577c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515B92-A87A-42EC-9CEE-C771A8EFBF74}">
  <ds:schemaRefs>
    <ds:schemaRef ds:uri="Microsoft.SharePoint.Taxonomy.ContentTypeSync"/>
  </ds:schemaRefs>
</ds:datastoreItem>
</file>

<file path=customXml/itemProps5.xml><?xml version="1.0" encoding="utf-8"?>
<ds:datastoreItem xmlns:ds="http://schemas.openxmlformats.org/officeDocument/2006/customXml" ds:itemID="{EB9324D7-3E57-4DDD-B48B-366795540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5142</Words>
  <Characters>29313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Promoting an African voice for TNFD and nature-related financial risk management</vt:lpstr>
    </vt:vector>
  </TitlesOfParts>
  <Company/>
  <LinksUpToDate>false</LinksUpToDate>
  <CharactersWithSpaces>34387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an African voice for TNFD and nature-related financial risk management</dc:title>
  <dc:subject/>
  <dc:creator>Banton, Graham (DEFRA)</dc:creator>
  <cp:keywords/>
  <dc:description/>
  <cp:lastModifiedBy>Cotterill, Michael</cp:lastModifiedBy>
  <cp:revision>5</cp:revision>
  <dcterms:created xsi:type="dcterms:W3CDTF">2022-06-22T16:39:00Z</dcterms:created>
  <dcterms:modified xsi:type="dcterms:W3CDTF">2023-07-19T09:00:00Z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0x010100A5BF1C78D9F64B679A5EBDE1C6598EBC01001F80BC828DE22449B5D380DCF570D346</vt:lpwstr>
  </property>
  <property fmtid="{D5CDD505-2E9C-101B-9397-08002B2CF9AE}" pid="3" name="InformationType">
    <vt:lpwstr/>
  </property>
  <property fmtid="{D5CDD505-2E9C-101B-9397-08002B2CF9AE}" pid="4" name="Distribution">
    <vt:lpwstr>9;#Internal Defra Group|0867f7b3-e76e-40ca-bb1f-5ba341a49230</vt:lpwstr>
  </property>
  <property fmtid="{D5CDD505-2E9C-101B-9397-08002B2CF9AE}" pid="5" name="OrganisationalUnit">
    <vt:lpwstr>8;#Core Defra|026223dd-2e56-4615-868d-7c5bfd566810</vt:lpwstr>
  </property>
  <property fmtid="{D5CDD505-2E9C-101B-9397-08002B2CF9AE}" pid="6" name="Directorate">
    <vt:lpwstr/>
  </property>
  <property fmtid="{D5CDD505-2E9C-101B-9397-08002B2CF9AE}" pid="7" name="HOCopyrightLevel">
    <vt:lpwstr>7;#Crown|69589897-2828-4761-976e-717fd8e631c9</vt:lpwstr>
  </property>
  <property fmtid="{D5CDD505-2E9C-101B-9397-08002B2CF9AE}" pid="8" name="SecurityClassification">
    <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ies>
</file>