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FCA8CE" w14:textId="4626358C" w:rsidR="00CD10EF" w:rsidRDefault="00CD10EF" w:rsidP="00EF36DF">
      <w:bookmarkStart w:id="0" w:name="_Toc505693242"/>
      <w:bookmarkStart w:id="1" w:name="_Toc505691907"/>
      <w:bookmarkStart w:id="2" w:name="_Toc466471580"/>
      <w:bookmarkStart w:id="3" w:name="_GoBack"/>
      <w:bookmarkEnd w:id="3"/>
    </w:p>
    <w:sdt>
      <w:sdtPr>
        <w:id w:val="-664167211"/>
        <w:docPartObj>
          <w:docPartGallery w:val="Cover Pages"/>
          <w:docPartUnique/>
        </w:docPartObj>
      </w:sdtPr>
      <w:sdtContent>
        <w:p w14:paraId="49B03D1C" w14:textId="34E7FCFF" w:rsidR="002C0E8F" w:rsidRPr="004C5667" w:rsidRDefault="00DD7BB7" w:rsidP="00DD7BB7">
          <w:pPr>
            <w:ind w:left="7200" w:firstLine="720"/>
          </w:pPr>
          <w:r>
            <w:t xml:space="preserve"> </w:t>
          </w:r>
        </w:p>
        <w:tbl>
          <w:tblPr>
            <w:tblpPr w:leftFromText="187" w:rightFromText="187" w:vertAnchor="page" w:horzAnchor="margin" w:tblpY="5206"/>
            <w:tblW w:w="4744" w:type="pct"/>
            <w:tblBorders>
              <w:left w:val="single" w:sz="12" w:space="0" w:color="5B9BD5" w:themeColor="accent1"/>
            </w:tblBorders>
            <w:tblCellMar>
              <w:left w:w="144" w:type="dxa"/>
              <w:right w:w="115" w:type="dxa"/>
            </w:tblCellMar>
            <w:tblLook w:val="04A0" w:firstRow="1" w:lastRow="0" w:firstColumn="1" w:lastColumn="0" w:noHBand="0" w:noVBand="1"/>
          </w:tblPr>
          <w:tblGrid>
            <w:gridCol w:w="8916"/>
          </w:tblGrid>
          <w:tr w:rsidR="002C0E8F" w:rsidRPr="004C5667" w14:paraId="66CF65F2" w14:textId="77777777" w:rsidTr="002C0E8F">
            <w:sdt>
              <w:sdtPr>
                <w:rPr>
                  <w:color w:val="2E74B5" w:themeColor="accent1" w:themeShade="BF"/>
                  <w:sz w:val="28"/>
                  <w:szCs w:val="24"/>
                  <w:lang w:val="en-GB"/>
                </w:rPr>
                <w:alias w:val="Company"/>
                <w:id w:val="13406915"/>
                <w:placeholder>
                  <w:docPart w:val="B21C58126FD940288A0E796BCDA5594D"/>
                </w:placeholder>
                <w:dataBinding w:prefixMappings="xmlns:ns0='http://schemas.openxmlformats.org/officeDocument/2006/extended-properties'" w:xpath="/ns0:Properties[1]/ns0:Company[1]" w:storeItemID="{6668398D-A668-4E3E-A5EB-62B293D839F1}"/>
                <w:text/>
              </w:sdtPr>
              <w:sdtContent>
                <w:tc>
                  <w:tcPr>
                    <w:tcW w:w="8916" w:type="dxa"/>
                    <w:tcMar>
                      <w:top w:w="216" w:type="dxa"/>
                      <w:left w:w="115" w:type="dxa"/>
                      <w:bottom w:w="216" w:type="dxa"/>
                      <w:right w:w="115" w:type="dxa"/>
                    </w:tcMar>
                  </w:tcPr>
                  <w:p w14:paraId="20012404" w14:textId="09241D57" w:rsidR="002C0E8F" w:rsidRPr="004C5667" w:rsidRDefault="00BF15A0" w:rsidP="00EF36DF">
                    <w:pPr>
                      <w:pStyle w:val="NoSpacing"/>
                      <w:spacing w:line="276" w:lineRule="auto"/>
                      <w:rPr>
                        <w:color w:val="2E74B5" w:themeColor="accent1" w:themeShade="BF"/>
                        <w:sz w:val="24"/>
                        <w:lang w:val="en-GB"/>
                      </w:rPr>
                    </w:pPr>
                    <w:r>
                      <w:rPr>
                        <w:color w:val="2E74B5" w:themeColor="accent1" w:themeShade="BF"/>
                        <w:sz w:val="28"/>
                        <w:szCs w:val="24"/>
                        <w:lang w:val="en-GB"/>
                      </w:rPr>
                      <w:t>Defra</w:t>
                    </w:r>
                    <w:r w:rsidR="002C0E8F" w:rsidRPr="004C5667">
                      <w:rPr>
                        <w:color w:val="2E74B5" w:themeColor="accent1" w:themeShade="BF"/>
                        <w:sz w:val="28"/>
                        <w:szCs w:val="24"/>
                        <w:lang w:val="en-GB"/>
                      </w:rPr>
                      <w:t xml:space="preserve"> International Climate Finance (ICF)</w:t>
                    </w:r>
                  </w:p>
                </w:tc>
              </w:sdtContent>
            </w:sdt>
          </w:tr>
          <w:tr w:rsidR="002C0E8F" w:rsidRPr="004C5667" w14:paraId="7D371469" w14:textId="77777777" w:rsidTr="00DD7BB7">
            <w:trPr>
              <w:trHeight w:val="80"/>
            </w:trPr>
            <w:tc>
              <w:tcPr>
                <w:tcW w:w="8916" w:type="dxa"/>
              </w:tcPr>
              <w:sdt>
                <w:sdtPr>
                  <w:rPr>
                    <w:sz w:val="28"/>
                    <w:szCs w:val="28"/>
                  </w:rPr>
                  <w:alias w:val="Title"/>
                  <w:id w:val="13406919"/>
                  <w:placeholder>
                    <w:docPart w:val="2A035ABDBBC34D93804F57957154BEED"/>
                  </w:placeholder>
                  <w:dataBinding w:prefixMappings="xmlns:ns0='http://schemas.openxmlformats.org/package/2006/metadata/core-properties' xmlns:ns1='http://purl.org/dc/elements/1.1/'" w:xpath="/ns0:coreProperties[1]/ns1:title[1]" w:storeItemID="{6C3C8BC8-F283-45AE-878A-BAB7291924A1}"/>
                  <w:text/>
                </w:sdtPr>
                <w:sdtContent>
                  <w:p w14:paraId="3D86F378" w14:textId="2963F995" w:rsidR="002C0E8F" w:rsidRPr="00DD7BB7" w:rsidRDefault="00DD7BB7" w:rsidP="00EF36DF">
                    <w:pPr>
                      <w:pStyle w:val="NoSpacing"/>
                      <w:spacing w:line="276" w:lineRule="auto"/>
                      <w:rPr>
                        <w:rFonts w:eastAsiaTheme="majorEastAsia" w:cstheme="majorBidi"/>
                        <w:color w:val="2E74B5" w:themeColor="accent1" w:themeShade="BF"/>
                        <w:sz w:val="88"/>
                        <w:szCs w:val="88"/>
                        <w:lang w:val="en-GB"/>
                      </w:rPr>
                    </w:pPr>
                    <w:r>
                      <w:rPr>
                        <w:sz w:val="28"/>
                        <w:szCs w:val="28"/>
                      </w:rPr>
                      <w:t>GB-GOV-7-ICF-0008-UKBLUECARBONFUND</w:t>
                    </w:r>
                  </w:p>
                </w:sdtContent>
              </w:sdt>
            </w:tc>
          </w:tr>
          <w:tr w:rsidR="002C0E8F" w:rsidRPr="004C5667" w14:paraId="207A90CD" w14:textId="77777777" w:rsidTr="002C0E8F">
            <w:sdt>
              <w:sdtPr>
                <w:rPr>
                  <w:color w:val="2E74B5" w:themeColor="accent1" w:themeShade="BF"/>
                  <w:sz w:val="28"/>
                  <w:szCs w:val="24"/>
                  <w:lang w:val="en-GB"/>
                </w:rPr>
                <w:alias w:val="Subtitle"/>
                <w:id w:val="13406923"/>
                <w:placeholder>
                  <w:docPart w:val="2A586FC91100499D915497D828000F8A"/>
                </w:placeholder>
                <w:dataBinding w:prefixMappings="xmlns:ns0='http://schemas.openxmlformats.org/package/2006/metadata/core-properties' xmlns:ns1='http://purl.org/dc/elements/1.1/'" w:xpath="/ns0:coreProperties[1]/ns1:subject[1]" w:storeItemID="{6C3C8BC8-F283-45AE-878A-BAB7291924A1}"/>
                <w:text/>
              </w:sdtPr>
              <w:sdtContent>
                <w:tc>
                  <w:tcPr>
                    <w:tcW w:w="8916" w:type="dxa"/>
                    <w:tcMar>
                      <w:top w:w="216" w:type="dxa"/>
                      <w:left w:w="115" w:type="dxa"/>
                      <w:bottom w:w="216" w:type="dxa"/>
                      <w:right w:w="115" w:type="dxa"/>
                    </w:tcMar>
                  </w:tcPr>
                  <w:p w14:paraId="45170DD5" w14:textId="54795209" w:rsidR="002C0E8F" w:rsidRPr="004C5667" w:rsidRDefault="0026679C" w:rsidP="00EF36DF">
                    <w:pPr>
                      <w:pStyle w:val="NoSpacing"/>
                      <w:spacing w:line="276" w:lineRule="auto"/>
                      <w:rPr>
                        <w:color w:val="2E74B5" w:themeColor="accent1" w:themeShade="BF"/>
                        <w:sz w:val="24"/>
                        <w:lang w:val="en-GB"/>
                      </w:rPr>
                    </w:pPr>
                    <w:r w:rsidRPr="004C5667">
                      <w:rPr>
                        <w:color w:val="2E74B5" w:themeColor="accent1" w:themeShade="BF"/>
                        <w:sz w:val="28"/>
                        <w:szCs w:val="24"/>
                        <w:lang w:val="en-GB"/>
                      </w:rPr>
                      <w:t>A 2018 ICF Business Case</w:t>
                    </w:r>
                  </w:p>
                </w:tc>
              </w:sdtContent>
            </w:sdt>
          </w:tr>
        </w:tbl>
        <w:p w14:paraId="74F081CB" w14:textId="66BDD8DA" w:rsidR="002C0E8F" w:rsidRPr="004C5667" w:rsidRDefault="002C0E8F" w:rsidP="00EF36DF">
          <w:pPr>
            <w:spacing w:after="120"/>
            <w:jc w:val="center"/>
            <w:rPr>
              <w:rFonts w:asciiTheme="majorHAnsi" w:eastAsiaTheme="majorEastAsia" w:hAnsiTheme="majorHAnsi" w:cstheme="majorBidi"/>
              <w:b/>
              <w:color w:val="2E74B5" w:themeColor="accent1" w:themeShade="BF"/>
              <w:szCs w:val="32"/>
            </w:rPr>
          </w:pPr>
          <w:r w:rsidRPr="00DD7BB7">
            <w:rPr>
              <w:noProof/>
            </w:rPr>
            <mc:AlternateContent>
              <mc:Choice Requires="wps">
                <w:drawing>
                  <wp:anchor distT="45720" distB="45720" distL="114300" distR="114300" simplePos="0" relativeHeight="251658752" behindDoc="0" locked="0" layoutInCell="1" allowOverlap="1" wp14:anchorId="1C350CC6" wp14:editId="2C80BEC0">
                    <wp:simplePos x="0" y="0"/>
                    <wp:positionH relativeFrom="margin">
                      <wp:align>right</wp:align>
                    </wp:positionH>
                    <wp:positionV relativeFrom="paragraph">
                      <wp:posOffset>7957672</wp:posOffset>
                    </wp:positionV>
                    <wp:extent cx="2360930" cy="5429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42925"/>
                            </a:xfrm>
                            <a:prstGeom prst="rect">
                              <a:avLst/>
                            </a:prstGeom>
                            <a:solidFill>
                              <a:srgbClr val="FFFFFF"/>
                            </a:solidFill>
                            <a:ln w="9525">
                              <a:noFill/>
                              <a:miter lim="800000"/>
                              <a:headEnd/>
                              <a:tailEnd/>
                            </a:ln>
                          </wps:spPr>
                          <wps:txbx>
                            <w:txbxContent>
                              <w:p w14:paraId="629C2157" w14:textId="51C84F6D" w:rsidR="009D672A" w:rsidRPr="00906001" w:rsidRDefault="009D672A" w:rsidP="00282C6F">
                                <w:pPr>
                                  <w:jc w:val="right"/>
                                  <w:rPr>
                                    <w:color w:val="2E74B5" w:themeColor="accent1" w:themeShade="BF"/>
                                  </w:rPr>
                                </w:pPr>
                                <w:r>
                                  <w:rPr>
                                    <w:color w:val="2E74B5" w:themeColor="accent1" w:themeShade="BF"/>
                                  </w:rPr>
                                  <w:t>[Redacted]</w:t>
                                </w:r>
                                <w:r w:rsidRPr="00906001">
                                  <w:rPr>
                                    <w:color w:val="2E74B5" w:themeColor="accent1" w:themeShade="BF"/>
                                  </w:rPr>
                                  <w:t>September 2018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C350CC6" id="_x0000_t202" coordsize="21600,21600" o:spt="202" path="m,l,21600r21600,l21600,xe">
                    <v:stroke joinstyle="miter"/>
                    <v:path gradientshapeok="t" o:connecttype="rect"/>
                  </v:shapetype>
                  <v:shape id="Text Box 2" o:spid="_x0000_s1026" type="#_x0000_t202" style="position:absolute;left:0;text-align:left;margin-left:134.7pt;margin-top:626.6pt;width:185.9pt;height:42.75pt;z-index:25165875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" stroked="f">
                    <v:textbox>
                      <w:txbxContent>
                        <w:p w14:paraId="629C2157" w14:textId="51C84F6D" w:rsidR="009D672A" w:rsidRPr="00906001" w:rsidRDefault="009D672A" w:rsidP="00282C6F">
                          <w:pPr>
                            <w:jc w:val="right"/>
                            <w:rPr>
                              <w:color w:val="2E74B5" w:themeColor="accent1" w:themeShade="BF"/>
                            </w:rPr>
                          </w:pPr>
                          <w:r>
                            <w:rPr>
                              <w:color w:val="2E74B5" w:themeColor="accent1" w:themeShade="BF"/>
                            </w:rPr>
                            <w:t>[Redacted]</w:t>
                          </w:r>
                          <w:r w:rsidRPr="00906001">
                            <w:rPr>
                              <w:color w:val="2E74B5" w:themeColor="accent1" w:themeShade="BF"/>
                            </w:rPr>
                            <w:t>September 2018</w:t>
                          </w:r>
                        </w:p>
                      </w:txbxContent>
                    </v:textbox>
                    <w10:wrap type="square" anchorx="margin"/>
                  </v:shape>
                </w:pict>
              </mc:Fallback>
            </mc:AlternateContent>
          </w:r>
          <w:r w:rsidRPr="00DD7BB7">
            <w:br w:type="page"/>
          </w:r>
        </w:p>
      </w:sdtContent>
    </w:sdt>
    <w:sdt>
      <w:sdtPr>
        <w:rPr>
          <w:rFonts w:ascii="Calibri" w:eastAsia="Calibri" w:hAnsi="Calibri" w:cs="Times New Roman"/>
          <w:color w:val="auto"/>
          <w:sz w:val="22"/>
          <w:szCs w:val="22"/>
          <w:lang w:val="en-GB" w:eastAsia="en-GB"/>
        </w:rPr>
        <w:id w:val="-1557232286"/>
        <w:docPartObj>
          <w:docPartGallery w:val="Table of Contents"/>
          <w:docPartUnique/>
        </w:docPartObj>
      </w:sdtPr>
      <w:sdtEndPr>
        <w:rPr>
          <w:b/>
          <w:bCs/>
          <w:noProof/>
        </w:rPr>
      </w:sdtEndPr>
      <w:sdtContent>
        <w:p w14:paraId="37D83B37" w14:textId="51229E9E" w:rsidR="002C0E8F" w:rsidRPr="004C5667" w:rsidRDefault="00A7387A" w:rsidP="00EF36DF">
          <w:pPr>
            <w:pStyle w:val="TOCHeading"/>
            <w:spacing w:line="276" w:lineRule="auto"/>
            <w:rPr>
              <w:lang w:val="en-GB"/>
            </w:rPr>
          </w:pPr>
          <w:r>
            <w:rPr>
              <w:lang w:val="en-GB"/>
            </w:rPr>
            <w:t>Table of C</w:t>
          </w:r>
          <w:r w:rsidR="002C0E8F" w:rsidRPr="004C5667">
            <w:rPr>
              <w:lang w:val="en-GB"/>
            </w:rPr>
            <w:t>ontents</w:t>
          </w:r>
        </w:p>
        <w:p w14:paraId="75839D5E" w14:textId="77777777" w:rsidR="004E73AE" w:rsidRDefault="002C0E8F">
          <w:pPr>
            <w:pStyle w:val="TOC1"/>
            <w:tabs>
              <w:tab w:val="left" w:pos="440"/>
              <w:tab w:val="right" w:leader="dot" w:pos="9402"/>
            </w:tabs>
            <w:rPr>
              <w:rFonts w:asciiTheme="minorHAnsi" w:eastAsiaTheme="minorEastAsia" w:hAnsiTheme="minorHAnsi" w:cstheme="minorBidi"/>
              <w:noProof/>
            </w:rPr>
          </w:pPr>
          <w:r w:rsidRPr="004C5667">
            <w:rPr>
              <w:b/>
              <w:bCs/>
              <w:noProof/>
            </w:rPr>
            <w:fldChar w:fldCharType="begin"/>
          </w:r>
          <w:r w:rsidRPr="004C5667">
            <w:rPr>
              <w:b/>
              <w:bCs/>
              <w:noProof/>
            </w:rPr>
            <w:instrText xml:space="preserve"> TOC \o "1-2" \h \z \u </w:instrText>
          </w:r>
          <w:r w:rsidRPr="004C5667">
            <w:rPr>
              <w:b/>
              <w:bCs/>
              <w:noProof/>
            </w:rPr>
            <w:fldChar w:fldCharType="separate"/>
          </w:r>
          <w:hyperlink w:anchor="_Toc527027956" w:history="1">
            <w:r w:rsidR="004E73AE" w:rsidRPr="002921C4">
              <w:rPr>
                <w:rStyle w:val="Hyperlink"/>
                <w:noProof/>
              </w:rPr>
              <w:t>1.</w:t>
            </w:r>
            <w:r w:rsidR="004E73AE">
              <w:rPr>
                <w:rFonts w:asciiTheme="minorHAnsi" w:eastAsiaTheme="minorEastAsia" w:hAnsiTheme="minorHAnsi" w:cstheme="minorBidi"/>
                <w:noProof/>
              </w:rPr>
              <w:tab/>
            </w:r>
            <w:r w:rsidR="004E73AE" w:rsidRPr="002921C4">
              <w:rPr>
                <w:rStyle w:val="Hyperlink"/>
                <w:noProof/>
              </w:rPr>
              <w:t>Intervention Summary</w:t>
            </w:r>
            <w:r w:rsidR="004E73AE">
              <w:rPr>
                <w:noProof/>
                <w:webHidden/>
              </w:rPr>
              <w:tab/>
            </w:r>
            <w:r w:rsidR="004E73AE">
              <w:rPr>
                <w:noProof/>
                <w:webHidden/>
              </w:rPr>
              <w:fldChar w:fldCharType="begin"/>
            </w:r>
            <w:r w:rsidR="004E73AE">
              <w:rPr>
                <w:noProof/>
                <w:webHidden/>
              </w:rPr>
              <w:instrText xml:space="preserve"> PAGEREF _Toc527027956 \h </w:instrText>
            </w:r>
            <w:r w:rsidR="004E73AE">
              <w:rPr>
                <w:noProof/>
                <w:webHidden/>
              </w:rPr>
            </w:r>
            <w:r w:rsidR="004E73AE">
              <w:rPr>
                <w:noProof/>
                <w:webHidden/>
              </w:rPr>
              <w:fldChar w:fldCharType="separate"/>
            </w:r>
            <w:r w:rsidR="009D672A">
              <w:rPr>
                <w:noProof/>
                <w:webHidden/>
              </w:rPr>
              <w:t>4</w:t>
            </w:r>
            <w:r w:rsidR="004E73AE">
              <w:rPr>
                <w:noProof/>
                <w:webHidden/>
              </w:rPr>
              <w:fldChar w:fldCharType="end"/>
            </w:r>
          </w:hyperlink>
        </w:p>
        <w:p w14:paraId="55390952"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57" w:history="1">
            <w:r w:rsidR="004E73AE" w:rsidRPr="002921C4">
              <w:rPr>
                <w:rStyle w:val="Hyperlink"/>
                <w:noProof/>
              </w:rPr>
              <w:t>1.1.</w:t>
            </w:r>
            <w:r w:rsidR="004E73AE">
              <w:rPr>
                <w:rFonts w:asciiTheme="minorHAnsi" w:eastAsiaTheme="minorEastAsia" w:hAnsiTheme="minorHAnsi" w:cstheme="minorBidi"/>
                <w:noProof/>
              </w:rPr>
              <w:tab/>
            </w:r>
            <w:r w:rsidR="004E73AE" w:rsidRPr="002921C4">
              <w:rPr>
                <w:rStyle w:val="Hyperlink"/>
                <w:noProof/>
              </w:rPr>
              <w:t>UK Support</w:t>
            </w:r>
            <w:r w:rsidR="004E73AE">
              <w:rPr>
                <w:noProof/>
                <w:webHidden/>
              </w:rPr>
              <w:tab/>
            </w:r>
            <w:r w:rsidR="004E73AE">
              <w:rPr>
                <w:noProof/>
                <w:webHidden/>
              </w:rPr>
              <w:fldChar w:fldCharType="begin"/>
            </w:r>
            <w:r w:rsidR="004E73AE">
              <w:rPr>
                <w:noProof/>
                <w:webHidden/>
              </w:rPr>
              <w:instrText xml:space="preserve"> PAGEREF _Toc527027957 \h </w:instrText>
            </w:r>
            <w:r w:rsidR="004E73AE">
              <w:rPr>
                <w:noProof/>
                <w:webHidden/>
              </w:rPr>
            </w:r>
            <w:r w:rsidR="004E73AE">
              <w:rPr>
                <w:noProof/>
                <w:webHidden/>
              </w:rPr>
              <w:fldChar w:fldCharType="separate"/>
            </w:r>
            <w:r>
              <w:rPr>
                <w:noProof/>
                <w:webHidden/>
              </w:rPr>
              <w:t>4</w:t>
            </w:r>
            <w:r w:rsidR="004E73AE">
              <w:rPr>
                <w:noProof/>
                <w:webHidden/>
              </w:rPr>
              <w:fldChar w:fldCharType="end"/>
            </w:r>
          </w:hyperlink>
        </w:p>
        <w:p w14:paraId="08277778"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58" w:history="1">
            <w:r w:rsidR="004E73AE" w:rsidRPr="002921C4">
              <w:rPr>
                <w:rStyle w:val="Hyperlink"/>
                <w:noProof/>
              </w:rPr>
              <w:t>1.2.</w:t>
            </w:r>
            <w:r w:rsidR="004E73AE">
              <w:rPr>
                <w:rFonts w:asciiTheme="minorHAnsi" w:eastAsiaTheme="minorEastAsia" w:hAnsiTheme="minorHAnsi" w:cstheme="minorBidi"/>
                <w:noProof/>
              </w:rPr>
              <w:tab/>
            </w:r>
            <w:r w:rsidR="004E73AE" w:rsidRPr="002921C4">
              <w:rPr>
                <w:rStyle w:val="Hyperlink"/>
                <w:noProof/>
              </w:rPr>
              <w:t>What are the main programme activities?</w:t>
            </w:r>
            <w:r w:rsidR="004E73AE">
              <w:rPr>
                <w:noProof/>
                <w:webHidden/>
              </w:rPr>
              <w:tab/>
            </w:r>
            <w:r w:rsidR="004E73AE">
              <w:rPr>
                <w:noProof/>
                <w:webHidden/>
              </w:rPr>
              <w:fldChar w:fldCharType="begin"/>
            </w:r>
            <w:r w:rsidR="004E73AE">
              <w:rPr>
                <w:noProof/>
                <w:webHidden/>
              </w:rPr>
              <w:instrText xml:space="preserve"> PAGEREF _Toc527027958 \h </w:instrText>
            </w:r>
            <w:r w:rsidR="004E73AE">
              <w:rPr>
                <w:noProof/>
                <w:webHidden/>
              </w:rPr>
            </w:r>
            <w:r w:rsidR="004E73AE">
              <w:rPr>
                <w:noProof/>
                <w:webHidden/>
              </w:rPr>
              <w:fldChar w:fldCharType="separate"/>
            </w:r>
            <w:r>
              <w:rPr>
                <w:noProof/>
                <w:webHidden/>
              </w:rPr>
              <w:t>4</w:t>
            </w:r>
            <w:r w:rsidR="004E73AE">
              <w:rPr>
                <w:noProof/>
                <w:webHidden/>
              </w:rPr>
              <w:fldChar w:fldCharType="end"/>
            </w:r>
          </w:hyperlink>
        </w:p>
        <w:p w14:paraId="6D1EE08D"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59" w:history="1">
            <w:r w:rsidR="004E73AE" w:rsidRPr="002921C4">
              <w:rPr>
                <w:rStyle w:val="Hyperlink"/>
                <w:noProof/>
              </w:rPr>
              <w:t>1.3.</w:t>
            </w:r>
            <w:r w:rsidR="004E73AE">
              <w:rPr>
                <w:rFonts w:asciiTheme="minorHAnsi" w:eastAsiaTheme="minorEastAsia" w:hAnsiTheme="minorHAnsi" w:cstheme="minorBidi"/>
                <w:noProof/>
              </w:rPr>
              <w:tab/>
            </w:r>
            <w:r w:rsidR="004E73AE" w:rsidRPr="002921C4">
              <w:rPr>
                <w:rStyle w:val="Hyperlink"/>
                <w:noProof/>
              </w:rPr>
              <w:t>Why deliver through the Inter-American Development Bank (IDB)?</w:t>
            </w:r>
            <w:r w:rsidR="004E73AE">
              <w:rPr>
                <w:noProof/>
                <w:webHidden/>
              </w:rPr>
              <w:tab/>
            </w:r>
            <w:r w:rsidR="004E73AE">
              <w:rPr>
                <w:noProof/>
                <w:webHidden/>
              </w:rPr>
              <w:fldChar w:fldCharType="begin"/>
            </w:r>
            <w:r w:rsidR="004E73AE">
              <w:rPr>
                <w:noProof/>
                <w:webHidden/>
              </w:rPr>
              <w:instrText xml:space="preserve"> PAGEREF _Toc527027959 \h </w:instrText>
            </w:r>
            <w:r w:rsidR="004E73AE">
              <w:rPr>
                <w:noProof/>
                <w:webHidden/>
              </w:rPr>
            </w:r>
            <w:r w:rsidR="004E73AE">
              <w:rPr>
                <w:noProof/>
                <w:webHidden/>
              </w:rPr>
              <w:fldChar w:fldCharType="separate"/>
            </w:r>
            <w:r>
              <w:rPr>
                <w:noProof/>
                <w:webHidden/>
              </w:rPr>
              <w:t>5</w:t>
            </w:r>
            <w:r w:rsidR="004E73AE">
              <w:rPr>
                <w:noProof/>
                <w:webHidden/>
              </w:rPr>
              <w:fldChar w:fldCharType="end"/>
            </w:r>
          </w:hyperlink>
        </w:p>
        <w:p w14:paraId="549976A2"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60" w:history="1">
            <w:r w:rsidR="004E73AE" w:rsidRPr="002921C4">
              <w:rPr>
                <w:rStyle w:val="Hyperlink"/>
                <w:noProof/>
              </w:rPr>
              <w:t>1.4.</w:t>
            </w:r>
            <w:r w:rsidR="004E73AE">
              <w:rPr>
                <w:rFonts w:asciiTheme="minorHAnsi" w:eastAsiaTheme="minorEastAsia" w:hAnsiTheme="minorHAnsi" w:cstheme="minorBidi"/>
                <w:noProof/>
              </w:rPr>
              <w:tab/>
            </w:r>
            <w:r w:rsidR="004E73AE" w:rsidRPr="002921C4">
              <w:rPr>
                <w:rStyle w:val="Hyperlink"/>
                <w:noProof/>
              </w:rPr>
              <w:t>How does the programme align with our strategic objectives?</w:t>
            </w:r>
            <w:r w:rsidR="004E73AE">
              <w:rPr>
                <w:noProof/>
                <w:webHidden/>
              </w:rPr>
              <w:tab/>
            </w:r>
            <w:r w:rsidR="004E73AE">
              <w:rPr>
                <w:noProof/>
                <w:webHidden/>
              </w:rPr>
              <w:fldChar w:fldCharType="begin"/>
            </w:r>
            <w:r w:rsidR="004E73AE">
              <w:rPr>
                <w:noProof/>
                <w:webHidden/>
              </w:rPr>
              <w:instrText xml:space="preserve"> PAGEREF _Toc527027960 \h </w:instrText>
            </w:r>
            <w:r w:rsidR="004E73AE">
              <w:rPr>
                <w:noProof/>
                <w:webHidden/>
              </w:rPr>
            </w:r>
            <w:r w:rsidR="004E73AE">
              <w:rPr>
                <w:noProof/>
                <w:webHidden/>
              </w:rPr>
              <w:fldChar w:fldCharType="separate"/>
            </w:r>
            <w:r>
              <w:rPr>
                <w:noProof/>
                <w:webHidden/>
              </w:rPr>
              <w:t>5</w:t>
            </w:r>
            <w:r w:rsidR="004E73AE">
              <w:rPr>
                <w:noProof/>
                <w:webHidden/>
              </w:rPr>
              <w:fldChar w:fldCharType="end"/>
            </w:r>
          </w:hyperlink>
        </w:p>
        <w:p w14:paraId="1E6916F8"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61" w:history="1">
            <w:r w:rsidR="004E73AE" w:rsidRPr="002921C4">
              <w:rPr>
                <w:rStyle w:val="Hyperlink"/>
                <w:noProof/>
              </w:rPr>
              <w:t>1.5.</w:t>
            </w:r>
            <w:r w:rsidR="004E73AE">
              <w:rPr>
                <w:rFonts w:asciiTheme="minorHAnsi" w:eastAsiaTheme="minorEastAsia" w:hAnsiTheme="minorHAnsi" w:cstheme="minorBidi"/>
                <w:noProof/>
              </w:rPr>
              <w:tab/>
            </w:r>
            <w:r w:rsidR="004E73AE" w:rsidRPr="002921C4">
              <w:rPr>
                <w:rStyle w:val="Hyperlink"/>
                <w:noProof/>
              </w:rPr>
              <w:t>What are the expected results?</w:t>
            </w:r>
            <w:r w:rsidR="004E73AE">
              <w:rPr>
                <w:noProof/>
                <w:webHidden/>
              </w:rPr>
              <w:tab/>
            </w:r>
            <w:r w:rsidR="004E73AE">
              <w:rPr>
                <w:noProof/>
                <w:webHidden/>
              </w:rPr>
              <w:fldChar w:fldCharType="begin"/>
            </w:r>
            <w:r w:rsidR="004E73AE">
              <w:rPr>
                <w:noProof/>
                <w:webHidden/>
              </w:rPr>
              <w:instrText xml:space="preserve"> PAGEREF _Toc527027961 \h </w:instrText>
            </w:r>
            <w:r w:rsidR="004E73AE">
              <w:rPr>
                <w:noProof/>
                <w:webHidden/>
              </w:rPr>
            </w:r>
            <w:r w:rsidR="004E73AE">
              <w:rPr>
                <w:noProof/>
                <w:webHidden/>
              </w:rPr>
              <w:fldChar w:fldCharType="separate"/>
            </w:r>
            <w:r>
              <w:rPr>
                <w:noProof/>
                <w:webHidden/>
              </w:rPr>
              <w:t>6</w:t>
            </w:r>
            <w:r w:rsidR="004E73AE">
              <w:rPr>
                <w:noProof/>
                <w:webHidden/>
              </w:rPr>
              <w:fldChar w:fldCharType="end"/>
            </w:r>
          </w:hyperlink>
        </w:p>
        <w:p w14:paraId="40A2F412"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62" w:history="1">
            <w:r w:rsidR="004E73AE" w:rsidRPr="002921C4">
              <w:rPr>
                <w:rStyle w:val="Hyperlink"/>
                <w:noProof/>
              </w:rPr>
              <w:t>1.6.</w:t>
            </w:r>
            <w:r w:rsidR="004E73AE">
              <w:rPr>
                <w:rFonts w:asciiTheme="minorHAnsi" w:eastAsiaTheme="minorEastAsia" w:hAnsiTheme="minorHAnsi" w:cstheme="minorBidi"/>
                <w:noProof/>
              </w:rPr>
              <w:tab/>
            </w:r>
            <w:r w:rsidR="004E73AE" w:rsidRPr="002921C4">
              <w:rPr>
                <w:rStyle w:val="Hyperlink"/>
                <w:noProof/>
              </w:rPr>
              <w:t>What are the key risks to the programme?</w:t>
            </w:r>
            <w:r w:rsidR="004E73AE">
              <w:rPr>
                <w:noProof/>
                <w:webHidden/>
              </w:rPr>
              <w:tab/>
            </w:r>
            <w:r w:rsidR="004E73AE">
              <w:rPr>
                <w:noProof/>
                <w:webHidden/>
              </w:rPr>
              <w:fldChar w:fldCharType="begin"/>
            </w:r>
            <w:r w:rsidR="004E73AE">
              <w:rPr>
                <w:noProof/>
                <w:webHidden/>
              </w:rPr>
              <w:instrText xml:space="preserve"> PAGEREF _Toc527027962 \h </w:instrText>
            </w:r>
            <w:r w:rsidR="004E73AE">
              <w:rPr>
                <w:noProof/>
                <w:webHidden/>
              </w:rPr>
            </w:r>
            <w:r w:rsidR="004E73AE">
              <w:rPr>
                <w:noProof/>
                <w:webHidden/>
              </w:rPr>
              <w:fldChar w:fldCharType="separate"/>
            </w:r>
            <w:r>
              <w:rPr>
                <w:noProof/>
                <w:webHidden/>
              </w:rPr>
              <w:t>6</w:t>
            </w:r>
            <w:r w:rsidR="004E73AE">
              <w:rPr>
                <w:noProof/>
                <w:webHidden/>
              </w:rPr>
              <w:fldChar w:fldCharType="end"/>
            </w:r>
          </w:hyperlink>
        </w:p>
        <w:p w14:paraId="467A376C" w14:textId="77777777" w:rsidR="004E73AE" w:rsidRDefault="009D672A">
          <w:pPr>
            <w:pStyle w:val="TOC1"/>
            <w:tabs>
              <w:tab w:val="left" w:pos="440"/>
              <w:tab w:val="right" w:leader="dot" w:pos="9402"/>
            </w:tabs>
            <w:rPr>
              <w:rFonts w:asciiTheme="minorHAnsi" w:eastAsiaTheme="minorEastAsia" w:hAnsiTheme="minorHAnsi" w:cstheme="minorBidi"/>
              <w:noProof/>
            </w:rPr>
          </w:pPr>
          <w:hyperlink w:anchor="_Toc527027963" w:history="1">
            <w:r w:rsidR="004E73AE" w:rsidRPr="002921C4">
              <w:rPr>
                <w:rStyle w:val="Hyperlink"/>
                <w:noProof/>
              </w:rPr>
              <w:t>2.</w:t>
            </w:r>
            <w:r w:rsidR="004E73AE">
              <w:rPr>
                <w:rFonts w:asciiTheme="minorHAnsi" w:eastAsiaTheme="minorEastAsia" w:hAnsiTheme="minorHAnsi" w:cstheme="minorBidi"/>
                <w:noProof/>
              </w:rPr>
              <w:tab/>
            </w:r>
            <w:r w:rsidR="004E73AE" w:rsidRPr="002921C4">
              <w:rPr>
                <w:rStyle w:val="Hyperlink"/>
                <w:noProof/>
              </w:rPr>
              <w:t>Strategic Case</w:t>
            </w:r>
            <w:r w:rsidR="004E73AE">
              <w:rPr>
                <w:noProof/>
                <w:webHidden/>
              </w:rPr>
              <w:tab/>
            </w:r>
            <w:r w:rsidR="004E73AE">
              <w:rPr>
                <w:noProof/>
                <w:webHidden/>
              </w:rPr>
              <w:fldChar w:fldCharType="begin"/>
            </w:r>
            <w:r w:rsidR="004E73AE">
              <w:rPr>
                <w:noProof/>
                <w:webHidden/>
              </w:rPr>
              <w:instrText xml:space="preserve"> PAGEREF _Toc527027963 \h </w:instrText>
            </w:r>
            <w:r w:rsidR="004E73AE">
              <w:rPr>
                <w:noProof/>
                <w:webHidden/>
              </w:rPr>
            </w:r>
            <w:r w:rsidR="004E73AE">
              <w:rPr>
                <w:noProof/>
                <w:webHidden/>
              </w:rPr>
              <w:fldChar w:fldCharType="separate"/>
            </w:r>
            <w:r>
              <w:rPr>
                <w:noProof/>
                <w:webHidden/>
              </w:rPr>
              <w:t>7</w:t>
            </w:r>
            <w:r w:rsidR="004E73AE">
              <w:rPr>
                <w:noProof/>
                <w:webHidden/>
              </w:rPr>
              <w:fldChar w:fldCharType="end"/>
            </w:r>
          </w:hyperlink>
        </w:p>
        <w:p w14:paraId="59ACFEC1"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64" w:history="1">
            <w:r w:rsidR="004E73AE" w:rsidRPr="002921C4">
              <w:rPr>
                <w:rStyle w:val="Hyperlink"/>
                <w:noProof/>
              </w:rPr>
              <w:t>2.1.</w:t>
            </w:r>
            <w:r w:rsidR="004E73AE">
              <w:rPr>
                <w:rFonts w:asciiTheme="minorHAnsi" w:eastAsiaTheme="minorEastAsia" w:hAnsiTheme="minorHAnsi" w:cstheme="minorBidi"/>
                <w:noProof/>
              </w:rPr>
              <w:tab/>
            </w:r>
            <w:r w:rsidR="004E73AE" w:rsidRPr="002921C4">
              <w:rPr>
                <w:rStyle w:val="Hyperlink"/>
                <w:noProof/>
              </w:rPr>
              <w:t>Global Context – HMG’s International Commitments</w:t>
            </w:r>
            <w:r w:rsidR="004E73AE">
              <w:rPr>
                <w:noProof/>
                <w:webHidden/>
              </w:rPr>
              <w:tab/>
            </w:r>
            <w:r w:rsidR="004E73AE">
              <w:rPr>
                <w:noProof/>
                <w:webHidden/>
              </w:rPr>
              <w:fldChar w:fldCharType="begin"/>
            </w:r>
            <w:r w:rsidR="004E73AE">
              <w:rPr>
                <w:noProof/>
                <w:webHidden/>
              </w:rPr>
              <w:instrText xml:space="preserve"> PAGEREF _Toc527027964 \h </w:instrText>
            </w:r>
            <w:r w:rsidR="004E73AE">
              <w:rPr>
                <w:noProof/>
                <w:webHidden/>
              </w:rPr>
            </w:r>
            <w:r w:rsidR="004E73AE">
              <w:rPr>
                <w:noProof/>
                <w:webHidden/>
              </w:rPr>
              <w:fldChar w:fldCharType="separate"/>
            </w:r>
            <w:r>
              <w:rPr>
                <w:noProof/>
                <w:webHidden/>
              </w:rPr>
              <w:t>7</w:t>
            </w:r>
            <w:r w:rsidR="004E73AE">
              <w:rPr>
                <w:noProof/>
                <w:webHidden/>
              </w:rPr>
              <w:fldChar w:fldCharType="end"/>
            </w:r>
          </w:hyperlink>
        </w:p>
        <w:p w14:paraId="5CB607C1"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65" w:history="1">
            <w:r w:rsidR="004E73AE" w:rsidRPr="002921C4">
              <w:rPr>
                <w:rStyle w:val="Hyperlink"/>
                <w:noProof/>
              </w:rPr>
              <w:t>2.2.</w:t>
            </w:r>
            <w:r w:rsidR="004E73AE">
              <w:rPr>
                <w:rFonts w:asciiTheme="minorHAnsi" w:eastAsiaTheme="minorEastAsia" w:hAnsiTheme="minorHAnsi" w:cstheme="minorBidi"/>
                <w:noProof/>
              </w:rPr>
              <w:tab/>
            </w:r>
            <w:r w:rsidR="004E73AE" w:rsidRPr="002921C4">
              <w:rPr>
                <w:rStyle w:val="Hyperlink"/>
                <w:noProof/>
              </w:rPr>
              <w:t>Defra’s strategic objectives</w:t>
            </w:r>
            <w:r w:rsidR="004E73AE">
              <w:rPr>
                <w:noProof/>
                <w:webHidden/>
              </w:rPr>
              <w:tab/>
            </w:r>
            <w:r w:rsidR="004E73AE">
              <w:rPr>
                <w:noProof/>
                <w:webHidden/>
              </w:rPr>
              <w:fldChar w:fldCharType="begin"/>
            </w:r>
            <w:r w:rsidR="004E73AE">
              <w:rPr>
                <w:noProof/>
                <w:webHidden/>
              </w:rPr>
              <w:instrText xml:space="preserve"> PAGEREF _Toc527027965 \h </w:instrText>
            </w:r>
            <w:r w:rsidR="004E73AE">
              <w:rPr>
                <w:noProof/>
                <w:webHidden/>
              </w:rPr>
            </w:r>
            <w:r w:rsidR="004E73AE">
              <w:rPr>
                <w:noProof/>
                <w:webHidden/>
              </w:rPr>
              <w:fldChar w:fldCharType="separate"/>
            </w:r>
            <w:r>
              <w:rPr>
                <w:noProof/>
                <w:webHidden/>
              </w:rPr>
              <w:t>7</w:t>
            </w:r>
            <w:r w:rsidR="004E73AE">
              <w:rPr>
                <w:noProof/>
                <w:webHidden/>
              </w:rPr>
              <w:fldChar w:fldCharType="end"/>
            </w:r>
          </w:hyperlink>
        </w:p>
        <w:p w14:paraId="4E54688E"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66" w:history="1">
            <w:r w:rsidR="004E73AE" w:rsidRPr="002921C4">
              <w:rPr>
                <w:rStyle w:val="Hyperlink"/>
                <w:noProof/>
              </w:rPr>
              <w:t>2.3.</w:t>
            </w:r>
            <w:r w:rsidR="004E73AE">
              <w:rPr>
                <w:rFonts w:asciiTheme="minorHAnsi" w:eastAsiaTheme="minorEastAsia" w:hAnsiTheme="minorHAnsi" w:cstheme="minorBidi"/>
                <w:noProof/>
              </w:rPr>
              <w:tab/>
            </w:r>
            <w:r w:rsidR="004E73AE" w:rsidRPr="002921C4">
              <w:rPr>
                <w:rStyle w:val="Hyperlink"/>
                <w:noProof/>
              </w:rPr>
              <w:t>Why Mangroves?</w:t>
            </w:r>
            <w:r w:rsidR="004E73AE">
              <w:rPr>
                <w:noProof/>
                <w:webHidden/>
              </w:rPr>
              <w:tab/>
            </w:r>
            <w:r w:rsidR="004E73AE">
              <w:rPr>
                <w:noProof/>
                <w:webHidden/>
              </w:rPr>
              <w:fldChar w:fldCharType="begin"/>
            </w:r>
            <w:r w:rsidR="004E73AE">
              <w:rPr>
                <w:noProof/>
                <w:webHidden/>
              </w:rPr>
              <w:instrText xml:space="preserve"> PAGEREF _Toc527027966 \h </w:instrText>
            </w:r>
            <w:r w:rsidR="004E73AE">
              <w:rPr>
                <w:noProof/>
                <w:webHidden/>
              </w:rPr>
            </w:r>
            <w:r w:rsidR="004E73AE">
              <w:rPr>
                <w:noProof/>
                <w:webHidden/>
              </w:rPr>
              <w:fldChar w:fldCharType="separate"/>
            </w:r>
            <w:r>
              <w:rPr>
                <w:noProof/>
                <w:webHidden/>
              </w:rPr>
              <w:t>11</w:t>
            </w:r>
            <w:r w:rsidR="004E73AE">
              <w:rPr>
                <w:noProof/>
                <w:webHidden/>
              </w:rPr>
              <w:fldChar w:fldCharType="end"/>
            </w:r>
          </w:hyperlink>
        </w:p>
        <w:p w14:paraId="173BE994"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67" w:history="1">
            <w:r w:rsidR="004E73AE" w:rsidRPr="002921C4">
              <w:rPr>
                <w:rStyle w:val="Hyperlink"/>
                <w:noProof/>
              </w:rPr>
              <w:t>2.4.</w:t>
            </w:r>
            <w:r w:rsidR="004E73AE">
              <w:rPr>
                <w:rFonts w:asciiTheme="minorHAnsi" w:eastAsiaTheme="minorEastAsia" w:hAnsiTheme="minorHAnsi" w:cstheme="minorBidi"/>
                <w:noProof/>
              </w:rPr>
              <w:tab/>
            </w:r>
            <w:r w:rsidR="004E73AE" w:rsidRPr="002921C4">
              <w:rPr>
                <w:rStyle w:val="Hyperlink"/>
                <w:noProof/>
              </w:rPr>
              <w:t>Rationale for Intervention: Threats to Mangroves</w:t>
            </w:r>
            <w:r w:rsidR="004E73AE">
              <w:rPr>
                <w:noProof/>
                <w:webHidden/>
              </w:rPr>
              <w:tab/>
            </w:r>
            <w:r w:rsidR="004E73AE">
              <w:rPr>
                <w:noProof/>
                <w:webHidden/>
              </w:rPr>
              <w:fldChar w:fldCharType="begin"/>
            </w:r>
            <w:r w:rsidR="004E73AE">
              <w:rPr>
                <w:noProof/>
                <w:webHidden/>
              </w:rPr>
              <w:instrText xml:space="preserve"> PAGEREF _Toc527027967 \h </w:instrText>
            </w:r>
            <w:r w:rsidR="004E73AE">
              <w:rPr>
                <w:noProof/>
                <w:webHidden/>
              </w:rPr>
            </w:r>
            <w:r w:rsidR="004E73AE">
              <w:rPr>
                <w:noProof/>
                <w:webHidden/>
              </w:rPr>
              <w:fldChar w:fldCharType="separate"/>
            </w:r>
            <w:r>
              <w:rPr>
                <w:noProof/>
                <w:webHidden/>
              </w:rPr>
              <w:t>14</w:t>
            </w:r>
            <w:r w:rsidR="004E73AE">
              <w:rPr>
                <w:noProof/>
                <w:webHidden/>
              </w:rPr>
              <w:fldChar w:fldCharType="end"/>
            </w:r>
          </w:hyperlink>
        </w:p>
        <w:p w14:paraId="707C8C02"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68" w:history="1">
            <w:r w:rsidR="004E73AE" w:rsidRPr="002921C4">
              <w:rPr>
                <w:rStyle w:val="Hyperlink"/>
                <w:noProof/>
              </w:rPr>
              <w:t>2.5.</w:t>
            </w:r>
            <w:r w:rsidR="004E73AE">
              <w:rPr>
                <w:rFonts w:asciiTheme="minorHAnsi" w:eastAsiaTheme="minorEastAsia" w:hAnsiTheme="minorHAnsi" w:cstheme="minorBidi"/>
                <w:noProof/>
              </w:rPr>
              <w:tab/>
            </w:r>
            <w:r w:rsidR="004E73AE" w:rsidRPr="002921C4">
              <w:rPr>
                <w:rStyle w:val="Hyperlink"/>
                <w:noProof/>
              </w:rPr>
              <w:t>Existing Approaches to Mangrove Conservation</w:t>
            </w:r>
            <w:r w:rsidR="004E73AE">
              <w:rPr>
                <w:noProof/>
                <w:webHidden/>
              </w:rPr>
              <w:tab/>
            </w:r>
            <w:r w:rsidR="004E73AE">
              <w:rPr>
                <w:noProof/>
                <w:webHidden/>
              </w:rPr>
              <w:fldChar w:fldCharType="begin"/>
            </w:r>
            <w:r w:rsidR="004E73AE">
              <w:rPr>
                <w:noProof/>
                <w:webHidden/>
              </w:rPr>
              <w:instrText xml:space="preserve"> PAGEREF _Toc527027968 \h </w:instrText>
            </w:r>
            <w:r w:rsidR="004E73AE">
              <w:rPr>
                <w:noProof/>
                <w:webHidden/>
              </w:rPr>
            </w:r>
            <w:r w:rsidR="004E73AE">
              <w:rPr>
                <w:noProof/>
                <w:webHidden/>
              </w:rPr>
              <w:fldChar w:fldCharType="separate"/>
            </w:r>
            <w:r>
              <w:rPr>
                <w:noProof/>
                <w:webHidden/>
              </w:rPr>
              <w:t>16</w:t>
            </w:r>
            <w:r w:rsidR="004E73AE">
              <w:rPr>
                <w:noProof/>
                <w:webHidden/>
              </w:rPr>
              <w:fldChar w:fldCharType="end"/>
            </w:r>
          </w:hyperlink>
        </w:p>
        <w:p w14:paraId="7514203C"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69" w:history="1">
            <w:r w:rsidR="004E73AE" w:rsidRPr="002921C4">
              <w:rPr>
                <w:rStyle w:val="Hyperlink"/>
                <w:noProof/>
              </w:rPr>
              <w:t>2.6.</w:t>
            </w:r>
            <w:r w:rsidR="004E73AE">
              <w:rPr>
                <w:rFonts w:asciiTheme="minorHAnsi" w:eastAsiaTheme="minorEastAsia" w:hAnsiTheme="minorHAnsi" w:cstheme="minorBidi"/>
                <w:noProof/>
              </w:rPr>
              <w:tab/>
            </w:r>
            <w:r w:rsidR="004E73AE" w:rsidRPr="002921C4">
              <w:rPr>
                <w:rStyle w:val="Hyperlink"/>
                <w:noProof/>
              </w:rPr>
              <w:t>Synergies with wider work</w:t>
            </w:r>
            <w:r w:rsidR="004E73AE">
              <w:rPr>
                <w:noProof/>
                <w:webHidden/>
              </w:rPr>
              <w:tab/>
            </w:r>
            <w:r w:rsidR="004E73AE">
              <w:rPr>
                <w:noProof/>
                <w:webHidden/>
              </w:rPr>
              <w:fldChar w:fldCharType="begin"/>
            </w:r>
            <w:r w:rsidR="004E73AE">
              <w:rPr>
                <w:noProof/>
                <w:webHidden/>
              </w:rPr>
              <w:instrText xml:space="preserve"> PAGEREF _Toc527027969 \h </w:instrText>
            </w:r>
            <w:r w:rsidR="004E73AE">
              <w:rPr>
                <w:noProof/>
                <w:webHidden/>
              </w:rPr>
            </w:r>
            <w:r w:rsidR="004E73AE">
              <w:rPr>
                <w:noProof/>
                <w:webHidden/>
              </w:rPr>
              <w:fldChar w:fldCharType="separate"/>
            </w:r>
            <w:r>
              <w:rPr>
                <w:noProof/>
                <w:webHidden/>
              </w:rPr>
              <w:t>19</w:t>
            </w:r>
            <w:r w:rsidR="004E73AE">
              <w:rPr>
                <w:noProof/>
                <w:webHidden/>
              </w:rPr>
              <w:fldChar w:fldCharType="end"/>
            </w:r>
          </w:hyperlink>
        </w:p>
        <w:p w14:paraId="20259336" w14:textId="77777777" w:rsidR="004E73AE" w:rsidRDefault="009D672A">
          <w:pPr>
            <w:pStyle w:val="TOC1"/>
            <w:tabs>
              <w:tab w:val="left" w:pos="440"/>
              <w:tab w:val="right" w:leader="dot" w:pos="9402"/>
            </w:tabs>
            <w:rPr>
              <w:rFonts w:asciiTheme="minorHAnsi" w:eastAsiaTheme="minorEastAsia" w:hAnsiTheme="minorHAnsi" w:cstheme="minorBidi"/>
              <w:noProof/>
            </w:rPr>
          </w:pPr>
          <w:hyperlink w:anchor="_Toc527027970" w:history="1">
            <w:r w:rsidR="004E73AE" w:rsidRPr="002921C4">
              <w:rPr>
                <w:rStyle w:val="Hyperlink"/>
                <w:noProof/>
              </w:rPr>
              <w:t>3.</w:t>
            </w:r>
            <w:r w:rsidR="004E73AE">
              <w:rPr>
                <w:rFonts w:asciiTheme="minorHAnsi" w:eastAsiaTheme="minorEastAsia" w:hAnsiTheme="minorHAnsi" w:cstheme="minorBidi"/>
                <w:noProof/>
              </w:rPr>
              <w:tab/>
            </w:r>
            <w:r w:rsidR="004E73AE" w:rsidRPr="002921C4">
              <w:rPr>
                <w:rStyle w:val="Hyperlink"/>
                <w:noProof/>
              </w:rPr>
              <w:t>Appraisal Case</w:t>
            </w:r>
            <w:r w:rsidR="004E73AE">
              <w:rPr>
                <w:noProof/>
                <w:webHidden/>
              </w:rPr>
              <w:tab/>
            </w:r>
            <w:r w:rsidR="004E73AE">
              <w:rPr>
                <w:noProof/>
                <w:webHidden/>
              </w:rPr>
              <w:fldChar w:fldCharType="begin"/>
            </w:r>
            <w:r w:rsidR="004E73AE">
              <w:rPr>
                <w:noProof/>
                <w:webHidden/>
              </w:rPr>
              <w:instrText xml:space="preserve"> PAGEREF _Toc527027970 \h </w:instrText>
            </w:r>
            <w:r w:rsidR="004E73AE">
              <w:rPr>
                <w:noProof/>
                <w:webHidden/>
              </w:rPr>
            </w:r>
            <w:r w:rsidR="004E73AE">
              <w:rPr>
                <w:noProof/>
                <w:webHidden/>
              </w:rPr>
              <w:fldChar w:fldCharType="separate"/>
            </w:r>
            <w:r>
              <w:rPr>
                <w:noProof/>
                <w:webHidden/>
              </w:rPr>
              <w:t>22</w:t>
            </w:r>
            <w:r w:rsidR="004E73AE">
              <w:rPr>
                <w:noProof/>
                <w:webHidden/>
              </w:rPr>
              <w:fldChar w:fldCharType="end"/>
            </w:r>
          </w:hyperlink>
        </w:p>
        <w:p w14:paraId="5C8D4A5E"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71" w:history="1">
            <w:r w:rsidR="004E73AE" w:rsidRPr="002921C4">
              <w:rPr>
                <w:rStyle w:val="Hyperlink"/>
                <w:noProof/>
              </w:rPr>
              <w:t>3.1.</w:t>
            </w:r>
            <w:r w:rsidR="004E73AE">
              <w:rPr>
                <w:rFonts w:asciiTheme="minorHAnsi" w:eastAsiaTheme="minorEastAsia" w:hAnsiTheme="minorHAnsi" w:cstheme="minorBidi"/>
                <w:noProof/>
              </w:rPr>
              <w:tab/>
            </w:r>
            <w:r w:rsidR="004E73AE" w:rsidRPr="002921C4">
              <w:rPr>
                <w:rStyle w:val="Hyperlink"/>
                <w:noProof/>
              </w:rPr>
              <w:t>Summary</w:t>
            </w:r>
            <w:r w:rsidR="004E73AE">
              <w:rPr>
                <w:noProof/>
                <w:webHidden/>
              </w:rPr>
              <w:tab/>
            </w:r>
            <w:r w:rsidR="004E73AE">
              <w:rPr>
                <w:noProof/>
                <w:webHidden/>
              </w:rPr>
              <w:fldChar w:fldCharType="begin"/>
            </w:r>
            <w:r w:rsidR="004E73AE">
              <w:rPr>
                <w:noProof/>
                <w:webHidden/>
              </w:rPr>
              <w:instrText xml:space="preserve"> PAGEREF _Toc527027971 \h </w:instrText>
            </w:r>
            <w:r w:rsidR="004E73AE">
              <w:rPr>
                <w:noProof/>
                <w:webHidden/>
              </w:rPr>
            </w:r>
            <w:r w:rsidR="004E73AE">
              <w:rPr>
                <w:noProof/>
                <w:webHidden/>
              </w:rPr>
              <w:fldChar w:fldCharType="separate"/>
            </w:r>
            <w:r>
              <w:rPr>
                <w:noProof/>
                <w:webHidden/>
              </w:rPr>
              <w:t>22</w:t>
            </w:r>
            <w:r w:rsidR="004E73AE">
              <w:rPr>
                <w:noProof/>
                <w:webHidden/>
              </w:rPr>
              <w:fldChar w:fldCharType="end"/>
            </w:r>
          </w:hyperlink>
        </w:p>
        <w:p w14:paraId="336AEA7D"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72" w:history="1">
            <w:r w:rsidR="004E73AE" w:rsidRPr="002921C4">
              <w:rPr>
                <w:rStyle w:val="Hyperlink"/>
                <w:noProof/>
              </w:rPr>
              <w:t>3.2.</w:t>
            </w:r>
            <w:r w:rsidR="004E73AE">
              <w:rPr>
                <w:rFonts w:asciiTheme="minorHAnsi" w:eastAsiaTheme="minorEastAsia" w:hAnsiTheme="minorHAnsi" w:cstheme="minorBidi"/>
                <w:noProof/>
              </w:rPr>
              <w:tab/>
            </w:r>
            <w:r w:rsidR="004E73AE" w:rsidRPr="002921C4">
              <w:rPr>
                <w:rStyle w:val="Hyperlink"/>
                <w:noProof/>
              </w:rPr>
              <w:t>Introduction</w:t>
            </w:r>
            <w:r w:rsidR="004E73AE">
              <w:rPr>
                <w:noProof/>
                <w:webHidden/>
              </w:rPr>
              <w:tab/>
            </w:r>
            <w:r w:rsidR="004E73AE">
              <w:rPr>
                <w:noProof/>
                <w:webHidden/>
              </w:rPr>
              <w:fldChar w:fldCharType="begin"/>
            </w:r>
            <w:r w:rsidR="004E73AE">
              <w:rPr>
                <w:noProof/>
                <w:webHidden/>
              </w:rPr>
              <w:instrText xml:space="preserve"> PAGEREF _Toc527027972 \h </w:instrText>
            </w:r>
            <w:r w:rsidR="004E73AE">
              <w:rPr>
                <w:noProof/>
                <w:webHidden/>
              </w:rPr>
            </w:r>
            <w:r w:rsidR="004E73AE">
              <w:rPr>
                <w:noProof/>
                <w:webHidden/>
              </w:rPr>
              <w:fldChar w:fldCharType="separate"/>
            </w:r>
            <w:r>
              <w:rPr>
                <w:noProof/>
                <w:webHidden/>
              </w:rPr>
              <w:t>22</w:t>
            </w:r>
            <w:r w:rsidR="004E73AE">
              <w:rPr>
                <w:noProof/>
                <w:webHidden/>
              </w:rPr>
              <w:fldChar w:fldCharType="end"/>
            </w:r>
          </w:hyperlink>
        </w:p>
        <w:p w14:paraId="27B29E4B"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73" w:history="1">
            <w:r w:rsidR="004E73AE" w:rsidRPr="002921C4">
              <w:rPr>
                <w:rStyle w:val="Hyperlink"/>
                <w:noProof/>
              </w:rPr>
              <w:t>3.3.</w:t>
            </w:r>
            <w:r w:rsidR="004E73AE">
              <w:rPr>
                <w:rFonts w:asciiTheme="minorHAnsi" w:eastAsiaTheme="minorEastAsia" w:hAnsiTheme="minorHAnsi" w:cstheme="minorBidi"/>
                <w:noProof/>
              </w:rPr>
              <w:tab/>
            </w:r>
            <w:r w:rsidR="004E73AE" w:rsidRPr="002921C4">
              <w:rPr>
                <w:rStyle w:val="Hyperlink"/>
                <w:noProof/>
              </w:rPr>
              <w:t>Shortlisting Options</w:t>
            </w:r>
            <w:r w:rsidR="004E73AE">
              <w:rPr>
                <w:noProof/>
                <w:webHidden/>
              </w:rPr>
              <w:tab/>
            </w:r>
            <w:r w:rsidR="004E73AE">
              <w:rPr>
                <w:noProof/>
                <w:webHidden/>
              </w:rPr>
              <w:fldChar w:fldCharType="begin"/>
            </w:r>
            <w:r w:rsidR="004E73AE">
              <w:rPr>
                <w:noProof/>
                <w:webHidden/>
              </w:rPr>
              <w:instrText xml:space="preserve"> PAGEREF _Toc527027973 \h </w:instrText>
            </w:r>
            <w:r w:rsidR="004E73AE">
              <w:rPr>
                <w:noProof/>
                <w:webHidden/>
              </w:rPr>
            </w:r>
            <w:r w:rsidR="004E73AE">
              <w:rPr>
                <w:noProof/>
                <w:webHidden/>
              </w:rPr>
              <w:fldChar w:fldCharType="separate"/>
            </w:r>
            <w:r>
              <w:rPr>
                <w:noProof/>
                <w:webHidden/>
              </w:rPr>
              <w:t>24</w:t>
            </w:r>
            <w:r w:rsidR="004E73AE">
              <w:rPr>
                <w:noProof/>
                <w:webHidden/>
              </w:rPr>
              <w:fldChar w:fldCharType="end"/>
            </w:r>
          </w:hyperlink>
        </w:p>
        <w:p w14:paraId="0A6F77C5"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74" w:history="1">
            <w:r w:rsidR="004E73AE" w:rsidRPr="002921C4">
              <w:rPr>
                <w:rStyle w:val="Hyperlink"/>
                <w:noProof/>
              </w:rPr>
              <w:t>3.4.</w:t>
            </w:r>
            <w:r w:rsidR="004E73AE">
              <w:rPr>
                <w:rFonts w:asciiTheme="minorHAnsi" w:eastAsiaTheme="minorEastAsia" w:hAnsiTheme="minorHAnsi" w:cstheme="minorBidi"/>
                <w:noProof/>
              </w:rPr>
              <w:tab/>
            </w:r>
            <w:r w:rsidR="004E73AE" w:rsidRPr="002921C4">
              <w:rPr>
                <w:rStyle w:val="Hyperlink"/>
                <w:noProof/>
              </w:rPr>
              <w:t>Options Appraisal</w:t>
            </w:r>
            <w:r w:rsidR="004E73AE">
              <w:rPr>
                <w:noProof/>
                <w:webHidden/>
              </w:rPr>
              <w:tab/>
            </w:r>
            <w:r w:rsidR="004E73AE">
              <w:rPr>
                <w:noProof/>
                <w:webHidden/>
              </w:rPr>
              <w:fldChar w:fldCharType="begin"/>
            </w:r>
            <w:r w:rsidR="004E73AE">
              <w:rPr>
                <w:noProof/>
                <w:webHidden/>
              </w:rPr>
              <w:instrText xml:space="preserve"> PAGEREF _Toc527027974 \h </w:instrText>
            </w:r>
            <w:r w:rsidR="004E73AE">
              <w:rPr>
                <w:noProof/>
                <w:webHidden/>
              </w:rPr>
            </w:r>
            <w:r w:rsidR="004E73AE">
              <w:rPr>
                <w:noProof/>
                <w:webHidden/>
              </w:rPr>
              <w:fldChar w:fldCharType="separate"/>
            </w:r>
            <w:r>
              <w:rPr>
                <w:noProof/>
                <w:webHidden/>
              </w:rPr>
              <w:t>25</w:t>
            </w:r>
            <w:r w:rsidR="004E73AE">
              <w:rPr>
                <w:noProof/>
                <w:webHidden/>
              </w:rPr>
              <w:fldChar w:fldCharType="end"/>
            </w:r>
          </w:hyperlink>
        </w:p>
        <w:p w14:paraId="71526FD8" w14:textId="77777777" w:rsidR="004E73AE" w:rsidRDefault="009D672A">
          <w:pPr>
            <w:pStyle w:val="TOC1"/>
            <w:tabs>
              <w:tab w:val="left" w:pos="440"/>
              <w:tab w:val="right" w:leader="dot" w:pos="9402"/>
            </w:tabs>
            <w:rPr>
              <w:rFonts w:asciiTheme="minorHAnsi" w:eastAsiaTheme="minorEastAsia" w:hAnsiTheme="minorHAnsi" w:cstheme="minorBidi"/>
              <w:noProof/>
            </w:rPr>
          </w:pPr>
          <w:hyperlink w:anchor="_Toc527027975" w:history="1">
            <w:r w:rsidR="004E73AE" w:rsidRPr="002921C4">
              <w:rPr>
                <w:rStyle w:val="Hyperlink"/>
                <w:noProof/>
              </w:rPr>
              <w:t>4.</w:t>
            </w:r>
            <w:r w:rsidR="004E73AE">
              <w:rPr>
                <w:rFonts w:asciiTheme="minorHAnsi" w:eastAsiaTheme="minorEastAsia" w:hAnsiTheme="minorHAnsi" w:cstheme="minorBidi"/>
                <w:noProof/>
              </w:rPr>
              <w:tab/>
            </w:r>
            <w:r w:rsidR="004E73AE" w:rsidRPr="002921C4">
              <w:rPr>
                <w:rStyle w:val="Hyperlink"/>
                <w:noProof/>
              </w:rPr>
              <w:t>Commercial Case</w:t>
            </w:r>
            <w:r w:rsidR="004E73AE">
              <w:rPr>
                <w:noProof/>
                <w:webHidden/>
              </w:rPr>
              <w:tab/>
            </w:r>
            <w:r w:rsidR="004E73AE">
              <w:rPr>
                <w:noProof/>
                <w:webHidden/>
              </w:rPr>
              <w:fldChar w:fldCharType="begin"/>
            </w:r>
            <w:r w:rsidR="004E73AE">
              <w:rPr>
                <w:noProof/>
                <w:webHidden/>
              </w:rPr>
              <w:instrText xml:space="preserve"> PAGEREF _Toc527027975 \h </w:instrText>
            </w:r>
            <w:r w:rsidR="004E73AE">
              <w:rPr>
                <w:noProof/>
                <w:webHidden/>
              </w:rPr>
            </w:r>
            <w:r w:rsidR="004E73AE">
              <w:rPr>
                <w:noProof/>
                <w:webHidden/>
              </w:rPr>
              <w:fldChar w:fldCharType="separate"/>
            </w:r>
            <w:r>
              <w:rPr>
                <w:noProof/>
                <w:webHidden/>
              </w:rPr>
              <w:t>41</w:t>
            </w:r>
            <w:r w:rsidR="004E73AE">
              <w:rPr>
                <w:noProof/>
                <w:webHidden/>
              </w:rPr>
              <w:fldChar w:fldCharType="end"/>
            </w:r>
          </w:hyperlink>
        </w:p>
        <w:p w14:paraId="0299A2EA"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76" w:history="1">
            <w:r w:rsidR="004E73AE" w:rsidRPr="002921C4">
              <w:rPr>
                <w:rStyle w:val="Hyperlink"/>
                <w:noProof/>
              </w:rPr>
              <w:t>4.1.</w:t>
            </w:r>
            <w:r w:rsidR="004E73AE">
              <w:rPr>
                <w:rFonts w:asciiTheme="minorHAnsi" w:eastAsiaTheme="minorEastAsia" w:hAnsiTheme="minorHAnsi" w:cstheme="minorBidi"/>
                <w:noProof/>
              </w:rPr>
              <w:tab/>
            </w:r>
            <w:r w:rsidR="004E73AE" w:rsidRPr="002921C4">
              <w:rPr>
                <w:rStyle w:val="Hyperlink"/>
                <w:noProof/>
              </w:rPr>
              <w:t>Competency of the Organisation to Deliver in Country</w:t>
            </w:r>
            <w:r w:rsidR="004E73AE">
              <w:rPr>
                <w:noProof/>
                <w:webHidden/>
              </w:rPr>
              <w:tab/>
            </w:r>
            <w:r w:rsidR="004E73AE">
              <w:rPr>
                <w:noProof/>
                <w:webHidden/>
              </w:rPr>
              <w:fldChar w:fldCharType="begin"/>
            </w:r>
            <w:r w:rsidR="004E73AE">
              <w:rPr>
                <w:noProof/>
                <w:webHidden/>
              </w:rPr>
              <w:instrText xml:space="preserve"> PAGEREF _Toc527027976 \h </w:instrText>
            </w:r>
            <w:r w:rsidR="004E73AE">
              <w:rPr>
                <w:noProof/>
                <w:webHidden/>
              </w:rPr>
            </w:r>
            <w:r w:rsidR="004E73AE">
              <w:rPr>
                <w:noProof/>
                <w:webHidden/>
              </w:rPr>
              <w:fldChar w:fldCharType="separate"/>
            </w:r>
            <w:r>
              <w:rPr>
                <w:noProof/>
                <w:webHidden/>
              </w:rPr>
              <w:t>41</w:t>
            </w:r>
            <w:r w:rsidR="004E73AE">
              <w:rPr>
                <w:noProof/>
                <w:webHidden/>
              </w:rPr>
              <w:fldChar w:fldCharType="end"/>
            </w:r>
          </w:hyperlink>
        </w:p>
        <w:p w14:paraId="5B0B9EC8"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77" w:history="1">
            <w:r w:rsidR="004E73AE" w:rsidRPr="002921C4">
              <w:rPr>
                <w:rStyle w:val="Hyperlink"/>
                <w:noProof/>
              </w:rPr>
              <w:t>4.2.</w:t>
            </w:r>
            <w:r w:rsidR="004E73AE">
              <w:rPr>
                <w:rFonts w:asciiTheme="minorHAnsi" w:eastAsiaTheme="minorEastAsia" w:hAnsiTheme="minorHAnsi" w:cstheme="minorBidi"/>
                <w:noProof/>
              </w:rPr>
              <w:tab/>
            </w:r>
            <w:r w:rsidR="004E73AE" w:rsidRPr="002921C4">
              <w:rPr>
                <w:rStyle w:val="Hyperlink"/>
                <w:noProof/>
              </w:rPr>
              <w:t>DfID’s ‘Central Assurance Assessment’ (CAA)</w:t>
            </w:r>
            <w:r w:rsidR="004E73AE">
              <w:rPr>
                <w:noProof/>
                <w:webHidden/>
              </w:rPr>
              <w:tab/>
            </w:r>
            <w:r w:rsidR="004E73AE">
              <w:rPr>
                <w:noProof/>
                <w:webHidden/>
              </w:rPr>
              <w:fldChar w:fldCharType="begin"/>
            </w:r>
            <w:r w:rsidR="004E73AE">
              <w:rPr>
                <w:noProof/>
                <w:webHidden/>
              </w:rPr>
              <w:instrText xml:space="preserve"> PAGEREF _Toc527027977 \h </w:instrText>
            </w:r>
            <w:r w:rsidR="004E73AE">
              <w:rPr>
                <w:noProof/>
                <w:webHidden/>
              </w:rPr>
            </w:r>
            <w:r w:rsidR="004E73AE">
              <w:rPr>
                <w:noProof/>
                <w:webHidden/>
              </w:rPr>
              <w:fldChar w:fldCharType="separate"/>
            </w:r>
            <w:r>
              <w:rPr>
                <w:noProof/>
                <w:webHidden/>
              </w:rPr>
              <w:t>43</w:t>
            </w:r>
            <w:r w:rsidR="004E73AE">
              <w:rPr>
                <w:noProof/>
                <w:webHidden/>
              </w:rPr>
              <w:fldChar w:fldCharType="end"/>
            </w:r>
          </w:hyperlink>
        </w:p>
        <w:p w14:paraId="67D74C34"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78" w:history="1">
            <w:r w:rsidR="004E73AE" w:rsidRPr="002921C4">
              <w:rPr>
                <w:rStyle w:val="Hyperlink"/>
                <w:noProof/>
              </w:rPr>
              <w:t>4.3.</w:t>
            </w:r>
            <w:r w:rsidR="004E73AE">
              <w:rPr>
                <w:rFonts w:asciiTheme="minorHAnsi" w:eastAsiaTheme="minorEastAsia" w:hAnsiTheme="minorHAnsi" w:cstheme="minorBidi"/>
                <w:noProof/>
              </w:rPr>
              <w:tab/>
            </w:r>
            <w:r w:rsidR="004E73AE" w:rsidRPr="002921C4">
              <w:rPr>
                <w:rStyle w:val="Hyperlink"/>
                <w:noProof/>
              </w:rPr>
              <w:t>Compliance with gender sections of 2002 International Development Act</w:t>
            </w:r>
            <w:r w:rsidR="004E73AE">
              <w:rPr>
                <w:noProof/>
                <w:webHidden/>
              </w:rPr>
              <w:tab/>
            </w:r>
            <w:r w:rsidR="004E73AE">
              <w:rPr>
                <w:noProof/>
                <w:webHidden/>
              </w:rPr>
              <w:fldChar w:fldCharType="begin"/>
            </w:r>
            <w:r w:rsidR="004E73AE">
              <w:rPr>
                <w:noProof/>
                <w:webHidden/>
              </w:rPr>
              <w:instrText xml:space="preserve"> PAGEREF _Toc527027978 \h </w:instrText>
            </w:r>
            <w:r w:rsidR="004E73AE">
              <w:rPr>
                <w:noProof/>
                <w:webHidden/>
              </w:rPr>
            </w:r>
            <w:r w:rsidR="004E73AE">
              <w:rPr>
                <w:noProof/>
                <w:webHidden/>
              </w:rPr>
              <w:fldChar w:fldCharType="separate"/>
            </w:r>
            <w:r>
              <w:rPr>
                <w:noProof/>
                <w:webHidden/>
              </w:rPr>
              <w:t>43</w:t>
            </w:r>
            <w:r w:rsidR="004E73AE">
              <w:rPr>
                <w:noProof/>
                <w:webHidden/>
              </w:rPr>
              <w:fldChar w:fldCharType="end"/>
            </w:r>
          </w:hyperlink>
        </w:p>
        <w:p w14:paraId="499346CC"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79" w:history="1">
            <w:r w:rsidR="004E73AE" w:rsidRPr="002921C4">
              <w:rPr>
                <w:rStyle w:val="Hyperlink"/>
                <w:noProof/>
              </w:rPr>
              <w:t>4.4.</w:t>
            </w:r>
            <w:r w:rsidR="004E73AE">
              <w:rPr>
                <w:rFonts w:asciiTheme="minorHAnsi" w:eastAsiaTheme="minorEastAsia" w:hAnsiTheme="minorHAnsi" w:cstheme="minorBidi"/>
                <w:noProof/>
              </w:rPr>
              <w:tab/>
            </w:r>
            <w:r w:rsidR="004E73AE" w:rsidRPr="002921C4">
              <w:rPr>
                <w:rStyle w:val="Hyperlink"/>
                <w:noProof/>
              </w:rPr>
              <w:t>Procurement Policies</w:t>
            </w:r>
            <w:r w:rsidR="004E73AE">
              <w:rPr>
                <w:noProof/>
                <w:webHidden/>
              </w:rPr>
              <w:tab/>
            </w:r>
            <w:r w:rsidR="004E73AE">
              <w:rPr>
                <w:noProof/>
                <w:webHidden/>
              </w:rPr>
              <w:fldChar w:fldCharType="begin"/>
            </w:r>
            <w:r w:rsidR="004E73AE">
              <w:rPr>
                <w:noProof/>
                <w:webHidden/>
              </w:rPr>
              <w:instrText xml:space="preserve"> PAGEREF _Toc527027979 \h </w:instrText>
            </w:r>
            <w:r w:rsidR="004E73AE">
              <w:rPr>
                <w:noProof/>
                <w:webHidden/>
              </w:rPr>
            </w:r>
            <w:r w:rsidR="004E73AE">
              <w:rPr>
                <w:noProof/>
                <w:webHidden/>
              </w:rPr>
              <w:fldChar w:fldCharType="separate"/>
            </w:r>
            <w:r>
              <w:rPr>
                <w:noProof/>
                <w:webHidden/>
              </w:rPr>
              <w:t>44</w:t>
            </w:r>
            <w:r w:rsidR="004E73AE">
              <w:rPr>
                <w:noProof/>
                <w:webHidden/>
              </w:rPr>
              <w:fldChar w:fldCharType="end"/>
            </w:r>
          </w:hyperlink>
        </w:p>
        <w:p w14:paraId="320FED22"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80" w:history="1">
            <w:r w:rsidR="004E73AE" w:rsidRPr="002921C4">
              <w:rPr>
                <w:rStyle w:val="Hyperlink"/>
                <w:noProof/>
              </w:rPr>
              <w:t>4.5.</w:t>
            </w:r>
            <w:r w:rsidR="004E73AE">
              <w:rPr>
                <w:rFonts w:asciiTheme="minorHAnsi" w:eastAsiaTheme="minorEastAsia" w:hAnsiTheme="minorHAnsi" w:cstheme="minorBidi"/>
                <w:noProof/>
              </w:rPr>
              <w:tab/>
            </w:r>
            <w:r w:rsidR="004E73AE" w:rsidRPr="002921C4">
              <w:rPr>
                <w:rStyle w:val="Hyperlink"/>
                <w:noProof/>
              </w:rPr>
              <w:t>Ensuring results are delivered at agreed cost</w:t>
            </w:r>
            <w:r w:rsidR="004E73AE">
              <w:rPr>
                <w:noProof/>
                <w:webHidden/>
              </w:rPr>
              <w:tab/>
            </w:r>
            <w:r w:rsidR="004E73AE">
              <w:rPr>
                <w:noProof/>
                <w:webHidden/>
              </w:rPr>
              <w:fldChar w:fldCharType="begin"/>
            </w:r>
            <w:r w:rsidR="004E73AE">
              <w:rPr>
                <w:noProof/>
                <w:webHidden/>
              </w:rPr>
              <w:instrText xml:space="preserve"> PAGEREF _Toc527027980 \h </w:instrText>
            </w:r>
            <w:r w:rsidR="004E73AE">
              <w:rPr>
                <w:noProof/>
                <w:webHidden/>
              </w:rPr>
            </w:r>
            <w:r w:rsidR="004E73AE">
              <w:rPr>
                <w:noProof/>
                <w:webHidden/>
              </w:rPr>
              <w:fldChar w:fldCharType="separate"/>
            </w:r>
            <w:r>
              <w:rPr>
                <w:noProof/>
                <w:webHidden/>
              </w:rPr>
              <w:t>45</w:t>
            </w:r>
            <w:r w:rsidR="004E73AE">
              <w:rPr>
                <w:noProof/>
                <w:webHidden/>
              </w:rPr>
              <w:fldChar w:fldCharType="end"/>
            </w:r>
          </w:hyperlink>
        </w:p>
        <w:p w14:paraId="2808EFD8"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81" w:history="1">
            <w:r w:rsidR="004E73AE" w:rsidRPr="002921C4">
              <w:rPr>
                <w:rStyle w:val="Hyperlink"/>
                <w:noProof/>
              </w:rPr>
              <w:t>4.6.</w:t>
            </w:r>
            <w:r w:rsidR="004E73AE">
              <w:rPr>
                <w:rFonts w:asciiTheme="minorHAnsi" w:eastAsiaTheme="minorEastAsia" w:hAnsiTheme="minorHAnsi" w:cstheme="minorBidi"/>
                <w:noProof/>
              </w:rPr>
              <w:tab/>
            </w:r>
            <w:r w:rsidR="004E73AE" w:rsidRPr="002921C4">
              <w:rPr>
                <w:rStyle w:val="Hyperlink"/>
                <w:noProof/>
              </w:rPr>
              <w:t>Commercial Risk</w:t>
            </w:r>
            <w:r w:rsidR="004E73AE">
              <w:rPr>
                <w:noProof/>
                <w:webHidden/>
              </w:rPr>
              <w:tab/>
            </w:r>
            <w:r w:rsidR="004E73AE">
              <w:rPr>
                <w:noProof/>
                <w:webHidden/>
              </w:rPr>
              <w:fldChar w:fldCharType="begin"/>
            </w:r>
            <w:r w:rsidR="004E73AE">
              <w:rPr>
                <w:noProof/>
                <w:webHidden/>
              </w:rPr>
              <w:instrText xml:space="preserve"> PAGEREF _Toc527027981 \h </w:instrText>
            </w:r>
            <w:r w:rsidR="004E73AE">
              <w:rPr>
                <w:noProof/>
                <w:webHidden/>
              </w:rPr>
            </w:r>
            <w:r w:rsidR="004E73AE">
              <w:rPr>
                <w:noProof/>
                <w:webHidden/>
              </w:rPr>
              <w:fldChar w:fldCharType="separate"/>
            </w:r>
            <w:r>
              <w:rPr>
                <w:noProof/>
                <w:webHidden/>
              </w:rPr>
              <w:t>45</w:t>
            </w:r>
            <w:r w:rsidR="004E73AE">
              <w:rPr>
                <w:noProof/>
                <w:webHidden/>
              </w:rPr>
              <w:fldChar w:fldCharType="end"/>
            </w:r>
          </w:hyperlink>
        </w:p>
        <w:p w14:paraId="79E5F7AC"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82" w:history="1">
            <w:r w:rsidR="004E73AE" w:rsidRPr="002921C4">
              <w:rPr>
                <w:rStyle w:val="Hyperlink"/>
                <w:rFonts w:asciiTheme="majorHAnsi" w:eastAsiaTheme="majorEastAsia" w:hAnsiTheme="majorHAnsi"/>
                <w:noProof/>
              </w:rPr>
              <w:t>4.7.</w:t>
            </w:r>
            <w:r w:rsidR="004E73AE">
              <w:rPr>
                <w:rFonts w:asciiTheme="minorHAnsi" w:eastAsiaTheme="minorEastAsia" w:hAnsiTheme="minorHAnsi" w:cstheme="minorBidi"/>
                <w:noProof/>
              </w:rPr>
              <w:tab/>
            </w:r>
            <w:r w:rsidR="004E73AE" w:rsidRPr="002921C4">
              <w:rPr>
                <w:rStyle w:val="Hyperlink"/>
                <w:rFonts w:asciiTheme="majorHAnsi" w:eastAsiaTheme="majorEastAsia" w:hAnsiTheme="majorHAnsi" w:cstheme="majorBidi"/>
                <w:noProof/>
              </w:rPr>
              <w:t>State Aid</w:t>
            </w:r>
            <w:r w:rsidR="004E73AE">
              <w:rPr>
                <w:noProof/>
                <w:webHidden/>
              </w:rPr>
              <w:tab/>
            </w:r>
            <w:r w:rsidR="004E73AE">
              <w:rPr>
                <w:noProof/>
                <w:webHidden/>
              </w:rPr>
              <w:fldChar w:fldCharType="begin"/>
            </w:r>
            <w:r w:rsidR="004E73AE">
              <w:rPr>
                <w:noProof/>
                <w:webHidden/>
              </w:rPr>
              <w:instrText xml:space="preserve"> PAGEREF _Toc527027982 \h </w:instrText>
            </w:r>
            <w:r w:rsidR="004E73AE">
              <w:rPr>
                <w:noProof/>
                <w:webHidden/>
              </w:rPr>
            </w:r>
            <w:r w:rsidR="004E73AE">
              <w:rPr>
                <w:noProof/>
                <w:webHidden/>
              </w:rPr>
              <w:fldChar w:fldCharType="separate"/>
            </w:r>
            <w:r>
              <w:rPr>
                <w:noProof/>
                <w:webHidden/>
              </w:rPr>
              <w:t>46</w:t>
            </w:r>
            <w:r w:rsidR="004E73AE">
              <w:rPr>
                <w:noProof/>
                <w:webHidden/>
              </w:rPr>
              <w:fldChar w:fldCharType="end"/>
            </w:r>
          </w:hyperlink>
        </w:p>
        <w:p w14:paraId="065B8942" w14:textId="77777777" w:rsidR="004E73AE" w:rsidRDefault="009D672A">
          <w:pPr>
            <w:pStyle w:val="TOC1"/>
            <w:tabs>
              <w:tab w:val="left" w:pos="440"/>
              <w:tab w:val="right" w:leader="dot" w:pos="9402"/>
            </w:tabs>
            <w:rPr>
              <w:rFonts w:asciiTheme="minorHAnsi" w:eastAsiaTheme="minorEastAsia" w:hAnsiTheme="minorHAnsi" w:cstheme="minorBidi"/>
              <w:noProof/>
            </w:rPr>
          </w:pPr>
          <w:hyperlink w:anchor="_Toc527027983" w:history="1">
            <w:r w:rsidR="004E73AE" w:rsidRPr="002921C4">
              <w:rPr>
                <w:rStyle w:val="Hyperlink"/>
                <w:noProof/>
              </w:rPr>
              <w:t>5.</w:t>
            </w:r>
            <w:r w:rsidR="004E73AE">
              <w:rPr>
                <w:rFonts w:asciiTheme="minorHAnsi" w:eastAsiaTheme="minorEastAsia" w:hAnsiTheme="minorHAnsi" w:cstheme="minorBidi"/>
                <w:noProof/>
              </w:rPr>
              <w:tab/>
            </w:r>
            <w:r w:rsidR="004E73AE" w:rsidRPr="002921C4">
              <w:rPr>
                <w:rStyle w:val="Hyperlink"/>
                <w:noProof/>
              </w:rPr>
              <w:t>Financial Case</w:t>
            </w:r>
            <w:r w:rsidR="004E73AE">
              <w:rPr>
                <w:noProof/>
                <w:webHidden/>
              </w:rPr>
              <w:tab/>
            </w:r>
            <w:r w:rsidR="004E73AE">
              <w:rPr>
                <w:noProof/>
                <w:webHidden/>
              </w:rPr>
              <w:fldChar w:fldCharType="begin"/>
            </w:r>
            <w:r w:rsidR="004E73AE">
              <w:rPr>
                <w:noProof/>
                <w:webHidden/>
              </w:rPr>
              <w:instrText xml:space="preserve"> PAGEREF _Toc527027983 \h </w:instrText>
            </w:r>
            <w:r w:rsidR="004E73AE">
              <w:rPr>
                <w:noProof/>
                <w:webHidden/>
              </w:rPr>
            </w:r>
            <w:r w:rsidR="004E73AE">
              <w:rPr>
                <w:noProof/>
                <w:webHidden/>
              </w:rPr>
              <w:fldChar w:fldCharType="separate"/>
            </w:r>
            <w:r>
              <w:rPr>
                <w:noProof/>
                <w:webHidden/>
              </w:rPr>
              <w:t>47</w:t>
            </w:r>
            <w:r w:rsidR="004E73AE">
              <w:rPr>
                <w:noProof/>
                <w:webHidden/>
              </w:rPr>
              <w:fldChar w:fldCharType="end"/>
            </w:r>
          </w:hyperlink>
        </w:p>
        <w:p w14:paraId="00AD618D"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84" w:history="1">
            <w:r w:rsidR="004E73AE" w:rsidRPr="002921C4">
              <w:rPr>
                <w:rStyle w:val="Hyperlink"/>
                <w:noProof/>
              </w:rPr>
              <w:t>5.1.</w:t>
            </w:r>
            <w:r w:rsidR="004E73AE">
              <w:rPr>
                <w:rFonts w:asciiTheme="minorHAnsi" w:eastAsiaTheme="minorEastAsia" w:hAnsiTheme="minorHAnsi" w:cstheme="minorBidi"/>
                <w:noProof/>
              </w:rPr>
              <w:tab/>
            </w:r>
            <w:r w:rsidR="004E73AE" w:rsidRPr="002921C4">
              <w:rPr>
                <w:rStyle w:val="Hyperlink"/>
                <w:noProof/>
              </w:rPr>
              <w:t>Expected Costs</w:t>
            </w:r>
            <w:r w:rsidR="004E73AE">
              <w:rPr>
                <w:noProof/>
                <w:webHidden/>
              </w:rPr>
              <w:tab/>
            </w:r>
            <w:r w:rsidR="004E73AE">
              <w:rPr>
                <w:noProof/>
                <w:webHidden/>
              </w:rPr>
              <w:fldChar w:fldCharType="begin"/>
            </w:r>
            <w:r w:rsidR="004E73AE">
              <w:rPr>
                <w:noProof/>
                <w:webHidden/>
              </w:rPr>
              <w:instrText xml:space="preserve"> PAGEREF _Toc527027984 \h </w:instrText>
            </w:r>
            <w:r w:rsidR="004E73AE">
              <w:rPr>
                <w:noProof/>
                <w:webHidden/>
              </w:rPr>
            </w:r>
            <w:r w:rsidR="004E73AE">
              <w:rPr>
                <w:noProof/>
                <w:webHidden/>
              </w:rPr>
              <w:fldChar w:fldCharType="separate"/>
            </w:r>
            <w:r>
              <w:rPr>
                <w:noProof/>
                <w:webHidden/>
              </w:rPr>
              <w:t>47</w:t>
            </w:r>
            <w:r w:rsidR="004E73AE">
              <w:rPr>
                <w:noProof/>
                <w:webHidden/>
              </w:rPr>
              <w:fldChar w:fldCharType="end"/>
            </w:r>
          </w:hyperlink>
        </w:p>
        <w:p w14:paraId="16841705"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85" w:history="1">
            <w:r w:rsidR="004E73AE" w:rsidRPr="002921C4">
              <w:rPr>
                <w:rStyle w:val="Hyperlink"/>
                <w:noProof/>
              </w:rPr>
              <w:t>5.2.</w:t>
            </w:r>
            <w:r w:rsidR="004E73AE">
              <w:rPr>
                <w:rFonts w:asciiTheme="minorHAnsi" w:eastAsiaTheme="minorEastAsia" w:hAnsiTheme="minorHAnsi" w:cstheme="minorBidi"/>
                <w:noProof/>
              </w:rPr>
              <w:tab/>
            </w:r>
            <w:r w:rsidR="004E73AE" w:rsidRPr="002921C4">
              <w:rPr>
                <w:rStyle w:val="Hyperlink"/>
                <w:noProof/>
              </w:rPr>
              <w:t>Affordability</w:t>
            </w:r>
            <w:r w:rsidR="004E73AE">
              <w:rPr>
                <w:noProof/>
                <w:webHidden/>
              </w:rPr>
              <w:tab/>
            </w:r>
            <w:r w:rsidR="004E73AE">
              <w:rPr>
                <w:noProof/>
                <w:webHidden/>
              </w:rPr>
              <w:fldChar w:fldCharType="begin"/>
            </w:r>
            <w:r w:rsidR="004E73AE">
              <w:rPr>
                <w:noProof/>
                <w:webHidden/>
              </w:rPr>
              <w:instrText xml:space="preserve"> PAGEREF _Toc527027985 \h </w:instrText>
            </w:r>
            <w:r w:rsidR="004E73AE">
              <w:rPr>
                <w:noProof/>
                <w:webHidden/>
              </w:rPr>
            </w:r>
            <w:r w:rsidR="004E73AE">
              <w:rPr>
                <w:noProof/>
                <w:webHidden/>
              </w:rPr>
              <w:fldChar w:fldCharType="separate"/>
            </w:r>
            <w:r>
              <w:rPr>
                <w:noProof/>
                <w:webHidden/>
              </w:rPr>
              <w:t>49</w:t>
            </w:r>
            <w:r w:rsidR="004E73AE">
              <w:rPr>
                <w:noProof/>
                <w:webHidden/>
              </w:rPr>
              <w:fldChar w:fldCharType="end"/>
            </w:r>
          </w:hyperlink>
        </w:p>
        <w:p w14:paraId="6473E884"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86" w:history="1">
            <w:r w:rsidR="004E73AE" w:rsidRPr="002921C4">
              <w:rPr>
                <w:rStyle w:val="Hyperlink"/>
                <w:noProof/>
              </w:rPr>
              <w:t>5.3.</w:t>
            </w:r>
            <w:r w:rsidR="004E73AE">
              <w:rPr>
                <w:rFonts w:asciiTheme="minorHAnsi" w:eastAsiaTheme="minorEastAsia" w:hAnsiTheme="minorHAnsi" w:cstheme="minorBidi"/>
                <w:noProof/>
              </w:rPr>
              <w:tab/>
            </w:r>
            <w:r w:rsidR="004E73AE" w:rsidRPr="002921C4">
              <w:rPr>
                <w:rStyle w:val="Hyperlink"/>
                <w:noProof/>
              </w:rPr>
              <w:t>Expected Agents and Beneficiaries</w:t>
            </w:r>
            <w:r w:rsidR="004E73AE">
              <w:rPr>
                <w:noProof/>
                <w:webHidden/>
              </w:rPr>
              <w:tab/>
            </w:r>
            <w:r w:rsidR="004E73AE">
              <w:rPr>
                <w:noProof/>
                <w:webHidden/>
              </w:rPr>
              <w:fldChar w:fldCharType="begin"/>
            </w:r>
            <w:r w:rsidR="004E73AE">
              <w:rPr>
                <w:noProof/>
                <w:webHidden/>
              </w:rPr>
              <w:instrText xml:space="preserve"> PAGEREF _Toc527027986 \h </w:instrText>
            </w:r>
            <w:r w:rsidR="004E73AE">
              <w:rPr>
                <w:noProof/>
                <w:webHidden/>
              </w:rPr>
            </w:r>
            <w:r w:rsidR="004E73AE">
              <w:rPr>
                <w:noProof/>
                <w:webHidden/>
              </w:rPr>
              <w:fldChar w:fldCharType="separate"/>
            </w:r>
            <w:r>
              <w:rPr>
                <w:noProof/>
                <w:webHidden/>
              </w:rPr>
              <w:t>49</w:t>
            </w:r>
            <w:r w:rsidR="004E73AE">
              <w:rPr>
                <w:noProof/>
                <w:webHidden/>
              </w:rPr>
              <w:fldChar w:fldCharType="end"/>
            </w:r>
          </w:hyperlink>
        </w:p>
        <w:p w14:paraId="4DAC0328"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87" w:history="1">
            <w:r w:rsidR="004E73AE" w:rsidRPr="002921C4">
              <w:rPr>
                <w:rStyle w:val="Hyperlink"/>
                <w:noProof/>
              </w:rPr>
              <w:t>5.4.</w:t>
            </w:r>
            <w:r w:rsidR="004E73AE">
              <w:rPr>
                <w:rFonts w:asciiTheme="minorHAnsi" w:eastAsiaTheme="minorEastAsia" w:hAnsiTheme="minorHAnsi" w:cstheme="minorBidi"/>
                <w:noProof/>
              </w:rPr>
              <w:tab/>
            </w:r>
            <w:r w:rsidR="004E73AE" w:rsidRPr="002921C4">
              <w:rPr>
                <w:rStyle w:val="Hyperlink"/>
                <w:noProof/>
              </w:rPr>
              <w:t>Reporting and Accounting for Funds</w:t>
            </w:r>
            <w:r w:rsidR="004E73AE">
              <w:rPr>
                <w:noProof/>
                <w:webHidden/>
              </w:rPr>
              <w:tab/>
            </w:r>
            <w:r w:rsidR="004E73AE">
              <w:rPr>
                <w:noProof/>
                <w:webHidden/>
              </w:rPr>
              <w:fldChar w:fldCharType="begin"/>
            </w:r>
            <w:r w:rsidR="004E73AE">
              <w:rPr>
                <w:noProof/>
                <w:webHidden/>
              </w:rPr>
              <w:instrText xml:space="preserve"> PAGEREF _Toc527027987 \h </w:instrText>
            </w:r>
            <w:r w:rsidR="004E73AE">
              <w:rPr>
                <w:noProof/>
                <w:webHidden/>
              </w:rPr>
            </w:r>
            <w:r w:rsidR="004E73AE">
              <w:rPr>
                <w:noProof/>
                <w:webHidden/>
              </w:rPr>
              <w:fldChar w:fldCharType="separate"/>
            </w:r>
            <w:r>
              <w:rPr>
                <w:noProof/>
                <w:webHidden/>
              </w:rPr>
              <w:t>49</w:t>
            </w:r>
            <w:r w:rsidR="004E73AE">
              <w:rPr>
                <w:noProof/>
                <w:webHidden/>
              </w:rPr>
              <w:fldChar w:fldCharType="end"/>
            </w:r>
          </w:hyperlink>
        </w:p>
        <w:p w14:paraId="5B01E69A"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88" w:history="1">
            <w:r w:rsidR="004E73AE" w:rsidRPr="002921C4">
              <w:rPr>
                <w:rStyle w:val="Hyperlink"/>
                <w:noProof/>
              </w:rPr>
              <w:t>5.5.</w:t>
            </w:r>
            <w:r w:rsidR="004E73AE">
              <w:rPr>
                <w:rFonts w:asciiTheme="minorHAnsi" w:eastAsiaTheme="minorEastAsia" w:hAnsiTheme="minorHAnsi" w:cstheme="minorBidi"/>
                <w:noProof/>
              </w:rPr>
              <w:tab/>
            </w:r>
            <w:r w:rsidR="004E73AE" w:rsidRPr="002921C4">
              <w:rPr>
                <w:rStyle w:val="Hyperlink"/>
                <w:noProof/>
              </w:rPr>
              <w:t>The IDBs Financial Strengths and Weaknesses</w:t>
            </w:r>
            <w:r w:rsidR="004E73AE">
              <w:rPr>
                <w:noProof/>
                <w:webHidden/>
              </w:rPr>
              <w:tab/>
            </w:r>
            <w:r w:rsidR="004E73AE">
              <w:rPr>
                <w:noProof/>
                <w:webHidden/>
              </w:rPr>
              <w:fldChar w:fldCharType="begin"/>
            </w:r>
            <w:r w:rsidR="004E73AE">
              <w:rPr>
                <w:noProof/>
                <w:webHidden/>
              </w:rPr>
              <w:instrText xml:space="preserve"> PAGEREF _Toc527027988 \h </w:instrText>
            </w:r>
            <w:r w:rsidR="004E73AE">
              <w:rPr>
                <w:noProof/>
                <w:webHidden/>
              </w:rPr>
            </w:r>
            <w:r w:rsidR="004E73AE">
              <w:rPr>
                <w:noProof/>
                <w:webHidden/>
              </w:rPr>
              <w:fldChar w:fldCharType="separate"/>
            </w:r>
            <w:r>
              <w:rPr>
                <w:noProof/>
                <w:webHidden/>
              </w:rPr>
              <w:t>50</w:t>
            </w:r>
            <w:r w:rsidR="004E73AE">
              <w:rPr>
                <w:noProof/>
                <w:webHidden/>
              </w:rPr>
              <w:fldChar w:fldCharType="end"/>
            </w:r>
          </w:hyperlink>
        </w:p>
        <w:p w14:paraId="72F89050"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89" w:history="1">
            <w:r w:rsidR="004E73AE" w:rsidRPr="002921C4">
              <w:rPr>
                <w:rStyle w:val="Hyperlink"/>
                <w:noProof/>
              </w:rPr>
              <w:t>5.6.</w:t>
            </w:r>
            <w:r w:rsidR="004E73AE">
              <w:rPr>
                <w:rFonts w:asciiTheme="minorHAnsi" w:eastAsiaTheme="minorEastAsia" w:hAnsiTheme="minorHAnsi" w:cstheme="minorBidi"/>
                <w:noProof/>
              </w:rPr>
              <w:tab/>
            </w:r>
            <w:r w:rsidR="004E73AE" w:rsidRPr="002921C4">
              <w:rPr>
                <w:rStyle w:val="Hyperlink"/>
                <w:noProof/>
              </w:rPr>
              <w:t>Financial Accounting Considerations</w:t>
            </w:r>
            <w:r w:rsidR="004E73AE">
              <w:rPr>
                <w:noProof/>
                <w:webHidden/>
              </w:rPr>
              <w:tab/>
            </w:r>
            <w:r w:rsidR="004E73AE">
              <w:rPr>
                <w:noProof/>
                <w:webHidden/>
              </w:rPr>
              <w:fldChar w:fldCharType="begin"/>
            </w:r>
            <w:r w:rsidR="004E73AE">
              <w:rPr>
                <w:noProof/>
                <w:webHidden/>
              </w:rPr>
              <w:instrText xml:space="preserve"> PAGEREF _Toc527027989 \h </w:instrText>
            </w:r>
            <w:r w:rsidR="004E73AE">
              <w:rPr>
                <w:noProof/>
                <w:webHidden/>
              </w:rPr>
            </w:r>
            <w:r w:rsidR="004E73AE">
              <w:rPr>
                <w:noProof/>
                <w:webHidden/>
              </w:rPr>
              <w:fldChar w:fldCharType="separate"/>
            </w:r>
            <w:r>
              <w:rPr>
                <w:noProof/>
                <w:webHidden/>
              </w:rPr>
              <w:t>51</w:t>
            </w:r>
            <w:r w:rsidR="004E73AE">
              <w:rPr>
                <w:noProof/>
                <w:webHidden/>
              </w:rPr>
              <w:fldChar w:fldCharType="end"/>
            </w:r>
          </w:hyperlink>
        </w:p>
        <w:p w14:paraId="44C53C42"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90" w:history="1">
            <w:r w:rsidR="004E73AE" w:rsidRPr="002921C4">
              <w:rPr>
                <w:rStyle w:val="Hyperlink"/>
                <w:noProof/>
              </w:rPr>
              <w:t>5.7.</w:t>
            </w:r>
            <w:r w:rsidR="004E73AE">
              <w:rPr>
                <w:rFonts w:asciiTheme="minorHAnsi" w:eastAsiaTheme="minorEastAsia" w:hAnsiTheme="minorHAnsi" w:cstheme="minorBidi"/>
                <w:noProof/>
              </w:rPr>
              <w:tab/>
            </w:r>
            <w:r w:rsidR="004E73AE" w:rsidRPr="002921C4">
              <w:rPr>
                <w:rStyle w:val="Hyperlink"/>
                <w:noProof/>
              </w:rPr>
              <w:t>Avoiding Fraud and Corruption</w:t>
            </w:r>
            <w:r w:rsidR="004E73AE">
              <w:rPr>
                <w:noProof/>
                <w:webHidden/>
              </w:rPr>
              <w:tab/>
            </w:r>
            <w:r w:rsidR="004E73AE">
              <w:rPr>
                <w:noProof/>
                <w:webHidden/>
              </w:rPr>
              <w:fldChar w:fldCharType="begin"/>
            </w:r>
            <w:r w:rsidR="004E73AE">
              <w:rPr>
                <w:noProof/>
                <w:webHidden/>
              </w:rPr>
              <w:instrText xml:space="preserve"> PAGEREF _Toc527027990 \h </w:instrText>
            </w:r>
            <w:r w:rsidR="004E73AE">
              <w:rPr>
                <w:noProof/>
                <w:webHidden/>
              </w:rPr>
            </w:r>
            <w:r w:rsidR="004E73AE">
              <w:rPr>
                <w:noProof/>
                <w:webHidden/>
              </w:rPr>
              <w:fldChar w:fldCharType="separate"/>
            </w:r>
            <w:r>
              <w:rPr>
                <w:noProof/>
                <w:webHidden/>
              </w:rPr>
              <w:t>53</w:t>
            </w:r>
            <w:r w:rsidR="004E73AE">
              <w:rPr>
                <w:noProof/>
                <w:webHidden/>
              </w:rPr>
              <w:fldChar w:fldCharType="end"/>
            </w:r>
          </w:hyperlink>
        </w:p>
        <w:p w14:paraId="5DA578BB" w14:textId="77777777" w:rsidR="004E73AE" w:rsidRDefault="009D672A">
          <w:pPr>
            <w:pStyle w:val="TOC1"/>
            <w:tabs>
              <w:tab w:val="left" w:pos="440"/>
              <w:tab w:val="right" w:leader="dot" w:pos="9402"/>
            </w:tabs>
            <w:rPr>
              <w:rFonts w:asciiTheme="minorHAnsi" w:eastAsiaTheme="minorEastAsia" w:hAnsiTheme="minorHAnsi" w:cstheme="minorBidi"/>
              <w:noProof/>
            </w:rPr>
          </w:pPr>
          <w:hyperlink w:anchor="_Toc527027991" w:history="1">
            <w:r w:rsidR="004E73AE" w:rsidRPr="002921C4">
              <w:rPr>
                <w:rStyle w:val="Hyperlink"/>
                <w:noProof/>
              </w:rPr>
              <w:t>6.</w:t>
            </w:r>
            <w:r w:rsidR="004E73AE">
              <w:rPr>
                <w:rFonts w:asciiTheme="minorHAnsi" w:eastAsiaTheme="minorEastAsia" w:hAnsiTheme="minorHAnsi" w:cstheme="minorBidi"/>
                <w:noProof/>
              </w:rPr>
              <w:tab/>
            </w:r>
            <w:r w:rsidR="004E73AE" w:rsidRPr="002921C4">
              <w:rPr>
                <w:rStyle w:val="Hyperlink"/>
                <w:noProof/>
              </w:rPr>
              <w:t>Management Case</w:t>
            </w:r>
            <w:r w:rsidR="004E73AE">
              <w:rPr>
                <w:noProof/>
                <w:webHidden/>
              </w:rPr>
              <w:tab/>
            </w:r>
            <w:r w:rsidR="004E73AE">
              <w:rPr>
                <w:noProof/>
                <w:webHidden/>
              </w:rPr>
              <w:fldChar w:fldCharType="begin"/>
            </w:r>
            <w:r w:rsidR="004E73AE">
              <w:rPr>
                <w:noProof/>
                <w:webHidden/>
              </w:rPr>
              <w:instrText xml:space="preserve"> PAGEREF _Toc527027991 \h </w:instrText>
            </w:r>
            <w:r w:rsidR="004E73AE">
              <w:rPr>
                <w:noProof/>
                <w:webHidden/>
              </w:rPr>
            </w:r>
            <w:r w:rsidR="004E73AE">
              <w:rPr>
                <w:noProof/>
                <w:webHidden/>
              </w:rPr>
              <w:fldChar w:fldCharType="separate"/>
            </w:r>
            <w:r>
              <w:rPr>
                <w:noProof/>
                <w:webHidden/>
              </w:rPr>
              <w:t>56</w:t>
            </w:r>
            <w:r w:rsidR="004E73AE">
              <w:rPr>
                <w:noProof/>
                <w:webHidden/>
              </w:rPr>
              <w:fldChar w:fldCharType="end"/>
            </w:r>
          </w:hyperlink>
        </w:p>
        <w:p w14:paraId="30158616"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92" w:history="1">
            <w:r w:rsidR="004E73AE" w:rsidRPr="002921C4">
              <w:rPr>
                <w:rStyle w:val="Hyperlink"/>
                <w:noProof/>
              </w:rPr>
              <w:t>6.1.</w:t>
            </w:r>
            <w:r w:rsidR="004E73AE">
              <w:rPr>
                <w:rFonts w:asciiTheme="minorHAnsi" w:eastAsiaTheme="minorEastAsia" w:hAnsiTheme="minorHAnsi" w:cstheme="minorBidi"/>
                <w:noProof/>
              </w:rPr>
              <w:tab/>
            </w:r>
            <w:r w:rsidR="004E73AE" w:rsidRPr="002921C4">
              <w:rPr>
                <w:rStyle w:val="Hyperlink"/>
                <w:noProof/>
              </w:rPr>
              <w:t>A Single Donor Trust Fund</w:t>
            </w:r>
            <w:r w:rsidR="004E73AE">
              <w:rPr>
                <w:noProof/>
                <w:webHidden/>
              </w:rPr>
              <w:tab/>
            </w:r>
            <w:r w:rsidR="004E73AE">
              <w:rPr>
                <w:noProof/>
                <w:webHidden/>
              </w:rPr>
              <w:fldChar w:fldCharType="begin"/>
            </w:r>
            <w:r w:rsidR="004E73AE">
              <w:rPr>
                <w:noProof/>
                <w:webHidden/>
              </w:rPr>
              <w:instrText xml:space="preserve"> PAGEREF _Toc527027992 \h </w:instrText>
            </w:r>
            <w:r w:rsidR="004E73AE">
              <w:rPr>
                <w:noProof/>
                <w:webHidden/>
              </w:rPr>
            </w:r>
            <w:r w:rsidR="004E73AE">
              <w:rPr>
                <w:noProof/>
                <w:webHidden/>
              </w:rPr>
              <w:fldChar w:fldCharType="separate"/>
            </w:r>
            <w:r>
              <w:rPr>
                <w:noProof/>
                <w:webHidden/>
              </w:rPr>
              <w:t>56</w:t>
            </w:r>
            <w:r w:rsidR="004E73AE">
              <w:rPr>
                <w:noProof/>
                <w:webHidden/>
              </w:rPr>
              <w:fldChar w:fldCharType="end"/>
            </w:r>
          </w:hyperlink>
        </w:p>
        <w:p w14:paraId="44C5BFE6"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93" w:history="1">
            <w:r w:rsidR="004E73AE" w:rsidRPr="002921C4">
              <w:rPr>
                <w:rStyle w:val="Hyperlink"/>
                <w:noProof/>
              </w:rPr>
              <w:t>6.2.</w:t>
            </w:r>
            <w:r w:rsidR="004E73AE">
              <w:rPr>
                <w:rFonts w:asciiTheme="minorHAnsi" w:eastAsiaTheme="minorEastAsia" w:hAnsiTheme="minorHAnsi" w:cstheme="minorBidi"/>
                <w:noProof/>
              </w:rPr>
              <w:tab/>
            </w:r>
            <w:r w:rsidR="004E73AE" w:rsidRPr="002921C4">
              <w:rPr>
                <w:rStyle w:val="Hyperlink"/>
                <w:noProof/>
              </w:rPr>
              <w:t>Management and Governance Arrangements</w:t>
            </w:r>
            <w:r w:rsidR="004E73AE">
              <w:rPr>
                <w:noProof/>
                <w:webHidden/>
              </w:rPr>
              <w:tab/>
            </w:r>
            <w:r w:rsidR="004E73AE">
              <w:rPr>
                <w:noProof/>
                <w:webHidden/>
              </w:rPr>
              <w:fldChar w:fldCharType="begin"/>
            </w:r>
            <w:r w:rsidR="004E73AE">
              <w:rPr>
                <w:noProof/>
                <w:webHidden/>
              </w:rPr>
              <w:instrText xml:space="preserve"> PAGEREF _Toc527027993 \h </w:instrText>
            </w:r>
            <w:r w:rsidR="004E73AE">
              <w:rPr>
                <w:noProof/>
                <w:webHidden/>
              </w:rPr>
            </w:r>
            <w:r w:rsidR="004E73AE">
              <w:rPr>
                <w:noProof/>
                <w:webHidden/>
              </w:rPr>
              <w:fldChar w:fldCharType="separate"/>
            </w:r>
            <w:r>
              <w:rPr>
                <w:noProof/>
                <w:webHidden/>
              </w:rPr>
              <w:t>56</w:t>
            </w:r>
            <w:r w:rsidR="004E73AE">
              <w:rPr>
                <w:noProof/>
                <w:webHidden/>
              </w:rPr>
              <w:fldChar w:fldCharType="end"/>
            </w:r>
          </w:hyperlink>
        </w:p>
        <w:p w14:paraId="715FC673"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94" w:history="1">
            <w:r w:rsidR="004E73AE" w:rsidRPr="002921C4">
              <w:rPr>
                <w:rStyle w:val="Hyperlink"/>
                <w:noProof/>
              </w:rPr>
              <w:t>6.3.</w:t>
            </w:r>
            <w:r w:rsidR="004E73AE">
              <w:rPr>
                <w:rFonts w:asciiTheme="minorHAnsi" w:eastAsiaTheme="minorEastAsia" w:hAnsiTheme="minorHAnsi" w:cstheme="minorBidi"/>
                <w:noProof/>
              </w:rPr>
              <w:tab/>
            </w:r>
            <w:r w:rsidR="004E73AE" w:rsidRPr="002921C4">
              <w:rPr>
                <w:rStyle w:val="Hyperlink"/>
                <w:noProof/>
              </w:rPr>
              <w:t>Monitoring and Evaluation Governance</w:t>
            </w:r>
            <w:r w:rsidR="004E73AE">
              <w:rPr>
                <w:noProof/>
                <w:webHidden/>
              </w:rPr>
              <w:tab/>
            </w:r>
            <w:r w:rsidR="004E73AE">
              <w:rPr>
                <w:noProof/>
                <w:webHidden/>
              </w:rPr>
              <w:fldChar w:fldCharType="begin"/>
            </w:r>
            <w:r w:rsidR="004E73AE">
              <w:rPr>
                <w:noProof/>
                <w:webHidden/>
              </w:rPr>
              <w:instrText xml:space="preserve"> PAGEREF _Toc527027994 \h </w:instrText>
            </w:r>
            <w:r w:rsidR="004E73AE">
              <w:rPr>
                <w:noProof/>
                <w:webHidden/>
              </w:rPr>
            </w:r>
            <w:r w:rsidR="004E73AE">
              <w:rPr>
                <w:noProof/>
                <w:webHidden/>
              </w:rPr>
              <w:fldChar w:fldCharType="separate"/>
            </w:r>
            <w:r>
              <w:rPr>
                <w:noProof/>
                <w:webHidden/>
              </w:rPr>
              <w:t>57</w:t>
            </w:r>
            <w:r w:rsidR="004E73AE">
              <w:rPr>
                <w:noProof/>
                <w:webHidden/>
              </w:rPr>
              <w:fldChar w:fldCharType="end"/>
            </w:r>
          </w:hyperlink>
        </w:p>
        <w:p w14:paraId="024D1933"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95" w:history="1">
            <w:r w:rsidR="004E73AE" w:rsidRPr="002921C4">
              <w:rPr>
                <w:rStyle w:val="Hyperlink"/>
                <w:noProof/>
              </w:rPr>
              <w:t>6.4.</w:t>
            </w:r>
            <w:r w:rsidR="004E73AE">
              <w:rPr>
                <w:rFonts w:asciiTheme="minorHAnsi" w:eastAsiaTheme="minorEastAsia" w:hAnsiTheme="minorHAnsi" w:cstheme="minorBidi"/>
                <w:noProof/>
              </w:rPr>
              <w:tab/>
            </w:r>
            <w:r w:rsidR="004E73AE" w:rsidRPr="002921C4">
              <w:rPr>
                <w:rStyle w:val="Hyperlink"/>
                <w:noProof/>
              </w:rPr>
              <w:t>Risks</w:t>
            </w:r>
            <w:r w:rsidR="004E73AE">
              <w:rPr>
                <w:noProof/>
                <w:webHidden/>
              </w:rPr>
              <w:tab/>
            </w:r>
            <w:r w:rsidR="004E73AE">
              <w:rPr>
                <w:noProof/>
                <w:webHidden/>
              </w:rPr>
              <w:fldChar w:fldCharType="begin"/>
            </w:r>
            <w:r w:rsidR="004E73AE">
              <w:rPr>
                <w:noProof/>
                <w:webHidden/>
              </w:rPr>
              <w:instrText xml:space="preserve"> PAGEREF _Toc527027995 \h </w:instrText>
            </w:r>
            <w:r w:rsidR="004E73AE">
              <w:rPr>
                <w:noProof/>
                <w:webHidden/>
              </w:rPr>
            </w:r>
            <w:r w:rsidR="004E73AE">
              <w:rPr>
                <w:noProof/>
                <w:webHidden/>
              </w:rPr>
              <w:fldChar w:fldCharType="separate"/>
            </w:r>
            <w:r>
              <w:rPr>
                <w:noProof/>
                <w:webHidden/>
              </w:rPr>
              <w:t>59</w:t>
            </w:r>
            <w:r w:rsidR="004E73AE">
              <w:rPr>
                <w:noProof/>
                <w:webHidden/>
              </w:rPr>
              <w:fldChar w:fldCharType="end"/>
            </w:r>
          </w:hyperlink>
        </w:p>
        <w:p w14:paraId="62CC70E6" w14:textId="77777777" w:rsidR="004E73AE" w:rsidRDefault="009D672A">
          <w:pPr>
            <w:pStyle w:val="TOC1"/>
            <w:tabs>
              <w:tab w:val="left" w:pos="440"/>
              <w:tab w:val="right" w:leader="dot" w:pos="9402"/>
            </w:tabs>
            <w:rPr>
              <w:rFonts w:asciiTheme="minorHAnsi" w:eastAsiaTheme="minorEastAsia" w:hAnsiTheme="minorHAnsi" w:cstheme="minorBidi"/>
              <w:noProof/>
            </w:rPr>
          </w:pPr>
          <w:hyperlink w:anchor="_Toc527027996" w:history="1">
            <w:r w:rsidR="004E73AE" w:rsidRPr="002921C4">
              <w:rPr>
                <w:rStyle w:val="Hyperlink"/>
                <w:noProof/>
              </w:rPr>
              <w:t>7.</w:t>
            </w:r>
            <w:r w:rsidR="004E73AE">
              <w:rPr>
                <w:rFonts w:asciiTheme="minorHAnsi" w:eastAsiaTheme="minorEastAsia" w:hAnsiTheme="minorHAnsi" w:cstheme="minorBidi"/>
                <w:noProof/>
              </w:rPr>
              <w:tab/>
            </w:r>
            <w:r w:rsidR="004E73AE" w:rsidRPr="002921C4">
              <w:rPr>
                <w:rStyle w:val="Hyperlink"/>
                <w:noProof/>
              </w:rPr>
              <w:t>Annexes</w:t>
            </w:r>
            <w:r w:rsidR="004E73AE">
              <w:rPr>
                <w:noProof/>
                <w:webHidden/>
              </w:rPr>
              <w:tab/>
            </w:r>
            <w:r w:rsidR="004E73AE">
              <w:rPr>
                <w:noProof/>
                <w:webHidden/>
              </w:rPr>
              <w:fldChar w:fldCharType="begin"/>
            </w:r>
            <w:r w:rsidR="004E73AE">
              <w:rPr>
                <w:noProof/>
                <w:webHidden/>
              </w:rPr>
              <w:instrText xml:space="preserve"> PAGEREF _Toc527027996 \h </w:instrText>
            </w:r>
            <w:r w:rsidR="004E73AE">
              <w:rPr>
                <w:noProof/>
                <w:webHidden/>
              </w:rPr>
            </w:r>
            <w:r w:rsidR="004E73AE">
              <w:rPr>
                <w:noProof/>
                <w:webHidden/>
              </w:rPr>
              <w:fldChar w:fldCharType="separate"/>
            </w:r>
            <w:r>
              <w:rPr>
                <w:noProof/>
                <w:webHidden/>
              </w:rPr>
              <w:t>61</w:t>
            </w:r>
            <w:r w:rsidR="004E73AE">
              <w:rPr>
                <w:noProof/>
                <w:webHidden/>
              </w:rPr>
              <w:fldChar w:fldCharType="end"/>
            </w:r>
          </w:hyperlink>
        </w:p>
        <w:p w14:paraId="58140A50"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97" w:history="1">
            <w:r w:rsidR="004E73AE" w:rsidRPr="002921C4">
              <w:rPr>
                <w:rStyle w:val="Hyperlink"/>
                <w:noProof/>
              </w:rPr>
              <w:t>7.1.</w:t>
            </w:r>
            <w:r w:rsidR="004E73AE">
              <w:rPr>
                <w:rFonts w:asciiTheme="minorHAnsi" w:eastAsiaTheme="minorEastAsia" w:hAnsiTheme="minorHAnsi" w:cstheme="minorBidi"/>
                <w:noProof/>
              </w:rPr>
              <w:tab/>
            </w:r>
            <w:r w:rsidR="004E73AE" w:rsidRPr="002921C4">
              <w:rPr>
                <w:rStyle w:val="Hyperlink"/>
                <w:noProof/>
              </w:rPr>
              <w:t>Sensitivity Analyses</w:t>
            </w:r>
            <w:r w:rsidR="004E73AE">
              <w:rPr>
                <w:noProof/>
                <w:webHidden/>
              </w:rPr>
              <w:tab/>
            </w:r>
            <w:r w:rsidR="004E73AE">
              <w:rPr>
                <w:noProof/>
                <w:webHidden/>
              </w:rPr>
              <w:fldChar w:fldCharType="begin"/>
            </w:r>
            <w:r w:rsidR="004E73AE">
              <w:rPr>
                <w:noProof/>
                <w:webHidden/>
              </w:rPr>
              <w:instrText xml:space="preserve"> PAGEREF _Toc527027997 \h </w:instrText>
            </w:r>
            <w:r w:rsidR="004E73AE">
              <w:rPr>
                <w:noProof/>
                <w:webHidden/>
              </w:rPr>
            </w:r>
            <w:r w:rsidR="004E73AE">
              <w:rPr>
                <w:noProof/>
                <w:webHidden/>
              </w:rPr>
              <w:fldChar w:fldCharType="separate"/>
            </w:r>
            <w:r>
              <w:rPr>
                <w:noProof/>
                <w:webHidden/>
              </w:rPr>
              <w:t>61</w:t>
            </w:r>
            <w:r w:rsidR="004E73AE">
              <w:rPr>
                <w:noProof/>
                <w:webHidden/>
              </w:rPr>
              <w:fldChar w:fldCharType="end"/>
            </w:r>
          </w:hyperlink>
        </w:p>
        <w:p w14:paraId="13DC78FB"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98" w:history="1">
            <w:r w:rsidR="004E73AE" w:rsidRPr="002921C4">
              <w:rPr>
                <w:rStyle w:val="Hyperlink"/>
                <w:noProof/>
              </w:rPr>
              <w:t>7.2.</w:t>
            </w:r>
            <w:r w:rsidR="004E73AE">
              <w:rPr>
                <w:rFonts w:asciiTheme="minorHAnsi" w:eastAsiaTheme="minorEastAsia" w:hAnsiTheme="minorHAnsi" w:cstheme="minorBidi"/>
                <w:noProof/>
              </w:rPr>
              <w:tab/>
            </w:r>
            <w:r w:rsidR="004E73AE" w:rsidRPr="002921C4">
              <w:rPr>
                <w:rStyle w:val="Hyperlink"/>
                <w:noProof/>
              </w:rPr>
              <w:t>Theory of Change – IDB</w:t>
            </w:r>
            <w:r w:rsidR="004E73AE">
              <w:rPr>
                <w:noProof/>
                <w:webHidden/>
              </w:rPr>
              <w:tab/>
            </w:r>
            <w:r w:rsidR="004E73AE">
              <w:rPr>
                <w:noProof/>
                <w:webHidden/>
              </w:rPr>
              <w:fldChar w:fldCharType="begin"/>
            </w:r>
            <w:r w:rsidR="004E73AE">
              <w:rPr>
                <w:noProof/>
                <w:webHidden/>
              </w:rPr>
              <w:instrText xml:space="preserve"> PAGEREF _Toc527027998 \h </w:instrText>
            </w:r>
            <w:r w:rsidR="004E73AE">
              <w:rPr>
                <w:noProof/>
                <w:webHidden/>
              </w:rPr>
            </w:r>
            <w:r w:rsidR="004E73AE">
              <w:rPr>
                <w:noProof/>
                <w:webHidden/>
              </w:rPr>
              <w:fldChar w:fldCharType="separate"/>
            </w:r>
            <w:r>
              <w:rPr>
                <w:noProof/>
                <w:webHidden/>
              </w:rPr>
              <w:t>65</w:t>
            </w:r>
            <w:r w:rsidR="004E73AE">
              <w:rPr>
                <w:noProof/>
                <w:webHidden/>
              </w:rPr>
              <w:fldChar w:fldCharType="end"/>
            </w:r>
          </w:hyperlink>
        </w:p>
        <w:p w14:paraId="0C19E777"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7999" w:history="1">
            <w:r w:rsidR="004E73AE" w:rsidRPr="002921C4">
              <w:rPr>
                <w:rStyle w:val="Hyperlink"/>
                <w:noProof/>
              </w:rPr>
              <w:t>7.3.</w:t>
            </w:r>
            <w:r w:rsidR="004E73AE">
              <w:rPr>
                <w:rFonts w:asciiTheme="minorHAnsi" w:eastAsiaTheme="minorEastAsia" w:hAnsiTheme="minorHAnsi" w:cstheme="minorBidi"/>
                <w:noProof/>
              </w:rPr>
              <w:tab/>
            </w:r>
            <w:r w:rsidR="004E73AE" w:rsidRPr="002921C4">
              <w:rPr>
                <w:rStyle w:val="Hyperlink"/>
                <w:noProof/>
              </w:rPr>
              <w:t>Theory of Change – SMF</w:t>
            </w:r>
            <w:r w:rsidR="004E73AE">
              <w:rPr>
                <w:noProof/>
                <w:webHidden/>
              </w:rPr>
              <w:tab/>
            </w:r>
            <w:r w:rsidR="004E73AE">
              <w:rPr>
                <w:noProof/>
                <w:webHidden/>
              </w:rPr>
              <w:fldChar w:fldCharType="begin"/>
            </w:r>
            <w:r w:rsidR="004E73AE">
              <w:rPr>
                <w:noProof/>
                <w:webHidden/>
              </w:rPr>
              <w:instrText xml:space="preserve"> PAGEREF _Toc527027999 \h </w:instrText>
            </w:r>
            <w:r w:rsidR="004E73AE">
              <w:rPr>
                <w:noProof/>
                <w:webHidden/>
              </w:rPr>
            </w:r>
            <w:r w:rsidR="004E73AE">
              <w:rPr>
                <w:noProof/>
                <w:webHidden/>
              </w:rPr>
              <w:fldChar w:fldCharType="separate"/>
            </w:r>
            <w:r>
              <w:rPr>
                <w:noProof/>
                <w:webHidden/>
              </w:rPr>
              <w:t>66</w:t>
            </w:r>
            <w:r w:rsidR="004E73AE">
              <w:rPr>
                <w:noProof/>
                <w:webHidden/>
              </w:rPr>
              <w:fldChar w:fldCharType="end"/>
            </w:r>
          </w:hyperlink>
        </w:p>
        <w:p w14:paraId="58D16F22"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8000" w:history="1">
            <w:r w:rsidR="004E73AE" w:rsidRPr="002921C4">
              <w:rPr>
                <w:rStyle w:val="Hyperlink"/>
                <w:noProof/>
              </w:rPr>
              <w:t>7.4.</w:t>
            </w:r>
            <w:r w:rsidR="004E73AE">
              <w:rPr>
                <w:rFonts w:asciiTheme="minorHAnsi" w:eastAsiaTheme="minorEastAsia" w:hAnsiTheme="minorHAnsi" w:cstheme="minorBidi"/>
                <w:noProof/>
              </w:rPr>
              <w:tab/>
            </w:r>
            <w:r w:rsidR="004E73AE" w:rsidRPr="002921C4">
              <w:rPr>
                <w:rStyle w:val="Hyperlink"/>
                <w:noProof/>
              </w:rPr>
              <w:t>IDB Detailed Drawdown Schedule and Budget</w:t>
            </w:r>
            <w:r w:rsidR="004E73AE">
              <w:rPr>
                <w:noProof/>
                <w:webHidden/>
              </w:rPr>
              <w:tab/>
            </w:r>
            <w:r w:rsidR="004E73AE">
              <w:rPr>
                <w:noProof/>
                <w:webHidden/>
              </w:rPr>
              <w:fldChar w:fldCharType="begin"/>
            </w:r>
            <w:r w:rsidR="004E73AE">
              <w:rPr>
                <w:noProof/>
                <w:webHidden/>
              </w:rPr>
              <w:instrText xml:space="preserve"> PAGEREF _Toc527028000 \h </w:instrText>
            </w:r>
            <w:r w:rsidR="004E73AE">
              <w:rPr>
                <w:noProof/>
                <w:webHidden/>
              </w:rPr>
            </w:r>
            <w:r w:rsidR="004E73AE">
              <w:rPr>
                <w:noProof/>
                <w:webHidden/>
              </w:rPr>
              <w:fldChar w:fldCharType="separate"/>
            </w:r>
            <w:r>
              <w:rPr>
                <w:noProof/>
                <w:webHidden/>
              </w:rPr>
              <w:t>67</w:t>
            </w:r>
            <w:r w:rsidR="004E73AE">
              <w:rPr>
                <w:noProof/>
                <w:webHidden/>
              </w:rPr>
              <w:fldChar w:fldCharType="end"/>
            </w:r>
          </w:hyperlink>
        </w:p>
        <w:p w14:paraId="75A16050"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8001" w:history="1">
            <w:r w:rsidR="004E73AE" w:rsidRPr="002921C4">
              <w:rPr>
                <w:rStyle w:val="Hyperlink"/>
                <w:noProof/>
              </w:rPr>
              <w:t>7.5.</w:t>
            </w:r>
            <w:r w:rsidR="004E73AE">
              <w:rPr>
                <w:rFonts w:asciiTheme="minorHAnsi" w:eastAsiaTheme="minorEastAsia" w:hAnsiTheme="minorHAnsi" w:cstheme="minorBidi"/>
                <w:noProof/>
              </w:rPr>
              <w:tab/>
            </w:r>
            <w:r w:rsidR="004E73AE" w:rsidRPr="002921C4">
              <w:rPr>
                <w:rStyle w:val="Hyperlink"/>
                <w:noProof/>
              </w:rPr>
              <w:t>Choice Matrix for ICF Mangroves Program Delivery Mechanism</w:t>
            </w:r>
            <w:r w:rsidR="004E73AE">
              <w:rPr>
                <w:noProof/>
                <w:webHidden/>
              </w:rPr>
              <w:tab/>
            </w:r>
            <w:r w:rsidR="004E73AE">
              <w:rPr>
                <w:noProof/>
                <w:webHidden/>
              </w:rPr>
              <w:fldChar w:fldCharType="begin"/>
            </w:r>
            <w:r w:rsidR="004E73AE">
              <w:rPr>
                <w:noProof/>
                <w:webHidden/>
              </w:rPr>
              <w:instrText xml:space="preserve"> PAGEREF _Toc527028001 \h </w:instrText>
            </w:r>
            <w:r w:rsidR="004E73AE">
              <w:rPr>
                <w:noProof/>
                <w:webHidden/>
              </w:rPr>
            </w:r>
            <w:r w:rsidR="004E73AE">
              <w:rPr>
                <w:noProof/>
                <w:webHidden/>
              </w:rPr>
              <w:fldChar w:fldCharType="separate"/>
            </w:r>
            <w:r>
              <w:rPr>
                <w:noProof/>
                <w:webHidden/>
              </w:rPr>
              <w:t>68</w:t>
            </w:r>
            <w:r w:rsidR="004E73AE">
              <w:rPr>
                <w:noProof/>
                <w:webHidden/>
              </w:rPr>
              <w:fldChar w:fldCharType="end"/>
            </w:r>
          </w:hyperlink>
        </w:p>
        <w:p w14:paraId="4AF8CBA8" w14:textId="77777777" w:rsidR="004E73AE" w:rsidRDefault="009D672A">
          <w:pPr>
            <w:pStyle w:val="TOC2"/>
            <w:tabs>
              <w:tab w:val="left" w:pos="880"/>
              <w:tab w:val="right" w:leader="dot" w:pos="9402"/>
            </w:tabs>
            <w:rPr>
              <w:rFonts w:asciiTheme="minorHAnsi" w:eastAsiaTheme="minorEastAsia" w:hAnsiTheme="minorHAnsi" w:cstheme="minorBidi"/>
              <w:noProof/>
            </w:rPr>
          </w:pPr>
          <w:hyperlink w:anchor="_Toc527028002" w:history="1">
            <w:r w:rsidR="004E73AE" w:rsidRPr="002921C4">
              <w:rPr>
                <w:rStyle w:val="Hyperlink"/>
                <w:noProof/>
              </w:rPr>
              <w:t>7.6.</w:t>
            </w:r>
            <w:r w:rsidR="004E73AE">
              <w:rPr>
                <w:rFonts w:asciiTheme="minorHAnsi" w:eastAsiaTheme="minorEastAsia" w:hAnsiTheme="minorHAnsi" w:cstheme="minorBidi"/>
                <w:noProof/>
              </w:rPr>
              <w:tab/>
            </w:r>
            <w:r w:rsidR="004E73AE" w:rsidRPr="002921C4">
              <w:rPr>
                <w:rStyle w:val="Hyperlink"/>
                <w:noProof/>
              </w:rPr>
              <w:t>Results of Multi-Criteria Analysis on Mangrove Country-level Prioritisation</w:t>
            </w:r>
            <w:r w:rsidR="004E73AE">
              <w:rPr>
                <w:noProof/>
                <w:webHidden/>
              </w:rPr>
              <w:tab/>
            </w:r>
            <w:r w:rsidR="004E73AE">
              <w:rPr>
                <w:noProof/>
                <w:webHidden/>
              </w:rPr>
              <w:fldChar w:fldCharType="begin"/>
            </w:r>
            <w:r w:rsidR="004E73AE">
              <w:rPr>
                <w:noProof/>
                <w:webHidden/>
              </w:rPr>
              <w:instrText xml:space="preserve"> PAGEREF _Toc527028002 \h </w:instrText>
            </w:r>
            <w:r w:rsidR="004E73AE">
              <w:rPr>
                <w:noProof/>
                <w:webHidden/>
              </w:rPr>
            </w:r>
            <w:r w:rsidR="004E73AE">
              <w:rPr>
                <w:noProof/>
                <w:webHidden/>
              </w:rPr>
              <w:fldChar w:fldCharType="separate"/>
            </w:r>
            <w:r>
              <w:rPr>
                <w:noProof/>
                <w:webHidden/>
              </w:rPr>
              <w:t>69</w:t>
            </w:r>
            <w:r w:rsidR="004E73AE">
              <w:rPr>
                <w:noProof/>
                <w:webHidden/>
              </w:rPr>
              <w:fldChar w:fldCharType="end"/>
            </w:r>
          </w:hyperlink>
        </w:p>
        <w:p w14:paraId="7B6DCEA4" w14:textId="77777777" w:rsidR="00DF6930" w:rsidRDefault="002C0E8F" w:rsidP="00835728">
          <w:pPr>
            <w:tabs>
              <w:tab w:val="right" w:leader="dot" w:pos="9498"/>
            </w:tabs>
            <w:rPr>
              <w:b/>
              <w:bCs/>
              <w:noProof/>
            </w:rPr>
          </w:pPr>
          <w:r w:rsidRPr="004C5667">
            <w:rPr>
              <w:b/>
              <w:bCs/>
              <w:noProof/>
            </w:rPr>
            <w:fldChar w:fldCharType="end"/>
          </w:r>
        </w:p>
      </w:sdtContent>
    </w:sdt>
    <w:p w14:paraId="19120FD7" w14:textId="3BEC7FE4" w:rsidR="001320B7" w:rsidRPr="00835728" w:rsidRDefault="00835728" w:rsidP="001320B7">
      <w:pPr>
        <w:pStyle w:val="TableofFigures"/>
        <w:tabs>
          <w:tab w:val="right" w:leader="dot" w:pos="9736"/>
        </w:tabs>
        <w:rPr>
          <w:rFonts w:asciiTheme="majorHAnsi" w:hAnsiTheme="majorHAnsi"/>
          <w:i w:val="0"/>
          <w:color w:val="5B9BD5" w:themeColor="accent1"/>
          <w:sz w:val="32"/>
        </w:rPr>
      </w:pPr>
      <w:r w:rsidRPr="00835728">
        <w:rPr>
          <w:rFonts w:asciiTheme="majorHAnsi" w:hAnsiTheme="majorHAnsi"/>
          <w:i w:val="0"/>
          <w:color w:val="5B9BD5" w:themeColor="accent1"/>
          <w:sz w:val="32"/>
        </w:rPr>
        <w:t>Table of Figures</w:t>
      </w:r>
    </w:p>
    <w:p w14:paraId="2DBC9ECE" w14:textId="77777777" w:rsidR="00AC36B3" w:rsidRPr="00AC36B3" w:rsidRDefault="00835728" w:rsidP="00AC36B3">
      <w:pPr>
        <w:pStyle w:val="TableofFigures"/>
        <w:tabs>
          <w:tab w:val="right" w:leader="dot" w:pos="9736"/>
        </w:tabs>
        <w:spacing w:line="360" w:lineRule="auto"/>
        <w:rPr>
          <w:rFonts w:eastAsiaTheme="minorEastAsia" w:cstheme="minorBidi"/>
          <w:i w:val="0"/>
          <w:iCs w:val="0"/>
          <w:noProof/>
          <w:sz w:val="24"/>
          <w:szCs w:val="22"/>
        </w:rPr>
      </w:pPr>
      <w:r w:rsidRPr="0061429E">
        <w:rPr>
          <w:i w:val="0"/>
          <w:iCs w:val="0"/>
          <w:caps/>
          <w:sz w:val="22"/>
          <w:szCs w:val="22"/>
        </w:rPr>
        <w:fldChar w:fldCharType="begin"/>
      </w:r>
      <w:r w:rsidRPr="0061429E">
        <w:rPr>
          <w:i w:val="0"/>
          <w:iCs w:val="0"/>
          <w:caps/>
          <w:sz w:val="22"/>
          <w:szCs w:val="22"/>
        </w:rPr>
        <w:instrText xml:space="preserve"> TOC \h \z \c "Figure" </w:instrText>
      </w:r>
      <w:r w:rsidRPr="0061429E">
        <w:rPr>
          <w:i w:val="0"/>
          <w:iCs w:val="0"/>
          <w:caps/>
          <w:sz w:val="22"/>
          <w:szCs w:val="22"/>
        </w:rPr>
        <w:fldChar w:fldCharType="separate"/>
      </w:r>
      <w:hyperlink r:id="rId13" w:anchor="_Toc523990655" w:history="1">
        <w:r w:rsidR="00AC36B3" w:rsidRPr="00AC36B3">
          <w:rPr>
            <w:rStyle w:val="Hyperlink"/>
            <w:i w:val="0"/>
            <w:noProof/>
            <w:sz w:val="22"/>
          </w:rPr>
          <w:t>Figure 1: Delivery niches of the three ICF departments</w:t>
        </w:r>
        <w:r w:rsidR="00AC36B3" w:rsidRPr="00AC36B3">
          <w:rPr>
            <w:i w:val="0"/>
            <w:noProof/>
            <w:webHidden/>
            <w:sz w:val="22"/>
          </w:rPr>
          <w:tab/>
        </w:r>
        <w:r w:rsidR="00AC36B3" w:rsidRPr="00AC36B3">
          <w:rPr>
            <w:i w:val="0"/>
            <w:noProof/>
            <w:webHidden/>
            <w:sz w:val="22"/>
          </w:rPr>
          <w:fldChar w:fldCharType="begin"/>
        </w:r>
        <w:r w:rsidR="00AC36B3" w:rsidRPr="00AC36B3">
          <w:rPr>
            <w:i w:val="0"/>
            <w:noProof/>
            <w:webHidden/>
            <w:sz w:val="22"/>
          </w:rPr>
          <w:instrText xml:space="preserve"> PAGEREF _Toc523990655 \h </w:instrText>
        </w:r>
        <w:r w:rsidR="00AC36B3" w:rsidRPr="00AC36B3">
          <w:rPr>
            <w:i w:val="0"/>
            <w:noProof/>
            <w:webHidden/>
            <w:sz w:val="22"/>
          </w:rPr>
        </w:r>
        <w:r w:rsidR="00AC36B3" w:rsidRPr="00AC36B3">
          <w:rPr>
            <w:i w:val="0"/>
            <w:noProof/>
            <w:webHidden/>
            <w:sz w:val="22"/>
          </w:rPr>
          <w:fldChar w:fldCharType="separate"/>
        </w:r>
        <w:r w:rsidR="009D672A">
          <w:rPr>
            <w:i w:val="0"/>
            <w:noProof/>
            <w:webHidden/>
            <w:sz w:val="22"/>
          </w:rPr>
          <w:t>9</w:t>
        </w:r>
        <w:r w:rsidR="00AC36B3" w:rsidRPr="00AC36B3">
          <w:rPr>
            <w:i w:val="0"/>
            <w:noProof/>
            <w:webHidden/>
            <w:sz w:val="22"/>
          </w:rPr>
          <w:fldChar w:fldCharType="end"/>
        </w:r>
      </w:hyperlink>
    </w:p>
    <w:p w14:paraId="38250A38" w14:textId="77777777" w:rsidR="00AC36B3" w:rsidRPr="00AC36B3" w:rsidRDefault="009D672A" w:rsidP="00AC36B3">
      <w:pPr>
        <w:pStyle w:val="TableofFigures"/>
        <w:tabs>
          <w:tab w:val="right" w:leader="dot" w:pos="9736"/>
        </w:tabs>
        <w:spacing w:line="360" w:lineRule="auto"/>
        <w:rPr>
          <w:rFonts w:eastAsiaTheme="minorEastAsia" w:cstheme="minorBidi"/>
          <w:i w:val="0"/>
          <w:iCs w:val="0"/>
          <w:noProof/>
          <w:sz w:val="24"/>
          <w:szCs w:val="22"/>
        </w:rPr>
      </w:pPr>
      <w:hyperlink w:anchor="_Toc523990656" w:history="1">
        <w:r w:rsidR="00AC36B3" w:rsidRPr="00AC36B3">
          <w:rPr>
            <w:rStyle w:val="Hyperlink"/>
            <w:i w:val="0"/>
            <w:noProof/>
            <w:sz w:val="22"/>
          </w:rPr>
          <w:t>Figure 2: 2018 Cross-Government ICF Results</w:t>
        </w:r>
        <w:r w:rsidR="00AC36B3" w:rsidRPr="00AC36B3">
          <w:rPr>
            <w:i w:val="0"/>
            <w:noProof/>
            <w:webHidden/>
            <w:sz w:val="22"/>
          </w:rPr>
          <w:tab/>
        </w:r>
        <w:r w:rsidR="00AC36B3" w:rsidRPr="00AC36B3">
          <w:rPr>
            <w:i w:val="0"/>
            <w:noProof/>
            <w:webHidden/>
            <w:sz w:val="22"/>
          </w:rPr>
          <w:fldChar w:fldCharType="begin"/>
        </w:r>
        <w:r w:rsidR="00AC36B3" w:rsidRPr="00AC36B3">
          <w:rPr>
            <w:i w:val="0"/>
            <w:noProof/>
            <w:webHidden/>
            <w:sz w:val="22"/>
          </w:rPr>
          <w:instrText xml:space="preserve"> PAGEREF _Toc523990656 \h </w:instrText>
        </w:r>
        <w:r w:rsidR="00AC36B3" w:rsidRPr="00AC36B3">
          <w:rPr>
            <w:i w:val="0"/>
            <w:noProof/>
            <w:webHidden/>
            <w:sz w:val="22"/>
          </w:rPr>
        </w:r>
        <w:r w:rsidR="00AC36B3" w:rsidRPr="00AC36B3">
          <w:rPr>
            <w:i w:val="0"/>
            <w:noProof/>
            <w:webHidden/>
            <w:sz w:val="22"/>
          </w:rPr>
          <w:fldChar w:fldCharType="separate"/>
        </w:r>
        <w:r>
          <w:rPr>
            <w:i w:val="0"/>
            <w:noProof/>
            <w:webHidden/>
            <w:sz w:val="22"/>
          </w:rPr>
          <w:t>10</w:t>
        </w:r>
        <w:r w:rsidR="00AC36B3" w:rsidRPr="00AC36B3">
          <w:rPr>
            <w:i w:val="0"/>
            <w:noProof/>
            <w:webHidden/>
            <w:sz w:val="22"/>
          </w:rPr>
          <w:fldChar w:fldCharType="end"/>
        </w:r>
      </w:hyperlink>
    </w:p>
    <w:p w14:paraId="0005E7D4" w14:textId="77777777" w:rsidR="00AC36B3" w:rsidRPr="00AC36B3" w:rsidRDefault="009D672A" w:rsidP="00AC36B3">
      <w:pPr>
        <w:pStyle w:val="TableofFigures"/>
        <w:tabs>
          <w:tab w:val="right" w:leader="dot" w:pos="9736"/>
        </w:tabs>
        <w:spacing w:line="360" w:lineRule="auto"/>
        <w:rPr>
          <w:rFonts w:eastAsiaTheme="minorEastAsia" w:cstheme="minorBidi"/>
          <w:i w:val="0"/>
          <w:iCs w:val="0"/>
          <w:noProof/>
          <w:sz w:val="24"/>
          <w:szCs w:val="22"/>
        </w:rPr>
      </w:pPr>
      <w:hyperlink w:anchor="_Toc523990657" w:history="1">
        <w:r w:rsidR="00AC36B3" w:rsidRPr="00AC36B3">
          <w:rPr>
            <w:rStyle w:val="Hyperlink"/>
            <w:i w:val="0"/>
            <w:noProof/>
            <w:sz w:val="22"/>
          </w:rPr>
          <w:t>Figure 3: Current Defra ICF portfolio</w:t>
        </w:r>
        <w:r w:rsidR="00AC36B3" w:rsidRPr="00AC36B3">
          <w:rPr>
            <w:i w:val="0"/>
            <w:noProof/>
            <w:webHidden/>
            <w:sz w:val="22"/>
          </w:rPr>
          <w:tab/>
        </w:r>
        <w:r w:rsidR="00AC36B3" w:rsidRPr="00AC36B3">
          <w:rPr>
            <w:i w:val="0"/>
            <w:noProof/>
            <w:webHidden/>
            <w:sz w:val="22"/>
          </w:rPr>
          <w:fldChar w:fldCharType="begin"/>
        </w:r>
        <w:r w:rsidR="00AC36B3" w:rsidRPr="00AC36B3">
          <w:rPr>
            <w:i w:val="0"/>
            <w:noProof/>
            <w:webHidden/>
            <w:sz w:val="22"/>
          </w:rPr>
          <w:instrText xml:space="preserve"> PAGEREF _Toc523990657 \h </w:instrText>
        </w:r>
        <w:r w:rsidR="00AC36B3" w:rsidRPr="00AC36B3">
          <w:rPr>
            <w:i w:val="0"/>
            <w:noProof/>
            <w:webHidden/>
            <w:sz w:val="22"/>
          </w:rPr>
        </w:r>
        <w:r w:rsidR="00AC36B3" w:rsidRPr="00AC36B3">
          <w:rPr>
            <w:i w:val="0"/>
            <w:noProof/>
            <w:webHidden/>
            <w:sz w:val="22"/>
          </w:rPr>
          <w:fldChar w:fldCharType="separate"/>
        </w:r>
        <w:r>
          <w:rPr>
            <w:i w:val="0"/>
            <w:noProof/>
            <w:webHidden/>
            <w:sz w:val="22"/>
          </w:rPr>
          <w:t>11</w:t>
        </w:r>
        <w:r w:rsidR="00AC36B3" w:rsidRPr="00AC36B3">
          <w:rPr>
            <w:i w:val="0"/>
            <w:noProof/>
            <w:webHidden/>
            <w:sz w:val="22"/>
          </w:rPr>
          <w:fldChar w:fldCharType="end"/>
        </w:r>
      </w:hyperlink>
    </w:p>
    <w:p w14:paraId="7D9B6F8D" w14:textId="77777777" w:rsidR="00AC36B3" w:rsidRPr="00AC36B3" w:rsidRDefault="009D672A" w:rsidP="00AC36B3">
      <w:pPr>
        <w:pStyle w:val="TableofFigures"/>
        <w:tabs>
          <w:tab w:val="right" w:leader="dot" w:pos="9736"/>
        </w:tabs>
        <w:spacing w:line="360" w:lineRule="auto"/>
        <w:rPr>
          <w:rFonts w:eastAsiaTheme="minorEastAsia" w:cstheme="minorBidi"/>
          <w:i w:val="0"/>
          <w:iCs w:val="0"/>
          <w:noProof/>
          <w:sz w:val="24"/>
          <w:szCs w:val="22"/>
        </w:rPr>
      </w:pPr>
      <w:hyperlink r:id="rId14" w:anchor="_Toc523990658" w:history="1">
        <w:r w:rsidR="00AC36B3" w:rsidRPr="00AC36B3">
          <w:rPr>
            <w:rStyle w:val="Hyperlink"/>
            <w:i w:val="0"/>
            <w:noProof/>
            <w:sz w:val="22"/>
          </w:rPr>
          <w:t>Figure 4: Indicative ToC for a Defra ICF mangroves intervention</w:t>
        </w:r>
        <w:r w:rsidR="00AC36B3" w:rsidRPr="00AC36B3">
          <w:rPr>
            <w:i w:val="0"/>
            <w:noProof/>
            <w:webHidden/>
            <w:sz w:val="22"/>
          </w:rPr>
          <w:tab/>
        </w:r>
        <w:r w:rsidR="00AC36B3" w:rsidRPr="00AC36B3">
          <w:rPr>
            <w:i w:val="0"/>
            <w:noProof/>
            <w:webHidden/>
            <w:sz w:val="22"/>
          </w:rPr>
          <w:fldChar w:fldCharType="begin"/>
        </w:r>
        <w:r w:rsidR="00AC36B3" w:rsidRPr="00AC36B3">
          <w:rPr>
            <w:i w:val="0"/>
            <w:noProof/>
            <w:webHidden/>
            <w:sz w:val="22"/>
          </w:rPr>
          <w:instrText xml:space="preserve"> PAGEREF _Toc523990658 \h </w:instrText>
        </w:r>
        <w:r w:rsidR="00AC36B3" w:rsidRPr="00AC36B3">
          <w:rPr>
            <w:i w:val="0"/>
            <w:noProof/>
            <w:webHidden/>
            <w:sz w:val="22"/>
          </w:rPr>
        </w:r>
        <w:r w:rsidR="00AC36B3" w:rsidRPr="00AC36B3">
          <w:rPr>
            <w:i w:val="0"/>
            <w:noProof/>
            <w:webHidden/>
            <w:sz w:val="22"/>
          </w:rPr>
          <w:fldChar w:fldCharType="separate"/>
        </w:r>
        <w:r>
          <w:rPr>
            <w:i w:val="0"/>
            <w:noProof/>
            <w:webHidden/>
            <w:sz w:val="22"/>
          </w:rPr>
          <w:t>19</w:t>
        </w:r>
        <w:r w:rsidR="00AC36B3" w:rsidRPr="00AC36B3">
          <w:rPr>
            <w:i w:val="0"/>
            <w:noProof/>
            <w:webHidden/>
            <w:sz w:val="22"/>
          </w:rPr>
          <w:fldChar w:fldCharType="end"/>
        </w:r>
      </w:hyperlink>
    </w:p>
    <w:p w14:paraId="4F1375A0" w14:textId="77777777" w:rsidR="00AC36B3" w:rsidRPr="00AC36B3" w:rsidRDefault="009D672A" w:rsidP="00AC36B3">
      <w:pPr>
        <w:pStyle w:val="TableofFigures"/>
        <w:tabs>
          <w:tab w:val="right" w:leader="dot" w:pos="9736"/>
        </w:tabs>
        <w:spacing w:line="360" w:lineRule="auto"/>
        <w:rPr>
          <w:rFonts w:eastAsiaTheme="minorEastAsia" w:cstheme="minorBidi"/>
          <w:i w:val="0"/>
          <w:iCs w:val="0"/>
          <w:noProof/>
          <w:sz w:val="24"/>
          <w:szCs w:val="22"/>
        </w:rPr>
      </w:pPr>
      <w:hyperlink w:anchor="_Toc523990659" w:history="1">
        <w:r w:rsidR="00AC36B3" w:rsidRPr="00AC36B3">
          <w:rPr>
            <w:rStyle w:val="Hyperlink"/>
            <w:i w:val="0"/>
            <w:noProof/>
            <w:sz w:val="22"/>
          </w:rPr>
          <w:t>Figure 5: Appraisal Summary – Cost-benefit Analysis</w:t>
        </w:r>
        <w:r w:rsidR="00AC36B3" w:rsidRPr="00AC36B3">
          <w:rPr>
            <w:i w:val="0"/>
            <w:noProof/>
            <w:webHidden/>
            <w:sz w:val="22"/>
          </w:rPr>
          <w:tab/>
        </w:r>
        <w:r w:rsidR="00AC36B3" w:rsidRPr="00AC36B3">
          <w:rPr>
            <w:i w:val="0"/>
            <w:noProof/>
            <w:webHidden/>
            <w:sz w:val="22"/>
          </w:rPr>
          <w:fldChar w:fldCharType="begin"/>
        </w:r>
        <w:r w:rsidR="00AC36B3" w:rsidRPr="00AC36B3">
          <w:rPr>
            <w:i w:val="0"/>
            <w:noProof/>
            <w:webHidden/>
            <w:sz w:val="22"/>
          </w:rPr>
          <w:instrText xml:space="preserve"> PAGEREF _Toc523990659 \h </w:instrText>
        </w:r>
        <w:r w:rsidR="00AC36B3" w:rsidRPr="00AC36B3">
          <w:rPr>
            <w:i w:val="0"/>
            <w:noProof/>
            <w:webHidden/>
            <w:sz w:val="22"/>
          </w:rPr>
        </w:r>
        <w:r w:rsidR="00AC36B3" w:rsidRPr="00AC36B3">
          <w:rPr>
            <w:i w:val="0"/>
            <w:noProof/>
            <w:webHidden/>
            <w:sz w:val="22"/>
          </w:rPr>
          <w:fldChar w:fldCharType="separate"/>
        </w:r>
        <w:r>
          <w:rPr>
            <w:i w:val="0"/>
            <w:noProof/>
            <w:webHidden/>
            <w:sz w:val="22"/>
          </w:rPr>
          <w:t>22</w:t>
        </w:r>
        <w:r w:rsidR="00AC36B3" w:rsidRPr="00AC36B3">
          <w:rPr>
            <w:i w:val="0"/>
            <w:noProof/>
            <w:webHidden/>
            <w:sz w:val="22"/>
          </w:rPr>
          <w:fldChar w:fldCharType="end"/>
        </w:r>
      </w:hyperlink>
    </w:p>
    <w:p w14:paraId="38945710" w14:textId="77777777" w:rsidR="00AC36B3" w:rsidRPr="00AC36B3" w:rsidRDefault="009D672A" w:rsidP="00AC36B3">
      <w:pPr>
        <w:pStyle w:val="TableofFigures"/>
        <w:tabs>
          <w:tab w:val="right" w:leader="dot" w:pos="9736"/>
        </w:tabs>
        <w:spacing w:line="360" w:lineRule="auto"/>
        <w:rPr>
          <w:rFonts w:eastAsiaTheme="minorEastAsia" w:cstheme="minorBidi"/>
          <w:i w:val="0"/>
          <w:iCs w:val="0"/>
          <w:noProof/>
          <w:sz w:val="24"/>
          <w:szCs w:val="22"/>
        </w:rPr>
      </w:pPr>
      <w:hyperlink w:anchor="_Toc523990660" w:history="1">
        <w:r w:rsidR="00AC36B3" w:rsidRPr="00AC36B3">
          <w:rPr>
            <w:rStyle w:val="Hyperlink"/>
            <w:i w:val="0"/>
            <w:noProof/>
            <w:sz w:val="22"/>
          </w:rPr>
          <w:t>Figure 6: Proposed Projects for ICF-IDB Blue Carbon Program</w:t>
        </w:r>
        <w:r w:rsidR="00AC36B3" w:rsidRPr="00AC36B3">
          <w:rPr>
            <w:i w:val="0"/>
            <w:noProof/>
            <w:webHidden/>
            <w:sz w:val="22"/>
          </w:rPr>
          <w:tab/>
        </w:r>
        <w:r w:rsidR="00AC36B3" w:rsidRPr="00AC36B3">
          <w:rPr>
            <w:i w:val="0"/>
            <w:noProof/>
            <w:webHidden/>
            <w:sz w:val="22"/>
          </w:rPr>
          <w:fldChar w:fldCharType="begin"/>
        </w:r>
        <w:r w:rsidR="00AC36B3" w:rsidRPr="00AC36B3">
          <w:rPr>
            <w:i w:val="0"/>
            <w:noProof/>
            <w:webHidden/>
            <w:sz w:val="22"/>
          </w:rPr>
          <w:instrText xml:space="preserve"> PAGEREF _Toc523990660 \h </w:instrText>
        </w:r>
        <w:r w:rsidR="00AC36B3" w:rsidRPr="00AC36B3">
          <w:rPr>
            <w:i w:val="0"/>
            <w:noProof/>
            <w:webHidden/>
            <w:sz w:val="22"/>
          </w:rPr>
        </w:r>
        <w:r w:rsidR="00AC36B3" w:rsidRPr="00AC36B3">
          <w:rPr>
            <w:i w:val="0"/>
            <w:noProof/>
            <w:webHidden/>
            <w:sz w:val="22"/>
          </w:rPr>
          <w:fldChar w:fldCharType="separate"/>
        </w:r>
        <w:r>
          <w:rPr>
            <w:i w:val="0"/>
            <w:noProof/>
            <w:webHidden/>
            <w:sz w:val="22"/>
          </w:rPr>
          <w:t>27</w:t>
        </w:r>
        <w:r w:rsidR="00AC36B3" w:rsidRPr="00AC36B3">
          <w:rPr>
            <w:i w:val="0"/>
            <w:noProof/>
            <w:webHidden/>
            <w:sz w:val="22"/>
          </w:rPr>
          <w:fldChar w:fldCharType="end"/>
        </w:r>
      </w:hyperlink>
    </w:p>
    <w:p w14:paraId="2DDCD5C8" w14:textId="77777777" w:rsidR="00AC36B3" w:rsidRPr="00AC36B3" w:rsidRDefault="009D672A" w:rsidP="00AC36B3">
      <w:pPr>
        <w:pStyle w:val="TableofFigures"/>
        <w:tabs>
          <w:tab w:val="right" w:leader="dot" w:pos="9736"/>
        </w:tabs>
        <w:spacing w:line="360" w:lineRule="auto"/>
        <w:rPr>
          <w:rFonts w:eastAsiaTheme="minorEastAsia" w:cstheme="minorBidi"/>
          <w:i w:val="0"/>
          <w:iCs w:val="0"/>
          <w:noProof/>
          <w:sz w:val="24"/>
          <w:szCs w:val="22"/>
        </w:rPr>
      </w:pPr>
      <w:hyperlink w:anchor="_Toc523990661" w:history="1">
        <w:r w:rsidR="00AC36B3" w:rsidRPr="00AC36B3">
          <w:rPr>
            <w:rStyle w:val="Hyperlink"/>
            <w:i w:val="0"/>
            <w:noProof/>
            <w:sz w:val="22"/>
          </w:rPr>
          <w:t>Figure 7: Cost and Benefit Summary for ICF-IDB Mangroves Programme</w:t>
        </w:r>
        <w:r w:rsidR="00AC36B3" w:rsidRPr="00AC36B3">
          <w:rPr>
            <w:i w:val="0"/>
            <w:noProof/>
            <w:webHidden/>
            <w:sz w:val="22"/>
          </w:rPr>
          <w:tab/>
        </w:r>
        <w:r w:rsidR="00AC36B3" w:rsidRPr="00AC36B3">
          <w:rPr>
            <w:i w:val="0"/>
            <w:noProof/>
            <w:webHidden/>
            <w:sz w:val="22"/>
          </w:rPr>
          <w:fldChar w:fldCharType="begin"/>
        </w:r>
        <w:r w:rsidR="00AC36B3" w:rsidRPr="00AC36B3">
          <w:rPr>
            <w:i w:val="0"/>
            <w:noProof/>
            <w:webHidden/>
            <w:sz w:val="22"/>
          </w:rPr>
          <w:instrText xml:space="preserve"> PAGEREF _Toc523990661 \h </w:instrText>
        </w:r>
        <w:r w:rsidR="00AC36B3" w:rsidRPr="00AC36B3">
          <w:rPr>
            <w:i w:val="0"/>
            <w:noProof/>
            <w:webHidden/>
            <w:sz w:val="22"/>
          </w:rPr>
        </w:r>
        <w:r w:rsidR="00AC36B3" w:rsidRPr="00AC36B3">
          <w:rPr>
            <w:i w:val="0"/>
            <w:noProof/>
            <w:webHidden/>
            <w:sz w:val="22"/>
          </w:rPr>
          <w:fldChar w:fldCharType="separate"/>
        </w:r>
        <w:r>
          <w:rPr>
            <w:i w:val="0"/>
            <w:noProof/>
            <w:webHidden/>
            <w:sz w:val="22"/>
          </w:rPr>
          <w:t>29</w:t>
        </w:r>
        <w:r w:rsidR="00AC36B3" w:rsidRPr="00AC36B3">
          <w:rPr>
            <w:i w:val="0"/>
            <w:noProof/>
            <w:webHidden/>
            <w:sz w:val="22"/>
          </w:rPr>
          <w:fldChar w:fldCharType="end"/>
        </w:r>
      </w:hyperlink>
    </w:p>
    <w:p w14:paraId="0C0232C0" w14:textId="77777777" w:rsidR="00AC36B3" w:rsidRPr="00AC36B3" w:rsidRDefault="009D672A" w:rsidP="00AC36B3">
      <w:pPr>
        <w:pStyle w:val="TableofFigures"/>
        <w:tabs>
          <w:tab w:val="right" w:leader="dot" w:pos="9736"/>
        </w:tabs>
        <w:spacing w:line="360" w:lineRule="auto"/>
        <w:rPr>
          <w:rFonts w:eastAsiaTheme="minorEastAsia" w:cstheme="minorBidi"/>
          <w:i w:val="0"/>
          <w:iCs w:val="0"/>
          <w:noProof/>
          <w:sz w:val="24"/>
          <w:szCs w:val="22"/>
        </w:rPr>
      </w:pPr>
      <w:hyperlink w:anchor="_Toc523990662" w:history="1">
        <w:r w:rsidR="00AC36B3" w:rsidRPr="00AC36B3">
          <w:rPr>
            <w:rStyle w:val="Hyperlink"/>
            <w:i w:val="0"/>
            <w:noProof/>
            <w:sz w:val="22"/>
          </w:rPr>
          <w:t>Figure 8: DAC-eligible Countries with Mangrove Dependent Species, Top 10</w:t>
        </w:r>
        <w:r w:rsidR="00AC36B3" w:rsidRPr="00AC36B3">
          <w:rPr>
            <w:i w:val="0"/>
            <w:noProof/>
            <w:webHidden/>
            <w:sz w:val="22"/>
          </w:rPr>
          <w:tab/>
        </w:r>
        <w:r w:rsidR="00AC36B3" w:rsidRPr="00AC36B3">
          <w:rPr>
            <w:i w:val="0"/>
            <w:noProof/>
            <w:webHidden/>
            <w:sz w:val="22"/>
          </w:rPr>
          <w:fldChar w:fldCharType="begin"/>
        </w:r>
        <w:r w:rsidR="00AC36B3" w:rsidRPr="00AC36B3">
          <w:rPr>
            <w:i w:val="0"/>
            <w:noProof/>
            <w:webHidden/>
            <w:sz w:val="22"/>
          </w:rPr>
          <w:instrText xml:space="preserve"> PAGEREF _Toc523990662 \h </w:instrText>
        </w:r>
        <w:r w:rsidR="00AC36B3" w:rsidRPr="00AC36B3">
          <w:rPr>
            <w:i w:val="0"/>
            <w:noProof/>
            <w:webHidden/>
            <w:sz w:val="22"/>
          </w:rPr>
        </w:r>
        <w:r w:rsidR="00AC36B3" w:rsidRPr="00AC36B3">
          <w:rPr>
            <w:i w:val="0"/>
            <w:noProof/>
            <w:webHidden/>
            <w:sz w:val="22"/>
          </w:rPr>
          <w:fldChar w:fldCharType="separate"/>
        </w:r>
        <w:r>
          <w:rPr>
            <w:i w:val="0"/>
            <w:noProof/>
            <w:webHidden/>
            <w:sz w:val="22"/>
          </w:rPr>
          <w:t>33</w:t>
        </w:r>
        <w:r w:rsidR="00AC36B3" w:rsidRPr="00AC36B3">
          <w:rPr>
            <w:i w:val="0"/>
            <w:noProof/>
            <w:webHidden/>
            <w:sz w:val="22"/>
          </w:rPr>
          <w:fldChar w:fldCharType="end"/>
        </w:r>
      </w:hyperlink>
    </w:p>
    <w:p w14:paraId="4B61A21A" w14:textId="77777777" w:rsidR="00AC36B3" w:rsidRPr="00AC36B3" w:rsidRDefault="009D672A" w:rsidP="00AC36B3">
      <w:pPr>
        <w:pStyle w:val="TableofFigures"/>
        <w:tabs>
          <w:tab w:val="right" w:leader="dot" w:pos="9736"/>
        </w:tabs>
        <w:spacing w:line="360" w:lineRule="auto"/>
        <w:rPr>
          <w:rFonts w:eastAsiaTheme="minorEastAsia" w:cstheme="minorBidi"/>
          <w:i w:val="0"/>
          <w:iCs w:val="0"/>
          <w:noProof/>
          <w:sz w:val="24"/>
          <w:szCs w:val="22"/>
        </w:rPr>
      </w:pPr>
      <w:hyperlink w:anchor="_Toc523990663" w:history="1">
        <w:r w:rsidR="00AC36B3" w:rsidRPr="00AC36B3">
          <w:rPr>
            <w:rStyle w:val="Hyperlink"/>
            <w:i w:val="0"/>
            <w:noProof/>
            <w:sz w:val="22"/>
          </w:rPr>
          <w:t>Figure 9: Proposed Projects for Sustainable Mangroves Facility</w:t>
        </w:r>
        <w:r w:rsidR="00AC36B3" w:rsidRPr="00AC36B3">
          <w:rPr>
            <w:i w:val="0"/>
            <w:noProof/>
            <w:webHidden/>
            <w:sz w:val="22"/>
          </w:rPr>
          <w:tab/>
        </w:r>
        <w:r w:rsidR="00AC36B3" w:rsidRPr="00AC36B3">
          <w:rPr>
            <w:i w:val="0"/>
            <w:noProof/>
            <w:webHidden/>
            <w:sz w:val="22"/>
          </w:rPr>
          <w:fldChar w:fldCharType="begin"/>
        </w:r>
        <w:r w:rsidR="00AC36B3" w:rsidRPr="00AC36B3">
          <w:rPr>
            <w:i w:val="0"/>
            <w:noProof/>
            <w:webHidden/>
            <w:sz w:val="22"/>
          </w:rPr>
          <w:instrText xml:space="preserve"> PAGEREF _Toc523990663 \h </w:instrText>
        </w:r>
        <w:r w:rsidR="00AC36B3" w:rsidRPr="00AC36B3">
          <w:rPr>
            <w:i w:val="0"/>
            <w:noProof/>
            <w:webHidden/>
            <w:sz w:val="22"/>
          </w:rPr>
        </w:r>
        <w:r w:rsidR="00AC36B3" w:rsidRPr="00AC36B3">
          <w:rPr>
            <w:i w:val="0"/>
            <w:noProof/>
            <w:webHidden/>
            <w:sz w:val="22"/>
          </w:rPr>
          <w:fldChar w:fldCharType="separate"/>
        </w:r>
        <w:r>
          <w:rPr>
            <w:i w:val="0"/>
            <w:noProof/>
            <w:webHidden/>
            <w:sz w:val="22"/>
          </w:rPr>
          <w:t>35</w:t>
        </w:r>
        <w:r w:rsidR="00AC36B3" w:rsidRPr="00AC36B3">
          <w:rPr>
            <w:i w:val="0"/>
            <w:noProof/>
            <w:webHidden/>
            <w:sz w:val="22"/>
          </w:rPr>
          <w:fldChar w:fldCharType="end"/>
        </w:r>
      </w:hyperlink>
    </w:p>
    <w:p w14:paraId="7B949BAE" w14:textId="77777777" w:rsidR="00AC36B3" w:rsidRPr="00AC36B3" w:rsidRDefault="009D672A" w:rsidP="00AC36B3">
      <w:pPr>
        <w:pStyle w:val="TableofFigures"/>
        <w:tabs>
          <w:tab w:val="right" w:leader="dot" w:pos="9736"/>
        </w:tabs>
        <w:spacing w:line="360" w:lineRule="auto"/>
        <w:rPr>
          <w:rFonts w:eastAsiaTheme="minorEastAsia" w:cstheme="minorBidi"/>
          <w:i w:val="0"/>
          <w:iCs w:val="0"/>
          <w:noProof/>
          <w:sz w:val="24"/>
          <w:szCs w:val="22"/>
        </w:rPr>
      </w:pPr>
      <w:hyperlink w:anchor="_Toc523990664" w:history="1">
        <w:r w:rsidR="00AC36B3" w:rsidRPr="00AC36B3">
          <w:rPr>
            <w:rStyle w:val="Hyperlink"/>
            <w:i w:val="0"/>
            <w:noProof/>
            <w:sz w:val="22"/>
          </w:rPr>
          <w:t>Figure 10: Cost and Benefit Summary for the Sustainable Mangroves Facility</w:t>
        </w:r>
        <w:r w:rsidR="00AC36B3" w:rsidRPr="00AC36B3">
          <w:rPr>
            <w:i w:val="0"/>
            <w:noProof/>
            <w:webHidden/>
            <w:sz w:val="22"/>
          </w:rPr>
          <w:tab/>
        </w:r>
        <w:r w:rsidR="00AC36B3" w:rsidRPr="00AC36B3">
          <w:rPr>
            <w:i w:val="0"/>
            <w:noProof/>
            <w:webHidden/>
            <w:sz w:val="22"/>
          </w:rPr>
          <w:fldChar w:fldCharType="begin"/>
        </w:r>
        <w:r w:rsidR="00AC36B3" w:rsidRPr="00AC36B3">
          <w:rPr>
            <w:i w:val="0"/>
            <w:noProof/>
            <w:webHidden/>
            <w:sz w:val="22"/>
          </w:rPr>
          <w:instrText xml:space="preserve"> PAGEREF _Toc523990664 \h </w:instrText>
        </w:r>
        <w:r w:rsidR="00AC36B3" w:rsidRPr="00AC36B3">
          <w:rPr>
            <w:i w:val="0"/>
            <w:noProof/>
            <w:webHidden/>
            <w:sz w:val="22"/>
          </w:rPr>
        </w:r>
        <w:r w:rsidR="00AC36B3" w:rsidRPr="00AC36B3">
          <w:rPr>
            <w:i w:val="0"/>
            <w:noProof/>
            <w:webHidden/>
            <w:sz w:val="22"/>
          </w:rPr>
          <w:fldChar w:fldCharType="separate"/>
        </w:r>
        <w:r>
          <w:rPr>
            <w:i w:val="0"/>
            <w:noProof/>
            <w:webHidden/>
            <w:sz w:val="22"/>
          </w:rPr>
          <w:t>36</w:t>
        </w:r>
        <w:r w:rsidR="00AC36B3" w:rsidRPr="00AC36B3">
          <w:rPr>
            <w:i w:val="0"/>
            <w:noProof/>
            <w:webHidden/>
            <w:sz w:val="22"/>
          </w:rPr>
          <w:fldChar w:fldCharType="end"/>
        </w:r>
      </w:hyperlink>
    </w:p>
    <w:p w14:paraId="0F25530E" w14:textId="77777777" w:rsidR="00AC36B3" w:rsidRPr="00AC36B3" w:rsidRDefault="009D672A" w:rsidP="00AC36B3">
      <w:pPr>
        <w:pStyle w:val="TableofFigures"/>
        <w:tabs>
          <w:tab w:val="right" w:leader="dot" w:pos="9736"/>
        </w:tabs>
        <w:spacing w:line="360" w:lineRule="auto"/>
        <w:rPr>
          <w:rFonts w:eastAsiaTheme="minorEastAsia" w:cstheme="minorBidi"/>
          <w:i w:val="0"/>
          <w:iCs w:val="0"/>
          <w:noProof/>
          <w:sz w:val="24"/>
          <w:szCs w:val="22"/>
        </w:rPr>
      </w:pPr>
      <w:hyperlink r:id="rId15" w:anchor="_Toc523990665" w:history="1">
        <w:r w:rsidR="00AC36B3" w:rsidRPr="00AC36B3">
          <w:rPr>
            <w:rStyle w:val="Hyperlink"/>
            <w:i w:val="0"/>
            <w:noProof/>
            <w:sz w:val="22"/>
          </w:rPr>
          <w:t>Figure 11: Alignment of IDB with UK priorities from DfID’s MDR</w:t>
        </w:r>
        <w:r w:rsidR="00AC36B3" w:rsidRPr="00AC36B3">
          <w:rPr>
            <w:i w:val="0"/>
            <w:noProof/>
            <w:webHidden/>
            <w:sz w:val="22"/>
          </w:rPr>
          <w:tab/>
        </w:r>
        <w:r w:rsidR="00AC36B3" w:rsidRPr="00AC36B3">
          <w:rPr>
            <w:i w:val="0"/>
            <w:noProof/>
            <w:webHidden/>
            <w:sz w:val="22"/>
          </w:rPr>
          <w:fldChar w:fldCharType="begin"/>
        </w:r>
        <w:r w:rsidR="00AC36B3" w:rsidRPr="00AC36B3">
          <w:rPr>
            <w:i w:val="0"/>
            <w:noProof/>
            <w:webHidden/>
            <w:sz w:val="22"/>
          </w:rPr>
          <w:instrText xml:space="preserve"> PAGEREF _Toc523990665 \h </w:instrText>
        </w:r>
        <w:r w:rsidR="00AC36B3" w:rsidRPr="00AC36B3">
          <w:rPr>
            <w:i w:val="0"/>
            <w:noProof/>
            <w:webHidden/>
            <w:sz w:val="22"/>
          </w:rPr>
        </w:r>
        <w:r w:rsidR="00AC36B3" w:rsidRPr="00AC36B3">
          <w:rPr>
            <w:i w:val="0"/>
            <w:noProof/>
            <w:webHidden/>
            <w:sz w:val="22"/>
          </w:rPr>
          <w:fldChar w:fldCharType="separate"/>
        </w:r>
        <w:r>
          <w:rPr>
            <w:i w:val="0"/>
            <w:noProof/>
            <w:webHidden/>
            <w:sz w:val="22"/>
          </w:rPr>
          <w:t>42</w:t>
        </w:r>
        <w:r w:rsidR="00AC36B3" w:rsidRPr="00AC36B3">
          <w:rPr>
            <w:i w:val="0"/>
            <w:noProof/>
            <w:webHidden/>
            <w:sz w:val="22"/>
          </w:rPr>
          <w:fldChar w:fldCharType="end"/>
        </w:r>
      </w:hyperlink>
    </w:p>
    <w:p w14:paraId="25F008D8" w14:textId="77777777" w:rsidR="00AC36B3" w:rsidRPr="00AC36B3" w:rsidRDefault="009D672A" w:rsidP="00AC36B3">
      <w:pPr>
        <w:pStyle w:val="TableofFigures"/>
        <w:tabs>
          <w:tab w:val="right" w:leader="dot" w:pos="9736"/>
        </w:tabs>
        <w:spacing w:line="360" w:lineRule="auto"/>
        <w:rPr>
          <w:rFonts w:eastAsiaTheme="minorEastAsia" w:cstheme="minorBidi"/>
          <w:i w:val="0"/>
          <w:iCs w:val="0"/>
          <w:noProof/>
          <w:sz w:val="24"/>
          <w:szCs w:val="22"/>
        </w:rPr>
      </w:pPr>
      <w:hyperlink w:anchor="_Toc523990666" w:history="1">
        <w:r w:rsidR="00AC36B3" w:rsidRPr="00AC36B3">
          <w:rPr>
            <w:rStyle w:val="Hyperlink"/>
            <w:i w:val="0"/>
            <w:noProof/>
            <w:sz w:val="22"/>
          </w:rPr>
          <w:t>Figure 12: a) Procurement Processes and b) the Selection of Consultancy Services</w:t>
        </w:r>
        <w:r w:rsidR="00AC36B3" w:rsidRPr="00AC36B3">
          <w:rPr>
            <w:i w:val="0"/>
            <w:noProof/>
            <w:webHidden/>
            <w:sz w:val="22"/>
          </w:rPr>
          <w:tab/>
        </w:r>
        <w:r w:rsidR="00AC36B3" w:rsidRPr="00AC36B3">
          <w:rPr>
            <w:i w:val="0"/>
            <w:noProof/>
            <w:webHidden/>
            <w:sz w:val="22"/>
          </w:rPr>
          <w:fldChar w:fldCharType="begin"/>
        </w:r>
        <w:r w:rsidR="00AC36B3" w:rsidRPr="00AC36B3">
          <w:rPr>
            <w:i w:val="0"/>
            <w:noProof/>
            <w:webHidden/>
            <w:sz w:val="22"/>
          </w:rPr>
          <w:instrText xml:space="preserve"> PAGEREF _Toc523990666 \h </w:instrText>
        </w:r>
        <w:r w:rsidR="00AC36B3" w:rsidRPr="00AC36B3">
          <w:rPr>
            <w:i w:val="0"/>
            <w:noProof/>
            <w:webHidden/>
            <w:sz w:val="22"/>
          </w:rPr>
        </w:r>
        <w:r w:rsidR="00AC36B3" w:rsidRPr="00AC36B3">
          <w:rPr>
            <w:i w:val="0"/>
            <w:noProof/>
            <w:webHidden/>
            <w:sz w:val="22"/>
          </w:rPr>
          <w:fldChar w:fldCharType="separate"/>
        </w:r>
        <w:r>
          <w:rPr>
            <w:i w:val="0"/>
            <w:noProof/>
            <w:webHidden/>
            <w:sz w:val="22"/>
          </w:rPr>
          <w:t>45</w:t>
        </w:r>
        <w:r w:rsidR="00AC36B3" w:rsidRPr="00AC36B3">
          <w:rPr>
            <w:i w:val="0"/>
            <w:noProof/>
            <w:webHidden/>
            <w:sz w:val="22"/>
          </w:rPr>
          <w:fldChar w:fldCharType="end"/>
        </w:r>
      </w:hyperlink>
    </w:p>
    <w:p w14:paraId="04900842" w14:textId="77777777" w:rsidR="00AC36B3" w:rsidRPr="00AC36B3" w:rsidRDefault="009D672A" w:rsidP="00AC36B3">
      <w:pPr>
        <w:pStyle w:val="TableofFigures"/>
        <w:tabs>
          <w:tab w:val="right" w:leader="dot" w:pos="9736"/>
        </w:tabs>
        <w:spacing w:line="360" w:lineRule="auto"/>
        <w:rPr>
          <w:rFonts w:eastAsiaTheme="minorEastAsia" w:cstheme="minorBidi"/>
          <w:i w:val="0"/>
          <w:iCs w:val="0"/>
          <w:noProof/>
          <w:sz w:val="24"/>
          <w:szCs w:val="22"/>
        </w:rPr>
      </w:pPr>
      <w:hyperlink w:anchor="_Toc523990667" w:history="1">
        <w:r w:rsidR="00AC36B3" w:rsidRPr="00AC36B3">
          <w:rPr>
            <w:rStyle w:val="Hyperlink"/>
            <w:i w:val="0"/>
            <w:noProof/>
            <w:sz w:val="22"/>
          </w:rPr>
          <w:t>Figure 13: Summary of perceived commercial risks</w:t>
        </w:r>
        <w:r w:rsidR="00AC36B3" w:rsidRPr="00AC36B3">
          <w:rPr>
            <w:i w:val="0"/>
            <w:noProof/>
            <w:webHidden/>
            <w:sz w:val="22"/>
          </w:rPr>
          <w:tab/>
        </w:r>
        <w:r w:rsidR="00AC36B3" w:rsidRPr="00AC36B3">
          <w:rPr>
            <w:i w:val="0"/>
            <w:noProof/>
            <w:webHidden/>
            <w:sz w:val="22"/>
          </w:rPr>
          <w:fldChar w:fldCharType="begin"/>
        </w:r>
        <w:r w:rsidR="00AC36B3" w:rsidRPr="00AC36B3">
          <w:rPr>
            <w:i w:val="0"/>
            <w:noProof/>
            <w:webHidden/>
            <w:sz w:val="22"/>
          </w:rPr>
          <w:instrText xml:space="preserve"> PAGEREF _Toc523990667 \h </w:instrText>
        </w:r>
        <w:r w:rsidR="00AC36B3" w:rsidRPr="00AC36B3">
          <w:rPr>
            <w:i w:val="0"/>
            <w:noProof/>
            <w:webHidden/>
            <w:sz w:val="22"/>
          </w:rPr>
        </w:r>
        <w:r w:rsidR="00AC36B3" w:rsidRPr="00AC36B3">
          <w:rPr>
            <w:i w:val="0"/>
            <w:noProof/>
            <w:webHidden/>
            <w:sz w:val="22"/>
          </w:rPr>
          <w:fldChar w:fldCharType="separate"/>
        </w:r>
        <w:r>
          <w:rPr>
            <w:i w:val="0"/>
            <w:noProof/>
            <w:webHidden/>
            <w:sz w:val="22"/>
          </w:rPr>
          <w:t>46</w:t>
        </w:r>
        <w:r w:rsidR="00AC36B3" w:rsidRPr="00AC36B3">
          <w:rPr>
            <w:i w:val="0"/>
            <w:noProof/>
            <w:webHidden/>
            <w:sz w:val="22"/>
          </w:rPr>
          <w:fldChar w:fldCharType="end"/>
        </w:r>
      </w:hyperlink>
    </w:p>
    <w:p w14:paraId="249991E3" w14:textId="77777777" w:rsidR="00AC36B3" w:rsidRPr="00AC36B3" w:rsidRDefault="009D672A" w:rsidP="00AC36B3">
      <w:pPr>
        <w:pStyle w:val="TableofFigures"/>
        <w:tabs>
          <w:tab w:val="right" w:leader="dot" w:pos="9736"/>
        </w:tabs>
        <w:spacing w:line="360" w:lineRule="auto"/>
        <w:rPr>
          <w:rFonts w:eastAsiaTheme="minorEastAsia" w:cstheme="minorBidi"/>
          <w:i w:val="0"/>
          <w:iCs w:val="0"/>
          <w:noProof/>
          <w:sz w:val="24"/>
          <w:szCs w:val="22"/>
        </w:rPr>
      </w:pPr>
      <w:hyperlink w:anchor="_Toc523990668" w:history="1">
        <w:r w:rsidR="00AC36B3" w:rsidRPr="00AC36B3">
          <w:rPr>
            <w:rStyle w:val="Hyperlink"/>
            <w:i w:val="0"/>
            <w:noProof/>
            <w:sz w:val="22"/>
          </w:rPr>
          <w:t>Figure 14: Expected staff resource implications of this Defra ICF intervention</w:t>
        </w:r>
        <w:r w:rsidR="00AC36B3" w:rsidRPr="00AC36B3">
          <w:rPr>
            <w:i w:val="0"/>
            <w:noProof/>
            <w:webHidden/>
            <w:sz w:val="22"/>
          </w:rPr>
          <w:tab/>
        </w:r>
        <w:r w:rsidR="00AC36B3" w:rsidRPr="00AC36B3">
          <w:rPr>
            <w:i w:val="0"/>
            <w:noProof/>
            <w:webHidden/>
            <w:sz w:val="22"/>
          </w:rPr>
          <w:fldChar w:fldCharType="begin"/>
        </w:r>
        <w:r w:rsidR="00AC36B3" w:rsidRPr="00AC36B3">
          <w:rPr>
            <w:i w:val="0"/>
            <w:noProof/>
            <w:webHidden/>
            <w:sz w:val="22"/>
          </w:rPr>
          <w:instrText xml:space="preserve"> PAGEREF _Toc523990668 \h </w:instrText>
        </w:r>
        <w:r w:rsidR="00AC36B3" w:rsidRPr="00AC36B3">
          <w:rPr>
            <w:i w:val="0"/>
            <w:noProof/>
            <w:webHidden/>
            <w:sz w:val="22"/>
          </w:rPr>
        </w:r>
        <w:r w:rsidR="00AC36B3" w:rsidRPr="00AC36B3">
          <w:rPr>
            <w:i w:val="0"/>
            <w:noProof/>
            <w:webHidden/>
            <w:sz w:val="22"/>
          </w:rPr>
          <w:fldChar w:fldCharType="separate"/>
        </w:r>
        <w:r>
          <w:rPr>
            <w:i w:val="0"/>
            <w:noProof/>
            <w:webHidden/>
            <w:sz w:val="22"/>
          </w:rPr>
          <w:t>48</w:t>
        </w:r>
        <w:r w:rsidR="00AC36B3" w:rsidRPr="00AC36B3">
          <w:rPr>
            <w:i w:val="0"/>
            <w:noProof/>
            <w:webHidden/>
            <w:sz w:val="22"/>
          </w:rPr>
          <w:fldChar w:fldCharType="end"/>
        </w:r>
      </w:hyperlink>
    </w:p>
    <w:p w14:paraId="327E7700" w14:textId="77777777" w:rsidR="00AC36B3" w:rsidRPr="00AC36B3" w:rsidRDefault="009D672A" w:rsidP="00AC36B3">
      <w:pPr>
        <w:pStyle w:val="TableofFigures"/>
        <w:tabs>
          <w:tab w:val="right" w:leader="dot" w:pos="9736"/>
        </w:tabs>
        <w:spacing w:line="360" w:lineRule="auto"/>
        <w:rPr>
          <w:rFonts w:eastAsiaTheme="minorEastAsia" w:cstheme="minorBidi"/>
          <w:i w:val="0"/>
          <w:iCs w:val="0"/>
          <w:noProof/>
          <w:sz w:val="24"/>
          <w:szCs w:val="22"/>
        </w:rPr>
      </w:pPr>
      <w:hyperlink w:anchor="_Toc523990669" w:history="1">
        <w:r w:rsidR="00AC36B3" w:rsidRPr="00AC36B3">
          <w:rPr>
            <w:rStyle w:val="Hyperlink"/>
            <w:i w:val="0"/>
            <w:noProof/>
            <w:sz w:val="22"/>
          </w:rPr>
          <w:t>Figure 15: IDBs Organisational Strength Index as part of DfID’s MDR in 2016</w:t>
        </w:r>
        <w:r w:rsidR="00AC36B3" w:rsidRPr="00AC36B3">
          <w:rPr>
            <w:i w:val="0"/>
            <w:noProof/>
            <w:webHidden/>
            <w:sz w:val="22"/>
          </w:rPr>
          <w:tab/>
        </w:r>
        <w:r w:rsidR="00AC36B3" w:rsidRPr="00AC36B3">
          <w:rPr>
            <w:i w:val="0"/>
            <w:noProof/>
            <w:webHidden/>
            <w:sz w:val="22"/>
          </w:rPr>
          <w:fldChar w:fldCharType="begin"/>
        </w:r>
        <w:r w:rsidR="00AC36B3" w:rsidRPr="00AC36B3">
          <w:rPr>
            <w:i w:val="0"/>
            <w:noProof/>
            <w:webHidden/>
            <w:sz w:val="22"/>
          </w:rPr>
          <w:instrText xml:space="preserve"> PAGEREF _Toc523990669 \h </w:instrText>
        </w:r>
        <w:r w:rsidR="00AC36B3" w:rsidRPr="00AC36B3">
          <w:rPr>
            <w:i w:val="0"/>
            <w:noProof/>
            <w:webHidden/>
            <w:sz w:val="22"/>
          </w:rPr>
        </w:r>
        <w:r w:rsidR="00AC36B3" w:rsidRPr="00AC36B3">
          <w:rPr>
            <w:i w:val="0"/>
            <w:noProof/>
            <w:webHidden/>
            <w:sz w:val="22"/>
          </w:rPr>
          <w:fldChar w:fldCharType="separate"/>
        </w:r>
        <w:r>
          <w:rPr>
            <w:i w:val="0"/>
            <w:noProof/>
            <w:webHidden/>
            <w:sz w:val="22"/>
          </w:rPr>
          <w:t>50</w:t>
        </w:r>
        <w:r w:rsidR="00AC36B3" w:rsidRPr="00AC36B3">
          <w:rPr>
            <w:i w:val="0"/>
            <w:noProof/>
            <w:webHidden/>
            <w:sz w:val="22"/>
          </w:rPr>
          <w:fldChar w:fldCharType="end"/>
        </w:r>
      </w:hyperlink>
    </w:p>
    <w:p w14:paraId="38A8040E" w14:textId="77777777" w:rsidR="00AC36B3" w:rsidRPr="00AC36B3" w:rsidRDefault="009D672A" w:rsidP="00AC36B3">
      <w:pPr>
        <w:pStyle w:val="TableofFigures"/>
        <w:tabs>
          <w:tab w:val="right" w:leader="dot" w:pos="9736"/>
        </w:tabs>
        <w:spacing w:line="360" w:lineRule="auto"/>
        <w:rPr>
          <w:rFonts w:eastAsiaTheme="minorEastAsia" w:cstheme="minorBidi"/>
          <w:i w:val="0"/>
          <w:iCs w:val="0"/>
          <w:noProof/>
          <w:sz w:val="24"/>
          <w:szCs w:val="22"/>
        </w:rPr>
      </w:pPr>
      <w:hyperlink w:anchor="_Toc523990670" w:history="1">
        <w:r w:rsidR="00AC36B3" w:rsidRPr="00AC36B3">
          <w:rPr>
            <w:rStyle w:val="Hyperlink"/>
            <w:i w:val="0"/>
            <w:noProof/>
            <w:sz w:val="22"/>
          </w:rPr>
          <w:t>Figure 16: Provision for the return of any uncommitted funds to Defra from IDB</w:t>
        </w:r>
        <w:r w:rsidR="00AC36B3" w:rsidRPr="00AC36B3">
          <w:rPr>
            <w:i w:val="0"/>
            <w:noProof/>
            <w:webHidden/>
            <w:sz w:val="22"/>
          </w:rPr>
          <w:tab/>
        </w:r>
        <w:r w:rsidR="00AC36B3" w:rsidRPr="00AC36B3">
          <w:rPr>
            <w:i w:val="0"/>
            <w:noProof/>
            <w:webHidden/>
            <w:sz w:val="22"/>
          </w:rPr>
          <w:fldChar w:fldCharType="begin"/>
        </w:r>
        <w:r w:rsidR="00AC36B3" w:rsidRPr="00AC36B3">
          <w:rPr>
            <w:i w:val="0"/>
            <w:noProof/>
            <w:webHidden/>
            <w:sz w:val="22"/>
          </w:rPr>
          <w:instrText xml:space="preserve"> PAGEREF _Toc523990670 \h </w:instrText>
        </w:r>
        <w:r w:rsidR="00AC36B3" w:rsidRPr="00AC36B3">
          <w:rPr>
            <w:i w:val="0"/>
            <w:noProof/>
            <w:webHidden/>
            <w:sz w:val="22"/>
          </w:rPr>
        </w:r>
        <w:r w:rsidR="00AC36B3" w:rsidRPr="00AC36B3">
          <w:rPr>
            <w:i w:val="0"/>
            <w:noProof/>
            <w:webHidden/>
            <w:sz w:val="22"/>
          </w:rPr>
          <w:fldChar w:fldCharType="separate"/>
        </w:r>
        <w:r>
          <w:rPr>
            <w:i w:val="0"/>
            <w:noProof/>
            <w:webHidden/>
            <w:sz w:val="22"/>
          </w:rPr>
          <w:t>55</w:t>
        </w:r>
        <w:r w:rsidR="00AC36B3" w:rsidRPr="00AC36B3">
          <w:rPr>
            <w:i w:val="0"/>
            <w:noProof/>
            <w:webHidden/>
            <w:sz w:val="22"/>
          </w:rPr>
          <w:fldChar w:fldCharType="end"/>
        </w:r>
      </w:hyperlink>
    </w:p>
    <w:p w14:paraId="20B06AC0" w14:textId="77777777" w:rsidR="00AC36B3" w:rsidRDefault="009D672A" w:rsidP="00AC36B3">
      <w:pPr>
        <w:pStyle w:val="TableofFigures"/>
        <w:tabs>
          <w:tab w:val="right" w:leader="dot" w:pos="9736"/>
        </w:tabs>
        <w:spacing w:line="360" w:lineRule="auto"/>
        <w:rPr>
          <w:rFonts w:eastAsiaTheme="minorEastAsia" w:cstheme="minorBidi"/>
          <w:i w:val="0"/>
          <w:iCs w:val="0"/>
          <w:noProof/>
          <w:sz w:val="22"/>
          <w:szCs w:val="22"/>
        </w:rPr>
      </w:pPr>
      <w:hyperlink w:anchor="_Toc523990671" w:history="1">
        <w:r w:rsidR="00AC36B3" w:rsidRPr="00AC36B3">
          <w:rPr>
            <w:rStyle w:val="Hyperlink"/>
            <w:i w:val="0"/>
            <w:noProof/>
            <w:sz w:val="22"/>
          </w:rPr>
          <w:t>Figure 17: Perceived management risks with Defra ICF intervention delivered through IDB</w:t>
        </w:r>
        <w:r w:rsidR="00AC36B3" w:rsidRPr="00AC36B3">
          <w:rPr>
            <w:i w:val="0"/>
            <w:noProof/>
            <w:webHidden/>
            <w:sz w:val="22"/>
          </w:rPr>
          <w:tab/>
        </w:r>
        <w:r w:rsidR="00AC36B3" w:rsidRPr="00AC36B3">
          <w:rPr>
            <w:i w:val="0"/>
            <w:noProof/>
            <w:webHidden/>
            <w:sz w:val="22"/>
          </w:rPr>
          <w:fldChar w:fldCharType="begin"/>
        </w:r>
        <w:r w:rsidR="00AC36B3" w:rsidRPr="00AC36B3">
          <w:rPr>
            <w:i w:val="0"/>
            <w:noProof/>
            <w:webHidden/>
            <w:sz w:val="22"/>
          </w:rPr>
          <w:instrText xml:space="preserve"> PAGEREF _Toc523990671 \h </w:instrText>
        </w:r>
        <w:r w:rsidR="00AC36B3" w:rsidRPr="00AC36B3">
          <w:rPr>
            <w:i w:val="0"/>
            <w:noProof/>
            <w:webHidden/>
            <w:sz w:val="22"/>
          </w:rPr>
        </w:r>
        <w:r w:rsidR="00AC36B3" w:rsidRPr="00AC36B3">
          <w:rPr>
            <w:i w:val="0"/>
            <w:noProof/>
            <w:webHidden/>
            <w:sz w:val="22"/>
          </w:rPr>
          <w:fldChar w:fldCharType="separate"/>
        </w:r>
        <w:r>
          <w:rPr>
            <w:i w:val="0"/>
            <w:noProof/>
            <w:webHidden/>
            <w:sz w:val="22"/>
          </w:rPr>
          <w:t>60</w:t>
        </w:r>
        <w:r w:rsidR="00AC36B3" w:rsidRPr="00AC36B3">
          <w:rPr>
            <w:i w:val="0"/>
            <w:noProof/>
            <w:webHidden/>
            <w:sz w:val="22"/>
          </w:rPr>
          <w:fldChar w:fldCharType="end"/>
        </w:r>
      </w:hyperlink>
    </w:p>
    <w:p w14:paraId="4004278C" w14:textId="080B9E10" w:rsidR="000C60A9" w:rsidRPr="004C5667" w:rsidRDefault="00835728" w:rsidP="00373F42">
      <w:pPr>
        <w:pStyle w:val="Heading1"/>
      </w:pPr>
      <w:r w:rsidRPr="0061429E">
        <w:rPr>
          <w:rFonts w:asciiTheme="minorHAnsi" w:hAnsiTheme="minorHAnsi"/>
          <w:i/>
          <w:iCs/>
          <w:caps/>
        </w:rPr>
        <w:lastRenderedPageBreak/>
        <w:fldChar w:fldCharType="end"/>
      </w:r>
      <w:bookmarkStart w:id="4" w:name="_Toc527027956"/>
      <w:r w:rsidR="000C60A9" w:rsidRPr="004C5667">
        <w:t>Intervention Summary</w:t>
      </w:r>
      <w:bookmarkEnd w:id="4"/>
    </w:p>
    <w:p w14:paraId="571E762B" w14:textId="46A84077" w:rsidR="000C60A9" w:rsidRPr="004C5667" w:rsidRDefault="000C60A9" w:rsidP="000C60A9">
      <w:pPr>
        <w:pStyle w:val="Heading2"/>
      </w:pPr>
      <w:bookmarkStart w:id="5" w:name="_Toc527027957"/>
      <w:r w:rsidRPr="004C5667">
        <w:t>UK Support</w:t>
      </w:r>
      <w:bookmarkEnd w:id="5"/>
    </w:p>
    <w:p w14:paraId="677A434B" w14:textId="7125FE4C" w:rsidR="000C60A9" w:rsidRPr="004C5667" w:rsidRDefault="000C60A9" w:rsidP="000C60A9">
      <w:pPr>
        <w:pStyle w:val="Heading3"/>
      </w:pPr>
      <w:r w:rsidRPr="004C5667">
        <w:t>What support will the UK provide?</w:t>
      </w:r>
    </w:p>
    <w:p w14:paraId="74AAFD2C" w14:textId="77B345DD" w:rsidR="006966D5" w:rsidRPr="004C5667" w:rsidRDefault="006966D5" w:rsidP="006966D5">
      <w:pPr>
        <w:rPr>
          <w:lang w:eastAsia="en-US"/>
        </w:rPr>
      </w:pPr>
      <w:r w:rsidRPr="004C5667">
        <w:rPr>
          <w:lang w:eastAsia="en-US"/>
        </w:rPr>
        <w:t>A</w:t>
      </w:r>
      <w:r w:rsidR="005B7DB2">
        <w:rPr>
          <w:lang w:eastAsia="en-US"/>
        </w:rPr>
        <w:t>pproval is sought to invest in the</w:t>
      </w:r>
      <w:r w:rsidRPr="004C5667">
        <w:rPr>
          <w:lang w:eastAsia="en-US"/>
        </w:rPr>
        <w:t xml:space="preserve"> </w:t>
      </w:r>
      <w:r w:rsidRPr="004C5667">
        <w:rPr>
          <w:i/>
          <w:lang w:eastAsia="en-US"/>
        </w:rPr>
        <w:t>Sustainable Management, Conservation and Restoration of Mangrove Habitats</w:t>
      </w:r>
      <w:r w:rsidR="005B7DB2">
        <w:rPr>
          <w:i/>
          <w:lang w:eastAsia="en-US"/>
        </w:rPr>
        <w:t>.</w:t>
      </w:r>
      <w:r w:rsidRPr="004C5667">
        <w:rPr>
          <w:lang w:eastAsia="en-US"/>
        </w:rPr>
        <w:t xml:space="preserve"> </w:t>
      </w:r>
      <w:r w:rsidR="005B7DB2">
        <w:rPr>
          <w:lang w:eastAsia="en-US"/>
        </w:rPr>
        <w:t>This investment will s</w:t>
      </w:r>
      <w:r w:rsidRPr="004C5667">
        <w:rPr>
          <w:lang w:eastAsia="en-US"/>
        </w:rPr>
        <w:t xml:space="preserve">upport climate change mitigation through the reduction and avoidance of greenhouse gas (GHG) emissions from anthropogenic degradation of mangrove ecosystems and through enhancing carbon sequestration through agriculture, forestry and other land use (AFOLU) activities. Other benefits focused on climate change adaptation, biodiversity conservation, poverty alleviation and coastal zone management are also expected. </w:t>
      </w:r>
    </w:p>
    <w:p w14:paraId="3D2E8A35" w14:textId="5671437E" w:rsidR="00F93F6C" w:rsidRPr="004C5667" w:rsidRDefault="00BF15A0" w:rsidP="006966D5">
      <w:pPr>
        <w:rPr>
          <w:lang w:eastAsia="en-US"/>
        </w:rPr>
      </w:pPr>
      <w:r>
        <w:rPr>
          <w:lang w:eastAsia="en-US"/>
        </w:rPr>
        <w:t>Defra</w:t>
      </w:r>
      <w:r w:rsidR="00F93F6C" w:rsidRPr="004C5667">
        <w:rPr>
          <w:lang w:eastAsia="en-US"/>
        </w:rPr>
        <w:t xml:space="preserve"> will</w:t>
      </w:r>
      <w:r w:rsidR="001A3397">
        <w:rPr>
          <w:lang w:eastAsia="en-US"/>
        </w:rPr>
        <w:t xml:space="preserve"> provide £12.75</w:t>
      </w:r>
      <w:r w:rsidR="00F93F6C" w:rsidRPr="004C5667">
        <w:rPr>
          <w:lang w:eastAsia="en-US"/>
        </w:rPr>
        <w:t xml:space="preserve"> million of official development assistance (ODA) funding through International Climate Finance (ICF) over an investment period of </w:t>
      </w:r>
      <w:r w:rsidR="0061429E">
        <w:rPr>
          <w:lang w:eastAsia="en-US"/>
        </w:rPr>
        <w:t xml:space="preserve">six </w:t>
      </w:r>
      <w:r w:rsidR="00F93F6C" w:rsidRPr="004C5667">
        <w:rPr>
          <w:lang w:eastAsia="en-US"/>
        </w:rPr>
        <w:t xml:space="preserve">years. </w:t>
      </w:r>
      <w:r>
        <w:rPr>
          <w:lang w:eastAsia="en-US"/>
        </w:rPr>
        <w:t>Defra</w:t>
      </w:r>
      <w:r w:rsidR="00F93F6C" w:rsidRPr="004C5667">
        <w:rPr>
          <w:lang w:eastAsia="en-US"/>
        </w:rPr>
        <w:t xml:space="preserve"> does not expect reflows from the investment and any returns from blended finance mechanisms </w:t>
      </w:r>
      <w:proofErr w:type="gramStart"/>
      <w:r w:rsidR="00F93F6C" w:rsidRPr="004C5667">
        <w:rPr>
          <w:lang w:eastAsia="en-US"/>
        </w:rPr>
        <w:t>will</w:t>
      </w:r>
      <w:r w:rsidR="006A0CA8">
        <w:rPr>
          <w:lang w:eastAsia="en-US"/>
        </w:rPr>
        <w:t xml:space="preserve">  </w:t>
      </w:r>
      <w:r w:rsidR="00F93F6C" w:rsidRPr="004C5667">
        <w:rPr>
          <w:lang w:eastAsia="en-US"/>
        </w:rPr>
        <w:t>be</w:t>
      </w:r>
      <w:proofErr w:type="gramEnd"/>
      <w:r w:rsidR="00F93F6C" w:rsidRPr="004C5667">
        <w:rPr>
          <w:lang w:eastAsia="en-US"/>
        </w:rPr>
        <w:t xml:space="preserve"> redeployed into projects</w:t>
      </w:r>
      <w:r w:rsidR="00D35D62">
        <w:rPr>
          <w:lang w:eastAsia="en-US"/>
        </w:rPr>
        <w:t xml:space="preserve"> as grants</w:t>
      </w:r>
      <w:r w:rsidR="00F93F6C" w:rsidRPr="004C5667">
        <w:rPr>
          <w:lang w:eastAsia="en-US"/>
        </w:rPr>
        <w:t xml:space="preserve"> before the end-term </w:t>
      </w:r>
      <w:r w:rsidR="00D35D62">
        <w:rPr>
          <w:lang w:eastAsia="en-US"/>
        </w:rPr>
        <w:t xml:space="preserve">evaluation </w:t>
      </w:r>
      <w:r w:rsidR="00F93F6C" w:rsidRPr="004C5667">
        <w:rPr>
          <w:lang w:eastAsia="en-US"/>
        </w:rPr>
        <w:t>of the programme.</w:t>
      </w:r>
    </w:p>
    <w:p w14:paraId="62A50E64" w14:textId="6C11CEE0" w:rsidR="000C60A9" w:rsidRPr="004C5667" w:rsidRDefault="000C60A9" w:rsidP="000C60A9">
      <w:pPr>
        <w:pStyle w:val="Heading3"/>
      </w:pPr>
      <w:r w:rsidRPr="004C5667">
        <w:t>Why is UK support required?</w:t>
      </w:r>
    </w:p>
    <w:p w14:paraId="147D3E34" w14:textId="6B226B0F" w:rsidR="00F93F6C" w:rsidRPr="004C5667" w:rsidRDefault="00F93F6C" w:rsidP="00CD53BB">
      <w:r w:rsidRPr="004C5667">
        <w:t xml:space="preserve">Climate change is one of the </w:t>
      </w:r>
      <w:r w:rsidR="005B7DB2">
        <w:t xml:space="preserve">biggest threats to our national, </w:t>
      </w:r>
      <w:r w:rsidRPr="004C5667">
        <w:t xml:space="preserve">economic </w:t>
      </w:r>
      <w:r w:rsidR="005B7DB2">
        <w:t xml:space="preserve">and environmental </w:t>
      </w:r>
      <w:r w:rsidRPr="004C5667">
        <w:t>security and we need to act now in order to avoid more detrimental and costly effects in the future.  According to the World Bank, 100 million people are at risk of being pushed into extreme poverty by rising temperatures and increasing floods by 2030</w:t>
      </w:r>
      <w:r w:rsidRPr="004C5667">
        <w:rPr>
          <w:rStyle w:val="FootnoteReference"/>
          <w:rFonts w:cs="Arial"/>
        </w:rPr>
        <w:footnoteReference w:id="2"/>
      </w:r>
      <w:r w:rsidR="00CD53BB" w:rsidRPr="004C5667">
        <w:t>, with ass</w:t>
      </w:r>
      <w:r w:rsidRPr="004C5667">
        <w:t xml:space="preserve">ociated political instability and migration. </w:t>
      </w:r>
    </w:p>
    <w:p w14:paraId="4B25BE47" w14:textId="3D247F0D" w:rsidR="00F93F6C" w:rsidRPr="004C5667" w:rsidRDefault="00F93F6C" w:rsidP="00CD53BB">
      <w:r w:rsidRPr="004C5667">
        <w:t xml:space="preserve">As part of the Paris Agreement, the UK - alongside 195 other countries - committed to act together to keep a global temperature rise to below 2 degrees. Developed countries have confirmed a collective commitment to mobilise $100bn of climate finance a year by 2020 from public and private sources to help developing countries mitigate and adapt to climate change. Through ICF, the UK demonstrates that we are delivering against that goal. </w:t>
      </w:r>
    </w:p>
    <w:p w14:paraId="28DC4694" w14:textId="6561597E" w:rsidR="00F93F6C" w:rsidRPr="004C5667" w:rsidRDefault="005B7DB2" w:rsidP="00CD53BB">
      <w:r>
        <w:t xml:space="preserve">The UK’s </w:t>
      </w:r>
      <w:r w:rsidR="00F93F6C" w:rsidRPr="004C5667">
        <w:t xml:space="preserve">International Climate Finance was set-up in 2011 with the aim to help developing countries access support to tackle climate change and move to a pathway of sustainable economic growth. Since then ICF has evolved and grown, most recently the Prime Minister committed to provide ‘at least’ £5.8bn of climate finance to developing countries between 2016 and 2020. </w:t>
      </w:r>
    </w:p>
    <w:p w14:paraId="76893162" w14:textId="6ECFBDFB" w:rsidR="00CD53BB" w:rsidRPr="004C5667" w:rsidRDefault="00CD53BB" w:rsidP="00CD53BB">
      <w:r w:rsidRPr="004C5667">
        <w:t>Mangroves and their “Blue Carbon” environments can play a significant role in reducing emissions, while also supporting biodiversity and fisheries habitat protection; contributing to the wellbeing and prosperity of coastal communities and reducing the effects of natural disasters. However, they are also one of the most threatened forest ecosystems with more than 35% of the world’s mangroves thought to have been lost; in some regions they are cleared faster than tropical rainforests.</w:t>
      </w:r>
    </w:p>
    <w:p w14:paraId="24108C7E" w14:textId="10D350A3" w:rsidR="00701BD0" w:rsidRDefault="00DB36D2" w:rsidP="00CD53BB">
      <w:r>
        <w:t>[Redacted]</w:t>
      </w:r>
    </w:p>
    <w:p w14:paraId="7AFD8CDC" w14:textId="559FC62E" w:rsidR="000C60A9" w:rsidRPr="004C5667" w:rsidRDefault="000C60A9" w:rsidP="000C60A9">
      <w:pPr>
        <w:pStyle w:val="Heading2"/>
      </w:pPr>
      <w:bookmarkStart w:id="6" w:name="_Toc527027958"/>
      <w:r w:rsidRPr="004C5667">
        <w:t>What are the main programme activities?</w:t>
      </w:r>
      <w:bookmarkEnd w:id="6"/>
    </w:p>
    <w:p w14:paraId="25DC51F2" w14:textId="1E7D566B" w:rsidR="00701BD0" w:rsidRPr="004C5667" w:rsidRDefault="005B7DB2" w:rsidP="00701BD0">
      <w:r>
        <w:lastRenderedPageBreak/>
        <w:t>In the preferred option delivered with the Inter-American Development Bank (IDB) t</w:t>
      </w:r>
      <w:r w:rsidR="00701BD0" w:rsidRPr="004C5667">
        <w:t>he programme will be used to accelerate the development of the Blue Economy of key countries in Latin America and the Caribbean (LAC)</w:t>
      </w:r>
      <w:r>
        <w:t xml:space="preserve"> </w:t>
      </w:r>
      <w:r w:rsidR="00701BD0" w:rsidRPr="004C5667">
        <w:t>by catalysing and mobilising strategic public and private sector investments in Blue Carbon sector and closely linked thematic areas such as sustainable fisheries, s</w:t>
      </w:r>
      <w:r w:rsidR="00A44577" w:rsidRPr="004C5667">
        <w:t xml:space="preserve">ustainable aquaculture, coastal </w:t>
      </w:r>
      <w:r w:rsidR="00701BD0" w:rsidRPr="004C5667">
        <w:t>zone management,</w:t>
      </w:r>
      <w:r w:rsidR="00A44577" w:rsidRPr="004C5667">
        <w:t xml:space="preserve"> payment for ecosystem services and</w:t>
      </w:r>
      <w:r w:rsidR="00701BD0" w:rsidRPr="004C5667">
        <w:t xml:space="preserve"> eco-tourism.  The program will target the main drivers of degradation and barriers to the conservation and sustainable management of mangrove forests in both the public and private sectors.  </w:t>
      </w:r>
    </w:p>
    <w:p w14:paraId="5003F722" w14:textId="77777777" w:rsidR="00A44577" w:rsidRPr="004C5667" w:rsidRDefault="00701BD0" w:rsidP="00A44577">
      <w:r w:rsidRPr="004C5667">
        <w:t>There will be a focus on incentive-based instruments, which will be implemented via the various financial products of the IDB Group including technical cooperation grants, loans, high-risk investment grants and equity, tailored to the intervention to maximize value for mo</w:t>
      </w:r>
      <w:r w:rsidR="00A44577" w:rsidRPr="004C5667">
        <w:t>ney.</w:t>
      </w:r>
    </w:p>
    <w:p w14:paraId="735EEC9A" w14:textId="3680EC0D" w:rsidR="00F93F6C" w:rsidRPr="004C5667" w:rsidRDefault="000C60A9" w:rsidP="00A44577">
      <w:pPr>
        <w:pStyle w:val="Heading2"/>
      </w:pPr>
      <w:bookmarkStart w:id="7" w:name="_Toc527027959"/>
      <w:r w:rsidRPr="004C5667">
        <w:t>Why deliver through the Inter-American Development Bank (IDB)?</w:t>
      </w:r>
      <w:bookmarkEnd w:id="7"/>
    </w:p>
    <w:p w14:paraId="3613E2C9" w14:textId="7B35BA80" w:rsidR="00174DCF" w:rsidRPr="004C5667" w:rsidRDefault="00174DCF" w:rsidP="00701BD0">
      <w:r w:rsidRPr="004C5667">
        <w:t xml:space="preserve">The UK has built a close working relationship with the IDB, through DFID, BEIS and ongoing </w:t>
      </w:r>
      <w:r w:rsidR="00BF15A0">
        <w:t>Defra</w:t>
      </w:r>
      <w:r w:rsidRPr="004C5667">
        <w:t xml:space="preserve"> investments; our shared experience has been very positive. Our approach to the implementation of countries’ commitments under the Paris Agreement and the direct links to sustainable development very much align with the IDB’s strategy. Both colleagues at BEIS and with</w:t>
      </w:r>
      <w:r w:rsidR="005B7DB2">
        <w:t>in</w:t>
      </w:r>
      <w:r w:rsidRPr="004C5667">
        <w:t xml:space="preserve"> </w:t>
      </w:r>
      <w:r w:rsidR="00BF15A0">
        <w:t>Defra</w:t>
      </w:r>
      <w:r w:rsidRPr="004C5667">
        <w:t xml:space="preserve"> have given positive feedback on working with the IDB</w:t>
      </w:r>
      <w:r w:rsidR="005B7DB2">
        <w:t>,</w:t>
      </w:r>
      <w:r w:rsidRPr="004C5667">
        <w:t xml:space="preserve"> particularly around their flexibility and client focus. Although this intervention would be separate to other UK funds and allow for a different focus it would utilise and built on this positive and effective delivery relationship.</w:t>
      </w:r>
    </w:p>
    <w:p w14:paraId="1B809A10" w14:textId="3ADB7541" w:rsidR="00174DCF" w:rsidRPr="004C5667" w:rsidRDefault="00174DCF" w:rsidP="00701BD0">
      <w:r w:rsidRPr="004C5667">
        <w:t>An additional advantage of working with the IDB is their reputation locally, connections to partner Government</w:t>
      </w:r>
      <w:r w:rsidR="005B7DB2">
        <w:t>s</w:t>
      </w:r>
      <w:r w:rsidRPr="004C5667">
        <w:t xml:space="preserve">, and that their core activities are closely joined up with their private finance arm. Our programme will therefore aim to draw on these cross-sectoral expertise, while building on the effective network that the IDB has developed over the years throughout Latin America and the Caribbean (LAC). </w:t>
      </w:r>
    </w:p>
    <w:p w14:paraId="171DA473" w14:textId="7231E0F6" w:rsidR="00174DCF" w:rsidRPr="004C5667" w:rsidRDefault="00174DCF" w:rsidP="00701BD0">
      <w:r w:rsidRPr="004C5667">
        <w:t>DFID have recently performed a Central Assurance Assessment (CAA) of the IDB and found the IDB to be “a minor risk partner for DFID, in terms of central systems and processes. It carries no unacceptable fiduciary or reputational risks” (CAA, 2017).</w:t>
      </w:r>
      <w:r w:rsidR="00465FF4" w:rsidRPr="004C5667">
        <w:t xml:space="preserve"> </w:t>
      </w:r>
      <w:r w:rsidR="005B7DB2" w:rsidRPr="004C5667">
        <w:t xml:space="preserve">The IDB was </w:t>
      </w:r>
      <w:r w:rsidR="005B7DB2">
        <w:t xml:space="preserve">also </w:t>
      </w:r>
      <w:r w:rsidR="005B7DB2" w:rsidRPr="004C5667">
        <w:t xml:space="preserve">one of </w:t>
      </w:r>
      <w:r w:rsidR="005B7DB2">
        <w:t>the only 7 international organis</w:t>
      </w:r>
      <w:r w:rsidR="005B7DB2" w:rsidRPr="004C5667">
        <w:t xml:space="preserve">ations </w:t>
      </w:r>
      <w:r w:rsidR="005B7DB2">
        <w:t xml:space="preserve">that </w:t>
      </w:r>
      <w:r w:rsidR="005B7DB2" w:rsidRPr="004C5667">
        <w:t xml:space="preserve">qualified </w:t>
      </w:r>
      <w:r w:rsidR="005B7DB2">
        <w:t xml:space="preserve">for </w:t>
      </w:r>
      <w:r w:rsidR="005B7DB2" w:rsidRPr="004C5667">
        <w:t xml:space="preserve">the top ranking </w:t>
      </w:r>
      <w:r w:rsidR="005B7DB2">
        <w:t xml:space="preserve">of </w:t>
      </w:r>
      <w:r w:rsidR="005B7DB2" w:rsidRPr="004C5667">
        <w:t>“Very good” in transparency, in the 2018 Aid Transparency Index</w:t>
      </w:r>
      <w:r w:rsidR="005B7DB2">
        <w:t>.</w:t>
      </w:r>
    </w:p>
    <w:p w14:paraId="599AEEDC" w14:textId="73D207BE" w:rsidR="000C60A9" w:rsidRPr="004C5667" w:rsidRDefault="000C60A9" w:rsidP="000C60A9">
      <w:pPr>
        <w:pStyle w:val="Heading2"/>
      </w:pPr>
      <w:bookmarkStart w:id="8" w:name="_Toc527027960"/>
      <w:r w:rsidRPr="004C5667">
        <w:t>How does the programme align with our strategic objectives?</w:t>
      </w:r>
      <w:bookmarkEnd w:id="8"/>
    </w:p>
    <w:p w14:paraId="58255247" w14:textId="2EC3AB2B" w:rsidR="00701BD0" w:rsidRPr="004C5667" w:rsidRDefault="00701BD0" w:rsidP="00701BD0">
      <w:r w:rsidRPr="004C5667">
        <w:rPr>
          <w:lang w:eastAsia="en-US"/>
        </w:rPr>
        <w:t>In addition to the</w:t>
      </w:r>
      <w:r w:rsidR="005B7DB2">
        <w:rPr>
          <w:lang w:eastAsia="en-US"/>
        </w:rPr>
        <w:t xml:space="preserve"> UK’s</w:t>
      </w:r>
      <w:r w:rsidRPr="004C5667">
        <w:rPr>
          <w:lang w:eastAsia="en-US"/>
        </w:rPr>
        <w:t xml:space="preserve"> international climate commitments outlined above, t</w:t>
      </w:r>
      <w:r w:rsidRPr="004C5667">
        <w:t xml:space="preserve">here are strategic synergies to be found across government from this intervention. It would: </w:t>
      </w:r>
    </w:p>
    <w:p w14:paraId="2AD26109" w14:textId="2560B4D0" w:rsidR="00701BD0" w:rsidRPr="004C5667" w:rsidRDefault="00701BD0" w:rsidP="00701BD0">
      <w:pPr>
        <w:pStyle w:val="ListParagraph"/>
        <w:numPr>
          <w:ilvl w:val="0"/>
          <w:numId w:val="29"/>
        </w:numPr>
      </w:pPr>
      <w:r w:rsidRPr="004C5667">
        <w:t xml:space="preserve">Fit </w:t>
      </w:r>
      <w:r w:rsidR="005B7DB2">
        <w:t>the ICF</w:t>
      </w:r>
      <w:r w:rsidRPr="004C5667">
        <w:t xml:space="preserve"> strategic profile of </w:t>
      </w:r>
      <w:r w:rsidR="00502F45" w:rsidRPr="004C5667">
        <w:t>avoiding GHG emissions</w:t>
      </w:r>
      <w:r w:rsidRPr="004C5667">
        <w:t>,</w:t>
      </w:r>
      <w:r w:rsidR="00502F45">
        <w:t xml:space="preserve"> </w:t>
      </w:r>
      <w:r w:rsidR="00502F45" w:rsidRPr="004C5667">
        <w:t>reducing pressure on remaining forests</w:t>
      </w:r>
      <w:r w:rsidR="00502F45">
        <w:t>, improving forest management and</w:t>
      </w:r>
      <w:r w:rsidRPr="004C5667">
        <w:t xml:space="preserve"> </w:t>
      </w:r>
      <w:r w:rsidR="00502F45" w:rsidRPr="004C5667">
        <w:t>promoting sustainable land use</w:t>
      </w:r>
      <w:r w:rsidRPr="004C5667">
        <w:t xml:space="preserve">. </w:t>
      </w:r>
    </w:p>
    <w:p w14:paraId="63E157AE" w14:textId="77777777" w:rsidR="00701BD0" w:rsidRPr="004C5667" w:rsidRDefault="00701BD0" w:rsidP="00701BD0">
      <w:pPr>
        <w:pStyle w:val="ListParagraph"/>
        <w:numPr>
          <w:ilvl w:val="0"/>
          <w:numId w:val="29"/>
        </w:numPr>
      </w:pPr>
      <w:r w:rsidRPr="004C5667">
        <w:t xml:space="preserve">Build on the strong oceans leadership the UK has shown at the Commonwealth Heads of Government Meeting and demonstrate a continuing commitment to tackle climate issues that affect all Commonwealth countries; </w:t>
      </w:r>
    </w:p>
    <w:p w14:paraId="56ED9E01" w14:textId="77777777" w:rsidR="00701BD0" w:rsidRPr="004C5667" w:rsidRDefault="00701BD0" w:rsidP="00701BD0">
      <w:pPr>
        <w:pStyle w:val="ListParagraph"/>
        <w:numPr>
          <w:ilvl w:val="0"/>
          <w:numId w:val="29"/>
        </w:numPr>
      </w:pPr>
      <w:r w:rsidRPr="004C5667">
        <w:t xml:space="preserve">Encourage collaborative working with BEIS on forest monitoring, inventories and other systems for monitoring mangroves; </w:t>
      </w:r>
    </w:p>
    <w:p w14:paraId="30294E9A" w14:textId="697B64FA" w:rsidR="00701BD0" w:rsidRPr="004C5667" w:rsidRDefault="00701BD0" w:rsidP="00701BD0">
      <w:pPr>
        <w:pStyle w:val="ListParagraph"/>
        <w:numPr>
          <w:ilvl w:val="0"/>
          <w:numId w:val="29"/>
        </w:numPr>
      </w:pPr>
      <w:r w:rsidRPr="004C5667">
        <w:t xml:space="preserve">Be relevant to the Prime Minister leading the resilience theme at the UN Secretary General’s climate summit in 2019. </w:t>
      </w:r>
    </w:p>
    <w:p w14:paraId="247766C5" w14:textId="6C23E58D" w:rsidR="00A44577" w:rsidRDefault="005B7DB2" w:rsidP="0013557C">
      <w:pPr>
        <w:pStyle w:val="ListParagraph"/>
        <w:numPr>
          <w:ilvl w:val="0"/>
          <w:numId w:val="29"/>
        </w:numPr>
      </w:pPr>
      <w:r>
        <w:t>Bring b</w:t>
      </w:r>
      <w:r w:rsidR="00A44577" w:rsidRPr="004C5667">
        <w:t xml:space="preserve">enefits from climate change mitigation </w:t>
      </w:r>
      <w:r>
        <w:t xml:space="preserve">that </w:t>
      </w:r>
      <w:r w:rsidR="00A44577" w:rsidRPr="004C5667">
        <w:t>can be quantified towards the countries’ NDC pledges</w:t>
      </w:r>
      <w:r>
        <w:t>.</w:t>
      </w:r>
    </w:p>
    <w:p w14:paraId="5C1F95B0" w14:textId="2D801768" w:rsidR="00745200" w:rsidRDefault="00745200" w:rsidP="00745200">
      <w:pPr>
        <w:pStyle w:val="Heading2"/>
      </w:pPr>
      <w:bookmarkStart w:id="9" w:name="_Toc527027961"/>
      <w:r>
        <w:lastRenderedPageBreak/>
        <w:t>What are the expected results?</w:t>
      </w:r>
      <w:bookmarkEnd w:id="9"/>
    </w:p>
    <w:p w14:paraId="220F4949" w14:textId="178910E3" w:rsidR="00106BCD" w:rsidRPr="004C5667" w:rsidRDefault="00106BCD" w:rsidP="00106BCD">
      <w:r>
        <w:t xml:space="preserve">The expected </w:t>
      </w:r>
      <w:r w:rsidRPr="004C5667">
        <w:t>impacts for the program</w:t>
      </w:r>
      <w:r w:rsidR="00931D23">
        <w:t>me</w:t>
      </w:r>
      <w:r w:rsidRPr="004C5667">
        <w:t xml:space="preserve"> </w:t>
      </w:r>
      <w:r w:rsidR="00931D23">
        <w:t>are</w:t>
      </w:r>
      <w:r w:rsidRPr="004C5667">
        <w:t>:</w:t>
      </w:r>
    </w:p>
    <w:p w14:paraId="3F7B3E5A" w14:textId="459696C6" w:rsidR="00106BCD" w:rsidRPr="004C5667" w:rsidRDefault="00786A82" w:rsidP="00106BCD">
      <w:pPr>
        <w:pStyle w:val="ListParagraph"/>
        <w:numPr>
          <w:ilvl w:val="0"/>
          <w:numId w:val="15"/>
        </w:numPr>
        <w:spacing w:after="160"/>
      </w:pPr>
      <w:r>
        <w:t>2,912</w:t>
      </w:r>
      <w:r w:rsidR="00BD15AB">
        <w:t>,</w:t>
      </w:r>
      <w:r w:rsidR="00106BCD" w:rsidDel="00BD15AB">
        <w:t>0</w:t>
      </w:r>
      <w:r w:rsidR="00106BCD" w:rsidRPr="004C5667">
        <w:t>00 tonnes of GHG emissions sequestered or avoided</w:t>
      </w:r>
    </w:p>
    <w:p w14:paraId="7613CB73" w14:textId="37396906" w:rsidR="00106BCD" w:rsidRDefault="00AA417E" w:rsidP="00106BCD">
      <w:pPr>
        <w:pStyle w:val="ListParagraph"/>
        <w:numPr>
          <w:ilvl w:val="0"/>
          <w:numId w:val="15"/>
        </w:numPr>
        <w:spacing w:after="160"/>
      </w:pPr>
      <w:r>
        <w:t>557</w:t>
      </w:r>
      <w:r w:rsidR="00106BCD" w:rsidRPr="004C5667">
        <w:t>0ha of mangroves restored or protected</w:t>
      </w:r>
    </w:p>
    <w:p w14:paraId="7070E2ED" w14:textId="50A18599" w:rsidR="00106BCD" w:rsidRPr="00DC0EF7" w:rsidRDefault="00786A82" w:rsidP="00106BCD">
      <w:pPr>
        <w:pStyle w:val="ListParagraph"/>
        <w:numPr>
          <w:ilvl w:val="0"/>
          <w:numId w:val="15"/>
        </w:numPr>
        <w:spacing w:after="160"/>
      </w:pPr>
      <w:r>
        <w:t>£48</w:t>
      </w:r>
      <w:r w:rsidR="00106BCD" w:rsidRPr="00DC0EF7">
        <w:t>m of ecosystem services restored or protected</w:t>
      </w:r>
      <w:r w:rsidR="00106BCD" w:rsidRPr="00DC0EF7">
        <w:rPr>
          <w:rStyle w:val="FootnoteReference"/>
        </w:rPr>
        <w:footnoteReference w:id="3"/>
      </w:r>
      <w:r w:rsidR="00106BCD" w:rsidRPr="00DC0EF7">
        <w:t xml:space="preserve">  </w:t>
      </w:r>
    </w:p>
    <w:p w14:paraId="04A6EEA6" w14:textId="724D85D8" w:rsidR="00106BCD" w:rsidRPr="00931D23" w:rsidRDefault="00106BCD" w:rsidP="00931D23">
      <w:r>
        <w:rPr>
          <w:lang w:eastAsia="en-US"/>
        </w:rPr>
        <w:t>The program will be designed to concurrently deliver significant livelihoods benefits for program recipients, though further detailed scoping in cooperation with the project partner is required to quantify the number of people who will benefit.</w:t>
      </w:r>
    </w:p>
    <w:p w14:paraId="688C9236" w14:textId="05E11BBA" w:rsidR="000C60A9" w:rsidRPr="004C5667" w:rsidRDefault="000C60A9" w:rsidP="00A44577">
      <w:pPr>
        <w:pStyle w:val="Heading2"/>
      </w:pPr>
      <w:bookmarkStart w:id="10" w:name="_Toc527027962"/>
      <w:r w:rsidRPr="004C5667">
        <w:t>What are the key risks to the programme?</w:t>
      </w:r>
      <w:bookmarkEnd w:id="10"/>
    </w:p>
    <w:p w14:paraId="0D112835" w14:textId="7B99D1CF" w:rsidR="00B20B55" w:rsidRDefault="00D033B0" w:rsidP="00BB0C57">
      <w:pPr>
        <w:spacing w:after="120"/>
      </w:pPr>
      <w:r>
        <w:t xml:space="preserve">Some of the </w:t>
      </w:r>
      <w:r w:rsidR="00B20B55">
        <w:t xml:space="preserve">key financial, commercial and management risks are as follow. More detailed risks are described in the relevant </w:t>
      </w:r>
      <w:r>
        <w:t>sub-case sections and where appropriate given a RAG rating.</w:t>
      </w:r>
    </w:p>
    <w:p w14:paraId="5B742938" w14:textId="59054FA8" w:rsidR="00D033B0" w:rsidRPr="00BB0C57" w:rsidRDefault="00D033B0" w:rsidP="00BB0C57">
      <w:pPr>
        <w:pStyle w:val="ListParagraph"/>
        <w:numPr>
          <w:ilvl w:val="0"/>
          <w:numId w:val="35"/>
        </w:numPr>
        <w:spacing w:after="0"/>
        <w:rPr>
          <w:rFonts w:eastAsia="Times New Roman"/>
          <w:color w:val="000000"/>
        </w:rPr>
      </w:pPr>
      <w:r w:rsidRPr="00BB0C57">
        <w:rPr>
          <w:rFonts w:eastAsia="Times New Roman"/>
          <w:b/>
          <w:bCs/>
          <w:color w:val="000000"/>
        </w:rPr>
        <w:t>Exchange rate risk</w:t>
      </w:r>
      <w:r w:rsidRPr="00BB0C57">
        <w:rPr>
          <w:rFonts w:eastAsia="Times New Roman"/>
          <w:color w:val="000000"/>
        </w:rPr>
        <w:t xml:space="preserve"> between the USD and GBP, further depreciation of the Pound Sterling could translate into execution limitations for the program</w:t>
      </w:r>
      <w:r w:rsidR="00BB0C57" w:rsidRPr="00BB0C57">
        <w:rPr>
          <w:rFonts w:eastAsia="Times New Roman"/>
          <w:color w:val="000000"/>
        </w:rPr>
        <w:t>me.</w:t>
      </w:r>
    </w:p>
    <w:p w14:paraId="125E1D7E" w14:textId="381D59A8" w:rsidR="00D033B0" w:rsidRPr="00BB0C57" w:rsidRDefault="00D033B0" w:rsidP="00BB0C57">
      <w:pPr>
        <w:pStyle w:val="ListParagraph"/>
        <w:numPr>
          <w:ilvl w:val="0"/>
          <w:numId w:val="35"/>
        </w:numPr>
        <w:spacing w:after="0"/>
        <w:rPr>
          <w:rFonts w:eastAsia="Times New Roman"/>
          <w:color w:val="000000"/>
        </w:rPr>
      </w:pPr>
      <w:r w:rsidRPr="00BB0C57">
        <w:rPr>
          <w:rFonts w:eastAsia="Times New Roman"/>
          <w:b/>
          <w:bCs/>
          <w:color w:val="000000"/>
        </w:rPr>
        <w:t>Untested market</w:t>
      </w:r>
      <w:r w:rsidRPr="00BB0C57">
        <w:rPr>
          <w:rFonts w:eastAsia="Times New Roman"/>
          <w:color w:val="000000"/>
        </w:rPr>
        <w:t xml:space="preserve"> for implementing mangrove/blue carbon blended finance mechanisms.</w:t>
      </w:r>
    </w:p>
    <w:p w14:paraId="3F9E1D93" w14:textId="1AECB57E" w:rsidR="00D033B0" w:rsidRPr="00BB0C57" w:rsidRDefault="00D033B0" w:rsidP="00BB0C57">
      <w:pPr>
        <w:pStyle w:val="ListParagraph"/>
        <w:numPr>
          <w:ilvl w:val="0"/>
          <w:numId w:val="35"/>
        </w:numPr>
        <w:spacing w:after="0"/>
        <w:rPr>
          <w:rFonts w:eastAsia="Times New Roman"/>
          <w:color w:val="000000"/>
        </w:rPr>
      </w:pPr>
      <w:r w:rsidRPr="00BB0C57">
        <w:rPr>
          <w:rFonts w:eastAsia="Times New Roman"/>
          <w:b/>
          <w:bCs/>
          <w:color w:val="000000"/>
        </w:rPr>
        <w:t>Projected benefits not realised</w:t>
      </w:r>
      <w:r w:rsidRPr="00BB0C57">
        <w:rPr>
          <w:rFonts w:eastAsia="Times New Roman"/>
          <w:color w:val="000000"/>
        </w:rPr>
        <w:t xml:space="preserve"> or sustained beyond the lifetime of the programme. </w:t>
      </w:r>
    </w:p>
    <w:p w14:paraId="2FE17016" w14:textId="21B671DC" w:rsidR="00D033B0" w:rsidRPr="00BB0C57" w:rsidRDefault="00D033B0" w:rsidP="00BB0C57">
      <w:pPr>
        <w:pStyle w:val="ListParagraph"/>
        <w:numPr>
          <w:ilvl w:val="0"/>
          <w:numId w:val="35"/>
        </w:numPr>
        <w:spacing w:after="0"/>
        <w:rPr>
          <w:rFonts w:eastAsia="Times New Roman"/>
          <w:color w:val="000000"/>
        </w:rPr>
      </w:pPr>
      <w:r w:rsidRPr="00BB0C57">
        <w:rPr>
          <w:rFonts w:eastAsia="Times New Roman"/>
          <w:b/>
          <w:color w:val="000000"/>
        </w:rPr>
        <w:t>Intervention design</w:t>
      </w:r>
      <w:r w:rsidRPr="00BB0C57">
        <w:rPr>
          <w:rFonts w:eastAsia="Times New Roman"/>
          <w:color w:val="000000"/>
        </w:rPr>
        <w:t xml:space="preserve"> oversights and overlap</w:t>
      </w:r>
      <w:r w:rsidR="00BB0C57" w:rsidRPr="00BB0C57">
        <w:rPr>
          <w:rFonts w:eastAsia="Times New Roman"/>
          <w:color w:val="000000"/>
        </w:rPr>
        <w:t>s</w:t>
      </w:r>
      <w:r w:rsidRPr="00BB0C57">
        <w:rPr>
          <w:rFonts w:eastAsia="Times New Roman"/>
          <w:color w:val="000000"/>
        </w:rPr>
        <w:t xml:space="preserve"> with other HMG interventions</w:t>
      </w:r>
    </w:p>
    <w:p w14:paraId="7695D41B" w14:textId="3BCDC0C4" w:rsidR="00D033B0" w:rsidRPr="00BB0C57" w:rsidRDefault="00D033B0" w:rsidP="00BB0C57">
      <w:pPr>
        <w:pStyle w:val="ListParagraph"/>
        <w:numPr>
          <w:ilvl w:val="0"/>
          <w:numId w:val="35"/>
        </w:numPr>
        <w:spacing w:after="0"/>
        <w:rPr>
          <w:rFonts w:eastAsia="Times New Roman"/>
          <w:color w:val="000000"/>
        </w:rPr>
      </w:pPr>
      <w:r w:rsidRPr="00BB0C57">
        <w:rPr>
          <w:rFonts w:eastAsia="Times New Roman"/>
          <w:b/>
          <w:color w:val="000000"/>
        </w:rPr>
        <w:t xml:space="preserve">Limited impact </w:t>
      </w:r>
      <w:r w:rsidR="00BB0C57" w:rsidRPr="00BB0C57">
        <w:rPr>
          <w:rFonts w:eastAsia="Times New Roman"/>
          <w:color w:val="000000"/>
        </w:rPr>
        <w:t xml:space="preserve">due to the limited scale </w:t>
      </w:r>
      <w:r w:rsidRPr="00BB0C57">
        <w:rPr>
          <w:rFonts w:eastAsia="Times New Roman"/>
          <w:color w:val="000000"/>
        </w:rPr>
        <w:t>of Defra</w:t>
      </w:r>
      <w:r w:rsidR="00BB0C57" w:rsidRPr="00BB0C57">
        <w:rPr>
          <w:rFonts w:eastAsia="Times New Roman"/>
          <w:color w:val="000000"/>
        </w:rPr>
        <w:t xml:space="preserve"> ICF funding.</w:t>
      </w:r>
    </w:p>
    <w:p w14:paraId="603C1A7A" w14:textId="77777777" w:rsidR="00BB0C57" w:rsidRDefault="00BB0C57">
      <w:pPr>
        <w:spacing w:after="120" w:line="240" w:lineRule="auto"/>
        <w:jc w:val="center"/>
        <w:rPr>
          <w:rFonts w:asciiTheme="majorHAnsi" w:eastAsiaTheme="majorEastAsia" w:hAnsiTheme="majorHAnsi" w:cstheme="majorBidi"/>
          <w:b/>
          <w:color w:val="2E74B5" w:themeColor="accent1" w:themeShade="BF"/>
          <w:szCs w:val="32"/>
        </w:rPr>
      </w:pPr>
      <w:r>
        <w:br w:type="page"/>
      </w:r>
    </w:p>
    <w:p w14:paraId="06EB9F34" w14:textId="69D30A39" w:rsidR="007E0FF3" w:rsidRPr="004C5667" w:rsidRDefault="007E0FF3" w:rsidP="00EF36DF">
      <w:pPr>
        <w:pStyle w:val="Heading1"/>
        <w:spacing w:after="240"/>
      </w:pPr>
      <w:bookmarkStart w:id="11" w:name="_Toc527027963"/>
      <w:r w:rsidRPr="004C5667">
        <w:lastRenderedPageBreak/>
        <w:t>Strategic Case</w:t>
      </w:r>
      <w:bookmarkEnd w:id="0"/>
      <w:bookmarkEnd w:id="1"/>
      <w:bookmarkEnd w:id="2"/>
      <w:bookmarkEnd w:id="11"/>
    </w:p>
    <w:p w14:paraId="184748F0" w14:textId="38931D14" w:rsidR="007E0FF3" w:rsidRPr="004C5667" w:rsidRDefault="008D11BA" w:rsidP="00EF36DF">
      <w:pPr>
        <w:pStyle w:val="Heading2"/>
      </w:pPr>
      <w:bookmarkStart w:id="12" w:name="_Toc466471581"/>
      <w:bookmarkStart w:id="13" w:name="_Toc505691908"/>
      <w:bookmarkStart w:id="14" w:name="_Toc505693243"/>
      <w:bookmarkStart w:id="15" w:name="_Toc527027964"/>
      <w:r w:rsidRPr="004C5667">
        <w:t xml:space="preserve">Global Context – </w:t>
      </w:r>
      <w:r w:rsidR="007E0FF3" w:rsidRPr="004C5667">
        <w:t>HMG’s International Commitments</w:t>
      </w:r>
      <w:bookmarkEnd w:id="12"/>
      <w:bookmarkEnd w:id="13"/>
      <w:bookmarkEnd w:id="14"/>
      <w:bookmarkEnd w:id="15"/>
    </w:p>
    <w:p w14:paraId="01C5D7C3" w14:textId="68203415" w:rsidR="007E0FF3" w:rsidRPr="004C5667" w:rsidRDefault="007E0FF3" w:rsidP="00EF36DF">
      <w:r w:rsidRPr="004C5667">
        <w:t xml:space="preserve">Climate Change is one of the greatest </w:t>
      </w:r>
      <w:r w:rsidR="00475686" w:rsidRPr="004C5667">
        <w:t xml:space="preserve">challenges of our time </w:t>
      </w:r>
      <w:r w:rsidRPr="004C5667">
        <w:t>and is a threat to economic and national security</w:t>
      </w:r>
      <w:r w:rsidR="00475686" w:rsidRPr="004C5667">
        <w:t xml:space="preserve"> globally</w:t>
      </w:r>
      <w:r w:rsidRPr="004C5667">
        <w:t>. According to the World Bank, 100 million people are at risk of being pushed into extreme poverty by rising temperatures and increasing floods, alongside associated political instability</w:t>
      </w:r>
      <w:r w:rsidR="00475686" w:rsidRPr="004C5667">
        <w:t xml:space="preserve"> and migration, by 2030. It will have </w:t>
      </w:r>
      <w:r w:rsidRPr="004C5667">
        <w:t>the greatest impact on the poorest and most vulnerable in the developing world, including girls, women and other marginalised groups. Geographically it particularly effects low-lying areas, fragile states and increasingly crowded urban areas. The evidence clearly suggests that a key driver of poverty and a constraint on sustainable and inclusive growth is the unsustainable exploitation of natural resources.</w:t>
      </w:r>
    </w:p>
    <w:p w14:paraId="1DF30CA3" w14:textId="1122CD19" w:rsidR="007E0FF3" w:rsidRPr="004C5667" w:rsidRDefault="007E0FF3" w:rsidP="00EF36DF">
      <w:r w:rsidRPr="004C5667">
        <w:t>At the Paris UN Climate negotiations in 2015 (UNFCCC, COP21) the UK signed up to a collective pledge with Germany and Norway that will make up to $5bn available to support international efforts to tackle deforestation. This was also a historic and significant step forward globally, with all 195 countries committing for the first time to make Intended Nationally Determined Contributions (INDC</w:t>
      </w:r>
      <w:r w:rsidR="00D40644" w:rsidRPr="004C5667">
        <w:t>s</w:t>
      </w:r>
      <w:r w:rsidRPr="004C5667">
        <w:t>) to keep the average global temp</w:t>
      </w:r>
      <w:r w:rsidR="00D40644" w:rsidRPr="004C5667">
        <w:t xml:space="preserve">erature rise to below 2°C and </w:t>
      </w:r>
      <w:r w:rsidRPr="004C5667">
        <w:t xml:space="preserve">pursue efforts towards 1.5°C. Despite the USA withdrawing from this pledge, climate finance is </w:t>
      </w:r>
      <w:r w:rsidR="00475686" w:rsidRPr="004C5667">
        <w:t xml:space="preserve">still </w:t>
      </w:r>
      <w:r w:rsidRPr="004C5667">
        <w:t>vital to support</w:t>
      </w:r>
      <w:r w:rsidR="00475686" w:rsidRPr="004C5667">
        <w:t xml:space="preserve"> ambitious action by</w:t>
      </w:r>
      <w:r w:rsidRPr="004C5667">
        <w:t xml:space="preserve"> developing countries to mitigate and adapt to climate change, and to implement the Paris Agreement.</w:t>
      </w:r>
    </w:p>
    <w:p w14:paraId="4D3A969B" w14:textId="5B174F06" w:rsidR="00151767" w:rsidRPr="004C5667" w:rsidRDefault="00151767" w:rsidP="00EF36DF">
      <w:pPr>
        <w:pStyle w:val="Heading3"/>
      </w:pPr>
      <w:bookmarkStart w:id="16" w:name="_Toc505691909"/>
      <w:bookmarkStart w:id="17" w:name="_Toc505693244"/>
      <w:r w:rsidRPr="004C5667">
        <w:t>Sustainable Development Goals</w:t>
      </w:r>
      <w:bookmarkEnd w:id="16"/>
      <w:bookmarkEnd w:id="17"/>
    </w:p>
    <w:p w14:paraId="5BB08D0D" w14:textId="77777777" w:rsidR="00151767" w:rsidRPr="004C5667" w:rsidRDefault="00151767" w:rsidP="00EF36DF">
      <w:r w:rsidRPr="004C5667">
        <w:t>The UN’s 17 Sustainable Development Goals (SDGs), also known as the “Global Goals”, recognise the importance of integrating climate issues as part of good development assistance. The SDGs are a universal call to action to end poverty, protect the planet and make sure that all people enjoy peace and prosperity. Delivering the relevant environmental aspects of UN Sustainable Development Goals (Agenda 2030) for the UK requires cross-government, cross-industry and individual participation and there is a huge socio-economic and environmental dividend to be gained through SDG implementation. The Business &amp; Sustainable Development Commission has estimated that the economic prize to business of implementing the SDGs could be up to US$12 trillion (£9 trillion) globally by 2030.</w:t>
      </w:r>
    </w:p>
    <w:p w14:paraId="1F201646" w14:textId="77777777" w:rsidR="00151767" w:rsidRPr="004C5667" w:rsidRDefault="00151767" w:rsidP="00EF36DF">
      <w:r w:rsidRPr="004C5667">
        <w:t>There are two SDGs that specifically relate to ICF forestry projects:</w:t>
      </w:r>
    </w:p>
    <w:p w14:paraId="2D033A25" w14:textId="77777777" w:rsidR="00151767" w:rsidRPr="004C5667" w:rsidRDefault="00151767" w:rsidP="00F93F6C">
      <w:pPr>
        <w:pStyle w:val="ListParagraph"/>
        <w:numPr>
          <w:ilvl w:val="0"/>
          <w:numId w:val="7"/>
        </w:numPr>
      </w:pPr>
      <w:r w:rsidRPr="004C5667">
        <w:rPr>
          <w:b/>
        </w:rPr>
        <w:t>SDG 13</w:t>
      </w:r>
      <w:r w:rsidRPr="004C5667">
        <w:t xml:space="preserve"> focuses specifically on urgent action on climate change and the commitments made by developed nations to support developing countries in tackling climate change through mobilisation of climate finance.</w:t>
      </w:r>
    </w:p>
    <w:p w14:paraId="6FDA788D" w14:textId="77777777" w:rsidR="00151767" w:rsidRPr="004C5667" w:rsidRDefault="00151767" w:rsidP="00F93F6C">
      <w:pPr>
        <w:pStyle w:val="ListParagraph"/>
        <w:numPr>
          <w:ilvl w:val="0"/>
          <w:numId w:val="7"/>
        </w:numPr>
      </w:pPr>
      <w:r w:rsidRPr="004C5667">
        <w:rPr>
          <w:b/>
        </w:rPr>
        <w:t>SDG 15</w:t>
      </w:r>
      <w:r w:rsidRPr="004C5667">
        <w:t xml:space="preserve"> focuses specifically on managing forests sustainably, restoring degraded lands and successfully combating desertification, reducing degraded natural habitats and ending biodiversity loss.</w:t>
      </w:r>
    </w:p>
    <w:p w14:paraId="2B4FB4A2" w14:textId="6B725C72" w:rsidR="00151767" w:rsidRPr="004C5667" w:rsidRDefault="00BF15A0" w:rsidP="00EF36DF">
      <w:pPr>
        <w:pStyle w:val="Heading2"/>
      </w:pPr>
      <w:bookmarkStart w:id="18" w:name="_Toc466471582"/>
      <w:bookmarkStart w:id="19" w:name="_Toc505691910"/>
      <w:bookmarkStart w:id="20" w:name="_Toc505693245"/>
      <w:bookmarkStart w:id="21" w:name="_Toc527027965"/>
      <w:r>
        <w:t>Defra</w:t>
      </w:r>
      <w:r w:rsidR="00151767" w:rsidRPr="004C5667">
        <w:t>’s strategic objectives</w:t>
      </w:r>
      <w:bookmarkEnd w:id="18"/>
      <w:bookmarkEnd w:id="19"/>
      <w:bookmarkEnd w:id="20"/>
      <w:bookmarkEnd w:id="21"/>
    </w:p>
    <w:p w14:paraId="2BD1649F" w14:textId="31DAE7DB" w:rsidR="00151767" w:rsidRPr="004C5667" w:rsidRDefault="00BF15A0" w:rsidP="00EF36DF">
      <w:r>
        <w:t>Defra</w:t>
      </w:r>
      <w:r w:rsidR="00151767" w:rsidRPr="004C5667">
        <w:t xml:space="preserve">’s 25 Year Environment Plan (25 YEP) sets out a strategy for the department’s ambitious long term aims, and the positive differences we will make to the environment of the UK and beyond. Delivering ICF investments to combat climate change is an integral part of delivering </w:t>
      </w:r>
      <w:r>
        <w:t>Defra</w:t>
      </w:r>
      <w:r w:rsidR="00151767" w:rsidRPr="004C5667">
        <w:t>’s objectives on the international stage. The 25 YEP includes a chapter on protecting and improving our global environment which includes commitments to:</w:t>
      </w:r>
    </w:p>
    <w:p w14:paraId="1B0E0354" w14:textId="77777777" w:rsidR="00151767" w:rsidRPr="004C5667" w:rsidRDefault="00151767" w:rsidP="00F93F6C">
      <w:pPr>
        <w:pStyle w:val="ListParagraph"/>
        <w:numPr>
          <w:ilvl w:val="0"/>
          <w:numId w:val="9"/>
        </w:numPr>
      </w:pPr>
      <w:r w:rsidRPr="004C5667">
        <w:lastRenderedPageBreak/>
        <w:t xml:space="preserve">Provide international leadership and lead by example in tackling climate change and protecting and improving international biodiversity. </w:t>
      </w:r>
    </w:p>
    <w:p w14:paraId="03A25FA6" w14:textId="77777777" w:rsidR="00151767" w:rsidRPr="004C5667" w:rsidRDefault="00151767" w:rsidP="00F93F6C">
      <w:pPr>
        <w:pStyle w:val="ListParagraph"/>
        <w:numPr>
          <w:ilvl w:val="0"/>
          <w:numId w:val="9"/>
        </w:numPr>
      </w:pPr>
      <w:r w:rsidRPr="004C5667">
        <w:t xml:space="preserve">Help developing nations protect and improve the environment by providing assistance and supporting disaster planning. </w:t>
      </w:r>
    </w:p>
    <w:p w14:paraId="073C0447" w14:textId="77777777" w:rsidR="00151767" w:rsidRPr="004C5667" w:rsidRDefault="00151767" w:rsidP="00F93F6C">
      <w:pPr>
        <w:pStyle w:val="ListParagraph"/>
        <w:numPr>
          <w:ilvl w:val="0"/>
          <w:numId w:val="9"/>
        </w:numPr>
      </w:pPr>
      <w:r w:rsidRPr="004C5667">
        <w:t xml:space="preserve">Support and protect international forests and sustainable agriculture. </w:t>
      </w:r>
    </w:p>
    <w:p w14:paraId="247CC846" w14:textId="77777777" w:rsidR="00151767" w:rsidRPr="004C5667" w:rsidRDefault="00151767" w:rsidP="00F93F6C">
      <w:pPr>
        <w:pStyle w:val="ListParagraph"/>
        <w:numPr>
          <w:ilvl w:val="0"/>
          <w:numId w:val="9"/>
        </w:numPr>
      </w:pPr>
      <w:r w:rsidRPr="004C5667">
        <w:t>Leave a lighter footprint on the global environment by enhancing sustainability and supporting zero deforestation supply chains.</w:t>
      </w:r>
    </w:p>
    <w:p w14:paraId="621BECE9" w14:textId="77777777" w:rsidR="00151767" w:rsidRPr="004C5667" w:rsidRDefault="00151767" w:rsidP="00EF36DF">
      <w:r w:rsidRPr="004C5667">
        <w:t>Climate change poses a significant threat to agricultural production and food security, whilst also contributing significantly to the problem. It is in the UK’s interests to encourage others to take action on sustainable development that results in reduced emissions to limit the impacts of climate change. The UK agriculture sector is already a world leader in both reducing greenhouse gas emissions and adapting to climate change and we are in a unique position to do this by in providing expertise through climate finance investments.</w:t>
      </w:r>
    </w:p>
    <w:p w14:paraId="1050ED0B" w14:textId="7CC5EBCD" w:rsidR="00151767" w:rsidRPr="004C5667" w:rsidRDefault="00151767" w:rsidP="00EF36DF">
      <w:r w:rsidRPr="004C5667">
        <w:t>Forests support the livelihoods 1.6 billion of the world’s poorest people. Over 350 million poor people depend almost entirely on forests for their subsistence and survival.  Conserving and restoring forests also helps vulnerable communities become more resilient to climate impacts. Some of the most cost-effective climate change adaptation options involve conserving or restoring forests rather than creating new infrastructure.</w:t>
      </w:r>
    </w:p>
    <w:p w14:paraId="5D518D6E" w14:textId="0045078A" w:rsidR="005A1DE2" w:rsidRPr="004C5667" w:rsidRDefault="005A1DE2" w:rsidP="00EF36DF">
      <w:pPr>
        <w:pStyle w:val="Heading3"/>
      </w:pPr>
      <w:r w:rsidRPr="004C5667">
        <w:t>Climate Finance</w:t>
      </w:r>
    </w:p>
    <w:p w14:paraId="5109C520" w14:textId="0B3C48BC" w:rsidR="00144DE6" w:rsidRPr="004C5667" w:rsidRDefault="007E0FF3" w:rsidP="00EF36DF">
      <w:r w:rsidRPr="004C5667">
        <w:t>The UK is on</w:t>
      </w:r>
      <w:r w:rsidR="00D40644" w:rsidRPr="004C5667">
        <w:t>e of the world’s leading donors of</w:t>
      </w:r>
      <w:r w:rsidRPr="004C5667">
        <w:t xml:space="preserve"> climate fin</w:t>
      </w:r>
      <w:r w:rsidR="00475686" w:rsidRPr="004C5667">
        <w:t xml:space="preserve">ance and is playing its part in the </w:t>
      </w:r>
      <w:r w:rsidR="00151767" w:rsidRPr="004C5667">
        <w:t xml:space="preserve">goal to mobilise </w:t>
      </w:r>
      <w:r w:rsidRPr="004C5667">
        <w:t>$100 billion</w:t>
      </w:r>
      <w:r w:rsidR="00E6319E">
        <w:t xml:space="preserve"> per year</w:t>
      </w:r>
      <w:r w:rsidR="00151767" w:rsidRPr="004C5667">
        <w:t xml:space="preserve"> by 2020</w:t>
      </w:r>
      <w:r w:rsidR="00475686" w:rsidRPr="004C5667">
        <w:t>. Alongside others, t</w:t>
      </w:r>
      <w:r w:rsidRPr="004C5667">
        <w:t>he UK will provide at least £5.8bn from the UK aid budget between 2016 and 2021 as climate finance which will continue to provide strong support to help vulnerable developing countries adapt to climate change and take up sustainable, low carbon, resil</w:t>
      </w:r>
      <w:r w:rsidR="00144DE6" w:rsidRPr="004C5667">
        <w:t>ient and inclusive development</w:t>
      </w:r>
      <w:r w:rsidR="00151767" w:rsidRPr="004C5667">
        <w:t>.</w:t>
      </w:r>
    </w:p>
    <w:p w14:paraId="2637EAE9" w14:textId="0A49905C" w:rsidR="00151767" w:rsidRPr="004C5667" w:rsidRDefault="00151767" w:rsidP="00EF36DF">
      <w:r w:rsidRPr="004C5667">
        <w:t>The main objectives of Climate Finance endorsed by the ICAI (Independent Commission for Aid Impact) are:</w:t>
      </w:r>
    </w:p>
    <w:p w14:paraId="4A3BC596" w14:textId="77777777" w:rsidR="00151767" w:rsidRPr="004C5667" w:rsidRDefault="00151767" w:rsidP="00F93F6C">
      <w:pPr>
        <w:pStyle w:val="ListParagraph"/>
        <w:numPr>
          <w:ilvl w:val="0"/>
          <w:numId w:val="4"/>
        </w:numPr>
      </w:pPr>
      <w:r w:rsidRPr="004C5667">
        <w:t>To demonstrate that building low carbon, climate resilient growth at scale is feasible and desirable.</w:t>
      </w:r>
    </w:p>
    <w:p w14:paraId="7217D645" w14:textId="77777777" w:rsidR="00151767" w:rsidRPr="004C5667" w:rsidRDefault="00151767" w:rsidP="00F93F6C">
      <w:pPr>
        <w:pStyle w:val="ListParagraph"/>
        <w:numPr>
          <w:ilvl w:val="0"/>
          <w:numId w:val="4"/>
        </w:numPr>
      </w:pPr>
      <w:r w:rsidRPr="004C5667">
        <w:rPr>
          <w:bCs/>
        </w:rPr>
        <w:t xml:space="preserve">To support International Climate Negotiations </w:t>
      </w:r>
      <w:r w:rsidRPr="004C5667">
        <w:t>particularly through providing support for adaptation in poor countries and building an effective international architecture.</w:t>
      </w:r>
    </w:p>
    <w:p w14:paraId="453B9D67" w14:textId="28C5E6D0" w:rsidR="00151767" w:rsidRPr="004C5667" w:rsidRDefault="00151767" w:rsidP="00F93F6C">
      <w:pPr>
        <w:pStyle w:val="ListParagraph"/>
        <w:numPr>
          <w:ilvl w:val="0"/>
          <w:numId w:val="4"/>
        </w:numPr>
      </w:pPr>
      <w:r w:rsidRPr="004C5667">
        <w:t xml:space="preserve">To recognise that climate change offers real opportunities to </w:t>
      </w:r>
      <w:r w:rsidRPr="004C5667">
        <w:rPr>
          <w:bCs/>
        </w:rPr>
        <w:t xml:space="preserve">drive innovation and new ideas for action, and create new partnerships with the private sector </w:t>
      </w:r>
      <w:r w:rsidRPr="004C5667">
        <w:t>to support low carbon climate resilient growth.</w:t>
      </w:r>
    </w:p>
    <w:p w14:paraId="66028DB6" w14:textId="5AE48B38" w:rsidR="007E0FF3" w:rsidRPr="004C5667" w:rsidRDefault="001E4770" w:rsidP="00EF36DF">
      <w:r w:rsidRPr="004C5667">
        <w:t>More</w:t>
      </w:r>
      <w:r w:rsidR="00151767" w:rsidRPr="004C5667">
        <w:t xml:space="preserve"> specifically</w:t>
      </w:r>
      <w:r w:rsidRPr="004C5667">
        <w:t xml:space="preserve">, </w:t>
      </w:r>
      <w:r w:rsidR="00151767" w:rsidRPr="004C5667">
        <w:t>International Climate Finance (I</w:t>
      </w:r>
      <w:r w:rsidR="00475686" w:rsidRPr="004C5667">
        <w:t>CF</w:t>
      </w:r>
      <w:r w:rsidR="00151767" w:rsidRPr="004C5667">
        <w:t>)</w:t>
      </w:r>
      <w:r w:rsidR="007E0FF3" w:rsidRPr="004C5667">
        <w:t xml:space="preserve"> is the primary mechanism </w:t>
      </w:r>
      <w:r w:rsidRPr="004C5667">
        <w:t>by which the UK meets</w:t>
      </w:r>
      <w:r w:rsidR="007E0FF3" w:rsidRPr="004C5667">
        <w:t xml:space="preserve"> </w:t>
      </w:r>
      <w:r w:rsidRPr="004C5667">
        <w:t xml:space="preserve">its </w:t>
      </w:r>
      <w:r w:rsidR="007E0FF3" w:rsidRPr="004C5667">
        <w:t>international fo</w:t>
      </w:r>
      <w:r w:rsidR="00D40644" w:rsidRPr="004C5667">
        <w:t>rest</w:t>
      </w:r>
      <w:r w:rsidRPr="004C5667">
        <w:t xml:space="preserve"> commitments, and all projects within </w:t>
      </w:r>
      <w:r w:rsidR="00BF15A0">
        <w:t>Defra</w:t>
      </w:r>
      <w:r w:rsidRPr="004C5667">
        <w:t xml:space="preserve">’s (ICF) portfolio </w:t>
      </w:r>
      <w:r w:rsidR="007E0FF3" w:rsidRPr="004C5667">
        <w:t>contribute to the following commitments:</w:t>
      </w:r>
    </w:p>
    <w:p w14:paraId="0B035EE1" w14:textId="1A7C1855" w:rsidR="007E0FF3" w:rsidRPr="004C5667" w:rsidRDefault="001E4770" w:rsidP="00F93F6C">
      <w:pPr>
        <w:pStyle w:val="ListParagraph"/>
        <w:numPr>
          <w:ilvl w:val="0"/>
          <w:numId w:val="5"/>
        </w:numPr>
      </w:pPr>
      <w:r w:rsidRPr="004C5667">
        <w:t xml:space="preserve">Playing </w:t>
      </w:r>
      <w:r w:rsidR="007E0FF3" w:rsidRPr="004C5667">
        <w:t>a leading role in supporting developing countries tackle the drivers of deforestation. This was reiterated in the New York Declaration on Forests in 2014 which committed to halve the rate of global deforestation by 2020 and halt it by 2030.</w:t>
      </w:r>
    </w:p>
    <w:p w14:paraId="1B5B9676" w14:textId="3FF858E9" w:rsidR="00364F61" w:rsidRPr="004C5667" w:rsidRDefault="001E4770" w:rsidP="00F93F6C">
      <w:pPr>
        <w:pStyle w:val="ListParagraph"/>
        <w:numPr>
          <w:ilvl w:val="0"/>
          <w:numId w:val="5"/>
        </w:numPr>
      </w:pPr>
      <w:r w:rsidRPr="004C5667">
        <w:t xml:space="preserve">Working </w:t>
      </w:r>
      <w:r w:rsidR="007E0FF3" w:rsidRPr="004C5667">
        <w:t>alongside G</w:t>
      </w:r>
      <w:r w:rsidR="007E0FF3" w:rsidRPr="004C5667">
        <w:rPr>
          <w:shd w:val="clear" w:color="auto" w:fill="FFFFFF"/>
        </w:rPr>
        <w:t xml:space="preserve">ermany and Norway, </w:t>
      </w:r>
      <w:r w:rsidRPr="004C5667">
        <w:rPr>
          <w:shd w:val="clear" w:color="auto" w:fill="FFFFFF"/>
        </w:rPr>
        <w:t>to invest</w:t>
      </w:r>
      <w:r w:rsidR="007E0FF3" w:rsidRPr="004C5667">
        <w:rPr>
          <w:shd w:val="clear" w:color="auto" w:fill="FFFFFF"/>
        </w:rPr>
        <w:t xml:space="preserve"> $5 billion between 2015 - 2020 to support countries that are reducing emissions from deforestation and forest degradation.</w:t>
      </w:r>
      <w:r w:rsidR="00364F61" w:rsidRPr="004C5667">
        <w:rPr>
          <w:shd w:val="clear" w:color="auto" w:fill="FFFFFF"/>
        </w:rPr>
        <w:t xml:space="preserve"> </w:t>
      </w:r>
      <w:r w:rsidRPr="004C5667">
        <w:t>ICF</w:t>
      </w:r>
      <w:r w:rsidR="007E0FF3" w:rsidRPr="004C5667">
        <w:t xml:space="preserve"> represents </w:t>
      </w:r>
      <w:r w:rsidR="007E0FF3" w:rsidRPr="004C5667">
        <w:lastRenderedPageBreak/>
        <w:t>the</w:t>
      </w:r>
      <w:r w:rsidRPr="004C5667">
        <w:t xml:space="preserve"> UK’s contribution to this $5 billion</w:t>
      </w:r>
      <w:r w:rsidR="007E0FF3" w:rsidRPr="004C5667">
        <w:t>, with approximately 20% of ICF funding a</w:t>
      </w:r>
      <w:r w:rsidR="00364F61" w:rsidRPr="004C5667">
        <w:t>imed at deforestation projects.</w:t>
      </w:r>
    </w:p>
    <w:p w14:paraId="7D392067" w14:textId="5BE7BD40" w:rsidR="007E0FF3" w:rsidRPr="004C5667" w:rsidRDefault="001E4770" w:rsidP="00EF36DF">
      <w:r w:rsidRPr="004C5667">
        <w:t>ICF</w:t>
      </w:r>
      <w:r w:rsidR="007E0FF3" w:rsidRPr="004C5667">
        <w:t xml:space="preserve"> </w:t>
      </w:r>
      <w:r w:rsidRPr="004C5667">
        <w:t xml:space="preserve">also </w:t>
      </w:r>
      <w:r w:rsidR="007E0FF3" w:rsidRPr="004C5667">
        <w:t>aims to support international poverty eradication by:</w:t>
      </w:r>
    </w:p>
    <w:p w14:paraId="139CF7DF" w14:textId="77777777" w:rsidR="007E0FF3" w:rsidRPr="004C5667" w:rsidRDefault="007E0FF3" w:rsidP="00F93F6C">
      <w:pPr>
        <w:pStyle w:val="ListParagraph"/>
        <w:numPr>
          <w:ilvl w:val="0"/>
          <w:numId w:val="6"/>
        </w:numPr>
      </w:pPr>
      <w:r w:rsidRPr="004C5667">
        <w:t>Helping countries, communities and individuals to manage risk and build their resilience to the effects of climate change;</w:t>
      </w:r>
    </w:p>
    <w:p w14:paraId="07DDE195" w14:textId="77777777" w:rsidR="007E0FF3" w:rsidRPr="004C5667" w:rsidRDefault="007E0FF3" w:rsidP="00F93F6C">
      <w:pPr>
        <w:pStyle w:val="ListParagraph"/>
        <w:numPr>
          <w:ilvl w:val="0"/>
          <w:numId w:val="6"/>
        </w:numPr>
      </w:pPr>
      <w:r w:rsidRPr="004C5667">
        <w:t>Helping to drive sustainable and inclusive economic development which prevents emissions now or in years to come by supporting countries shift to cleaner, low carbon approaches; and</w:t>
      </w:r>
    </w:p>
    <w:p w14:paraId="6623D41D" w14:textId="77777777" w:rsidR="007E0FF3" w:rsidRPr="004C5667" w:rsidRDefault="007E0FF3" w:rsidP="00F93F6C">
      <w:pPr>
        <w:pStyle w:val="ListParagraph"/>
        <w:numPr>
          <w:ilvl w:val="0"/>
          <w:numId w:val="6"/>
        </w:numPr>
      </w:pPr>
      <w:r w:rsidRPr="004C5667">
        <w:t>Promoting good governance of, and equitable access to, natural resources such as land, water, forests and ecosystems, and tackling causes of insecurity and conflict</w:t>
      </w:r>
    </w:p>
    <w:p w14:paraId="07B54FAE" w14:textId="2D03F570" w:rsidR="008D11BA" w:rsidRPr="004C5667" w:rsidRDefault="008D11BA" w:rsidP="00EF36DF">
      <w:pPr>
        <w:pStyle w:val="Heading3"/>
      </w:pPr>
      <w:r w:rsidRPr="004C5667">
        <w:t>ICF’s Strategic Objectives</w:t>
      </w:r>
    </w:p>
    <w:p w14:paraId="08BC09E5" w14:textId="7861FF91" w:rsidR="00731336" w:rsidRPr="004C5667" w:rsidRDefault="00731336" w:rsidP="00EF36DF">
      <w:r w:rsidRPr="004C5667">
        <w:t xml:space="preserve">ICF is helping poor countries adapt to climate change, supporting the creation of jobs and livelihoods to reduce poverty, reducing greenhouse gas emissions and promoting sustainable economic growth. It focuses on three key areas: </w:t>
      </w:r>
    </w:p>
    <w:p w14:paraId="30D440FA" w14:textId="44866559" w:rsidR="00731336" w:rsidRPr="004C5667" w:rsidRDefault="00731336" w:rsidP="00F93F6C">
      <w:pPr>
        <w:pStyle w:val="ListParagraph"/>
        <w:numPr>
          <w:ilvl w:val="0"/>
          <w:numId w:val="10"/>
        </w:numPr>
      </w:pPr>
      <w:r w:rsidRPr="004C5667">
        <w:t xml:space="preserve">Supporting growth and trade that uses natural resources in a sustainable way, building up rather than depleting assets – such as forests – for the future; </w:t>
      </w:r>
    </w:p>
    <w:p w14:paraId="59CD85CB" w14:textId="13816219" w:rsidR="00731336" w:rsidRPr="004C5667" w:rsidRDefault="00731336" w:rsidP="00F93F6C">
      <w:pPr>
        <w:pStyle w:val="ListParagraph"/>
        <w:numPr>
          <w:ilvl w:val="0"/>
          <w:numId w:val="10"/>
        </w:numPr>
      </w:pPr>
      <w:r w:rsidRPr="004C5667">
        <w:t xml:space="preserve">Building resilience of people, businesses and economies to increases in weather-related disasters or changes in climate trends; </w:t>
      </w:r>
    </w:p>
    <w:p w14:paraId="613CEC6B" w14:textId="46BB829A" w:rsidR="00731336" w:rsidRPr="004C5667" w:rsidRDefault="00731336" w:rsidP="00F93F6C">
      <w:pPr>
        <w:pStyle w:val="ListParagraph"/>
        <w:numPr>
          <w:ilvl w:val="0"/>
          <w:numId w:val="10"/>
        </w:numPr>
      </w:pPr>
      <w:r w:rsidRPr="004C5667">
        <w:t>Low-carbon growth, which exploits the economic benefits of clean energy technologies and helps poor people to access clean energy.</w:t>
      </w:r>
    </w:p>
    <w:p w14:paraId="0B6B6157" w14:textId="72CF31CA" w:rsidR="00731336" w:rsidRPr="004C5667" w:rsidRDefault="005B3763" w:rsidP="00EF36DF">
      <w:pPr>
        <w:ind w:left="360"/>
      </w:pPr>
      <w:r w:rsidRPr="004C5667">
        <w:rPr>
          <w:noProof/>
          <w:u w:val="single"/>
        </w:rPr>
        <w:drawing>
          <wp:anchor distT="0" distB="0" distL="114300" distR="114300" simplePos="0" relativeHeight="251658240" behindDoc="1" locked="0" layoutInCell="1" allowOverlap="1" wp14:anchorId="60E85A5F" wp14:editId="0D677F1C">
            <wp:simplePos x="0" y="0"/>
            <wp:positionH relativeFrom="margin">
              <wp:align>center</wp:align>
            </wp:positionH>
            <wp:positionV relativeFrom="paragraph">
              <wp:posOffset>612609</wp:posOffset>
            </wp:positionV>
            <wp:extent cx="4881880" cy="2386965"/>
            <wp:effectExtent l="0" t="0" r="0" b="0"/>
            <wp:wrapSquare wrapText="bothSides"/>
            <wp:docPr id="2" name="Picture 2" descr="icf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f pie"/>
                    <pic:cNvPicPr>
                      <a:picLocks noChangeAspect="1" noChangeArrowheads="1"/>
                    </pic:cNvPicPr>
                  </pic:nvPicPr>
                  <pic:blipFill>
                    <a:blip r:embed="rId16">
                      <a:extLst>
                        <a:ext uri="{28A0092B-C50C-407E-A947-70E740481C1C}">
                          <a14:useLocalDpi xmlns:a14="http://schemas.microsoft.com/office/drawing/2010/main" val="0"/>
                        </a:ext>
                      </a:extLst>
                    </a:blip>
                    <a:srcRect l="-41870" r="-43105"/>
                    <a:stretch>
                      <a:fillRect/>
                    </a:stretch>
                  </pic:blipFill>
                  <pic:spPr bwMode="auto">
                    <a:xfrm>
                      <a:off x="0" y="0"/>
                      <a:ext cx="4881880" cy="238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336" w:rsidRPr="004C5667">
        <w:t xml:space="preserve">The ICF is delivered by three UK government departments, </w:t>
      </w:r>
      <w:proofErr w:type="spellStart"/>
      <w:r w:rsidR="00731336" w:rsidRPr="004C5667">
        <w:t>DfID</w:t>
      </w:r>
      <w:proofErr w:type="spellEnd"/>
      <w:r w:rsidR="00731336" w:rsidRPr="004C5667">
        <w:t xml:space="preserve">, BEIS and </w:t>
      </w:r>
      <w:r w:rsidR="00BF15A0">
        <w:t>Defra</w:t>
      </w:r>
      <w:r w:rsidR="00731336" w:rsidRPr="004C5667">
        <w:t xml:space="preserve">, with </w:t>
      </w:r>
      <w:proofErr w:type="spellStart"/>
      <w:r w:rsidR="00731336" w:rsidRPr="004C5667">
        <w:t>DfID</w:t>
      </w:r>
      <w:proofErr w:type="spellEnd"/>
      <w:r w:rsidR="00731336" w:rsidRPr="004C5667">
        <w:t xml:space="preserve"> and BEIS delivery a majority of the aid.</w:t>
      </w:r>
    </w:p>
    <w:p w14:paraId="7F3983F6" w14:textId="460AB1C2" w:rsidR="00151767" w:rsidRPr="004C5667" w:rsidRDefault="00151767" w:rsidP="00EF36DF">
      <w:pPr>
        <w:ind w:left="360"/>
      </w:pPr>
    </w:p>
    <w:p w14:paraId="351D747D" w14:textId="77777777" w:rsidR="00151767" w:rsidRPr="004C5667" w:rsidRDefault="00151767" w:rsidP="00EF36DF">
      <w:pPr>
        <w:ind w:left="360"/>
      </w:pPr>
    </w:p>
    <w:p w14:paraId="50CA2B0C" w14:textId="77777777" w:rsidR="00151767" w:rsidRPr="004C5667" w:rsidRDefault="00151767" w:rsidP="00EF36DF">
      <w:pPr>
        <w:ind w:left="360"/>
      </w:pPr>
    </w:p>
    <w:p w14:paraId="76F25353" w14:textId="77777777" w:rsidR="00151767" w:rsidRPr="004C5667" w:rsidRDefault="00151767" w:rsidP="00EF36DF">
      <w:pPr>
        <w:spacing w:before="240"/>
      </w:pPr>
    </w:p>
    <w:p w14:paraId="41C68BD8" w14:textId="77777777" w:rsidR="00151767" w:rsidRPr="004C5667" w:rsidRDefault="00151767" w:rsidP="00EF36DF">
      <w:pPr>
        <w:spacing w:before="240"/>
      </w:pPr>
    </w:p>
    <w:p w14:paraId="42E9004B" w14:textId="77777777" w:rsidR="00151767" w:rsidRPr="004C5667" w:rsidRDefault="00151767" w:rsidP="00EF36DF">
      <w:pPr>
        <w:spacing w:before="240"/>
      </w:pPr>
    </w:p>
    <w:p w14:paraId="44E34E17" w14:textId="77777777" w:rsidR="00151767" w:rsidRPr="004C5667" w:rsidRDefault="00151767" w:rsidP="00EF36DF">
      <w:pPr>
        <w:spacing w:before="240"/>
      </w:pPr>
    </w:p>
    <w:p w14:paraId="649F1C8C" w14:textId="11B5FAE9" w:rsidR="001E4E03" w:rsidRPr="004C5667" w:rsidRDefault="00DF6930" w:rsidP="00EF36DF">
      <w:pPr>
        <w:spacing w:before="240"/>
        <w:jc w:val="center"/>
      </w:pPr>
      <w:r>
        <w:rPr>
          <w:noProof/>
        </w:rPr>
        <mc:AlternateContent>
          <mc:Choice Requires="wps">
            <w:drawing>
              <wp:inline distT="0" distB="0" distL="0" distR="0" wp14:anchorId="593B44AB" wp14:editId="0079ECE2">
                <wp:extent cx="4278702" cy="635"/>
                <wp:effectExtent l="0" t="0" r="7620" b="6985"/>
                <wp:docPr id="12" name="Text Box 12"/>
                <wp:cNvGraphicFramePr/>
                <a:graphic xmlns:a="http://schemas.openxmlformats.org/drawingml/2006/main">
                  <a:graphicData uri="http://schemas.microsoft.com/office/word/2010/wordprocessingShape">
                    <wps:wsp>
                      <wps:cNvSpPr txBox="1"/>
                      <wps:spPr>
                        <a:xfrm>
                          <a:off x="0" y="0"/>
                          <a:ext cx="4278702" cy="635"/>
                        </a:xfrm>
                        <a:prstGeom prst="rect">
                          <a:avLst/>
                        </a:prstGeom>
                        <a:solidFill>
                          <a:prstClr val="white"/>
                        </a:solidFill>
                        <a:ln>
                          <a:noFill/>
                        </a:ln>
                        <a:effectLst/>
                      </wps:spPr>
                      <wps:txbx>
                        <w:txbxContent>
                          <w:p w14:paraId="18AF006F" w14:textId="4F0B65F0" w:rsidR="009D672A" w:rsidRPr="00835728" w:rsidRDefault="009D672A" w:rsidP="00DF6930">
                            <w:pPr>
                              <w:pStyle w:val="Caption"/>
                              <w:jc w:val="center"/>
                              <w:rPr>
                                <w:noProof/>
                                <w:sz w:val="22"/>
                                <w:u w:val="single"/>
                              </w:rPr>
                            </w:pPr>
                            <w:bookmarkStart w:id="22" w:name="_Toc523990655"/>
                            <w:r w:rsidRPr="00835728">
                              <w:rPr>
                                <w:sz w:val="22"/>
                              </w:rPr>
                              <w:t xml:space="preserve">Figure </w:t>
                            </w:r>
                            <w:r w:rsidRPr="00835728">
                              <w:rPr>
                                <w:sz w:val="22"/>
                              </w:rPr>
                              <w:fldChar w:fldCharType="begin"/>
                            </w:r>
                            <w:r w:rsidRPr="00835728">
                              <w:rPr>
                                <w:sz w:val="22"/>
                              </w:rPr>
                              <w:instrText xml:space="preserve"> SEQ Figure \* ARABIC </w:instrText>
                            </w:r>
                            <w:r w:rsidRPr="00835728">
                              <w:rPr>
                                <w:sz w:val="22"/>
                              </w:rPr>
                              <w:fldChar w:fldCharType="separate"/>
                            </w:r>
                            <w:r>
                              <w:rPr>
                                <w:noProof/>
                                <w:sz w:val="22"/>
                              </w:rPr>
                              <w:t>1</w:t>
                            </w:r>
                            <w:r w:rsidRPr="00835728">
                              <w:rPr>
                                <w:sz w:val="22"/>
                              </w:rPr>
                              <w:fldChar w:fldCharType="end"/>
                            </w:r>
                            <w:r w:rsidRPr="00835728">
                              <w:rPr>
                                <w:sz w:val="22"/>
                              </w:rPr>
                              <w:t xml:space="preserve">: </w:t>
                            </w:r>
                            <w:r w:rsidRPr="00835728">
                              <w:rPr>
                                <w:i w:val="0"/>
                                <w:sz w:val="22"/>
                              </w:rPr>
                              <w:t>Delivery niches of the three ICF departments</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93B44AB" id="Text Box 12" o:spid="_x0000_s1027" type="#_x0000_t202" style="width:336.9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" stroked="f">
                <v:textbox style="mso-fit-shape-to-text:t" inset="0,0,0,0">
                  <w:txbxContent>
                    <w:p w14:paraId="18AF006F" w14:textId="4F0B65F0" w:rsidR="009D672A" w:rsidRPr="00835728" w:rsidRDefault="009D672A" w:rsidP="00DF6930">
                      <w:pPr>
                        <w:pStyle w:val="Caption"/>
                        <w:jc w:val="center"/>
                        <w:rPr>
                          <w:noProof/>
                          <w:sz w:val="22"/>
                          <w:u w:val="single"/>
                        </w:rPr>
                      </w:pPr>
                      <w:bookmarkStart w:id="23" w:name="_Toc523990655"/>
                      <w:r w:rsidRPr="00835728">
                        <w:rPr>
                          <w:sz w:val="22"/>
                        </w:rPr>
                        <w:t xml:space="preserve">Figure </w:t>
                      </w:r>
                      <w:r w:rsidRPr="00835728">
                        <w:rPr>
                          <w:sz w:val="22"/>
                        </w:rPr>
                        <w:fldChar w:fldCharType="begin"/>
                      </w:r>
                      <w:r w:rsidRPr="00835728">
                        <w:rPr>
                          <w:sz w:val="22"/>
                        </w:rPr>
                        <w:instrText xml:space="preserve"> SEQ Figure \* ARABIC </w:instrText>
                      </w:r>
                      <w:r w:rsidRPr="00835728">
                        <w:rPr>
                          <w:sz w:val="22"/>
                        </w:rPr>
                        <w:fldChar w:fldCharType="separate"/>
                      </w:r>
                      <w:r>
                        <w:rPr>
                          <w:noProof/>
                          <w:sz w:val="22"/>
                        </w:rPr>
                        <w:t>1</w:t>
                      </w:r>
                      <w:r w:rsidRPr="00835728">
                        <w:rPr>
                          <w:sz w:val="22"/>
                        </w:rPr>
                        <w:fldChar w:fldCharType="end"/>
                      </w:r>
                      <w:r w:rsidRPr="00835728">
                        <w:rPr>
                          <w:sz w:val="22"/>
                        </w:rPr>
                        <w:t xml:space="preserve">: </w:t>
                      </w:r>
                      <w:r w:rsidRPr="00835728">
                        <w:rPr>
                          <w:i w:val="0"/>
                          <w:sz w:val="22"/>
                        </w:rPr>
                        <w:t>Delivery niches of the three ICF departments</w:t>
                      </w:r>
                      <w:bookmarkEnd w:id="23"/>
                    </w:p>
                  </w:txbxContent>
                </v:textbox>
                <w10:anchorlock/>
              </v:shape>
            </w:pict>
          </mc:Fallback>
        </mc:AlternateContent>
      </w:r>
    </w:p>
    <w:p w14:paraId="34FBD161" w14:textId="41C7B9D0" w:rsidR="008D11BA" w:rsidRPr="004C5667" w:rsidRDefault="00BF15A0" w:rsidP="00EF36DF">
      <w:pPr>
        <w:spacing w:before="240"/>
      </w:pPr>
      <w:r>
        <w:t>Defra</w:t>
      </w:r>
      <w:r w:rsidR="00731336" w:rsidRPr="004C5667">
        <w:t>’s contribution to the ICF enables the UK to meet its international commitments to support developing countries protect the world’s most biodiverse forests; promote sustainable livelihoods through improved land use and low carbon agriculture; and contribute to global food security and resilience to climate change.</w:t>
      </w:r>
    </w:p>
    <w:p w14:paraId="0D84D116" w14:textId="227445F0" w:rsidR="00731336" w:rsidRPr="004C5667" w:rsidRDefault="00BF15A0" w:rsidP="00EF36DF">
      <w:r>
        <w:lastRenderedPageBreak/>
        <w:t>Defra</w:t>
      </w:r>
      <w:r w:rsidR="00731336" w:rsidRPr="004C5667">
        <w:t xml:space="preserve">’s engagement ensures that ICF projects balance the objectives of BEIS (large scale climate mitigation) and DFID (poverty alleviation) with </w:t>
      </w:r>
      <w:r>
        <w:t>Defra</w:t>
      </w:r>
      <w:r w:rsidR="00731336" w:rsidRPr="004C5667">
        <w:t xml:space="preserve"> objectives on sustainable natural resource management, food security and biodiversity. To achieve this </w:t>
      </w:r>
      <w:r>
        <w:t>Defra</w:t>
      </w:r>
      <w:r w:rsidR="00731336" w:rsidRPr="004C5667">
        <w:t xml:space="preserve"> secured a £210m share of the £5.8 billion in climate finance for 2016-2021. </w:t>
      </w:r>
      <w:r>
        <w:t>Defra</w:t>
      </w:r>
      <w:r w:rsidR="00731336" w:rsidRPr="004C5667">
        <w:t xml:space="preserve"> expertise and capacity is essential to achieving these goals. </w:t>
      </w:r>
      <w:r>
        <w:rPr>
          <w:rFonts w:eastAsia="Times New Roman"/>
          <w:color w:val="000000"/>
        </w:rPr>
        <w:t>Defra</w:t>
      </w:r>
      <w:r w:rsidR="00731336" w:rsidRPr="004C5667">
        <w:rPr>
          <w:rFonts w:eastAsia="Times New Roman"/>
          <w:color w:val="000000"/>
        </w:rPr>
        <w:t xml:space="preserve"> has committed to invest in International Climate Finance projects that will:</w:t>
      </w:r>
    </w:p>
    <w:p w14:paraId="3B55EBCB" w14:textId="77777777" w:rsidR="00731336" w:rsidRPr="004C5667" w:rsidRDefault="00731336" w:rsidP="00F93F6C">
      <w:pPr>
        <w:pStyle w:val="ListParagraph"/>
        <w:numPr>
          <w:ilvl w:val="0"/>
          <w:numId w:val="2"/>
        </w:numPr>
      </w:pPr>
      <w:r w:rsidRPr="004C5667">
        <w:t>Secure biodiversity benefits;</w:t>
      </w:r>
    </w:p>
    <w:p w14:paraId="6A43AA6D" w14:textId="77777777" w:rsidR="00731336" w:rsidRPr="004C5667" w:rsidRDefault="00731336" w:rsidP="00F93F6C">
      <w:pPr>
        <w:pStyle w:val="ListParagraph"/>
        <w:numPr>
          <w:ilvl w:val="0"/>
          <w:numId w:val="2"/>
        </w:numPr>
      </w:pPr>
      <w:r w:rsidRPr="004C5667">
        <w:t>Support sustainable agriculture and global food security;</w:t>
      </w:r>
    </w:p>
    <w:p w14:paraId="40EE1614" w14:textId="77777777" w:rsidR="00731336" w:rsidRPr="004C5667" w:rsidRDefault="00731336" w:rsidP="00F93F6C">
      <w:pPr>
        <w:pStyle w:val="ListParagraph"/>
        <w:numPr>
          <w:ilvl w:val="0"/>
          <w:numId w:val="2"/>
        </w:numPr>
      </w:pPr>
      <w:r w:rsidRPr="004C5667">
        <w:t>Maximise the power of the private sector; and</w:t>
      </w:r>
    </w:p>
    <w:p w14:paraId="08D1C81F" w14:textId="77777777" w:rsidR="00731336" w:rsidRPr="004C5667" w:rsidRDefault="00731336" w:rsidP="00F93F6C">
      <w:pPr>
        <w:pStyle w:val="ListParagraph"/>
        <w:numPr>
          <w:ilvl w:val="0"/>
          <w:numId w:val="2"/>
        </w:numPr>
      </w:pPr>
      <w:r w:rsidRPr="004C5667">
        <w:t>Contribute to research and development.</w:t>
      </w:r>
    </w:p>
    <w:p w14:paraId="72F71258" w14:textId="77777777" w:rsidR="00731336" w:rsidRDefault="00731336" w:rsidP="00F93F6C">
      <w:pPr>
        <w:pStyle w:val="ListParagraph"/>
        <w:numPr>
          <w:ilvl w:val="0"/>
          <w:numId w:val="2"/>
        </w:numPr>
      </w:pPr>
      <w:bookmarkStart w:id="24" w:name="_Toc505691911"/>
      <w:bookmarkStart w:id="25" w:name="_Toc505693246"/>
      <w:r w:rsidRPr="004C5667">
        <w:t>Reduce the impact of climate change on the environment</w:t>
      </w:r>
      <w:bookmarkEnd w:id="24"/>
      <w:bookmarkEnd w:id="25"/>
    </w:p>
    <w:p w14:paraId="7FD264F3" w14:textId="3B483824" w:rsidR="003D6AAC" w:rsidRDefault="003D6AAC" w:rsidP="003D6AAC">
      <w:r>
        <w:t xml:space="preserve">Any intervention delivered through ICF should consider the impact on gender equality and compliance with domestic and international law particularly in relation to counter terrorism; in the context of </w:t>
      </w:r>
      <w:proofErr w:type="spellStart"/>
      <w:r>
        <w:t>DfID</w:t>
      </w:r>
      <w:proofErr w:type="spellEnd"/>
      <w:r>
        <w:t xml:space="preserve"> principles on these. Financing of terrorism is a serious threat even though instances of aid diversion are rare.</w:t>
      </w:r>
    </w:p>
    <w:p w14:paraId="4FF42024" w14:textId="77779C78" w:rsidR="00151767" w:rsidRPr="004C5667" w:rsidRDefault="00151767" w:rsidP="00EF36DF">
      <w:pPr>
        <w:pStyle w:val="Heading3"/>
      </w:pPr>
      <w:r w:rsidRPr="004C5667">
        <w:t>ICF Results 2018</w:t>
      </w:r>
    </w:p>
    <w:p w14:paraId="1C4472FA" w14:textId="34517A5B" w:rsidR="00151767" w:rsidRPr="004C5667" w:rsidRDefault="00151767" w:rsidP="00EF36DF">
      <w:pPr>
        <w:spacing w:after="0"/>
      </w:pPr>
      <w:r w:rsidRPr="004C5667">
        <w:t xml:space="preserve">Across HMG </w:t>
      </w:r>
      <w:bookmarkStart w:id="26" w:name="_Toc505691912"/>
      <w:bookmarkStart w:id="27" w:name="_Toc505693247"/>
      <w:r w:rsidRPr="004C5667">
        <w:t>there is a</w:t>
      </w:r>
      <w:r w:rsidR="00540A02" w:rsidRPr="004C5667">
        <w:t xml:space="preserve"> commitment</w:t>
      </w:r>
      <w:r w:rsidRPr="004C5667">
        <w:t xml:space="preserve"> to understanding and measuring the impact of </w:t>
      </w:r>
      <w:r w:rsidR="00540A02" w:rsidRPr="004C5667">
        <w:t>ICF</w:t>
      </w:r>
      <w:r w:rsidRPr="004C5667">
        <w:t xml:space="preserve"> investments, and a set of key results</w:t>
      </w:r>
      <w:r w:rsidR="00540A02" w:rsidRPr="004C5667">
        <w:t xml:space="preserve"> are published annually; summary </w:t>
      </w:r>
      <w:r w:rsidR="0019033C" w:rsidRPr="004C5667">
        <w:t xml:space="preserve">of the 2018 results </w:t>
      </w:r>
      <w:r w:rsidR="00540A02" w:rsidRPr="004C5667">
        <w:t>is</w:t>
      </w:r>
      <w:r w:rsidRPr="004C5667">
        <w:t xml:space="preserve"> below.</w:t>
      </w:r>
    </w:p>
    <w:p w14:paraId="7096C4EC" w14:textId="791C6751" w:rsidR="00A60D8F" w:rsidRDefault="00A60D8F" w:rsidP="00DF6930">
      <w:pPr>
        <w:keepNext/>
        <w:jc w:val="center"/>
      </w:pPr>
      <w:r w:rsidRPr="00A60D8F">
        <w:rPr>
          <w:noProof/>
        </w:rPr>
        <w:drawing>
          <wp:anchor distT="0" distB="0" distL="114300" distR="114300" simplePos="0" relativeHeight="251658246" behindDoc="0" locked="0" layoutInCell="1" allowOverlap="1" wp14:anchorId="7B3A5028" wp14:editId="58B8C7B4">
            <wp:simplePos x="0" y="0"/>
            <wp:positionH relativeFrom="margin">
              <wp:align>center</wp:align>
            </wp:positionH>
            <wp:positionV relativeFrom="paragraph">
              <wp:posOffset>22802</wp:posOffset>
            </wp:positionV>
            <wp:extent cx="4123055" cy="2548255"/>
            <wp:effectExtent l="0" t="0" r="0" b="4445"/>
            <wp:wrapNone/>
            <wp:docPr id="20" name="Picture 3" descr="Impact of our investments, key result"/>
            <wp:cNvGraphicFramePr/>
            <a:graphic xmlns:a="http://schemas.openxmlformats.org/drawingml/2006/main">
              <a:graphicData uri="http://schemas.openxmlformats.org/drawingml/2006/picture">
                <pic:pic xmlns:pic="http://schemas.openxmlformats.org/drawingml/2006/picture">
                  <pic:nvPicPr>
                    <pic:cNvPr id="4" name="Picture 3" descr="Impact of our investments, key result"/>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3055" cy="2548255"/>
                    </a:xfrm>
                    <a:prstGeom prst="rect">
                      <a:avLst/>
                    </a:prstGeom>
                    <a:noFill/>
                    <a:ln>
                      <a:noFill/>
                    </a:ln>
                  </pic:spPr>
                </pic:pic>
              </a:graphicData>
            </a:graphic>
          </wp:anchor>
        </w:drawing>
      </w:r>
    </w:p>
    <w:p w14:paraId="2DCA7787" w14:textId="0D75BFA4" w:rsidR="00A60D8F" w:rsidRDefault="00A60D8F" w:rsidP="00DF6930">
      <w:pPr>
        <w:keepNext/>
        <w:jc w:val="center"/>
      </w:pPr>
    </w:p>
    <w:p w14:paraId="68DA15E5" w14:textId="1001D88C" w:rsidR="00A60D8F" w:rsidRDefault="00A60D8F" w:rsidP="00DF6930">
      <w:pPr>
        <w:keepNext/>
        <w:jc w:val="center"/>
      </w:pPr>
    </w:p>
    <w:p w14:paraId="1E2F5C9B" w14:textId="57868897" w:rsidR="00A60D8F" w:rsidRDefault="00A60D8F" w:rsidP="00DF6930">
      <w:pPr>
        <w:keepNext/>
        <w:jc w:val="center"/>
      </w:pPr>
    </w:p>
    <w:p w14:paraId="1A0077E8" w14:textId="76AF0F9A" w:rsidR="00A60D8F" w:rsidRDefault="00A60D8F" w:rsidP="00DF6930">
      <w:pPr>
        <w:keepNext/>
        <w:jc w:val="center"/>
      </w:pPr>
    </w:p>
    <w:p w14:paraId="1F04D1B4" w14:textId="32CB7E9A" w:rsidR="00A60D8F" w:rsidRDefault="00A60D8F" w:rsidP="00DF6930">
      <w:pPr>
        <w:keepNext/>
        <w:jc w:val="center"/>
      </w:pPr>
      <w:r w:rsidRPr="00A60D8F">
        <w:rPr>
          <w:noProof/>
        </w:rPr>
        <mc:AlternateContent>
          <mc:Choice Requires="wps">
            <w:drawing>
              <wp:anchor distT="0" distB="0" distL="114300" distR="114300" simplePos="0" relativeHeight="251658248" behindDoc="0" locked="0" layoutInCell="1" allowOverlap="1" wp14:anchorId="423CE137" wp14:editId="01B37BBB">
                <wp:simplePos x="0" y="0"/>
                <wp:positionH relativeFrom="margin">
                  <wp:posOffset>4039235</wp:posOffset>
                </wp:positionH>
                <wp:positionV relativeFrom="paragraph">
                  <wp:posOffset>292100</wp:posOffset>
                </wp:positionV>
                <wp:extent cx="465907" cy="276999"/>
                <wp:effectExtent l="0" t="0" r="0" b="0"/>
                <wp:wrapNone/>
                <wp:docPr id="19" name="TextBox 5"/>
                <wp:cNvGraphicFramePr/>
                <a:graphic xmlns:a="http://schemas.openxmlformats.org/drawingml/2006/main">
                  <a:graphicData uri="http://schemas.microsoft.com/office/word/2010/wordprocessingShape">
                    <wps:wsp>
                      <wps:cNvSpPr txBox="1"/>
                      <wps:spPr>
                        <a:xfrm>
                          <a:off x="0" y="0"/>
                          <a:ext cx="465907" cy="276999"/>
                        </a:xfrm>
                        <a:prstGeom prst="rect">
                          <a:avLst/>
                        </a:prstGeom>
                        <a:noFill/>
                      </wps:spPr>
                      <wps:txbx>
                        <w:txbxContent>
                          <w:p w14:paraId="26346010" w14:textId="77777777" w:rsidR="009D672A" w:rsidRPr="00B759E9" w:rsidRDefault="009D672A" w:rsidP="00A60D8F">
                            <w:pPr>
                              <w:pStyle w:val="NormalWeb"/>
                              <w:spacing w:after="0"/>
                              <w:rPr>
                                <w:rFonts w:ascii="Arial" w:hAnsi="Arial" w:cs="Arial"/>
                              </w:rPr>
                            </w:pPr>
                            <w:r w:rsidRPr="006424E2">
                              <w:rPr>
                                <w:rFonts w:ascii="Arial" w:hAnsi="Arial" w:cs="Arial"/>
                                <w:color w:val="00B050"/>
                                <w:kern w:val="24"/>
                              </w:rPr>
                              <w:t>00</w:t>
                            </w:r>
                          </w:p>
                        </w:txbxContent>
                      </wps:txbx>
                      <wps:bodyPr wrap="square" rtlCol="0">
                        <a:spAutoFit/>
                      </wps:bodyPr>
                    </wps:wsp>
                  </a:graphicData>
                </a:graphic>
              </wp:anchor>
            </w:drawing>
          </mc:Choice>
          <mc:Fallback>
            <w:pict>
              <v:shape w14:anchorId="423CE137" id="TextBox 5" o:spid="_x0000_s1028" type="#_x0000_t202" style="position:absolute;left:0;text-align:left;margin-left:318.05pt;margin-top:23pt;width:36.7pt;height:21.8pt;z-index:251658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" filled="f" stroked="f">
                <v:textbox style="mso-fit-shape-to-text:t">
                  <w:txbxContent>
                    <w:p w14:paraId="26346010" w14:textId="77777777" w:rsidR="009D672A" w:rsidRPr="00B759E9" w:rsidRDefault="009D672A" w:rsidP="00A60D8F">
                      <w:pPr>
                        <w:pStyle w:val="NormalWeb"/>
                        <w:spacing w:after="0"/>
                        <w:rPr>
                          <w:rFonts w:ascii="Arial" w:hAnsi="Arial" w:cs="Arial"/>
                        </w:rPr>
                      </w:pPr>
                      <w:r w:rsidRPr="006424E2">
                        <w:rPr>
                          <w:rFonts w:ascii="Arial" w:hAnsi="Arial" w:cs="Arial"/>
                          <w:color w:val="00B050"/>
                          <w:kern w:val="24"/>
                        </w:rPr>
                        <w:t>00</w:t>
                      </w:r>
                    </w:p>
                  </w:txbxContent>
                </v:textbox>
                <w10:wrap anchorx="margin"/>
              </v:shape>
            </w:pict>
          </mc:Fallback>
        </mc:AlternateContent>
      </w:r>
    </w:p>
    <w:p w14:paraId="16EDB8BD" w14:textId="32E914B0" w:rsidR="00A60D8F" w:rsidRDefault="00A60D8F" w:rsidP="00DF6930">
      <w:pPr>
        <w:keepNext/>
        <w:jc w:val="center"/>
      </w:pPr>
      <w:r w:rsidRPr="00A60D8F">
        <w:rPr>
          <w:noProof/>
        </w:rPr>
        <mc:AlternateContent>
          <mc:Choice Requires="wps">
            <w:drawing>
              <wp:anchor distT="0" distB="0" distL="114300" distR="114300" simplePos="0" relativeHeight="251658247" behindDoc="0" locked="0" layoutInCell="1" allowOverlap="1" wp14:anchorId="32DB969D" wp14:editId="730BDEFE">
                <wp:simplePos x="0" y="0"/>
                <wp:positionH relativeFrom="column">
                  <wp:posOffset>4132800</wp:posOffset>
                </wp:positionH>
                <wp:positionV relativeFrom="paragraph">
                  <wp:posOffset>31940</wp:posOffset>
                </wp:positionV>
                <wp:extent cx="171450" cy="135081"/>
                <wp:effectExtent l="0" t="0" r="19050" b="17780"/>
                <wp:wrapNone/>
                <wp:docPr id="21" name="Rectangle 4"/>
                <wp:cNvGraphicFramePr/>
                <a:graphic xmlns:a="http://schemas.openxmlformats.org/drawingml/2006/main">
                  <a:graphicData uri="http://schemas.microsoft.com/office/word/2010/wordprocessingShape">
                    <wps:wsp>
                      <wps:cNvSpPr/>
                      <wps:spPr>
                        <a:xfrm>
                          <a:off x="0" y="0"/>
                          <a:ext cx="171450" cy="1350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CC14B" id="Rectangle 4" o:spid="_x0000_s1026" style="position:absolute;margin-left:325.4pt;margin-top:2.5pt;width:13.5pt;height:10.6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" fillcolor="white [3212]" strokecolor="white [3212]" strokeweight="1pt"/>
            </w:pict>
          </mc:Fallback>
        </mc:AlternateContent>
      </w:r>
    </w:p>
    <w:p w14:paraId="55905064" w14:textId="4E2DF498" w:rsidR="00DF6930" w:rsidRDefault="00DF6930" w:rsidP="00B759E9">
      <w:pPr>
        <w:keepNext/>
      </w:pPr>
    </w:p>
    <w:p w14:paraId="1E2E13C0" w14:textId="5B982EAC" w:rsidR="00151767" w:rsidRPr="00835728" w:rsidRDefault="00DF6930" w:rsidP="00DF6930">
      <w:pPr>
        <w:pStyle w:val="Caption"/>
        <w:jc w:val="center"/>
        <w:rPr>
          <w:sz w:val="22"/>
        </w:rPr>
      </w:pPr>
      <w:bookmarkStart w:id="28" w:name="_Toc523990656"/>
      <w:r w:rsidRPr="00835728">
        <w:rPr>
          <w:sz w:val="22"/>
        </w:rPr>
        <w:t xml:space="preserve">Figure </w:t>
      </w:r>
      <w:r w:rsidRPr="00835728">
        <w:rPr>
          <w:sz w:val="22"/>
        </w:rPr>
        <w:fldChar w:fldCharType="begin"/>
      </w:r>
      <w:r w:rsidRPr="00835728">
        <w:rPr>
          <w:sz w:val="22"/>
        </w:rPr>
        <w:instrText xml:space="preserve"> SEQ Figure \* ARABIC </w:instrText>
      </w:r>
      <w:r w:rsidRPr="00835728">
        <w:rPr>
          <w:sz w:val="22"/>
        </w:rPr>
        <w:fldChar w:fldCharType="separate"/>
      </w:r>
      <w:r w:rsidR="009D672A">
        <w:rPr>
          <w:noProof/>
          <w:sz w:val="22"/>
        </w:rPr>
        <w:t>2</w:t>
      </w:r>
      <w:r w:rsidRPr="00835728">
        <w:rPr>
          <w:sz w:val="22"/>
        </w:rPr>
        <w:fldChar w:fldCharType="end"/>
      </w:r>
      <w:r w:rsidRPr="00835728">
        <w:rPr>
          <w:sz w:val="22"/>
        </w:rPr>
        <w:t xml:space="preserve">: </w:t>
      </w:r>
      <w:r w:rsidRPr="00835728">
        <w:rPr>
          <w:i w:val="0"/>
          <w:sz w:val="22"/>
        </w:rPr>
        <w:t>2018 Cross-Government ICF Results</w:t>
      </w:r>
      <w:bookmarkEnd w:id="28"/>
    </w:p>
    <w:p w14:paraId="6639F246" w14:textId="17E5F0EB" w:rsidR="007E0FF3" w:rsidRPr="004C5667" w:rsidRDefault="00BF15A0" w:rsidP="00EF36DF">
      <w:pPr>
        <w:pStyle w:val="Heading3"/>
      </w:pPr>
      <w:r>
        <w:t>Defra</w:t>
      </w:r>
      <w:r w:rsidR="007E0FF3" w:rsidRPr="004C5667">
        <w:t>’s current ICF portfolio</w:t>
      </w:r>
      <w:bookmarkEnd w:id="26"/>
      <w:bookmarkEnd w:id="27"/>
    </w:p>
    <w:p w14:paraId="5810550C" w14:textId="4CC97BF0" w:rsidR="007E0FF3" w:rsidRPr="004C5667" w:rsidRDefault="00BF15A0" w:rsidP="00EF36DF">
      <w:r>
        <w:t>Defra</w:t>
      </w:r>
      <w:r w:rsidR="00D3209C">
        <w:t xml:space="preserve"> has invested £228</w:t>
      </w:r>
      <w:r w:rsidR="007E0FF3" w:rsidRPr="004C5667">
        <w:t>m since 2011 into ICF projects (see</w:t>
      </w:r>
      <w:r w:rsidR="00364F61" w:rsidRPr="004C5667">
        <w:t xml:space="preserve"> summary</w:t>
      </w:r>
      <w:r w:rsidR="00193C86" w:rsidRPr="004C5667">
        <w:t xml:space="preserve"> </w:t>
      </w:r>
      <w:r w:rsidR="00EC081F">
        <w:rPr>
          <w:i/>
        </w:rPr>
        <w:t>Figure 3</w:t>
      </w:r>
      <w:r w:rsidR="00193C86" w:rsidRPr="004C5667">
        <w:t xml:space="preserve"> </w:t>
      </w:r>
      <w:r w:rsidR="007E0FF3" w:rsidRPr="004C5667">
        <w:t>below) around the globe to avoid 37mtCO</w:t>
      </w:r>
      <w:r w:rsidR="007E0FF3" w:rsidRPr="00455517">
        <w:rPr>
          <w:vertAlign w:val="subscript"/>
        </w:rPr>
        <w:t>2</w:t>
      </w:r>
      <w:r w:rsidR="007E0FF3" w:rsidRPr="004C5667">
        <w:t>e and 500,</w:t>
      </w:r>
      <w:r w:rsidR="00364F61" w:rsidRPr="004C5667">
        <w:t>000ha of avoided deforestation.</w:t>
      </w:r>
      <w:r w:rsidR="003206B7" w:rsidRPr="004C5667">
        <w:t xml:space="preserve"> The existing portfolio of programmes includes:</w:t>
      </w:r>
    </w:p>
    <w:tbl>
      <w:tblPr>
        <w:tblStyle w:val="TableGrid"/>
        <w:tblW w:w="0" w:type="auto"/>
        <w:jc w:val="center"/>
        <w:tblLook w:val="04A0" w:firstRow="1" w:lastRow="0" w:firstColumn="1" w:lastColumn="0" w:noHBand="0" w:noVBand="1"/>
      </w:tblPr>
      <w:tblGrid>
        <w:gridCol w:w="7650"/>
        <w:gridCol w:w="1276"/>
      </w:tblGrid>
      <w:tr w:rsidR="00193C86" w:rsidRPr="004C5667" w14:paraId="6E72E400" w14:textId="77777777" w:rsidTr="00863255">
        <w:trPr>
          <w:jc w:val="center"/>
        </w:trPr>
        <w:tc>
          <w:tcPr>
            <w:tcW w:w="7650" w:type="dxa"/>
            <w:shd w:val="clear" w:color="auto" w:fill="BDD6EE" w:themeFill="accent1" w:themeFillTint="66"/>
          </w:tcPr>
          <w:p w14:paraId="47F9C071" w14:textId="35BB5625" w:rsidR="00193C86" w:rsidRPr="004C5667" w:rsidRDefault="00502F45" w:rsidP="00EF36DF">
            <w:pPr>
              <w:spacing w:after="0"/>
              <w:rPr>
                <w:b/>
              </w:rPr>
            </w:pPr>
            <w:r>
              <w:rPr>
                <w:b/>
              </w:rPr>
              <w:t>Programme</w:t>
            </w:r>
          </w:p>
        </w:tc>
        <w:tc>
          <w:tcPr>
            <w:tcW w:w="1276" w:type="dxa"/>
            <w:shd w:val="clear" w:color="auto" w:fill="BDD6EE" w:themeFill="accent1" w:themeFillTint="66"/>
          </w:tcPr>
          <w:p w14:paraId="53589268" w14:textId="0168EDD9" w:rsidR="00193C86" w:rsidRPr="004C5667" w:rsidRDefault="00193C86" w:rsidP="00EF36DF">
            <w:pPr>
              <w:spacing w:after="0"/>
              <w:rPr>
                <w:b/>
              </w:rPr>
            </w:pPr>
            <w:r w:rsidRPr="004C5667">
              <w:rPr>
                <w:b/>
              </w:rPr>
              <w:t>Value (£m)</w:t>
            </w:r>
          </w:p>
        </w:tc>
      </w:tr>
      <w:tr w:rsidR="00193C86" w:rsidRPr="004C5667" w14:paraId="0AB76406" w14:textId="77777777" w:rsidTr="00863255">
        <w:trPr>
          <w:jc w:val="center"/>
        </w:trPr>
        <w:tc>
          <w:tcPr>
            <w:tcW w:w="7650" w:type="dxa"/>
          </w:tcPr>
          <w:p w14:paraId="48A1D1CE" w14:textId="105360AB" w:rsidR="00193C86" w:rsidRPr="004C5667" w:rsidRDefault="00193C86" w:rsidP="00EF36DF">
            <w:pPr>
              <w:spacing w:after="0"/>
              <w:rPr>
                <w:rFonts w:cs="Arial"/>
              </w:rPr>
            </w:pPr>
            <w:r w:rsidRPr="004C5667">
              <w:rPr>
                <w:rFonts w:cs="Arial"/>
              </w:rPr>
              <w:t xml:space="preserve">Low Carbon Agriculture for Avoided Deforestation and Poverty reduction in Brazil. </w:t>
            </w:r>
          </w:p>
        </w:tc>
        <w:tc>
          <w:tcPr>
            <w:tcW w:w="1276" w:type="dxa"/>
          </w:tcPr>
          <w:p w14:paraId="02FAA4C8" w14:textId="4CE4D269" w:rsidR="00193C86" w:rsidRPr="004C5667" w:rsidRDefault="00193C86" w:rsidP="00EF36DF">
            <w:pPr>
              <w:spacing w:after="0"/>
              <w:jc w:val="center"/>
            </w:pPr>
            <w:r w:rsidRPr="004C5667">
              <w:t>54.9</w:t>
            </w:r>
          </w:p>
        </w:tc>
      </w:tr>
      <w:tr w:rsidR="00193C86" w:rsidRPr="004C5667" w14:paraId="3B55F289" w14:textId="77777777" w:rsidTr="00863255">
        <w:trPr>
          <w:jc w:val="center"/>
        </w:trPr>
        <w:tc>
          <w:tcPr>
            <w:tcW w:w="7650" w:type="dxa"/>
          </w:tcPr>
          <w:p w14:paraId="3884F48D" w14:textId="23E4A452" w:rsidR="00193C86" w:rsidRPr="004C5667" w:rsidRDefault="00193C86" w:rsidP="00EF36DF">
            <w:pPr>
              <w:spacing w:after="0"/>
            </w:pPr>
            <w:r w:rsidRPr="004C5667">
              <w:rPr>
                <w:rFonts w:cs="Arial"/>
              </w:rPr>
              <w:t xml:space="preserve">Reducing Deforestation in the Brazilian </w:t>
            </w:r>
            <w:proofErr w:type="spellStart"/>
            <w:r w:rsidRPr="004C5667">
              <w:rPr>
                <w:rFonts w:cs="Arial"/>
              </w:rPr>
              <w:t>Cerrado</w:t>
            </w:r>
            <w:proofErr w:type="spellEnd"/>
            <w:r w:rsidRPr="004C5667">
              <w:rPr>
                <w:rFonts w:cs="Arial"/>
              </w:rPr>
              <w:t>, Brazil</w:t>
            </w:r>
          </w:p>
        </w:tc>
        <w:tc>
          <w:tcPr>
            <w:tcW w:w="1276" w:type="dxa"/>
          </w:tcPr>
          <w:p w14:paraId="5FA68BCE" w14:textId="55C3A02D" w:rsidR="00193C86" w:rsidRPr="004C5667" w:rsidRDefault="00193C86" w:rsidP="00EF36DF">
            <w:pPr>
              <w:spacing w:after="0"/>
              <w:jc w:val="center"/>
            </w:pPr>
            <w:r w:rsidRPr="004C5667">
              <w:t>10</w:t>
            </w:r>
          </w:p>
        </w:tc>
      </w:tr>
      <w:tr w:rsidR="00193C86" w:rsidRPr="004C5667" w14:paraId="37D668DB" w14:textId="77777777" w:rsidTr="00863255">
        <w:trPr>
          <w:jc w:val="center"/>
        </w:trPr>
        <w:tc>
          <w:tcPr>
            <w:tcW w:w="7650" w:type="dxa"/>
          </w:tcPr>
          <w:p w14:paraId="6B4652CD" w14:textId="148FBC6D" w:rsidR="00193C86" w:rsidRPr="004C5667" w:rsidRDefault="00193C86" w:rsidP="00EF36DF">
            <w:pPr>
              <w:spacing w:after="0"/>
              <w:rPr>
                <w:rFonts w:cs="Arial"/>
              </w:rPr>
            </w:pPr>
            <w:r w:rsidRPr="004C5667">
              <w:rPr>
                <w:rFonts w:cs="Arial"/>
              </w:rPr>
              <w:t xml:space="preserve">The </w:t>
            </w:r>
            <w:proofErr w:type="spellStart"/>
            <w:r w:rsidRPr="004C5667">
              <w:rPr>
                <w:rFonts w:cs="Arial"/>
              </w:rPr>
              <w:t>BioCarbon</w:t>
            </w:r>
            <w:proofErr w:type="spellEnd"/>
            <w:r w:rsidRPr="004C5667">
              <w:rPr>
                <w:rFonts w:cs="Arial"/>
              </w:rPr>
              <w:t xml:space="preserve"> Fund – Initiative for Sustainable Landscapes </w:t>
            </w:r>
          </w:p>
        </w:tc>
        <w:tc>
          <w:tcPr>
            <w:tcW w:w="1276" w:type="dxa"/>
          </w:tcPr>
          <w:p w14:paraId="03E364EF" w14:textId="5A78578D" w:rsidR="00193C86" w:rsidRPr="004C5667" w:rsidRDefault="00193C86" w:rsidP="00EF36DF">
            <w:pPr>
              <w:spacing w:after="0"/>
              <w:jc w:val="center"/>
            </w:pPr>
            <w:r w:rsidRPr="004C5667">
              <w:t>65</w:t>
            </w:r>
          </w:p>
        </w:tc>
      </w:tr>
      <w:tr w:rsidR="00193C86" w:rsidRPr="004C5667" w14:paraId="58B6E3B5" w14:textId="77777777" w:rsidTr="00863255">
        <w:trPr>
          <w:jc w:val="center"/>
        </w:trPr>
        <w:tc>
          <w:tcPr>
            <w:tcW w:w="7650" w:type="dxa"/>
          </w:tcPr>
          <w:p w14:paraId="37816443" w14:textId="497BCADA" w:rsidR="00193C86" w:rsidRPr="004C5667" w:rsidRDefault="00193C86" w:rsidP="00EF36DF">
            <w:pPr>
              <w:autoSpaceDE w:val="0"/>
              <w:autoSpaceDN w:val="0"/>
              <w:adjustRightInd w:val="0"/>
              <w:spacing w:after="0"/>
              <w:rPr>
                <w:rFonts w:cs="Arial"/>
                <w:color w:val="000000"/>
              </w:rPr>
            </w:pPr>
            <w:r w:rsidRPr="004C5667">
              <w:rPr>
                <w:rFonts w:cs="Arial"/>
              </w:rPr>
              <w:t xml:space="preserve">Ecosystem Conservation and Management Project- Sri Lanka </w:t>
            </w:r>
          </w:p>
        </w:tc>
        <w:tc>
          <w:tcPr>
            <w:tcW w:w="1276" w:type="dxa"/>
          </w:tcPr>
          <w:p w14:paraId="79F03BD9" w14:textId="005510F6" w:rsidR="00193C86" w:rsidRPr="004C5667" w:rsidRDefault="00193C86" w:rsidP="00EF36DF">
            <w:pPr>
              <w:spacing w:after="0"/>
              <w:jc w:val="center"/>
            </w:pPr>
            <w:r w:rsidRPr="004C5667">
              <w:t>19.5</w:t>
            </w:r>
          </w:p>
        </w:tc>
      </w:tr>
      <w:tr w:rsidR="00193C86" w:rsidRPr="004C5667" w14:paraId="2F70639F" w14:textId="77777777" w:rsidTr="00863255">
        <w:trPr>
          <w:jc w:val="center"/>
        </w:trPr>
        <w:tc>
          <w:tcPr>
            <w:tcW w:w="7650" w:type="dxa"/>
          </w:tcPr>
          <w:p w14:paraId="7B4A7E4D" w14:textId="59ACBD6D" w:rsidR="00193C86" w:rsidRPr="004C5667" w:rsidRDefault="00193C86" w:rsidP="00EF36DF">
            <w:pPr>
              <w:spacing w:after="0"/>
            </w:pPr>
            <w:proofErr w:type="spellStart"/>
            <w:r w:rsidRPr="004C5667">
              <w:t>eco.business</w:t>
            </w:r>
            <w:proofErr w:type="spellEnd"/>
            <w:r w:rsidRPr="004C5667">
              <w:t xml:space="preserve"> Fund – Sustainable forest consumption practices in South America</w:t>
            </w:r>
          </w:p>
        </w:tc>
        <w:tc>
          <w:tcPr>
            <w:tcW w:w="1276" w:type="dxa"/>
          </w:tcPr>
          <w:p w14:paraId="73DC5139" w14:textId="619A87B5" w:rsidR="00193C86" w:rsidRPr="004C5667" w:rsidRDefault="00193C86" w:rsidP="00EF36DF">
            <w:pPr>
              <w:spacing w:after="0"/>
              <w:jc w:val="center"/>
            </w:pPr>
            <w:r w:rsidRPr="004C5667">
              <w:t>20</w:t>
            </w:r>
          </w:p>
        </w:tc>
      </w:tr>
      <w:tr w:rsidR="00193C86" w:rsidRPr="004C5667" w14:paraId="0B06093B" w14:textId="77777777" w:rsidTr="00863255">
        <w:trPr>
          <w:jc w:val="center"/>
        </w:trPr>
        <w:tc>
          <w:tcPr>
            <w:tcW w:w="7650" w:type="dxa"/>
          </w:tcPr>
          <w:p w14:paraId="05AAA115" w14:textId="0ABDB8EC" w:rsidR="00193C86" w:rsidRPr="004C5667" w:rsidRDefault="00193C86" w:rsidP="00EF36DF">
            <w:pPr>
              <w:spacing w:after="0"/>
            </w:pPr>
            <w:r w:rsidRPr="004C5667">
              <w:t>Blue Forests mangrove conservation and sustainable livelihood promotion</w:t>
            </w:r>
          </w:p>
        </w:tc>
        <w:tc>
          <w:tcPr>
            <w:tcW w:w="1276" w:type="dxa"/>
          </w:tcPr>
          <w:p w14:paraId="7DF25FB1" w14:textId="41B1EB3E" w:rsidR="00193C86" w:rsidRPr="004C5667" w:rsidRDefault="00193C86" w:rsidP="00EF36DF">
            <w:pPr>
              <w:spacing w:after="0"/>
              <w:jc w:val="center"/>
            </w:pPr>
            <w:r w:rsidRPr="004C5667">
              <w:t>10.1</w:t>
            </w:r>
          </w:p>
        </w:tc>
      </w:tr>
      <w:tr w:rsidR="00193C86" w:rsidRPr="004C5667" w14:paraId="361C2EEE" w14:textId="77777777" w:rsidTr="00863255">
        <w:trPr>
          <w:jc w:val="center"/>
        </w:trPr>
        <w:tc>
          <w:tcPr>
            <w:tcW w:w="7650" w:type="dxa"/>
          </w:tcPr>
          <w:p w14:paraId="019CDBD4" w14:textId="65A5F33D" w:rsidR="00193C86" w:rsidRPr="004C5667" w:rsidRDefault="00193C86" w:rsidP="00EF36DF">
            <w:pPr>
              <w:spacing w:after="0"/>
            </w:pPr>
            <w:r w:rsidRPr="004C5667">
              <w:rPr>
                <w:rFonts w:cs="Arial"/>
              </w:rPr>
              <w:lastRenderedPageBreak/>
              <w:t>Knowledge for Forests Programme (KNOWFOR) policy and strategy work</w:t>
            </w:r>
          </w:p>
        </w:tc>
        <w:tc>
          <w:tcPr>
            <w:tcW w:w="1276" w:type="dxa"/>
          </w:tcPr>
          <w:p w14:paraId="79A9FAC0" w14:textId="79B8CD89" w:rsidR="00193C86" w:rsidRPr="004C5667" w:rsidRDefault="00193C86" w:rsidP="00EF36DF">
            <w:pPr>
              <w:spacing w:after="0"/>
              <w:jc w:val="center"/>
            </w:pPr>
            <w:r w:rsidRPr="004C5667">
              <w:t>7</w:t>
            </w:r>
          </w:p>
        </w:tc>
      </w:tr>
      <w:tr w:rsidR="00193C86" w:rsidRPr="004C5667" w14:paraId="294AF1E1" w14:textId="77777777" w:rsidTr="00863255">
        <w:trPr>
          <w:jc w:val="center"/>
        </w:trPr>
        <w:tc>
          <w:tcPr>
            <w:tcW w:w="7650" w:type="dxa"/>
          </w:tcPr>
          <w:p w14:paraId="6E82EDF7" w14:textId="68DACD6A" w:rsidR="00193C86" w:rsidRPr="004C5667" w:rsidRDefault="00193C86" w:rsidP="00EF36DF">
            <w:pPr>
              <w:spacing w:after="0"/>
              <w:rPr>
                <w:rFonts w:cs="Arial"/>
              </w:rPr>
            </w:pPr>
            <w:r w:rsidRPr="004C5667">
              <w:rPr>
                <w:rFonts w:cs="Arial"/>
              </w:rPr>
              <w:t>The Global Environment Facility</w:t>
            </w:r>
            <w:r w:rsidR="00613F7D">
              <w:rPr>
                <w:rFonts w:cs="Arial"/>
              </w:rPr>
              <w:t xml:space="preserve"> 6 and 7</w:t>
            </w:r>
          </w:p>
        </w:tc>
        <w:tc>
          <w:tcPr>
            <w:tcW w:w="1276" w:type="dxa"/>
          </w:tcPr>
          <w:p w14:paraId="2FF01B10" w14:textId="2D073A5E" w:rsidR="00193C86" w:rsidRPr="004C5667" w:rsidRDefault="00613F7D" w:rsidP="00DF6930">
            <w:pPr>
              <w:keepNext/>
              <w:spacing w:after="0"/>
              <w:jc w:val="center"/>
            </w:pPr>
            <w:r>
              <w:t>1</w:t>
            </w:r>
            <w:r w:rsidR="00D3209C">
              <w:t>42</w:t>
            </w:r>
          </w:p>
        </w:tc>
      </w:tr>
    </w:tbl>
    <w:p w14:paraId="215679EE" w14:textId="1EC581BC" w:rsidR="00DF6930" w:rsidRPr="00835728" w:rsidRDefault="00DF6930" w:rsidP="00DF6930">
      <w:pPr>
        <w:pStyle w:val="Caption"/>
        <w:spacing w:before="240"/>
        <w:jc w:val="center"/>
        <w:rPr>
          <w:sz w:val="22"/>
        </w:rPr>
      </w:pPr>
      <w:bookmarkStart w:id="29" w:name="_Toc523990657"/>
      <w:bookmarkStart w:id="30" w:name="_Toc466471583"/>
      <w:bookmarkStart w:id="31" w:name="_Toc505691913"/>
      <w:bookmarkStart w:id="32" w:name="_Toc505693248"/>
      <w:r w:rsidRPr="00835728">
        <w:rPr>
          <w:sz w:val="22"/>
        </w:rPr>
        <w:t xml:space="preserve">Figure </w:t>
      </w:r>
      <w:r w:rsidRPr="00835728">
        <w:rPr>
          <w:sz w:val="22"/>
        </w:rPr>
        <w:fldChar w:fldCharType="begin"/>
      </w:r>
      <w:r w:rsidRPr="00835728">
        <w:rPr>
          <w:sz w:val="22"/>
        </w:rPr>
        <w:instrText xml:space="preserve"> SEQ Figure \* ARABIC </w:instrText>
      </w:r>
      <w:r w:rsidRPr="00835728">
        <w:rPr>
          <w:sz w:val="22"/>
        </w:rPr>
        <w:fldChar w:fldCharType="separate"/>
      </w:r>
      <w:r w:rsidR="009D672A">
        <w:rPr>
          <w:noProof/>
          <w:sz w:val="22"/>
        </w:rPr>
        <w:t>3</w:t>
      </w:r>
      <w:r w:rsidRPr="00835728">
        <w:rPr>
          <w:sz w:val="22"/>
        </w:rPr>
        <w:fldChar w:fldCharType="end"/>
      </w:r>
      <w:r w:rsidRPr="00835728">
        <w:rPr>
          <w:sz w:val="22"/>
        </w:rPr>
        <w:t xml:space="preserve">: </w:t>
      </w:r>
      <w:r w:rsidRPr="00835728">
        <w:rPr>
          <w:i w:val="0"/>
          <w:sz w:val="22"/>
        </w:rPr>
        <w:t>Current Defra ICF portfolio</w:t>
      </w:r>
      <w:bookmarkEnd w:id="29"/>
    </w:p>
    <w:p w14:paraId="4AA73D23" w14:textId="0CE42CE0" w:rsidR="008D11BA" w:rsidRPr="004C5667" w:rsidRDefault="008D11BA" w:rsidP="00DF6930">
      <w:pPr>
        <w:pStyle w:val="Heading3"/>
        <w:spacing w:before="240"/>
      </w:pPr>
      <w:r w:rsidRPr="004C5667">
        <w:t xml:space="preserve">Current ICF and </w:t>
      </w:r>
      <w:r w:rsidR="00685D6D" w:rsidRPr="004C5667">
        <w:t>W</w:t>
      </w:r>
      <w:r w:rsidRPr="004C5667">
        <w:t xml:space="preserve">ider </w:t>
      </w:r>
      <w:r w:rsidR="00BF15A0">
        <w:t>Defra</w:t>
      </w:r>
      <w:r w:rsidRPr="004C5667">
        <w:t xml:space="preserve"> </w:t>
      </w:r>
      <w:r w:rsidR="00685D6D" w:rsidRPr="004C5667">
        <w:t>I</w:t>
      </w:r>
      <w:r w:rsidRPr="004C5667">
        <w:t>nvestment in Mangroves</w:t>
      </w:r>
    </w:p>
    <w:p w14:paraId="5A646D48" w14:textId="29090A37" w:rsidR="003206B7" w:rsidRPr="004C5667" w:rsidRDefault="003206B7" w:rsidP="00EF36DF">
      <w:r w:rsidRPr="004C5667">
        <w:t xml:space="preserve">UK climate finance takes a ‘portfolio approach’ to addressing deforestation and transforming land management, testing different but complementary approaches. Since the start of the ICF in 2011, the UK has spent just over £800 million on forest and land use programmes. Mangrove programmes fit the strategic profile of promoting sustainable land use, improving forest management, reducing pressure on remaining forests and avoiding GHG emissions. </w:t>
      </w:r>
    </w:p>
    <w:p w14:paraId="0CE13246" w14:textId="4C7D40E7" w:rsidR="008D11BA" w:rsidRPr="004C5667" w:rsidRDefault="009F4A5A" w:rsidP="00EF36DF">
      <w:r w:rsidRPr="004C5667">
        <w:t xml:space="preserve">Although the </w:t>
      </w:r>
      <w:r w:rsidR="008D11BA" w:rsidRPr="004C5667">
        <w:t xml:space="preserve">UK currently invests both bilaterally and multilaterally into mangrove conservation efforts </w:t>
      </w:r>
      <w:r w:rsidRPr="004C5667">
        <w:t>(</w:t>
      </w:r>
      <w:r w:rsidR="008D11BA" w:rsidRPr="004C5667">
        <w:t>through the below funding mechanisms</w:t>
      </w:r>
      <w:r w:rsidRPr="004C5667">
        <w:t>)</w:t>
      </w:r>
      <w:r w:rsidR="008D11BA" w:rsidRPr="004C5667">
        <w:t xml:space="preserve"> </w:t>
      </w:r>
      <w:r w:rsidRPr="004C5667">
        <w:t>additional mangrove work would allow us to continue to diversify our portfolio which has historically had a tropical rainforest focus.</w:t>
      </w:r>
    </w:p>
    <w:p w14:paraId="365250A4" w14:textId="77777777" w:rsidR="008D11BA" w:rsidRPr="004C5667" w:rsidRDefault="008D11BA" w:rsidP="00EF36DF">
      <w:pPr>
        <w:pStyle w:val="Heading4"/>
      </w:pPr>
      <w:bookmarkStart w:id="33" w:name="_Toc505691915"/>
      <w:bookmarkStart w:id="34" w:name="_Toc505693250"/>
      <w:r w:rsidRPr="004C5667">
        <w:t>ICF – “Blue Forests” Project</w:t>
      </w:r>
      <w:bookmarkEnd w:id="33"/>
      <w:bookmarkEnd w:id="34"/>
    </w:p>
    <w:p w14:paraId="0EEC79AD" w14:textId="3F3B4DF0" w:rsidR="008D11BA" w:rsidRPr="004C5667" w:rsidRDefault="008D11BA" w:rsidP="00EF36DF">
      <w:r w:rsidRPr="004C5667">
        <w:t xml:space="preserve">In 2016 </w:t>
      </w:r>
      <w:r w:rsidR="00BF15A0">
        <w:t>Defra</w:t>
      </w:r>
      <w:r w:rsidRPr="004C5667">
        <w:t xml:space="preserve"> Ministers approved the ICF Blue Forests project, managed by UK NGO Blue Ventures, to reduce deforestation of mangrove habitat, create new sustainable livelihoods, support community health and women’s empowerment and increase climate resilience in coastal communities. This project will initially be executed in Madagascar, expanding to Indonesia and an additional country in south-east Asia. </w:t>
      </w:r>
    </w:p>
    <w:p w14:paraId="21048A03" w14:textId="7F798CCB" w:rsidR="008D11BA" w:rsidRPr="004C5667" w:rsidRDefault="008D11BA" w:rsidP="00EF36DF">
      <w:r w:rsidRPr="004C5667">
        <w:t xml:space="preserve">Planned investment in the programme is £10.1 million over a period of </w:t>
      </w:r>
      <w:r w:rsidR="001605D7">
        <w:t>seven</w:t>
      </w:r>
      <w:r w:rsidR="0061429E">
        <w:t xml:space="preserve"> </w:t>
      </w:r>
      <w:r w:rsidRPr="004C5667">
        <w:t xml:space="preserve">years. The total impact is intended to be 20 years under the expectation of leveraging additional funding from the private sector for the remaining time. </w:t>
      </w:r>
      <w:r w:rsidRPr="004C5667">
        <w:rPr>
          <w:rFonts w:asciiTheme="minorHAnsi" w:hAnsiTheme="minorHAnsi"/>
        </w:rPr>
        <w:t>This programme is projected to protect around 20,000 hectares of mangrove forests; deliver approximately 13.9 million tonnes of carbon dioxide savings and benefit over 100,000 people.</w:t>
      </w:r>
    </w:p>
    <w:p w14:paraId="462F565A" w14:textId="77777777" w:rsidR="008D11BA" w:rsidRPr="004C5667" w:rsidRDefault="008D11BA" w:rsidP="00EF36DF">
      <w:r w:rsidRPr="004C5667">
        <w:t xml:space="preserve">An Annual Review was undertaken on the project’s first year was undertaken in December 2017 where it received an overall rating of “A” and delivered as expected against all output indicators. </w:t>
      </w:r>
      <w:bookmarkStart w:id="35" w:name="_Toc505691916"/>
      <w:bookmarkStart w:id="36" w:name="_Toc505693251"/>
    </w:p>
    <w:p w14:paraId="21109C8E" w14:textId="77777777" w:rsidR="008D11BA" w:rsidRPr="004C5667" w:rsidRDefault="008D11BA" w:rsidP="00EF36DF">
      <w:pPr>
        <w:pStyle w:val="Heading4"/>
      </w:pPr>
      <w:bookmarkStart w:id="37" w:name="_Toc505691917"/>
      <w:bookmarkStart w:id="38" w:name="_Toc505693252"/>
      <w:bookmarkEnd w:id="35"/>
      <w:bookmarkEnd w:id="36"/>
      <w:r w:rsidRPr="004C5667">
        <w:t xml:space="preserve">ICF – The </w:t>
      </w:r>
      <w:bookmarkEnd w:id="37"/>
      <w:bookmarkEnd w:id="38"/>
      <w:r w:rsidRPr="004C5667">
        <w:t>Global Environment Facility</w:t>
      </w:r>
    </w:p>
    <w:p w14:paraId="1552AF9B" w14:textId="1C2F7518" w:rsidR="008D11BA" w:rsidRPr="004C5667" w:rsidRDefault="008D11BA" w:rsidP="00EF36DF">
      <w:r w:rsidRPr="004C5667">
        <w:t xml:space="preserve">The Global Environment Facility (GEF) alongside its various co-financing partners has invested in 25 projects with a mangroves conservation element to their objectives. They vary from approval to completion phase and are being delivered globally. These range from the newly approved “Sustainable Community Based Management and Conservation of Mangrove Ecosystems” project in Cameroon to the completed “Integrated Ecosystem Management” project in Mexico. </w:t>
      </w:r>
      <w:r w:rsidR="00BF15A0">
        <w:t>Defra</w:t>
      </w:r>
      <w:r w:rsidRPr="004C5667">
        <w:t xml:space="preserve"> has already invested £</w:t>
      </w:r>
      <w:r w:rsidR="00685D6D" w:rsidRPr="004C5667">
        <w:t xml:space="preserve">42 </w:t>
      </w:r>
      <w:r w:rsidRPr="004C5667">
        <w:t>million in the GEF and have an additional £</w:t>
      </w:r>
      <w:r w:rsidR="00685D6D" w:rsidRPr="004C5667">
        <w:t xml:space="preserve">50 </w:t>
      </w:r>
      <w:r w:rsidRPr="004C5667">
        <w:t xml:space="preserve">million committed until </w:t>
      </w:r>
      <w:r w:rsidR="00685D6D" w:rsidRPr="004C5667">
        <w:t>2020/21</w:t>
      </w:r>
      <w:r w:rsidRPr="004C5667">
        <w:t>.</w:t>
      </w:r>
    </w:p>
    <w:p w14:paraId="202793BE" w14:textId="77777777" w:rsidR="008D11BA" w:rsidRPr="004C5667" w:rsidRDefault="008D11BA" w:rsidP="00EF36DF">
      <w:pPr>
        <w:pStyle w:val="Heading4"/>
      </w:pPr>
      <w:r w:rsidRPr="004C5667">
        <w:t>The Darwin Initiative</w:t>
      </w:r>
    </w:p>
    <w:p w14:paraId="456FCF11" w14:textId="553B972C" w:rsidR="008D11BA" w:rsidRPr="004C5667" w:rsidRDefault="008D11BA" w:rsidP="00EF36DF">
      <w:r w:rsidRPr="004C5667">
        <w:t xml:space="preserve">Similarly </w:t>
      </w:r>
      <w:r w:rsidR="00BF15A0">
        <w:t>Defra</w:t>
      </w:r>
      <w:r w:rsidRPr="004C5667">
        <w:t xml:space="preserve">’s Darwin Initiative has funded multiple projects with a mangroves focus including one scoping project and several Darwin Initiatives projects that have now completed including one work in Madagascar and Ecuador. </w:t>
      </w:r>
    </w:p>
    <w:p w14:paraId="3EDFF02F" w14:textId="03B05A0E" w:rsidR="007E0FF3" w:rsidRPr="004C5667" w:rsidRDefault="007E0FF3" w:rsidP="00EF36DF">
      <w:pPr>
        <w:pStyle w:val="Heading2"/>
      </w:pPr>
      <w:bookmarkStart w:id="39" w:name="_Toc527027966"/>
      <w:r w:rsidRPr="004C5667">
        <w:t>Why Mangroves?</w:t>
      </w:r>
      <w:bookmarkEnd w:id="30"/>
      <w:bookmarkEnd w:id="31"/>
      <w:bookmarkEnd w:id="32"/>
      <w:bookmarkEnd w:id="39"/>
    </w:p>
    <w:p w14:paraId="300E1F7B" w14:textId="68B363F7" w:rsidR="00364F61" w:rsidRPr="004C5667" w:rsidRDefault="00364F61" w:rsidP="00EF36DF">
      <w:bookmarkStart w:id="40" w:name="_Toc505691914"/>
      <w:bookmarkStart w:id="41" w:name="_Toc505693249"/>
      <w:r w:rsidRPr="004C5667">
        <w:lastRenderedPageBreak/>
        <w:t>Mangroves – or “Blue Forests” – are some of the most carbon rich and productive habitats on earth whilst playing a critical role in supporting endangered biodiversity. Conservative estimates suggest that they provide at least $1.6 billion in ecosystem services and sequester 25.5 million tonnes of carbon each year</w:t>
      </w:r>
      <w:r w:rsidRPr="004C5667">
        <w:rPr>
          <w:rStyle w:val="FootnoteReference"/>
        </w:rPr>
        <w:footnoteReference w:id="4"/>
      </w:r>
      <w:r w:rsidRPr="004C5667">
        <w:t xml:space="preserve">. In addition, hundreds of millions of coastal people rely on mangroves for their day to day livelihoods. </w:t>
      </w:r>
    </w:p>
    <w:p w14:paraId="28DA7472" w14:textId="77777777" w:rsidR="00973597" w:rsidRPr="004C5667" w:rsidRDefault="00364F61" w:rsidP="00EF36DF">
      <w:r w:rsidRPr="004C5667">
        <w:t>However, they are also one of the most threatened tropical ecosystems with more than 35% of the world’s mangroves thought to have been lost and in some places they are being cleared at a rate faster than tropical rainforests</w:t>
      </w:r>
      <w:r w:rsidRPr="004C5667">
        <w:rPr>
          <w:rStyle w:val="FootnoteReference"/>
        </w:rPr>
        <w:footnoteReference w:id="5"/>
      </w:r>
      <w:r w:rsidRPr="004C5667">
        <w:t>. The erosion of coastlines, unsustainable use of coastal resources and loss of coastal livelihoods, reduces the capacity of developing coastal dependent communities to face the growing impacts of climate change. Through a combination of institutional and market failures, the communities dependent on mangrove forests often lack the knowledge base, management structures or property rights that could enable them to sustainably utilise mangroves long term. The valuation of and methodology behind mangrove ecosystem services is a new field with a lack of consistency and understanding which limits the ability of these communities to receive the true value from these habitats.</w:t>
      </w:r>
    </w:p>
    <w:p w14:paraId="5FB20D2F" w14:textId="77777777" w:rsidR="00973597" w:rsidRPr="004C5667" w:rsidRDefault="00973597" w:rsidP="00EF36DF">
      <w:pPr>
        <w:pStyle w:val="Heading3"/>
      </w:pPr>
      <w:r w:rsidRPr="004C5667">
        <w:t>The Value of Mangroves</w:t>
      </w:r>
    </w:p>
    <w:p w14:paraId="4CB0A0C3" w14:textId="2189059A" w:rsidR="00973597" w:rsidRPr="004C5667" w:rsidRDefault="00973597" w:rsidP="00EF36DF">
      <w:pPr>
        <w:rPr>
          <w:rStyle w:val="Emphasis"/>
          <w:i w:val="0"/>
        </w:rPr>
      </w:pPr>
      <w:r w:rsidRPr="004C5667">
        <w:rPr>
          <w:rStyle w:val="Emphasis"/>
          <w:i w:val="0"/>
        </w:rPr>
        <w:t>Mangrove forests are comprised of unique plant species that form the critical interface between terrestrial, estuarine, and near-shore marine ecosystems in tropical and subtropical regions. They have been used by coastal communities for generations with the earliest reports from up to 20,000 years ago</w:t>
      </w:r>
      <w:r w:rsidRPr="004C5667">
        <w:rPr>
          <w:rStyle w:val="Emphasis"/>
          <w:i w:val="0"/>
          <w:vertAlign w:val="superscript"/>
        </w:rPr>
        <w:t>5</w:t>
      </w:r>
      <w:r w:rsidRPr="004C5667">
        <w:rPr>
          <w:rStyle w:val="Emphasis"/>
          <w:i w:val="0"/>
        </w:rPr>
        <w:t>. Mangroves continue to be of tremendous value to humanity through a range of environmental, social and economic ecosystem services.</w:t>
      </w:r>
      <w:r w:rsidR="00106BCD">
        <w:rPr>
          <w:rStyle w:val="Emphasis"/>
          <w:i w:val="0"/>
        </w:rPr>
        <w:t xml:space="preserve"> ICF analysts estimate the value of ecosystem services flowing annually from mangrove forests across the globe </w:t>
      </w:r>
      <w:r w:rsidR="00601DB1">
        <w:rPr>
          <w:rStyle w:val="Emphasis"/>
          <w:i w:val="0"/>
        </w:rPr>
        <w:t>at upwards</w:t>
      </w:r>
      <w:r w:rsidR="00301784">
        <w:rPr>
          <w:rStyle w:val="Emphasis"/>
          <w:i w:val="0"/>
        </w:rPr>
        <w:t xml:space="preserve"> of</w:t>
      </w:r>
      <w:r w:rsidR="00106BCD">
        <w:rPr>
          <w:rStyle w:val="Emphasis"/>
          <w:i w:val="0"/>
        </w:rPr>
        <w:t xml:space="preserve"> </w:t>
      </w:r>
      <w:r w:rsidR="00106BCD">
        <w:t>£73bn</w:t>
      </w:r>
      <w:r w:rsidR="00106BCD">
        <w:rPr>
          <w:rStyle w:val="FootnoteReference"/>
        </w:rPr>
        <w:footnoteReference w:id="6"/>
      </w:r>
      <w:r w:rsidR="00106BCD">
        <w:t>.</w:t>
      </w:r>
    </w:p>
    <w:p w14:paraId="617F1D1A" w14:textId="37E505EA" w:rsidR="002B641C" w:rsidRPr="004C5667" w:rsidRDefault="00CA64D1" w:rsidP="00EF36DF">
      <w:pPr>
        <w:rPr>
          <w:iCs/>
        </w:rPr>
      </w:pPr>
      <w:r w:rsidRPr="004C5667">
        <w:rPr>
          <w:iCs/>
        </w:rPr>
        <w:t>The spread and profusion of mangroves has been extensively studied and the total global area of mangrove forest cover is thought to be between 137,760 and 152,000 km</w:t>
      </w:r>
      <w:r w:rsidRPr="004C5667">
        <w:rPr>
          <w:iCs/>
          <w:vertAlign w:val="superscript"/>
        </w:rPr>
        <w:t>2</w:t>
      </w:r>
      <w:r w:rsidRPr="004C5667">
        <w:rPr>
          <w:iCs/>
        </w:rPr>
        <w:t xml:space="preserve"> across the 118-124 countries within which they are found</w:t>
      </w:r>
      <w:r w:rsidR="00F838A8">
        <w:rPr>
          <w:iCs/>
        </w:rPr>
        <w:t xml:space="preserve">; an area </w:t>
      </w:r>
      <w:r w:rsidR="00B173A9">
        <w:rPr>
          <w:iCs/>
        </w:rPr>
        <w:t xml:space="preserve">larger than </w:t>
      </w:r>
      <w:r w:rsidR="00F838A8">
        <w:rPr>
          <w:iCs/>
        </w:rPr>
        <w:t xml:space="preserve">the size of the </w:t>
      </w:r>
      <w:r w:rsidR="00B173A9">
        <w:rPr>
          <w:iCs/>
        </w:rPr>
        <w:t>England</w:t>
      </w:r>
      <w:r w:rsidR="00F838A8">
        <w:rPr>
          <w:iCs/>
        </w:rPr>
        <w:t>.</w:t>
      </w:r>
      <w:r w:rsidRPr="004C5667">
        <w:rPr>
          <w:iCs/>
        </w:rPr>
        <w:t xml:space="preserve"> These ranges can be accounted for by the recentness, differing spatial resolutions and remote techniques used by the studies referenced. The largest extent of mangroves are found in Asia (42%) followed by Africa (20%), North and Central America (15%), Oceania (12%) and South America (11%). Approximately 75% of mangroves are concentrated in just 15 countries.</w:t>
      </w:r>
    </w:p>
    <w:p w14:paraId="6157CC8A" w14:textId="2A42A0E5" w:rsidR="00CA64D1" w:rsidRPr="004C5667" w:rsidRDefault="00CA64D1" w:rsidP="00EF36DF">
      <w:pPr>
        <w:rPr>
          <w:rStyle w:val="Emphasis"/>
          <w:i w:val="0"/>
        </w:rPr>
      </w:pPr>
      <w:r w:rsidRPr="004C5667">
        <w:rPr>
          <w:iCs/>
        </w:rPr>
        <w:t xml:space="preserve">It is not only the distribution of mangroves that varies globally, the benefits </w:t>
      </w:r>
      <w:r w:rsidR="003861F4" w:rsidRPr="004C5667">
        <w:rPr>
          <w:iCs/>
        </w:rPr>
        <w:t xml:space="preserve">and services </w:t>
      </w:r>
      <w:r w:rsidRPr="004C5667">
        <w:rPr>
          <w:iCs/>
        </w:rPr>
        <w:t>that they provide also vary in significance and theme.</w:t>
      </w:r>
      <w:r w:rsidR="002B641C" w:rsidRPr="004C5667">
        <w:rPr>
          <w:iCs/>
        </w:rPr>
        <w:t xml:space="preserve"> The benefits of mangroves to those both directly and indirectly dependent on them can be broadly broken down into four categories: carbon (</w:t>
      </w:r>
      <w:r w:rsidR="00E14F95" w:rsidRPr="004C5667">
        <w:rPr>
          <w:iCs/>
        </w:rPr>
        <w:t xml:space="preserve">GHG </w:t>
      </w:r>
      <w:r w:rsidR="002B641C" w:rsidRPr="004C5667">
        <w:rPr>
          <w:iCs/>
        </w:rPr>
        <w:t>mitigation); coastal resilience (adaptation); biodiversity; and natural resource</w:t>
      </w:r>
      <w:r w:rsidR="00E14F95" w:rsidRPr="004C5667">
        <w:rPr>
          <w:iCs/>
        </w:rPr>
        <w:t>s</w:t>
      </w:r>
      <w:r w:rsidR="002B641C" w:rsidRPr="004C5667">
        <w:rPr>
          <w:iCs/>
        </w:rPr>
        <w:t>. An ICF mangroves investment can cover all of these themes, however the region in which we deliver will have a considerable impact on which of these benefits will be the thematic focus of the programme. </w:t>
      </w:r>
    </w:p>
    <w:p w14:paraId="2F1426C4" w14:textId="33822204" w:rsidR="00973597" w:rsidRPr="004C5667" w:rsidRDefault="00973597" w:rsidP="00EF36DF">
      <w:pPr>
        <w:pStyle w:val="Heading4"/>
      </w:pPr>
      <w:bookmarkStart w:id="42" w:name="_Toc503962096"/>
      <w:r w:rsidRPr="004C5667">
        <w:t>Carbon Benefits</w:t>
      </w:r>
      <w:bookmarkEnd w:id="42"/>
      <w:r w:rsidR="00CA64D1" w:rsidRPr="004C5667">
        <w:t xml:space="preserve"> (Mitigation</w:t>
      </w:r>
      <w:r w:rsidR="009F4A5A" w:rsidRPr="004C5667">
        <w:t xml:space="preserve"> Benefits</w:t>
      </w:r>
      <w:r w:rsidR="00CA64D1" w:rsidRPr="004C5667">
        <w:t>)</w:t>
      </w:r>
    </w:p>
    <w:p w14:paraId="4C181202" w14:textId="1FE4FF67" w:rsidR="00873B09" w:rsidRPr="004C5667" w:rsidRDefault="00973597" w:rsidP="00EF36DF">
      <w:r w:rsidRPr="004C5667">
        <w:t>The carbon richness of mangrove soil means that they are able to store up to six times the amount of carbon than primary tropical rainforest. The deforestation of tropical coastal wetlands such as mangrove forests contributes disproportionately to anthropoge</w:t>
      </w:r>
      <w:r w:rsidR="00193C86" w:rsidRPr="004C5667">
        <w:t xml:space="preserve">nic greenhouse gas emissions. </w:t>
      </w:r>
      <w:r w:rsidRPr="004C5667">
        <w:t xml:space="preserve">High carbon densities </w:t>
      </w:r>
      <w:r w:rsidRPr="004C5667">
        <w:lastRenderedPageBreak/>
        <w:t>per unit area coupled with high defore</w:t>
      </w:r>
      <w:r w:rsidR="00193C86" w:rsidRPr="004C5667">
        <w:t xml:space="preserve">station rates mean that </w:t>
      </w:r>
      <w:r w:rsidR="00873B09" w:rsidRPr="004C5667">
        <w:t>emissions from the degradation of mangroves could be as high as 10% of the total emissions from deforestation globally, even though mangroves account for only 0.7% of tropical forest area</w:t>
      </w:r>
      <w:r w:rsidR="006842E5" w:rsidRPr="004C5667">
        <w:rPr>
          <w:rStyle w:val="FootnoteReference"/>
        </w:rPr>
        <w:footnoteReference w:id="7"/>
      </w:r>
      <w:r w:rsidR="00873B09" w:rsidRPr="004C5667">
        <w:t xml:space="preserve">. Outside of the tropics, </w:t>
      </w:r>
      <w:r w:rsidR="00193C86" w:rsidRPr="004C5667">
        <w:t>global</w:t>
      </w:r>
      <w:r w:rsidRPr="004C5667">
        <w:t xml:space="preserve"> mangrove deforestation may be contributing as much as 4% of the </w:t>
      </w:r>
      <w:r w:rsidR="00193C86" w:rsidRPr="004C5667">
        <w:t>anthropogenic Forest and Other Land Use (</w:t>
      </w:r>
      <w:r w:rsidRPr="004C5667">
        <w:t>FAOLU</w:t>
      </w:r>
      <w:r w:rsidR="00193C86" w:rsidRPr="004C5667">
        <w:t>)</w:t>
      </w:r>
      <w:r w:rsidRPr="004C5667">
        <w:t xml:space="preserve"> GHG emissions to the atmosphere despite mangroves only making up 0.3% of th</w:t>
      </w:r>
      <w:r w:rsidR="00873B09" w:rsidRPr="004C5667">
        <w:t>e world’s forest.</w:t>
      </w:r>
      <w:r w:rsidR="00F838A8">
        <w:t xml:space="preserve"> FAOLU emissions make up approximately 24% of global emissions across all sectors</w:t>
      </w:r>
      <w:r w:rsidR="00B173A9">
        <w:t xml:space="preserve"> and deforestation is estimated by the IPCC to contribute four fifths of this.</w:t>
      </w:r>
      <w:r w:rsidR="00F838A8">
        <w:rPr>
          <w:rStyle w:val="FootnoteReference"/>
        </w:rPr>
        <w:footnoteReference w:id="8"/>
      </w:r>
    </w:p>
    <w:p w14:paraId="33200372" w14:textId="5277A3FA" w:rsidR="00973597" w:rsidRPr="004C5667" w:rsidRDefault="00973597" w:rsidP="00EF36DF">
      <w:r w:rsidRPr="004C5667">
        <w:t>Indonesia for example has 23% of the world’s mangrove habitat but also the highest potential annual emissions due to mangrove deforestation – approximately 50% of the potential global total emissions from mangroves</w:t>
      </w:r>
      <w:r w:rsidRPr="004C5667">
        <w:rPr>
          <w:rStyle w:val="FootnoteReference"/>
        </w:rPr>
        <w:footnoteReference w:id="9"/>
      </w:r>
      <w:r w:rsidRPr="004C5667">
        <w:t xml:space="preserve"> - and emissions from deforestation and degradation of mangroves in Mexico are thought to be 31 times greater than the values used to determine national emission reduction targets for the Paris Agreement</w:t>
      </w:r>
      <w:r w:rsidRPr="004C5667">
        <w:rPr>
          <w:rStyle w:val="FootnoteReference"/>
        </w:rPr>
        <w:footnoteReference w:id="10"/>
      </w:r>
      <w:r w:rsidR="00AD0895" w:rsidRPr="004C5667">
        <w:t xml:space="preserve">. </w:t>
      </w:r>
      <w:r w:rsidRPr="004C5667">
        <w:t>Conserving the mangrove forests in these regions is critical to avoiding further GHG emissions.</w:t>
      </w:r>
    </w:p>
    <w:p w14:paraId="6E3108E0" w14:textId="493E94F9" w:rsidR="00973597" w:rsidRPr="004C5667" w:rsidRDefault="00973597" w:rsidP="00EF36DF">
      <w:pPr>
        <w:pStyle w:val="Heading4"/>
      </w:pPr>
      <w:bookmarkStart w:id="43" w:name="_Toc503962097"/>
      <w:r w:rsidRPr="004C5667">
        <w:t>Coastal Protection</w:t>
      </w:r>
      <w:bookmarkEnd w:id="43"/>
      <w:r w:rsidR="00AD0895" w:rsidRPr="004C5667">
        <w:t xml:space="preserve"> (Adaptation Benefits)</w:t>
      </w:r>
    </w:p>
    <w:p w14:paraId="6A2E58C2" w14:textId="77777777" w:rsidR="00973597" w:rsidRPr="004C5667" w:rsidRDefault="00973597" w:rsidP="00EF36DF">
      <w:r w:rsidRPr="004C5667">
        <w:t>Mangroves are on the front line to many coastal hazards. The fact they thrive in many coastal settings indicates their ability to cope with such hazards or recover from major impacts. They often modify coastlines through their ability to attenuate waves, capture sediments and build soils. Wave height can be reduced by up to 66% for every 100m of mangrove habitat breadth; large established mangroves can attenuate storm surges by up to 50cm surge height per kilometre of mangrove; mangrove belts several hundred meters wide have been shown to reduce tsunami height by between 5 and 30%; and other connected ecosystems like sand dunes, barrier islands, saltmarshes, seagrasses and coral reefs all play an additional role in reducing waves action.</w:t>
      </w:r>
    </w:p>
    <w:p w14:paraId="4DD8F42A" w14:textId="171BD83C" w:rsidR="00AD0895" w:rsidRPr="004C5667" w:rsidRDefault="00AD0895" w:rsidP="00EF36DF">
      <w:r w:rsidRPr="004C5667">
        <w:t>Those nations with a high percentage of mangrove cover by land area are increasingly sensitive to sea level rises or to the extreme weather events associated with climate change as mangroves are lost. The Philippines, Guatemala and the Solomon Islands for example, might fit into this category. Contrastingly, these countries, particularly the small island developing states (SIDS) have mangroves with lower than average biodiversity dependence and carbon stores.</w:t>
      </w:r>
    </w:p>
    <w:p w14:paraId="0F0FED29" w14:textId="225FC700" w:rsidR="00973597" w:rsidRPr="004C5667" w:rsidRDefault="00AD0895" w:rsidP="00EF36DF">
      <w:pPr>
        <w:pStyle w:val="Heading4"/>
      </w:pPr>
      <w:r w:rsidRPr="004C5667">
        <w:t>Biodiversity and Endemism</w:t>
      </w:r>
      <w:r w:rsidR="009F4A5A" w:rsidRPr="004C5667">
        <w:t xml:space="preserve"> Benefits</w:t>
      </w:r>
    </w:p>
    <w:p w14:paraId="7109F9D6" w14:textId="0853746C" w:rsidR="00973597" w:rsidRPr="004C5667" w:rsidRDefault="00973597" w:rsidP="00EF36DF">
      <w:r w:rsidRPr="004C5667">
        <w:t xml:space="preserve">Although the floral diversity of mangrove forests </w:t>
      </w:r>
      <w:r w:rsidR="00AD0895" w:rsidRPr="004C5667">
        <w:t xml:space="preserve">themselves </w:t>
      </w:r>
      <w:r w:rsidRPr="004C5667">
        <w:t xml:space="preserve">are low their endemism is high; only 70 species make up the mangrove forests of the world compared to the 16,000 species of tree in the Amazon alone. According to the IUCN more than one in six </w:t>
      </w:r>
      <w:r w:rsidR="00AD0895" w:rsidRPr="004C5667">
        <w:t xml:space="preserve">of these </w:t>
      </w:r>
      <w:r w:rsidRPr="004C5667">
        <w:t>mangrove species are now in danger of extinction and 40% of species are considered threatened</w:t>
      </w:r>
      <w:r w:rsidRPr="004C5667">
        <w:rPr>
          <w:rStyle w:val="FootnoteReference"/>
        </w:rPr>
        <w:footnoteReference w:id="11"/>
      </w:r>
      <w:r w:rsidRPr="004C5667">
        <w:t xml:space="preserve">. </w:t>
      </w:r>
    </w:p>
    <w:p w14:paraId="26C26C92" w14:textId="0CD82901" w:rsidR="00973597" w:rsidRPr="004C5667" w:rsidRDefault="00973597" w:rsidP="00EF36DF">
      <w:r w:rsidRPr="004C5667">
        <w:t xml:space="preserve">The fauna is equally endemic and threatened. One study found 48 bird, 14 reptile, 1 amphibian, and 6 mammal species to be endemic to mangroves, the majority of which </w:t>
      </w:r>
      <w:r w:rsidR="00AD0895" w:rsidRPr="004C5667">
        <w:t>are found in Asia and Australia with Malaysian and Indonesian mangroves, having some of the highest biodiversity and endemism in the world.</w:t>
      </w:r>
      <w:r w:rsidRPr="004C5667">
        <w:t xml:space="preserve"> </w:t>
      </w:r>
      <w:r w:rsidR="00AD0895" w:rsidRPr="004C5667">
        <w:lastRenderedPageBreak/>
        <w:t xml:space="preserve">IUCN </w:t>
      </w:r>
      <w:r w:rsidRPr="004C5667">
        <w:t>also report that more than 40% of assessed mangrove-endemic vertebrates are globally threatened</w:t>
      </w:r>
      <w:r w:rsidRPr="004C5667">
        <w:rPr>
          <w:rStyle w:val="FootnoteReference"/>
        </w:rPr>
        <w:footnoteReference w:id="12"/>
      </w:r>
      <w:r w:rsidRPr="004C5667">
        <w:t>.</w:t>
      </w:r>
    </w:p>
    <w:p w14:paraId="0BCBF130" w14:textId="211A1915" w:rsidR="00973597" w:rsidRPr="004C5667" w:rsidRDefault="00973597" w:rsidP="00EF36DF">
      <w:r w:rsidRPr="004C5667">
        <w:t>Due to the high abundance of food and shelter, and low p</w:t>
      </w:r>
      <w:r w:rsidR="00AD0895" w:rsidRPr="004C5667">
        <w:t>redation pressure below the water line,</w:t>
      </w:r>
      <w:r w:rsidRPr="004C5667">
        <w:t xml:space="preserve"> mangroves also form an ideal aquatic habitat for a variety of species. </w:t>
      </w:r>
      <w:r w:rsidR="00AD0895" w:rsidRPr="004C5667">
        <w:t>T</w:t>
      </w:r>
      <w:r w:rsidRPr="004C5667">
        <w:t>unicates, sponges, algae, and bivalves are prevalent as are motile fauna such as prawns, crabs and fishes.</w:t>
      </w:r>
      <w:r w:rsidR="00AD0895" w:rsidRPr="004C5667">
        <w:t xml:space="preserve"> Although aquatic mangrove species are not typically as endemic as the terrestrial fauna, the multi-habitat dynamic of the mangrove forests significantly contributes to their biodiversity value.</w:t>
      </w:r>
    </w:p>
    <w:p w14:paraId="29F0713E" w14:textId="66B72DDD" w:rsidR="00973597" w:rsidRPr="004C5667" w:rsidRDefault="00973597" w:rsidP="00EF36DF">
      <w:pPr>
        <w:pStyle w:val="Heading4"/>
      </w:pPr>
      <w:bookmarkStart w:id="44" w:name="_Toc503962099"/>
      <w:r w:rsidRPr="004C5667">
        <w:t>Natural Resource</w:t>
      </w:r>
      <w:bookmarkEnd w:id="44"/>
      <w:r w:rsidR="00AD0895" w:rsidRPr="004C5667">
        <w:t xml:space="preserve"> Benefits</w:t>
      </w:r>
    </w:p>
    <w:p w14:paraId="083510D9" w14:textId="53830F3C" w:rsidR="00973597" w:rsidRPr="004C5667" w:rsidRDefault="00AD0895" w:rsidP="00EF36DF">
      <w:r w:rsidRPr="004C5667">
        <w:t>In some of the poorest parts of the world, coastal communities are dependent on mangroves for their subsistence.</w:t>
      </w:r>
      <w:r w:rsidR="00C40E3F" w:rsidRPr="004C5667">
        <w:t xml:space="preserve"> Countries such as Madagascar and Mozambique are particular examples.</w:t>
      </w:r>
      <w:r w:rsidRPr="004C5667">
        <w:t xml:space="preserve"> </w:t>
      </w:r>
      <w:r w:rsidR="00C40E3F" w:rsidRPr="004C5667">
        <w:t>M</w:t>
      </w:r>
      <w:r w:rsidR="00973597" w:rsidRPr="004C5667">
        <w:t xml:space="preserve">angroves function as nursery habitats for </w:t>
      </w:r>
      <w:r w:rsidR="00C40E3F" w:rsidRPr="004C5667">
        <w:t xml:space="preserve">small and large scale, </w:t>
      </w:r>
      <w:r w:rsidR="00973597" w:rsidRPr="004C5667">
        <w:t xml:space="preserve">commercially important crab, prawn and fish species, and </w:t>
      </w:r>
      <w:r w:rsidR="00C40E3F" w:rsidRPr="004C5667">
        <w:t xml:space="preserve">also </w:t>
      </w:r>
      <w:r w:rsidR="00973597" w:rsidRPr="004C5667">
        <w:t xml:space="preserve">support offshore fish populations and fisheries. They provide construction materials and firewood to rural populations living in and around them and various other livelihood or food security benefits depending on region. Most recently this has </w:t>
      </w:r>
      <w:r w:rsidR="00C40E3F" w:rsidRPr="004C5667">
        <w:t xml:space="preserve">also </w:t>
      </w:r>
      <w:r w:rsidR="00973597" w:rsidRPr="004C5667">
        <w:t>included eco-tourism practices.</w:t>
      </w:r>
    </w:p>
    <w:p w14:paraId="76D40695" w14:textId="4F950045" w:rsidR="00973597" w:rsidRPr="004C5667" w:rsidRDefault="00BD2FCD" w:rsidP="00EF36DF">
      <w:r w:rsidRPr="004C5667">
        <w:t>The</w:t>
      </w:r>
      <w:r w:rsidR="00973597" w:rsidRPr="004C5667">
        <w:t xml:space="preserve"> potential </w:t>
      </w:r>
      <w:r w:rsidRPr="004C5667">
        <w:t xml:space="preserve">for mangroves </w:t>
      </w:r>
      <w:r w:rsidR="00973597" w:rsidRPr="004C5667">
        <w:t xml:space="preserve">to support </w:t>
      </w:r>
      <w:r w:rsidR="00C40E3F" w:rsidRPr="004C5667">
        <w:t>artisanal</w:t>
      </w:r>
      <w:r w:rsidRPr="004C5667">
        <w:t xml:space="preserve"> and industrial supply chains through their</w:t>
      </w:r>
      <w:r w:rsidR="00C40E3F" w:rsidRPr="004C5667">
        <w:t xml:space="preserve"> plentiful</w:t>
      </w:r>
      <w:r w:rsidRPr="004C5667">
        <w:t xml:space="preserve"> </w:t>
      </w:r>
      <w:r w:rsidR="00973597" w:rsidRPr="004C5667">
        <w:t xml:space="preserve">natural resources also jeopardises them and conversion to salt pans or shrimps farms are some of the biggest causes of </w:t>
      </w:r>
      <w:proofErr w:type="spellStart"/>
      <w:r w:rsidR="00973597" w:rsidRPr="004C5667">
        <w:t>anthropo</w:t>
      </w:r>
      <w:r w:rsidR="00AD0895" w:rsidRPr="004C5667">
        <w:t>genically</w:t>
      </w:r>
      <w:proofErr w:type="spellEnd"/>
      <w:r w:rsidR="00AD0895" w:rsidRPr="004C5667">
        <w:t xml:space="preserve"> driven mangrove loss.</w:t>
      </w:r>
    </w:p>
    <w:p w14:paraId="40102715" w14:textId="2E726DBB" w:rsidR="007E0FF3" w:rsidRPr="004C5667" w:rsidRDefault="007E0FF3" w:rsidP="00EF36DF">
      <w:pPr>
        <w:pStyle w:val="Heading2"/>
      </w:pPr>
      <w:bookmarkStart w:id="45" w:name="_Toc466289270"/>
      <w:bookmarkStart w:id="46" w:name="_Toc466471585"/>
      <w:bookmarkStart w:id="47" w:name="_Toc505691918"/>
      <w:bookmarkStart w:id="48" w:name="_Toc505693253"/>
      <w:bookmarkStart w:id="49" w:name="_Toc527027967"/>
      <w:bookmarkEnd w:id="40"/>
      <w:bookmarkEnd w:id="41"/>
      <w:r w:rsidRPr="004C5667">
        <w:t xml:space="preserve">Rationale for Intervention: </w:t>
      </w:r>
      <w:bookmarkEnd w:id="45"/>
      <w:r w:rsidR="00EB32C6" w:rsidRPr="004C5667">
        <w:t>Threats to Mangroves</w:t>
      </w:r>
      <w:bookmarkEnd w:id="46"/>
      <w:bookmarkEnd w:id="47"/>
      <w:bookmarkEnd w:id="48"/>
      <w:bookmarkEnd w:id="49"/>
    </w:p>
    <w:p w14:paraId="672538AC" w14:textId="77777777" w:rsidR="00EB32C6" w:rsidRPr="004C5667" w:rsidRDefault="00EB32C6" w:rsidP="00EF36DF">
      <w:pPr>
        <w:rPr>
          <w:iCs/>
        </w:rPr>
      </w:pPr>
      <w:bookmarkStart w:id="50" w:name="_Toc466471586"/>
      <w:bookmarkStart w:id="51" w:name="_Toc505691919"/>
      <w:bookmarkStart w:id="52" w:name="_Toc505693254"/>
      <w:r w:rsidRPr="004C5667">
        <w:rPr>
          <w:iCs/>
        </w:rPr>
        <w:t xml:space="preserve">Despite their immense value, mangrove forests </w:t>
      </w:r>
      <w:r w:rsidRPr="004C5667">
        <w:t>are subject to a variety of natural, climatic and anthropogenic threats which include</w:t>
      </w:r>
      <w:r w:rsidRPr="004C5667">
        <w:rPr>
          <w:iCs/>
        </w:rPr>
        <w:t xml:space="preserve"> but are not limited to coastal development, climate change, logging, aquaculture and agriculture. These have caused global rates of mangrove loss to peak at 3% per year at the end of the 20</w:t>
      </w:r>
      <w:r w:rsidRPr="004C5667">
        <w:rPr>
          <w:iCs/>
          <w:vertAlign w:val="superscript"/>
        </w:rPr>
        <w:t>th</w:t>
      </w:r>
      <w:r w:rsidRPr="004C5667">
        <w:rPr>
          <w:iCs/>
        </w:rPr>
        <w:t xml:space="preserve"> century. However there are, and have been, high degrees of local and national variation. For example between 1968 and 1990 the Philippines lost 70.4% of its total mangrove habitat with an average rate of 5.4% and in the same period Thailand lost 53% at a rate of 2.5% a year. Both are much higher than the average rates of loss in other tropical forests.</w:t>
      </w:r>
    </w:p>
    <w:p w14:paraId="4F6212C8" w14:textId="00775CF3" w:rsidR="009F4A5A" w:rsidRPr="004C5667" w:rsidRDefault="009F4A5A" w:rsidP="00EF36DF">
      <w:pPr>
        <w:pStyle w:val="Heading3"/>
      </w:pPr>
      <w:r w:rsidRPr="004C5667">
        <w:t>Traditional Threats</w:t>
      </w:r>
    </w:p>
    <w:p w14:paraId="19FC0909" w14:textId="42F0D3CE" w:rsidR="00EB32C6" w:rsidRPr="004C5667" w:rsidRDefault="00EB32C6" w:rsidP="00EF36DF">
      <w:pPr>
        <w:rPr>
          <w:rStyle w:val="Emphasis"/>
          <w:i w:val="0"/>
        </w:rPr>
      </w:pPr>
      <w:r w:rsidRPr="004C5667">
        <w:rPr>
          <w:iCs/>
        </w:rPr>
        <w:t>WWF has categorised the threats to mangrov</w:t>
      </w:r>
      <w:r w:rsidR="00342F75" w:rsidRPr="004C5667">
        <w:rPr>
          <w:iCs/>
        </w:rPr>
        <w:t>es under the following headings, however mangrove loss is often not attributable to a single driver like agriculture; instead, many natural and anthropogenic stressors can interact additively or synergistically, leading to rapid and large-scale die-offs in some regions.</w:t>
      </w:r>
      <w:r w:rsidR="00342F75" w:rsidRPr="004C5667">
        <w:rPr>
          <w:rStyle w:val="FootnoteReference"/>
          <w:iCs/>
        </w:rPr>
        <w:footnoteReference w:id="13"/>
      </w:r>
    </w:p>
    <w:p w14:paraId="74F35CFB" w14:textId="77777777" w:rsidR="00EB32C6" w:rsidRPr="004C5667" w:rsidRDefault="00EB32C6" w:rsidP="00F93F6C">
      <w:pPr>
        <w:pStyle w:val="ListParagraph"/>
        <w:numPr>
          <w:ilvl w:val="0"/>
          <w:numId w:val="3"/>
        </w:numPr>
        <w:rPr>
          <w:rStyle w:val="Emphasis"/>
          <w:i w:val="0"/>
        </w:rPr>
      </w:pPr>
      <w:r w:rsidRPr="004C5667">
        <w:rPr>
          <w:rStyle w:val="Emphasis"/>
        </w:rPr>
        <w:t>Clearing</w:t>
      </w:r>
      <w:r w:rsidRPr="004C5667">
        <w:rPr>
          <w:rStyle w:val="Emphasis"/>
          <w:i w:val="0"/>
        </w:rPr>
        <w:t>: Historically mangroves were seen as unproductive and cleared to make room for agricultural land, human settlements, infrastructure (such as harbours), and industrial areas. More recently, clearing for tourist developments, shrimp aquaculture, and salt farms has taken place. Clearing continues to be a major factor behind mangrove loss around the word.</w:t>
      </w:r>
    </w:p>
    <w:p w14:paraId="37430AA9" w14:textId="77777777" w:rsidR="00EB32C6" w:rsidRPr="004C5667" w:rsidRDefault="00EB32C6" w:rsidP="00F93F6C">
      <w:pPr>
        <w:pStyle w:val="ListParagraph"/>
        <w:numPr>
          <w:ilvl w:val="0"/>
          <w:numId w:val="3"/>
        </w:numPr>
        <w:rPr>
          <w:rStyle w:val="Emphasis"/>
          <w:i w:val="0"/>
        </w:rPr>
      </w:pPr>
      <w:r w:rsidRPr="004C5667">
        <w:rPr>
          <w:rStyle w:val="Emphasis"/>
        </w:rPr>
        <w:t>Overharvesting</w:t>
      </w:r>
      <w:r w:rsidRPr="004C5667">
        <w:rPr>
          <w:rStyle w:val="Emphasis"/>
          <w:i w:val="0"/>
        </w:rPr>
        <w:t>: Mangrove trees are used for firewood, construction wood, wood chip and pulp production, charcoal production, and animal fodder. While harvesting has taken place for centuries, in some parts of the world it is no longer sustainable, threatening the future of the forests.</w:t>
      </w:r>
    </w:p>
    <w:p w14:paraId="21FCCA71" w14:textId="77777777" w:rsidR="00EB32C6" w:rsidRPr="004C5667" w:rsidRDefault="00EB32C6" w:rsidP="00F93F6C">
      <w:pPr>
        <w:pStyle w:val="ListParagraph"/>
        <w:numPr>
          <w:ilvl w:val="0"/>
          <w:numId w:val="3"/>
        </w:numPr>
        <w:rPr>
          <w:rStyle w:val="Emphasis"/>
          <w:i w:val="0"/>
        </w:rPr>
      </w:pPr>
      <w:r w:rsidRPr="004C5667">
        <w:rPr>
          <w:rStyle w:val="Emphasis"/>
        </w:rPr>
        <w:lastRenderedPageBreak/>
        <w:t>River changes</w:t>
      </w:r>
      <w:r w:rsidRPr="004C5667">
        <w:rPr>
          <w:rStyle w:val="Emphasis"/>
          <w:i w:val="0"/>
        </w:rPr>
        <w:t xml:space="preserve">: The human modification of waterways through dams and irrigation can reduce the amount of water reaching mangroves leading to inhospitable salinity changes and drying out. Increased terrestrial soil erosion from poorly managed land use can also </w:t>
      </w:r>
      <w:r w:rsidRPr="004C5667">
        <w:rPr>
          <w:iCs/>
        </w:rPr>
        <w:t>increase the amount of sediment in reaching mangroves, smothering them.</w:t>
      </w:r>
    </w:p>
    <w:p w14:paraId="2F138811" w14:textId="4AB86E49" w:rsidR="006545FD" w:rsidRPr="006545FD" w:rsidRDefault="00EB32C6" w:rsidP="006545FD">
      <w:pPr>
        <w:pStyle w:val="ListParagraph"/>
        <w:numPr>
          <w:ilvl w:val="0"/>
          <w:numId w:val="3"/>
        </w:numPr>
        <w:rPr>
          <w:rStyle w:val="Emphasis"/>
          <w:i w:val="0"/>
        </w:rPr>
      </w:pPr>
      <w:r w:rsidRPr="004C5667">
        <w:rPr>
          <w:rStyle w:val="Emphasis"/>
        </w:rPr>
        <w:t>Overfishing</w:t>
      </w:r>
      <w:r w:rsidRPr="004C5667">
        <w:rPr>
          <w:rStyle w:val="Emphasis"/>
          <w:i w:val="0"/>
        </w:rPr>
        <w:t>:</w:t>
      </w:r>
      <w:r w:rsidR="006545FD">
        <w:rPr>
          <w:rStyle w:val="Emphasis"/>
          <w:i w:val="0"/>
        </w:rPr>
        <w:t xml:space="preserve"> </w:t>
      </w:r>
      <w:r w:rsidR="006545FD">
        <w:t>Many species of fish, including those of commercial importance, use the protection offered by mangroves as nursery sites and to replenish offshore fish populations when they reach their adult size. Some species show high dependence on mangroves of up to 100%, with adult populations significantly depleted in areas where mangroves are lost.</w:t>
      </w:r>
      <w:r w:rsidR="006545FD">
        <w:rPr>
          <w:rStyle w:val="FootnoteReference"/>
        </w:rPr>
        <w:footnoteReference w:id="14"/>
      </w:r>
    </w:p>
    <w:p w14:paraId="79EF0ABE" w14:textId="380DE5FE" w:rsidR="00EB32C6" w:rsidRPr="004C5667" w:rsidRDefault="007B38AC" w:rsidP="00F93F6C">
      <w:pPr>
        <w:pStyle w:val="ListParagraph"/>
        <w:numPr>
          <w:ilvl w:val="0"/>
          <w:numId w:val="3"/>
        </w:numPr>
        <w:rPr>
          <w:rStyle w:val="Emphasis"/>
          <w:i w:val="0"/>
        </w:rPr>
      </w:pPr>
      <w:r>
        <w:rPr>
          <w:rStyle w:val="Emphasis"/>
          <w:i w:val="0"/>
        </w:rPr>
        <w:t>So t</w:t>
      </w:r>
      <w:r w:rsidR="00A60D8F">
        <w:rPr>
          <w:rStyle w:val="Emphasis"/>
          <w:i w:val="0"/>
        </w:rPr>
        <w:t>h</w:t>
      </w:r>
      <w:r w:rsidR="00EB32C6" w:rsidRPr="004C5667">
        <w:rPr>
          <w:rStyle w:val="Emphasis"/>
          <w:i w:val="0"/>
        </w:rPr>
        <w:t>e global overfishing crisis effects and alters the ecological balance of food chains and aquatic communities within mangrove forests.</w:t>
      </w:r>
    </w:p>
    <w:p w14:paraId="627C15FB" w14:textId="77777777" w:rsidR="00EB32C6" w:rsidRPr="004C5667" w:rsidRDefault="00EB32C6" w:rsidP="00F93F6C">
      <w:pPr>
        <w:pStyle w:val="ListParagraph"/>
        <w:numPr>
          <w:ilvl w:val="0"/>
          <w:numId w:val="3"/>
        </w:numPr>
        <w:rPr>
          <w:rStyle w:val="Emphasis"/>
          <w:i w:val="0"/>
        </w:rPr>
      </w:pPr>
      <w:r w:rsidRPr="004C5667">
        <w:rPr>
          <w:rStyle w:val="Emphasis"/>
        </w:rPr>
        <w:t>Destruction of coral reefs</w:t>
      </w:r>
      <w:r w:rsidRPr="004C5667">
        <w:rPr>
          <w:rStyle w:val="Emphasis"/>
          <w:i w:val="0"/>
        </w:rPr>
        <w:t>: Coral reefs are the first line of coastal defence in many tropical coastal environments. When they are lost, waves and currents reach new areas of the coast undermining the sediments mangroves are dependent on for nutrient supply and seedling settlement and growth.</w:t>
      </w:r>
    </w:p>
    <w:p w14:paraId="4D641ADF" w14:textId="77777777" w:rsidR="00EB32C6" w:rsidRPr="004C5667" w:rsidRDefault="00EB32C6" w:rsidP="00F93F6C">
      <w:pPr>
        <w:pStyle w:val="ListParagraph"/>
        <w:numPr>
          <w:ilvl w:val="0"/>
          <w:numId w:val="3"/>
        </w:numPr>
        <w:rPr>
          <w:rStyle w:val="Emphasis"/>
          <w:i w:val="0"/>
        </w:rPr>
      </w:pPr>
      <w:r w:rsidRPr="004C5667">
        <w:rPr>
          <w:rStyle w:val="Emphasis"/>
        </w:rPr>
        <w:t>Pollution</w:t>
      </w:r>
      <w:r w:rsidRPr="004C5667">
        <w:rPr>
          <w:rStyle w:val="Emphasis"/>
          <w:i w:val="0"/>
        </w:rPr>
        <w:t>: Fertilisers, pesticides, and other toxic chemicals carried by river systems can kill animals living in mangrove forests, while oil pollution can smother mangrove roots and suffocate the trees.</w:t>
      </w:r>
    </w:p>
    <w:p w14:paraId="1467AAF1" w14:textId="77777777" w:rsidR="00EB32C6" w:rsidRPr="004C5667" w:rsidRDefault="00EB32C6" w:rsidP="00F93F6C">
      <w:pPr>
        <w:pStyle w:val="ListParagraph"/>
        <w:numPr>
          <w:ilvl w:val="0"/>
          <w:numId w:val="3"/>
        </w:numPr>
        <w:rPr>
          <w:rStyle w:val="Emphasis"/>
          <w:i w:val="0"/>
        </w:rPr>
      </w:pPr>
      <w:r w:rsidRPr="004C5667">
        <w:rPr>
          <w:rStyle w:val="Emphasis"/>
        </w:rPr>
        <w:t>Climate change and extreme weather</w:t>
      </w:r>
      <w:r w:rsidRPr="004C5667">
        <w:rPr>
          <w:rStyle w:val="Emphasis"/>
          <w:i w:val="0"/>
        </w:rPr>
        <w:t xml:space="preserve">: </w:t>
      </w:r>
      <w:r w:rsidRPr="004C5667">
        <w:rPr>
          <w:iCs/>
        </w:rPr>
        <w:t>Mangrove losses as a result of climate change are mainly attributed to sea-level rise, high water events, storms, altered ocean circulation patterns, health of linked ecosystems, and socio-economic activities. Mangrove forests require relatively stable sea levels for long-term survival and are therefore extremely sensitive to current rising sea levels caused by climate change.</w:t>
      </w:r>
    </w:p>
    <w:p w14:paraId="68158F6E" w14:textId="77777777" w:rsidR="00EB32C6" w:rsidRPr="004C5667" w:rsidRDefault="00EB32C6" w:rsidP="00EF36DF">
      <w:pPr>
        <w:rPr>
          <w:rStyle w:val="Emphasis"/>
          <w:i w:val="0"/>
        </w:rPr>
      </w:pPr>
      <w:r w:rsidRPr="004C5667">
        <w:rPr>
          <w:rStyle w:val="Emphasis"/>
          <w:i w:val="0"/>
        </w:rPr>
        <w:t>Other smaller scale factors commonly cause degradation rather than total loss of forest cover. These include disease which, in Bangladesh for example, “top-dying disease” has degraded 45 million hectares of trees (20% of the entire mangrove forest cover) and biological pests and parasites.</w:t>
      </w:r>
      <w:r w:rsidRPr="004C5667">
        <w:rPr>
          <w:rStyle w:val="FootnoteReference"/>
          <w:iCs/>
        </w:rPr>
        <w:footnoteReference w:id="15"/>
      </w:r>
    </w:p>
    <w:p w14:paraId="3C08D887" w14:textId="3A67895C" w:rsidR="00A75C8B" w:rsidRPr="004C5667" w:rsidRDefault="00A75C8B" w:rsidP="00EF36DF">
      <w:pPr>
        <w:pStyle w:val="Heading3"/>
        <w:rPr>
          <w:rStyle w:val="Emphasis"/>
          <w:i w:val="0"/>
        </w:rPr>
      </w:pPr>
      <w:r w:rsidRPr="004C5667">
        <w:rPr>
          <w:rStyle w:val="Emphasis"/>
          <w:i w:val="0"/>
        </w:rPr>
        <w:t>Land Tenure and Ownership Rights</w:t>
      </w:r>
    </w:p>
    <w:p w14:paraId="41BFE5CC" w14:textId="52EA3FDD" w:rsidR="002E053B" w:rsidRPr="004C5667" w:rsidRDefault="00EB32C6" w:rsidP="00EF36DF">
      <w:pPr>
        <w:rPr>
          <w:iCs/>
        </w:rPr>
      </w:pPr>
      <w:r w:rsidRPr="004C5667">
        <w:rPr>
          <w:rStyle w:val="Emphasis"/>
          <w:i w:val="0"/>
        </w:rPr>
        <w:t xml:space="preserve">Outside of the list proposed by WWF there are also significant socio-economic threats to mangroves related to issues with access, land tenure and ownership rights. </w:t>
      </w:r>
      <w:r w:rsidR="002E053B" w:rsidRPr="004C5667">
        <w:rPr>
          <w:rStyle w:val="Emphasis"/>
          <w:i w:val="0"/>
        </w:rPr>
        <w:t>In fact o</w:t>
      </w:r>
      <w:r w:rsidR="002E053B" w:rsidRPr="004C5667">
        <w:rPr>
          <w:iCs/>
        </w:rPr>
        <w:t>ne of the key reasons mangroves are being destroyed despite their importance for the livelihoods of so many people is that there is a lack of management or usage rights; t</w:t>
      </w:r>
      <w:r w:rsidR="002E053B" w:rsidRPr="004C5667">
        <w:rPr>
          <w:rStyle w:val="Emphasis"/>
          <w:i w:val="0"/>
        </w:rPr>
        <w:t>he evidence on both sides reflects this. S</w:t>
      </w:r>
      <w:r w:rsidRPr="004C5667">
        <w:rPr>
          <w:rStyle w:val="Emphasis"/>
          <w:i w:val="0"/>
        </w:rPr>
        <w:t>tudies at RAMSAR sites in Ghana showed</w:t>
      </w:r>
      <w:r w:rsidRPr="004C5667">
        <w:rPr>
          <w:iCs/>
        </w:rPr>
        <w:t> that the existing ownership regime of mangrove resources directly effects the effectiveness of mangrove conservation in those regions.</w:t>
      </w:r>
      <w:r w:rsidRPr="004C5667">
        <w:rPr>
          <w:rStyle w:val="FootnoteReference"/>
          <w:iCs/>
        </w:rPr>
        <w:footnoteReference w:id="16"/>
      </w:r>
      <w:r w:rsidR="002E053B" w:rsidRPr="004C5667">
        <w:rPr>
          <w:iCs/>
        </w:rPr>
        <w:t xml:space="preserve"> Work in the </w:t>
      </w:r>
      <w:proofErr w:type="spellStart"/>
      <w:r w:rsidR="002E053B" w:rsidRPr="004C5667">
        <w:rPr>
          <w:iCs/>
        </w:rPr>
        <w:t>Ambaro-Ambanja</w:t>
      </w:r>
      <w:proofErr w:type="spellEnd"/>
      <w:r w:rsidR="002E053B" w:rsidRPr="004C5667">
        <w:rPr>
          <w:iCs/>
        </w:rPr>
        <w:t xml:space="preserve"> Bay region of northwest Madagascar found that 81% of mangroves lacked any formal management arrangements.  This lack of security allows third parties to exploit the mangroves without any legal consequences, while also decreasing local communities’ incentive to invest in the conservation and sustainable management of mangrove forests. </w:t>
      </w:r>
    </w:p>
    <w:p w14:paraId="1449D44B" w14:textId="0BD75F8C" w:rsidR="002E053B" w:rsidRPr="004C5667" w:rsidRDefault="002E053B" w:rsidP="00EF36DF">
      <w:pPr>
        <w:rPr>
          <w:iCs/>
        </w:rPr>
      </w:pPr>
      <w:r w:rsidRPr="004C5667">
        <w:rPr>
          <w:iCs/>
        </w:rPr>
        <w:lastRenderedPageBreak/>
        <w:t>A key part of any programme therefore should seek to understand the legal structures that exist in the target region and work with local and national partners to establish these in a more transparent framework whilst developing an integrated approach that addresses some of underlying drivers of mangrove loss.</w:t>
      </w:r>
    </w:p>
    <w:p w14:paraId="310D71DA" w14:textId="6BD59375" w:rsidR="00A75C8B" w:rsidRPr="004C5667" w:rsidRDefault="00A75C8B" w:rsidP="00EF36DF">
      <w:pPr>
        <w:pStyle w:val="Heading3"/>
      </w:pPr>
      <w:r w:rsidRPr="004C5667">
        <w:t>Ecosystem Services</w:t>
      </w:r>
    </w:p>
    <w:p w14:paraId="1FC782E9" w14:textId="3866D51A" w:rsidR="002E053B" w:rsidRPr="004C5667" w:rsidRDefault="002E053B" w:rsidP="00EF36DF">
      <w:pPr>
        <w:rPr>
          <w:iCs/>
        </w:rPr>
      </w:pPr>
      <w:r w:rsidRPr="004C5667">
        <w:rPr>
          <w:iCs/>
        </w:rPr>
        <w:t xml:space="preserve">As with other types of deforestation, mangrove destruction also occurs because the value </w:t>
      </w:r>
      <w:r w:rsidR="00A1093A" w:rsidRPr="004C5667">
        <w:rPr>
          <w:iCs/>
        </w:rPr>
        <w:t>that mangroves</w:t>
      </w:r>
      <w:r w:rsidRPr="004C5667">
        <w:rPr>
          <w:iCs/>
        </w:rPr>
        <w:t xml:space="preserve"> provide to local ecosystems and global climate regulating services (such as CO</w:t>
      </w:r>
      <w:r w:rsidRPr="004C5667">
        <w:rPr>
          <w:iCs/>
          <w:vertAlign w:val="subscript"/>
        </w:rPr>
        <w:t>2</w:t>
      </w:r>
      <w:r w:rsidRPr="004C5667">
        <w:rPr>
          <w:iCs/>
        </w:rPr>
        <w:t xml:space="preserve"> sequestration and coastal protection) are not adequately compensated by existing markets.  These market failures include:  </w:t>
      </w:r>
    </w:p>
    <w:p w14:paraId="4C22CFE5" w14:textId="4A149853" w:rsidR="002E053B" w:rsidRPr="004C5667" w:rsidRDefault="002E053B" w:rsidP="00F93F6C">
      <w:pPr>
        <w:pStyle w:val="ListParagraph"/>
        <w:numPr>
          <w:ilvl w:val="0"/>
          <w:numId w:val="8"/>
        </w:numPr>
        <w:rPr>
          <w:iCs/>
        </w:rPr>
      </w:pPr>
      <w:r w:rsidRPr="004C5667">
        <w:rPr>
          <w:b/>
          <w:iCs/>
        </w:rPr>
        <w:t>Local externalities</w:t>
      </w:r>
      <w:r w:rsidRPr="004C5667">
        <w:rPr>
          <w:iCs/>
        </w:rPr>
        <w:t xml:space="preserve"> such as where mangrove habitats support fisheries in the local area.  Often those felling mangroves used for these purposes are not required to compensate the fishermen whose livelihoods are jeopardised. </w:t>
      </w:r>
    </w:p>
    <w:p w14:paraId="38282191" w14:textId="57287227" w:rsidR="002E053B" w:rsidRPr="004C5667" w:rsidRDefault="002E053B" w:rsidP="00F93F6C">
      <w:pPr>
        <w:pStyle w:val="ListParagraph"/>
        <w:numPr>
          <w:ilvl w:val="0"/>
          <w:numId w:val="8"/>
        </w:numPr>
        <w:rPr>
          <w:iCs/>
        </w:rPr>
      </w:pPr>
      <w:r w:rsidRPr="004C5667">
        <w:rPr>
          <w:b/>
          <w:iCs/>
        </w:rPr>
        <w:t>Wider externalities</w:t>
      </w:r>
      <w:r w:rsidRPr="004C5667">
        <w:rPr>
          <w:iCs/>
        </w:rPr>
        <w:t xml:space="preserve"> </w:t>
      </w:r>
      <w:r w:rsidR="00A75C8B" w:rsidRPr="004C5667">
        <w:rPr>
          <w:iCs/>
        </w:rPr>
        <w:t xml:space="preserve">through </w:t>
      </w:r>
      <w:r w:rsidRPr="004C5667">
        <w:rPr>
          <w:iCs/>
        </w:rPr>
        <w:t xml:space="preserve">ecosystem services which may not </w:t>
      </w:r>
      <w:r w:rsidR="00A75C8B" w:rsidRPr="004C5667">
        <w:rPr>
          <w:iCs/>
        </w:rPr>
        <w:t xml:space="preserve">robustly </w:t>
      </w:r>
      <w:r w:rsidRPr="004C5667">
        <w:rPr>
          <w:iCs/>
        </w:rPr>
        <w:t>support</w:t>
      </w:r>
      <w:r w:rsidR="00A75C8B" w:rsidRPr="004C5667">
        <w:rPr>
          <w:iCs/>
        </w:rPr>
        <w:t xml:space="preserve"> any particular market activity. F</w:t>
      </w:r>
      <w:r w:rsidRPr="004C5667">
        <w:rPr>
          <w:iCs/>
        </w:rPr>
        <w:t>or exam</w:t>
      </w:r>
      <w:r w:rsidR="00A75C8B" w:rsidRPr="004C5667">
        <w:rPr>
          <w:iCs/>
        </w:rPr>
        <w:t>ple it is possible to value the ability of mangroves to sequester carbon or</w:t>
      </w:r>
      <w:r w:rsidRPr="004C5667">
        <w:rPr>
          <w:iCs/>
        </w:rPr>
        <w:t xml:space="preserve"> sup</w:t>
      </w:r>
      <w:r w:rsidR="00A75C8B" w:rsidRPr="004C5667">
        <w:rPr>
          <w:iCs/>
        </w:rPr>
        <w:t>port important biodiversity</w:t>
      </w:r>
      <w:r w:rsidRPr="004C5667">
        <w:rPr>
          <w:iCs/>
        </w:rPr>
        <w:t xml:space="preserve"> and yet currently those clearing the mangrove will value this service at zero. </w:t>
      </w:r>
      <w:r w:rsidR="00A75C8B" w:rsidRPr="004C5667">
        <w:rPr>
          <w:iCs/>
        </w:rPr>
        <w:t xml:space="preserve">A mangrove programme that focusses on these additional ecosystem services should aim to value these services and report against them. One such methodology involves utilising the TEEB (The Economics of Ecosystems and Biodiversity) database </w:t>
      </w:r>
      <w:r w:rsidR="00D947A2" w:rsidRPr="004C5667">
        <w:rPr>
          <w:iCs/>
        </w:rPr>
        <w:t>and a value for mangrove habitats is currently under development.</w:t>
      </w:r>
    </w:p>
    <w:p w14:paraId="4CDD09E8" w14:textId="40E4B92F" w:rsidR="008D11BA" w:rsidRPr="004C5667" w:rsidRDefault="0005604E" w:rsidP="00EF36DF">
      <w:pPr>
        <w:pStyle w:val="Heading2"/>
      </w:pPr>
      <w:bookmarkStart w:id="53" w:name="_Toc527027968"/>
      <w:r w:rsidRPr="004C5667">
        <w:t>Existing Approaches to Mangrove Conservation</w:t>
      </w:r>
      <w:bookmarkEnd w:id="53"/>
    </w:p>
    <w:p w14:paraId="2EAC6D0F" w14:textId="078FE86A" w:rsidR="008D11BA" w:rsidRPr="004C5667" w:rsidRDefault="009F4A5A" w:rsidP="00EF36DF">
      <w:r w:rsidRPr="004C5667">
        <w:t xml:space="preserve">Mangrove protection and restoration is not new, however the scope and levels of success found by </w:t>
      </w:r>
      <w:r w:rsidR="0005604E" w:rsidRPr="004C5667">
        <w:t xml:space="preserve">these </w:t>
      </w:r>
      <w:r w:rsidRPr="004C5667">
        <w:t>projects has been varied.</w:t>
      </w:r>
      <w:r w:rsidR="0005604E" w:rsidRPr="004C5667">
        <w:t xml:space="preserve"> Lessons can be learned from the successes and failures of historical and existing interventions and these lessons should be incorporated into the design of any future programming.</w:t>
      </w:r>
    </w:p>
    <w:p w14:paraId="775FA38E" w14:textId="77777777" w:rsidR="0005604E" w:rsidRPr="004C5667" w:rsidRDefault="0005604E" w:rsidP="00EF36DF">
      <w:r w:rsidRPr="004C5667">
        <w:t>The UN has identified several potential intervention strategies for governmental and non-governmental organisations to take action to halt the dramatic loss of mangrove forests. These measures range from traditional conservation approaches including the creation of designated protected areas; legislation restricting or prohibiting clearing; and education and restoration projects on local, national, regional, or international scales. These often involve local communities and organisations as stewards of mangrove ecosystems and sometimes allow sustainable harvest within project areas.</w:t>
      </w:r>
    </w:p>
    <w:p w14:paraId="2B127E0A" w14:textId="77777777" w:rsidR="0005604E" w:rsidRPr="004C5667" w:rsidRDefault="0005604E" w:rsidP="00EF36DF">
      <w:pPr>
        <w:pStyle w:val="Heading3"/>
      </w:pPr>
      <w:bookmarkStart w:id="54" w:name="_Toc503962102"/>
      <w:r w:rsidRPr="004C5667">
        <w:t>Conservation through conventions and protected areas</w:t>
      </w:r>
      <w:bookmarkEnd w:id="54"/>
    </w:p>
    <w:p w14:paraId="7F7A1E6B" w14:textId="4DADDE9D" w:rsidR="0005604E" w:rsidRPr="004C5667" w:rsidRDefault="0005604E" w:rsidP="00EF36DF">
      <w:r w:rsidRPr="004C5667">
        <w:t xml:space="preserve">Utilising international conventions to protect mangroves is commonplace. The </w:t>
      </w:r>
      <w:proofErr w:type="spellStart"/>
      <w:r w:rsidRPr="004C5667">
        <w:t>Ramsar</w:t>
      </w:r>
      <w:proofErr w:type="spellEnd"/>
      <w:r w:rsidRPr="004C5667">
        <w:t xml:space="preserve"> Convention already protects mangrove forests at 278 locations across 68 countries (as of 2014) and 26 UNESCO designated sites have mangrove habitat within their boundaries. The percentage mangrove loss within </w:t>
      </w:r>
      <w:proofErr w:type="spellStart"/>
      <w:r w:rsidRPr="004C5667">
        <w:t>Ramsar</w:t>
      </w:r>
      <w:proofErr w:type="spellEnd"/>
      <w:r w:rsidRPr="004C5667">
        <w:t xml:space="preserve"> sites was on average found to be 75% lower than the global average mangrove loss at 0.08% per year between 2000 and 2012 and the percentage of mangrove loss within all global classifications of protected areas (i.e. IUCN  &amp;  UNEP) is  also almost 50% lower than the global  average</w:t>
      </w:r>
      <w:r w:rsidRPr="004C5667">
        <w:rPr>
          <w:vertAlign w:val="superscript"/>
        </w:rPr>
        <w:footnoteReference w:id="17"/>
      </w:r>
      <w:r w:rsidRPr="004C5667">
        <w:t xml:space="preserve">. Examples of the successful establishment of terrestrial and marine protected areas conserving mangrove forests include the Mangroves National Park in the Democratic Republic of Congo and </w:t>
      </w:r>
      <w:proofErr w:type="spellStart"/>
      <w:r w:rsidRPr="004C5667">
        <w:t>Parc</w:t>
      </w:r>
      <w:proofErr w:type="spellEnd"/>
      <w:r w:rsidRPr="004C5667">
        <w:t xml:space="preserve"> Marin de </w:t>
      </w:r>
      <w:proofErr w:type="spellStart"/>
      <w:r w:rsidRPr="004C5667">
        <w:t>Moheli</w:t>
      </w:r>
      <w:proofErr w:type="spellEnd"/>
      <w:r w:rsidRPr="004C5667">
        <w:t xml:space="preserve"> in the Comoros. Despite these efforts only 6.9% of the world’s mangroves are thought to fall within existing IUCN standard </w:t>
      </w:r>
      <w:r w:rsidRPr="004C5667">
        <w:lastRenderedPageBreak/>
        <w:t>protected areas compared to approximately 12.4% of the world’s forests that exist inside terrestrial protected areas</w:t>
      </w:r>
      <w:r w:rsidR="008D74A3" w:rsidRPr="004C5667">
        <w:t>.</w:t>
      </w:r>
      <w:r w:rsidRPr="004C5667">
        <w:rPr>
          <w:vertAlign w:val="superscript"/>
        </w:rPr>
        <w:footnoteReference w:id="18"/>
      </w:r>
      <w:r w:rsidRPr="004C5667">
        <w:rPr>
          <w:vertAlign w:val="superscript"/>
        </w:rPr>
        <w:t>,</w:t>
      </w:r>
      <w:r w:rsidRPr="004C5667">
        <w:rPr>
          <w:vertAlign w:val="superscript"/>
        </w:rPr>
        <w:footnoteReference w:id="19"/>
      </w:r>
      <w:r w:rsidR="008D74A3" w:rsidRPr="004C5667">
        <w:rPr>
          <w:vertAlign w:val="superscript"/>
        </w:rPr>
        <w:t xml:space="preserve"> </w:t>
      </w:r>
      <w:r w:rsidR="008D74A3" w:rsidRPr="004C5667">
        <w:t xml:space="preserve">Utilising this strategy and working to close the disparity between the terrestrial and coastal forests under the protection of conventions depends on buy-in and engagement of governments at a national level. </w:t>
      </w:r>
    </w:p>
    <w:p w14:paraId="0AEDF871" w14:textId="77777777" w:rsidR="0005604E" w:rsidRPr="004C5667" w:rsidRDefault="0005604E" w:rsidP="00EF36DF">
      <w:pPr>
        <w:pStyle w:val="Heading3"/>
      </w:pPr>
      <w:bookmarkStart w:id="55" w:name="_Toc503962103"/>
      <w:r w:rsidRPr="004C5667">
        <w:t>Conservation through legislation</w:t>
      </w:r>
      <w:bookmarkEnd w:id="55"/>
    </w:p>
    <w:p w14:paraId="6660CD68" w14:textId="62D48A21" w:rsidR="0005604E" w:rsidRPr="004C5667" w:rsidRDefault="0005604E" w:rsidP="00EF36DF">
      <w:r w:rsidRPr="004C5667">
        <w:t>In some localities mangroves are successfully protected by legislation restricting or limiting mangrove clearing. For example Brazil’s Federal Forestry Code includes a section prohibiting the use of any components of mangrove trees or plants. However with 70% of Brazil’s mangroves now found within Permanent Preservation Areas it is difficult to attribute success to this specific legislation since the existence of the protected areas make it easier to sustainably manage the mangrove stands.</w:t>
      </w:r>
      <w:r w:rsidR="008D74A3" w:rsidRPr="004C5667">
        <w:t xml:space="preserve"> This is approach is not without its drawbacks as simply legislating an area of mangroves as protected, particularly in populous regions, can remove the income and livelihoods of coastal communities without finding a viable replacement.</w:t>
      </w:r>
    </w:p>
    <w:p w14:paraId="2AB4FE20" w14:textId="7A08F1EE" w:rsidR="0005604E" w:rsidRPr="004C5667" w:rsidRDefault="0005604E" w:rsidP="00EF36DF">
      <w:pPr>
        <w:pStyle w:val="Heading3"/>
      </w:pPr>
      <w:bookmarkStart w:id="56" w:name="_Toc503962104"/>
      <w:r w:rsidRPr="004C5667">
        <w:t>Conservation through habitat management (restoration)</w:t>
      </w:r>
      <w:bookmarkEnd w:id="56"/>
    </w:p>
    <w:p w14:paraId="7C85E850" w14:textId="419E1A28" w:rsidR="0005604E" w:rsidRPr="004C5667" w:rsidRDefault="0005604E" w:rsidP="00EF36DF">
      <w:r w:rsidRPr="004C5667">
        <w:t xml:space="preserve">The plight of mangroves has meant increased engagement from NGOs in restoration of these habitats. Internationally these include the Western Indian Ocean Mangrove Network, the Mangrove Alliance, and Mangrove Watch, as well as domestic organisations including </w:t>
      </w:r>
      <w:proofErr w:type="spellStart"/>
      <w:r w:rsidRPr="004C5667">
        <w:t>Honko</w:t>
      </w:r>
      <w:proofErr w:type="spellEnd"/>
      <w:r w:rsidRPr="004C5667">
        <w:t>; a mangrove conservation and education organization in Madagascar. The engagement of local communities in natural resource governance is a key part to the success of these projects.</w:t>
      </w:r>
    </w:p>
    <w:p w14:paraId="382E4B56" w14:textId="6DC334C8" w:rsidR="0005604E" w:rsidRPr="004C5667" w:rsidRDefault="0005604E" w:rsidP="00EF36DF">
      <w:r w:rsidRPr="004C5667">
        <w:t>Restoration projects have had mixed success with many resulting in large failure rates. In some cases huge efforts are put into mangrove rehabilitation and creation at landscape scales but these interventions are generally unsuccessful due to poor species selection, inappropriate choice of rehabilitation locations, and local governance issues.</w:t>
      </w:r>
      <w:r w:rsidRPr="004C5667">
        <w:rPr>
          <w:vertAlign w:val="superscript"/>
        </w:rPr>
        <w:footnoteReference w:id="20"/>
      </w:r>
      <w:r w:rsidRPr="004C5667">
        <w:t xml:space="preserve"> It is thought these failures also highlight the importance of utilising advances in the science of mangrove restoration and ensuring ongoing monitoring of the newly restored ecosystem.</w:t>
      </w:r>
      <w:r w:rsidRPr="004C5667">
        <w:rPr>
          <w:vertAlign w:val="superscript"/>
        </w:rPr>
        <w:footnoteReference w:id="21"/>
      </w:r>
      <w:r w:rsidRPr="004C5667">
        <w:t xml:space="preserve"> Lessons have been learned however and recent restoration successes have involved using a soft technique to break waves and trap sediments to promote the rehabilitation of the mangrove ecosystem. Conservation International’s Suriname Project</w:t>
      </w:r>
      <w:r w:rsidRPr="004C5667">
        <w:rPr>
          <w:b/>
          <w:bCs/>
        </w:rPr>
        <w:t> </w:t>
      </w:r>
      <w:r w:rsidRPr="004C5667">
        <w:t>‘Building with Nature’</w:t>
      </w:r>
      <w:r w:rsidRPr="004C5667">
        <w:rPr>
          <w:b/>
          <w:bCs/>
        </w:rPr>
        <w:t> </w:t>
      </w:r>
      <w:r w:rsidRPr="004C5667">
        <w:t>has seen significant success following this technique and Wetlands International no longer advocates for the planting of mangroves, but for a restoration approach that facilitates their natural regrowth by creating ecologically suitable conditions.</w:t>
      </w:r>
      <w:r w:rsidRPr="004C5667">
        <w:rPr>
          <w:vertAlign w:val="superscript"/>
        </w:rPr>
        <w:footnoteReference w:id="22"/>
      </w:r>
    </w:p>
    <w:p w14:paraId="630CE8E6" w14:textId="77777777" w:rsidR="0005604E" w:rsidRPr="004C5667" w:rsidRDefault="0005604E" w:rsidP="00EF36DF">
      <w:pPr>
        <w:pStyle w:val="Heading3"/>
      </w:pPr>
      <w:bookmarkStart w:id="57" w:name="_Toc503962105"/>
      <w:r w:rsidRPr="004C5667">
        <w:t>Other emerging strategies</w:t>
      </w:r>
      <w:bookmarkEnd w:id="57"/>
    </w:p>
    <w:p w14:paraId="014FA46A" w14:textId="48B68FCC" w:rsidR="0005604E" w:rsidRPr="004C5667" w:rsidRDefault="0005604E" w:rsidP="00EF36DF">
      <w:r w:rsidRPr="004C5667">
        <w:t xml:space="preserve">The movement to implement </w:t>
      </w:r>
      <w:r w:rsidR="00CC6E93" w:rsidRPr="004C5667">
        <w:t xml:space="preserve">viable economic </w:t>
      </w:r>
      <w:r w:rsidRPr="004C5667">
        <w:t xml:space="preserve">solutions </w:t>
      </w:r>
      <w:r w:rsidR="00CC6E93" w:rsidRPr="004C5667">
        <w:t xml:space="preserve">based on </w:t>
      </w:r>
      <w:r w:rsidRPr="004C5667">
        <w:t xml:space="preserve">the carbon sequestered by coastal vegetation to reduce atmospheric CO2 is still relatively new and there is not yet a widely agreed methodology for verification. Tools such as Payment for Ecosystem Services and REDD+ have been used, </w:t>
      </w:r>
      <w:r w:rsidR="008D74A3" w:rsidRPr="004C5667">
        <w:t xml:space="preserve">but as yet </w:t>
      </w:r>
      <w:r w:rsidRPr="004C5667">
        <w:t>predominantly in terrestrial forests</w:t>
      </w:r>
      <w:r w:rsidR="008D74A3" w:rsidRPr="004C5667">
        <w:t>. T</w:t>
      </w:r>
      <w:r w:rsidRPr="004C5667">
        <w:t xml:space="preserve">hey could be </w:t>
      </w:r>
      <w:r w:rsidR="008D74A3" w:rsidRPr="004C5667">
        <w:t xml:space="preserve">effective for mangroves especially as more countries include these habitats in their NDCs and particularly in </w:t>
      </w:r>
      <w:r w:rsidRPr="004C5667">
        <w:t xml:space="preserve">countries where there are not sufficient resources for more traditional conservation and management. </w:t>
      </w:r>
    </w:p>
    <w:p w14:paraId="26D85678" w14:textId="587B5E7E" w:rsidR="0005604E" w:rsidRPr="004C5667" w:rsidRDefault="0005604E" w:rsidP="00EF36DF">
      <w:r w:rsidRPr="004C5667">
        <w:lastRenderedPageBreak/>
        <w:t>Allowing landward migration is another newly considered approach to allow mangroves to adapt to rising sea levels caused by climate change. Although threatened by these changes, mangrove forests are able to keep pace if they can migrate landward</w:t>
      </w:r>
      <w:r w:rsidR="00CC6E93" w:rsidRPr="004C5667">
        <w:t xml:space="preserve"> unhindered</w:t>
      </w:r>
      <w:r w:rsidRPr="004C5667">
        <w:t xml:space="preserve">. This could protect or potentially grow mangrove forests as sea levels rise. </w:t>
      </w:r>
      <w:r w:rsidR="00CC6E93" w:rsidRPr="004C5667">
        <w:t>However, t</w:t>
      </w:r>
      <w:r w:rsidRPr="004C5667">
        <w:t xml:space="preserve">he potential for human conflict is high with this strategy as the land they would be migrating into is likely </w:t>
      </w:r>
      <w:r w:rsidR="00CC6E93" w:rsidRPr="004C5667">
        <w:t>to be more and more populated, farmed or</w:t>
      </w:r>
      <w:r w:rsidRPr="004C5667">
        <w:t xml:space="preserve"> cultured</w:t>
      </w:r>
      <w:r w:rsidR="00CC6E93" w:rsidRPr="004C5667">
        <w:t>,</w:t>
      </w:r>
      <w:r w:rsidRPr="004C5667">
        <w:t xml:space="preserve"> or </w:t>
      </w:r>
      <w:r w:rsidR="00CC6E93" w:rsidRPr="004C5667">
        <w:t xml:space="preserve">an existing </w:t>
      </w:r>
      <w:r w:rsidRPr="004C5667">
        <w:t>protected habitat.</w:t>
      </w:r>
    </w:p>
    <w:p w14:paraId="2330F3A2" w14:textId="735B18DD" w:rsidR="00513C96" w:rsidRPr="004C5667" w:rsidRDefault="00513C96" w:rsidP="00EF36DF">
      <w:pPr>
        <w:pStyle w:val="Heading3"/>
      </w:pPr>
      <w:r w:rsidRPr="004C5667">
        <w:t>Lessons learned</w:t>
      </w:r>
    </w:p>
    <w:p w14:paraId="1A7B1991" w14:textId="31BEB5E2" w:rsidR="004F69CF" w:rsidRPr="007B38AC" w:rsidRDefault="0034798A" w:rsidP="00EF36DF">
      <w:pPr>
        <w:rPr>
          <w:iCs/>
        </w:rPr>
      </w:pPr>
      <w:r w:rsidRPr="004C5667">
        <w:t>ICF aims to catalyse transformational change that enables developing countries to follow low carbon development paths. Combatting deforestation is a major part of this effort and contributes to several of ICF’s target impacts.</w:t>
      </w:r>
      <w:r w:rsidR="00CC6E93" w:rsidRPr="004C5667">
        <w:t xml:space="preserve"> Where existing or historical strategies have fall down is ensuring that transformational change occurs, i.e. positive effects beyond the life span of the project.</w:t>
      </w:r>
      <w:r w:rsidR="006D69C8" w:rsidRPr="004C5667">
        <w:t xml:space="preserve"> The question of h</w:t>
      </w:r>
      <w:r w:rsidR="004F69CF" w:rsidRPr="004C5667">
        <w:t xml:space="preserve">ow a </w:t>
      </w:r>
      <w:r w:rsidR="00BF15A0">
        <w:t>Defra</w:t>
      </w:r>
      <w:r w:rsidR="004F69CF" w:rsidRPr="004C5667">
        <w:t xml:space="preserve"> ICF investment </w:t>
      </w:r>
      <w:r w:rsidR="006D69C8" w:rsidRPr="004C5667">
        <w:t xml:space="preserve">can fill this space depends on the focal point of the programme. As aforementioned, </w:t>
      </w:r>
      <w:r w:rsidR="006D69C8" w:rsidRPr="004C5667">
        <w:rPr>
          <w:iCs/>
        </w:rPr>
        <w:t xml:space="preserve">an ICF mangroves investment could cover the themes of adaptation, mitigation, biodiversity and natural resources, but the region in which the programme is delivered will have a considerable impact on which of these benefits will be the thematic focus. </w:t>
      </w:r>
      <w:r w:rsidR="00DB36D2">
        <w:rPr>
          <w:iCs/>
        </w:rPr>
        <w:t>[Redacted]</w:t>
      </w:r>
    </w:p>
    <w:p w14:paraId="3EA1E4AF" w14:textId="524ED397" w:rsidR="00513C96" w:rsidRPr="004C5667" w:rsidRDefault="00513C96" w:rsidP="00EF36DF">
      <w:pPr>
        <w:pStyle w:val="Heading3"/>
      </w:pPr>
      <w:r w:rsidRPr="004C5667">
        <w:t xml:space="preserve">Potential </w:t>
      </w:r>
      <w:r w:rsidR="00F83DBB" w:rsidRPr="004C5667">
        <w:t>Impact</w:t>
      </w:r>
    </w:p>
    <w:p w14:paraId="694873C9" w14:textId="77777777" w:rsidR="00F83DBB" w:rsidRPr="004C5667" w:rsidRDefault="00F83DBB" w:rsidP="00EF36DF">
      <w:r w:rsidRPr="004C5667">
        <w:t>Mangrove forests provide important benefits to the poor coastal communities that depend on them, and to the greater global good. Of particular note are the benefits from:</w:t>
      </w:r>
    </w:p>
    <w:p w14:paraId="7C131B40" w14:textId="77777777" w:rsidR="00F83DBB" w:rsidRPr="004C5667" w:rsidRDefault="00F83DBB" w:rsidP="00F93F6C">
      <w:pPr>
        <w:pStyle w:val="ListParagraph"/>
        <w:numPr>
          <w:ilvl w:val="0"/>
          <w:numId w:val="12"/>
        </w:numPr>
      </w:pPr>
      <w:r w:rsidRPr="004C5667">
        <w:rPr>
          <w:b/>
        </w:rPr>
        <w:t>Mitigation</w:t>
      </w:r>
      <w:r w:rsidRPr="004C5667">
        <w:t xml:space="preserve"> – i.e. carbon savings from preserving standing mangrove forests.</w:t>
      </w:r>
    </w:p>
    <w:p w14:paraId="21C704F9" w14:textId="040953F3" w:rsidR="00F83DBB" w:rsidRPr="004C5667" w:rsidRDefault="00F83DBB" w:rsidP="00F93F6C">
      <w:pPr>
        <w:pStyle w:val="ListParagraph"/>
        <w:numPr>
          <w:ilvl w:val="0"/>
          <w:numId w:val="12"/>
        </w:numPr>
      </w:pPr>
      <w:r w:rsidRPr="004C5667">
        <w:rPr>
          <w:b/>
        </w:rPr>
        <w:t>Adaptation</w:t>
      </w:r>
      <w:r w:rsidRPr="004C5667">
        <w:t xml:space="preserve"> – i.e. protection of coastal communities from natural hazards and effects of climate change.</w:t>
      </w:r>
    </w:p>
    <w:p w14:paraId="6B168A37" w14:textId="77777777" w:rsidR="00F83DBB" w:rsidRPr="004C5667" w:rsidRDefault="00F83DBB" w:rsidP="00F93F6C">
      <w:pPr>
        <w:pStyle w:val="ListParagraph"/>
        <w:numPr>
          <w:ilvl w:val="0"/>
          <w:numId w:val="12"/>
        </w:numPr>
      </w:pPr>
      <w:r w:rsidRPr="004C5667">
        <w:rPr>
          <w:b/>
        </w:rPr>
        <w:t>Livelihoods</w:t>
      </w:r>
      <w:r w:rsidRPr="004C5667">
        <w:t xml:space="preserve"> – i.e. ensuring the livelihoods of poor people with high levels of mangrove natural resource dependence are supported.</w:t>
      </w:r>
    </w:p>
    <w:p w14:paraId="5AC13DF0" w14:textId="77777777" w:rsidR="00F83DBB" w:rsidRPr="004C5667" w:rsidRDefault="00F83DBB" w:rsidP="00F93F6C">
      <w:pPr>
        <w:pStyle w:val="ListParagraph"/>
        <w:numPr>
          <w:ilvl w:val="0"/>
          <w:numId w:val="12"/>
        </w:numPr>
      </w:pPr>
      <w:r w:rsidRPr="004C5667">
        <w:rPr>
          <w:b/>
        </w:rPr>
        <w:t>Biodiversity</w:t>
      </w:r>
      <w:r w:rsidRPr="004C5667">
        <w:t xml:space="preserve"> – i.e. ensuring we are working to protect especially biodiverse mangrove forests.</w:t>
      </w:r>
    </w:p>
    <w:p w14:paraId="4CCB3044" w14:textId="77777777" w:rsidR="00B759E9" w:rsidRDefault="00DB36D2" w:rsidP="00EF36DF">
      <w:r>
        <w:t>[Redacted]</w:t>
      </w:r>
    </w:p>
    <w:p w14:paraId="0DC15C04" w14:textId="2A078063" w:rsidR="00B169A5" w:rsidRPr="004C5667" w:rsidRDefault="00B169A5" w:rsidP="00EF36DF">
      <w:r w:rsidRPr="004C5667">
        <w:t xml:space="preserve">Therefore, while an ICF mangroves investment will </w:t>
      </w:r>
      <w:r w:rsidR="001A5060" w:rsidRPr="004C5667">
        <w:t xml:space="preserve">contribute across </w:t>
      </w:r>
      <w:r w:rsidRPr="004C5667">
        <w:t xml:space="preserve">all four themes, </w:t>
      </w:r>
      <w:r w:rsidR="001A5060" w:rsidRPr="004C5667">
        <w:t>while taking</w:t>
      </w:r>
      <w:r w:rsidRPr="004C5667">
        <w:t xml:space="preserve"> into account </w:t>
      </w:r>
      <w:r w:rsidR="00BF15A0">
        <w:t>Defra</w:t>
      </w:r>
      <w:r w:rsidRPr="004C5667">
        <w:t>’s strategic focus of working in the world’s most biodiverse (in this case mangrove) forests, this strategic steer will contribute to refining project selection.</w:t>
      </w:r>
    </w:p>
    <w:p w14:paraId="4F19E3D9" w14:textId="2ED61602" w:rsidR="00B169A5" w:rsidRPr="004C5667" w:rsidRDefault="00B169A5" w:rsidP="00EF36DF">
      <w:r w:rsidRPr="004C5667">
        <w:t xml:space="preserve">Having </w:t>
      </w:r>
      <w:r w:rsidR="001A5060" w:rsidRPr="004C5667">
        <w:t xml:space="preserve">these </w:t>
      </w:r>
      <w:r w:rsidRPr="004C5667">
        <w:t xml:space="preserve">thematic focusses </w:t>
      </w:r>
      <w:r w:rsidR="001A5060" w:rsidRPr="004C5667">
        <w:t>will also effect</w:t>
      </w:r>
      <w:r w:rsidRPr="004C5667">
        <w:t xml:space="preserve"> the region in which we deliver</w:t>
      </w:r>
      <w:r w:rsidR="001A5060" w:rsidRPr="004C5667">
        <w:t>.</w:t>
      </w:r>
      <w:r w:rsidRPr="004C5667">
        <w:t xml:space="preserve"> </w:t>
      </w:r>
      <w:r w:rsidR="001A5060" w:rsidRPr="004C5667">
        <w:t>T</w:t>
      </w:r>
      <w:r w:rsidRPr="004C5667">
        <w:t xml:space="preserve">his </w:t>
      </w:r>
      <w:r w:rsidR="001A5060" w:rsidRPr="004C5667">
        <w:t xml:space="preserve">will </w:t>
      </w:r>
      <w:r w:rsidRPr="004C5667">
        <w:t>be considered further during appraisal by:</w:t>
      </w:r>
    </w:p>
    <w:p w14:paraId="6878F513" w14:textId="0DC7ABA3" w:rsidR="00B169A5" w:rsidRPr="004C5667" w:rsidRDefault="00B169A5" w:rsidP="00F93F6C">
      <w:pPr>
        <w:pStyle w:val="ListParagraph"/>
        <w:numPr>
          <w:ilvl w:val="0"/>
          <w:numId w:val="13"/>
        </w:numPr>
      </w:pPr>
      <w:r w:rsidRPr="004C5667">
        <w:t>Ensuring any pipeline of sub-projects have strong mitigation and adaptation benefits.</w:t>
      </w:r>
    </w:p>
    <w:p w14:paraId="035EC85A" w14:textId="25B53993" w:rsidR="00B169A5" w:rsidRPr="004C5667" w:rsidRDefault="001A5060" w:rsidP="00F93F6C">
      <w:pPr>
        <w:pStyle w:val="ListParagraph"/>
        <w:numPr>
          <w:ilvl w:val="0"/>
          <w:numId w:val="13"/>
        </w:numPr>
      </w:pPr>
      <w:r w:rsidRPr="004C5667">
        <w:t xml:space="preserve">Ensuring strong </w:t>
      </w:r>
      <w:r w:rsidR="00B169A5" w:rsidRPr="004C5667">
        <w:t xml:space="preserve">governance </w:t>
      </w:r>
      <w:r w:rsidRPr="004C5667">
        <w:t xml:space="preserve">(e.g. on boards or investment </w:t>
      </w:r>
      <w:r w:rsidR="00B169A5" w:rsidRPr="004C5667">
        <w:t>committees</w:t>
      </w:r>
      <w:r w:rsidRPr="004C5667">
        <w:t>)</w:t>
      </w:r>
      <w:r w:rsidR="00B169A5" w:rsidRPr="004C5667">
        <w:t xml:space="preserve"> to ensure </w:t>
      </w:r>
      <w:r w:rsidRPr="004C5667">
        <w:t xml:space="preserve">the </w:t>
      </w:r>
      <w:r w:rsidR="00B169A5" w:rsidRPr="004C5667">
        <w:t>pipeline of projects have significant mitigation and adaptation benefits.</w:t>
      </w:r>
    </w:p>
    <w:p w14:paraId="6638CE21" w14:textId="77777777" w:rsidR="00B169A5" w:rsidRPr="004C5667" w:rsidRDefault="00B169A5" w:rsidP="00F93F6C">
      <w:pPr>
        <w:pStyle w:val="ListParagraph"/>
        <w:numPr>
          <w:ilvl w:val="0"/>
          <w:numId w:val="13"/>
        </w:numPr>
      </w:pPr>
      <w:r w:rsidRPr="004C5667">
        <w:t>Ensuring we are able to robustly report particularly against adaptation and mitigation benefits</w:t>
      </w:r>
    </w:p>
    <w:p w14:paraId="5C88CE61" w14:textId="75B6DC1C" w:rsidR="001A5060" w:rsidRPr="004C5667" w:rsidRDefault="001A5060" w:rsidP="00EF36DF">
      <w:pPr>
        <w:pStyle w:val="Heading4"/>
      </w:pPr>
      <w:r w:rsidRPr="004C5667">
        <w:t>Key Performance Indicators</w:t>
      </w:r>
    </w:p>
    <w:p w14:paraId="07623542" w14:textId="77777777" w:rsidR="001A5060" w:rsidRPr="004C5667" w:rsidRDefault="001A5060" w:rsidP="00EF36DF">
      <w:r w:rsidRPr="004C5667">
        <w:t>Across all options for appraisal we would look to report on a suite of core KPIs.</w:t>
      </w:r>
    </w:p>
    <w:p w14:paraId="5DA1EC88" w14:textId="77777777" w:rsidR="001A5060" w:rsidRPr="004C5667" w:rsidRDefault="001A5060" w:rsidP="00F93F6C">
      <w:pPr>
        <w:pStyle w:val="ListParagraph"/>
        <w:numPr>
          <w:ilvl w:val="0"/>
          <w:numId w:val="11"/>
        </w:numPr>
        <w:rPr>
          <w:rFonts w:cs="Calibri"/>
          <w:szCs w:val="20"/>
        </w:rPr>
      </w:pPr>
      <w:r w:rsidRPr="004C5667">
        <w:rPr>
          <w:rFonts w:cs="Calibri"/>
          <w:szCs w:val="20"/>
        </w:rPr>
        <w:t>KPI 3: Number of forest dependent people with livelihoods benefits protected or improved as a result of ICF support. (Number of people)</w:t>
      </w:r>
    </w:p>
    <w:p w14:paraId="27FC0928" w14:textId="77777777" w:rsidR="001A5060" w:rsidRPr="004C5667" w:rsidRDefault="001A5060" w:rsidP="00F93F6C">
      <w:pPr>
        <w:pStyle w:val="ListParagraph"/>
        <w:numPr>
          <w:ilvl w:val="0"/>
          <w:numId w:val="11"/>
        </w:numPr>
        <w:rPr>
          <w:rFonts w:cs="Calibri"/>
          <w:szCs w:val="20"/>
        </w:rPr>
      </w:pPr>
      <w:r w:rsidRPr="004C5667">
        <w:rPr>
          <w:rFonts w:cs="Calibri"/>
          <w:szCs w:val="20"/>
        </w:rPr>
        <w:lastRenderedPageBreak/>
        <w:t>KPI6: Change in Greenhouse Gas (GHG) emissions as a result of ICF support. (tCO</w:t>
      </w:r>
      <w:r w:rsidRPr="00455517">
        <w:rPr>
          <w:rFonts w:cs="Calibri"/>
          <w:szCs w:val="20"/>
          <w:vertAlign w:val="subscript"/>
        </w:rPr>
        <w:t>2</w:t>
      </w:r>
      <w:r w:rsidRPr="004C5667">
        <w:rPr>
          <w:rFonts w:cs="Calibri"/>
          <w:szCs w:val="20"/>
        </w:rPr>
        <w:t>e)</w:t>
      </w:r>
    </w:p>
    <w:p w14:paraId="0AF7FEA7" w14:textId="77777777" w:rsidR="001A5060" w:rsidRPr="004C5667" w:rsidRDefault="001A5060" w:rsidP="00F93F6C">
      <w:pPr>
        <w:pStyle w:val="ListParagraph"/>
        <w:numPr>
          <w:ilvl w:val="0"/>
          <w:numId w:val="11"/>
        </w:numPr>
        <w:rPr>
          <w:rFonts w:cs="Calibri"/>
          <w:szCs w:val="20"/>
        </w:rPr>
      </w:pPr>
      <w:r w:rsidRPr="004C5667">
        <w:rPr>
          <w:rFonts w:cs="Calibri"/>
          <w:szCs w:val="20"/>
        </w:rPr>
        <w:t>KPI 8: Number of hectares where deforestation and degradation have been avoided through ICF support. (Hectares)</w:t>
      </w:r>
    </w:p>
    <w:p w14:paraId="66F10C35" w14:textId="77777777" w:rsidR="001A5060" w:rsidRPr="004C5667" w:rsidRDefault="001A5060" w:rsidP="00F93F6C">
      <w:pPr>
        <w:pStyle w:val="ListParagraph"/>
        <w:numPr>
          <w:ilvl w:val="0"/>
          <w:numId w:val="11"/>
        </w:numPr>
        <w:rPr>
          <w:rFonts w:cs="Calibri"/>
          <w:i/>
          <w:szCs w:val="20"/>
        </w:rPr>
      </w:pPr>
      <w:r w:rsidRPr="004C5667">
        <w:rPr>
          <w:rFonts w:cs="Calibri"/>
          <w:szCs w:val="20"/>
        </w:rPr>
        <w:t>KPI 10: Value of ecosystem services generated or protected as a result of ICF support. (£)</w:t>
      </w:r>
    </w:p>
    <w:p w14:paraId="486E284B" w14:textId="77777777" w:rsidR="001A5060" w:rsidRPr="004C5667" w:rsidRDefault="001A5060" w:rsidP="00EF36DF">
      <w:r w:rsidRPr="004C5667">
        <w:t>Additionally, and depending on the proposed financing mechanism we could also look to report against KPIs 11 and 12 to measure the volume of private and public financing leveraged.</w:t>
      </w:r>
    </w:p>
    <w:p w14:paraId="6751C7CB" w14:textId="643DDBD7" w:rsidR="00B169A5" w:rsidRPr="004C5667" w:rsidRDefault="001A5060" w:rsidP="00EF36DF">
      <w:r w:rsidRPr="004C5667">
        <w:t xml:space="preserve">Finally we will look long term at KPI 15 – the extent to which the ICF intervention is likely to have a transformational impact. </w:t>
      </w:r>
    </w:p>
    <w:p w14:paraId="60CACDE0" w14:textId="1710853C" w:rsidR="006545FD" w:rsidRDefault="00DF6930" w:rsidP="006545FD">
      <w:pPr>
        <w:pStyle w:val="Heading4"/>
      </w:pPr>
      <w:r>
        <w:rPr>
          <w:noProof/>
        </w:rPr>
        <mc:AlternateContent>
          <mc:Choice Requires="wps">
            <w:drawing>
              <wp:anchor distT="0" distB="0" distL="114300" distR="114300" simplePos="0" relativeHeight="251658245" behindDoc="0" locked="0" layoutInCell="1" allowOverlap="1" wp14:anchorId="6FD40B56" wp14:editId="36C5D575">
                <wp:simplePos x="0" y="0"/>
                <wp:positionH relativeFrom="column">
                  <wp:posOffset>-172720</wp:posOffset>
                </wp:positionH>
                <wp:positionV relativeFrom="paragraph">
                  <wp:posOffset>3172460</wp:posOffset>
                </wp:positionV>
                <wp:extent cx="653415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6534150" cy="635"/>
                        </a:xfrm>
                        <a:prstGeom prst="rect">
                          <a:avLst/>
                        </a:prstGeom>
                        <a:solidFill>
                          <a:prstClr val="white"/>
                        </a:solidFill>
                        <a:ln>
                          <a:noFill/>
                        </a:ln>
                        <a:effectLst/>
                      </wps:spPr>
                      <wps:txbx>
                        <w:txbxContent>
                          <w:p w14:paraId="5FDECA7C" w14:textId="6646B442" w:rsidR="009D672A" w:rsidRPr="006545FD" w:rsidRDefault="009D672A" w:rsidP="006545FD">
                            <w:pPr>
                              <w:pStyle w:val="Caption"/>
                              <w:jc w:val="center"/>
                              <w:rPr>
                                <w:i w:val="0"/>
                                <w:sz w:val="22"/>
                              </w:rPr>
                            </w:pPr>
                            <w:bookmarkStart w:id="58" w:name="_Toc523990658"/>
                            <w:r w:rsidRPr="00835728">
                              <w:rPr>
                                <w:sz w:val="22"/>
                              </w:rPr>
                              <w:t xml:space="preserve">Figure </w:t>
                            </w:r>
                            <w:r w:rsidRPr="00835728">
                              <w:rPr>
                                <w:sz w:val="22"/>
                              </w:rPr>
                              <w:fldChar w:fldCharType="begin"/>
                            </w:r>
                            <w:r w:rsidRPr="00835728">
                              <w:rPr>
                                <w:sz w:val="22"/>
                              </w:rPr>
                              <w:instrText xml:space="preserve"> SEQ Figure \* ARABIC </w:instrText>
                            </w:r>
                            <w:r w:rsidRPr="00835728">
                              <w:rPr>
                                <w:sz w:val="22"/>
                              </w:rPr>
                              <w:fldChar w:fldCharType="separate"/>
                            </w:r>
                            <w:r>
                              <w:rPr>
                                <w:noProof/>
                                <w:sz w:val="22"/>
                              </w:rPr>
                              <w:t>4</w:t>
                            </w:r>
                            <w:r w:rsidRPr="00835728">
                              <w:rPr>
                                <w:sz w:val="22"/>
                              </w:rPr>
                              <w:fldChar w:fldCharType="end"/>
                            </w:r>
                            <w:r w:rsidRPr="00835728">
                              <w:rPr>
                                <w:sz w:val="22"/>
                              </w:rPr>
                              <w:t xml:space="preserve">: </w:t>
                            </w:r>
                            <w:r w:rsidRPr="00835728">
                              <w:rPr>
                                <w:i w:val="0"/>
                                <w:sz w:val="22"/>
                              </w:rPr>
                              <w:t xml:space="preserve">Indicative </w:t>
                            </w:r>
                            <w:proofErr w:type="spellStart"/>
                            <w:r w:rsidRPr="00835728">
                              <w:rPr>
                                <w:i w:val="0"/>
                                <w:sz w:val="22"/>
                              </w:rPr>
                              <w:t>ToC</w:t>
                            </w:r>
                            <w:proofErr w:type="spellEnd"/>
                            <w:r w:rsidRPr="00835728">
                              <w:rPr>
                                <w:i w:val="0"/>
                                <w:sz w:val="22"/>
                              </w:rPr>
                              <w:t xml:space="preserve"> for a Defra ICF mangroves intervention</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D40B56" id="Text Box 13" o:spid="_x0000_s1029" type="#_x0000_t202" style="position:absolute;left:0;text-align:left;margin-left:-13.6pt;margin-top:249.8pt;width:514.5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" stroked="f">
                <v:textbox style="mso-fit-shape-to-text:t" inset="0,0,0,0">
                  <w:txbxContent>
                    <w:p w14:paraId="5FDECA7C" w14:textId="6646B442" w:rsidR="009D672A" w:rsidRPr="006545FD" w:rsidRDefault="009D672A" w:rsidP="006545FD">
                      <w:pPr>
                        <w:pStyle w:val="Caption"/>
                        <w:jc w:val="center"/>
                        <w:rPr>
                          <w:i w:val="0"/>
                          <w:sz w:val="22"/>
                        </w:rPr>
                      </w:pPr>
                      <w:bookmarkStart w:id="59" w:name="_Toc523990658"/>
                      <w:r w:rsidRPr="00835728">
                        <w:rPr>
                          <w:sz w:val="22"/>
                        </w:rPr>
                        <w:t xml:space="preserve">Figure </w:t>
                      </w:r>
                      <w:r w:rsidRPr="00835728">
                        <w:rPr>
                          <w:sz w:val="22"/>
                        </w:rPr>
                        <w:fldChar w:fldCharType="begin"/>
                      </w:r>
                      <w:r w:rsidRPr="00835728">
                        <w:rPr>
                          <w:sz w:val="22"/>
                        </w:rPr>
                        <w:instrText xml:space="preserve"> SEQ Figure \* ARABIC </w:instrText>
                      </w:r>
                      <w:r w:rsidRPr="00835728">
                        <w:rPr>
                          <w:sz w:val="22"/>
                        </w:rPr>
                        <w:fldChar w:fldCharType="separate"/>
                      </w:r>
                      <w:r>
                        <w:rPr>
                          <w:noProof/>
                          <w:sz w:val="22"/>
                        </w:rPr>
                        <w:t>4</w:t>
                      </w:r>
                      <w:r w:rsidRPr="00835728">
                        <w:rPr>
                          <w:sz w:val="22"/>
                        </w:rPr>
                        <w:fldChar w:fldCharType="end"/>
                      </w:r>
                      <w:r w:rsidRPr="00835728">
                        <w:rPr>
                          <w:sz w:val="22"/>
                        </w:rPr>
                        <w:t xml:space="preserve">: </w:t>
                      </w:r>
                      <w:r w:rsidRPr="00835728">
                        <w:rPr>
                          <w:i w:val="0"/>
                          <w:sz w:val="22"/>
                        </w:rPr>
                        <w:t xml:space="preserve">Indicative </w:t>
                      </w:r>
                      <w:proofErr w:type="spellStart"/>
                      <w:r w:rsidRPr="00835728">
                        <w:rPr>
                          <w:i w:val="0"/>
                          <w:sz w:val="22"/>
                        </w:rPr>
                        <w:t>ToC</w:t>
                      </w:r>
                      <w:proofErr w:type="spellEnd"/>
                      <w:r w:rsidRPr="00835728">
                        <w:rPr>
                          <w:i w:val="0"/>
                          <w:sz w:val="22"/>
                        </w:rPr>
                        <w:t xml:space="preserve"> for a Defra ICF mangroves intervention</w:t>
                      </w:r>
                      <w:bookmarkEnd w:id="59"/>
                    </w:p>
                  </w:txbxContent>
                </v:textbox>
                <w10:wrap type="square"/>
              </v:shape>
            </w:pict>
          </mc:Fallback>
        </mc:AlternateContent>
      </w:r>
      <w:r w:rsidR="00B169A5" w:rsidRPr="004C5667">
        <w:rPr>
          <w:noProof/>
        </w:rPr>
        <w:drawing>
          <wp:anchor distT="0" distB="0" distL="114300" distR="114300" simplePos="0" relativeHeight="251658241" behindDoc="0" locked="0" layoutInCell="1" allowOverlap="1" wp14:anchorId="020EFD7B" wp14:editId="62327427">
            <wp:simplePos x="0" y="0"/>
            <wp:positionH relativeFrom="margin">
              <wp:align>center</wp:align>
            </wp:positionH>
            <wp:positionV relativeFrom="paragraph">
              <wp:posOffset>324485</wp:posOffset>
            </wp:positionV>
            <wp:extent cx="6534150" cy="2790825"/>
            <wp:effectExtent l="0" t="0" r="0" b="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CB3CB8" w:rsidRPr="004C5667">
        <w:t>Indicative Theory of Change</w:t>
      </w:r>
    </w:p>
    <w:p w14:paraId="669C42B0" w14:textId="6E82993D" w:rsidR="001339D4" w:rsidRPr="001339D4" w:rsidRDefault="001339D4" w:rsidP="001339D4">
      <w:r>
        <w:t xml:space="preserve">Figure 4 shows an indicative theory of change for a mangroves conservation, blue carbon and livelihoods programme to be delivered through Defra ICF. This should form the basis of any </w:t>
      </w:r>
      <w:proofErr w:type="spellStart"/>
      <w:r>
        <w:t>ToC</w:t>
      </w:r>
      <w:proofErr w:type="spellEnd"/>
      <w:r>
        <w:t xml:space="preserve"> specific to particular programmes; for appraised options these can be found in the Annex.</w:t>
      </w:r>
    </w:p>
    <w:p w14:paraId="21EEB305" w14:textId="3BE7C981" w:rsidR="007E0FF3" w:rsidRPr="004C5667" w:rsidRDefault="00513C96" w:rsidP="00EF36DF">
      <w:pPr>
        <w:pStyle w:val="Heading2"/>
      </w:pPr>
      <w:bookmarkStart w:id="60" w:name="_Toc527027969"/>
      <w:r w:rsidRPr="004C5667">
        <w:t xml:space="preserve">Synergies with </w:t>
      </w:r>
      <w:r w:rsidR="00EB32C6" w:rsidRPr="004C5667">
        <w:t xml:space="preserve">wider </w:t>
      </w:r>
      <w:r w:rsidR="007E0FF3" w:rsidRPr="004C5667">
        <w:t>work</w:t>
      </w:r>
      <w:bookmarkEnd w:id="50"/>
      <w:bookmarkEnd w:id="51"/>
      <w:bookmarkEnd w:id="52"/>
      <w:bookmarkEnd w:id="60"/>
    </w:p>
    <w:p w14:paraId="1FE7ED1F" w14:textId="071D1439" w:rsidR="007574B3" w:rsidRPr="004C5667" w:rsidRDefault="00634BED" w:rsidP="00EF36DF">
      <w:r w:rsidRPr="004C5667">
        <w:t xml:space="preserve">Mangroves are intrinsically linked to other Blue Carbon ecosystems </w:t>
      </w:r>
      <w:r w:rsidR="00873B09" w:rsidRPr="004C5667">
        <w:t xml:space="preserve">including sea grasses, tidal marshes and other wetland habitats. </w:t>
      </w:r>
      <w:r w:rsidR="007574B3" w:rsidRPr="004C5667">
        <w:t xml:space="preserve">Beyond the policy work of </w:t>
      </w:r>
      <w:r w:rsidR="00BF15A0">
        <w:t>Defra</w:t>
      </w:r>
      <w:r w:rsidR="007574B3" w:rsidRPr="004C5667">
        <w:t xml:space="preserve"> International (i.e. ICF and Darwin), other teams</w:t>
      </w:r>
      <w:r w:rsidRPr="004C5667">
        <w:t>,</w:t>
      </w:r>
      <w:r w:rsidR="007574B3" w:rsidRPr="004C5667">
        <w:t xml:space="preserve"> </w:t>
      </w:r>
      <w:r w:rsidRPr="004C5667">
        <w:t xml:space="preserve">other </w:t>
      </w:r>
      <w:r w:rsidR="007574B3" w:rsidRPr="004C5667">
        <w:t xml:space="preserve">government departments and non-departmental public bodies are engaged </w:t>
      </w:r>
      <w:r w:rsidRPr="004C5667">
        <w:t>in the growing Blue Carbon sector</w:t>
      </w:r>
      <w:r w:rsidR="00873B09" w:rsidRPr="004C5667">
        <w:t xml:space="preserve">. A </w:t>
      </w:r>
      <w:r w:rsidR="00BF15A0">
        <w:t>Defra</w:t>
      </w:r>
      <w:r w:rsidR="00873B09" w:rsidRPr="004C5667">
        <w:t xml:space="preserve"> ICF investment in mangroves will put us at the forefront of an emerging economy and forestry policy area while providing an opportunity to reduce deforestation in a threatened and undervalued habitat and support sustainable international development and resilience building within that habitat.</w:t>
      </w:r>
    </w:p>
    <w:p w14:paraId="731672EA" w14:textId="65E6C23B" w:rsidR="0037781D" w:rsidRPr="004C5667" w:rsidRDefault="00513C96" w:rsidP="00EF36DF">
      <w:pPr>
        <w:pStyle w:val="Heading3"/>
      </w:pPr>
      <w:r w:rsidRPr="004C5667">
        <w:t>Within HMG – BEIS and CEFAS</w:t>
      </w:r>
    </w:p>
    <w:p w14:paraId="2A4F3438" w14:textId="4F0FCA46" w:rsidR="0037781D" w:rsidRPr="004C5667" w:rsidRDefault="00E14F95" w:rsidP="00EF36DF">
      <w:r w:rsidRPr="004C5667">
        <w:t xml:space="preserve">BEIS are active in the Blue Carbon landscape through their work including the development of robust Measurement, Reporting and Verification (MRV) methodologies and the Natural Environment Research </w:t>
      </w:r>
      <w:r w:rsidRPr="004C5667">
        <w:lastRenderedPageBreak/>
        <w:t>Council (NERC)</w:t>
      </w:r>
      <w:r w:rsidR="00CC18FA" w:rsidRPr="004C5667">
        <w:t xml:space="preserve"> where they have co-financ</w:t>
      </w:r>
      <w:r w:rsidR="005C3667" w:rsidRPr="004C5667">
        <w:t xml:space="preserve">ed a </w:t>
      </w:r>
      <w:r w:rsidR="005C3667" w:rsidRPr="004C5667">
        <w:rPr>
          <w:bCs/>
          <w:iCs/>
        </w:rPr>
        <w:t>project looking at the role and value of the carbon in the marine environment.</w:t>
      </w:r>
    </w:p>
    <w:p w14:paraId="3DFEF184" w14:textId="7C4F58B2" w:rsidR="00513C96" w:rsidRPr="004C5667" w:rsidRDefault="0084411A" w:rsidP="00EF36DF">
      <w:r w:rsidRPr="004C5667">
        <w:t xml:space="preserve">CEFAS are also involved in mangrove work and provide bespoke marine and freshwater science and technology services to a diverse range of commercial clients, from a variety of sectors and markets. They are also involved through the Commonwealth Marine Economies Programme in Blue Carbon assessments in the Pacific and as invited experts for the International Blue Carbon </w:t>
      </w:r>
      <w:r w:rsidRPr="004C5667">
        <w:rPr>
          <w:bCs/>
        </w:rPr>
        <w:t>Initiative (see below)</w:t>
      </w:r>
      <w:r w:rsidRPr="004C5667">
        <w:t> Scientific Working Group.</w:t>
      </w:r>
    </w:p>
    <w:p w14:paraId="5D567E43" w14:textId="69DD47E5" w:rsidR="007E0FF3" w:rsidRPr="004C5667" w:rsidRDefault="007E0FF3" w:rsidP="00EF36DF">
      <w:pPr>
        <w:pStyle w:val="Heading3"/>
      </w:pPr>
      <w:bookmarkStart w:id="61" w:name="_Toc505691920"/>
      <w:bookmarkStart w:id="62" w:name="_Toc505693255"/>
      <w:r w:rsidRPr="004C5667">
        <w:t>Blue Economy knowledge</w:t>
      </w:r>
      <w:bookmarkEnd w:id="61"/>
      <w:bookmarkEnd w:id="62"/>
      <w:r w:rsidR="002E053B" w:rsidRPr="004C5667">
        <w:t xml:space="preserve"> </w:t>
      </w:r>
      <w:r w:rsidR="00344049" w:rsidRPr="004C5667">
        <w:t>– International partnerships and initiatives</w:t>
      </w:r>
    </w:p>
    <w:p w14:paraId="74BB5E56" w14:textId="7191F023" w:rsidR="007574B3" w:rsidRPr="004C5667" w:rsidRDefault="007574B3" w:rsidP="00EF36DF">
      <w:bookmarkStart w:id="63" w:name="_Toc505691921"/>
      <w:bookmarkStart w:id="64" w:name="_Toc505693256"/>
      <w:r w:rsidRPr="004C5667">
        <w:t xml:space="preserve">The inclusion of mangroves in the design and implementation of forestry conservation and management programmes is relatively new, as is the emerging nature and international appetite for the developing </w:t>
      </w:r>
      <w:r w:rsidR="00873B09" w:rsidRPr="004C5667">
        <w:t>B</w:t>
      </w:r>
      <w:r w:rsidRPr="004C5667">
        <w:t xml:space="preserve">lue </w:t>
      </w:r>
      <w:r w:rsidR="00873B09" w:rsidRPr="004C5667">
        <w:t>E</w:t>
      </w:r>
      <w:r w:rsidRPr="004C5667">
        <w:t xml:space="preserve">conomy. This has caused an influx of partnerships and initiatives at the international level </w:t>
      </w:r>
      <w:r w:rsidR="00CC18FA" w:rsidRPr="004C5667">
        <w:t xml:space="preserve">with various aims including </w:t>
      </w:r>
      <w:r w:rsidRPr="004C5667">
        <w:t>to knowledge share, provide technical assistance, unlock financing streams or develop policy across the evolving Blue Carbon landscape.</w:t>
      </w:r>
    </w:p>
    <w:p w14:paraId="618D29EA" w14:textId="13500E79" w:rsidR="00265C08" w:rsidRPr="004C5667" w:rsidRDefault="00265C08" w:rsidP="00EF36DF">
      <w:r w:rsidRPr="004C5667">
        <w:t xml:space="preserve">These international cooperatives are increasingly contributing to the global blue carbon research and development community. Additional mangrove conservation efforts through </w:t>
      </w:r>
      <w:r w:rsidR="00BF15A0">
        <w:t>Defra</w:t>
      </w:r>
      <w:r w:rsidRPr="004C5667">
        <w:t xml:space="preserve">’s ICF provide an opportunity to engage and increase our global standing in this sector, </w:t>
      </w:r>
      <w:r w:rsidR="00CC18FA" w:rsidRPr="004C5667">
        <w:t xml:space="preserve">whilst </w:t>
      </w:r>
      <w:r w:rsidRPr="004C5667">
        <w:t>maintain</w:t>
      </w:r>
      <w:r w:rsidR="00CC18FA" w:rsidRPr="004C5667">
        <w:t>ing</w:t>
      </w:r>
      <w:r w:rsidRPr="004C5667">
        <w:t xml:space="preserve"> and establish</w:t>
      </w:r>
      <w:r w:rsidR="00CC18FA" w:rsidRPr="004C5667">
        <w:t>ing</w:t>
      </w:r>
      <w:r w:rsidRPr="004C5667">
        <w:t xml:space="preserve"> positive working relationships with </w:t>
      </w:r>
      <w:r w:rsidR="00CC18FA" w:rsidRPr="004C5667">
        <w:t xml:space="preserve">those </w:t>
      </w:r>
      <w:r w:rsidRPr="004C5667">
        <w:t>countries in the Commonwealth and beyond who are involved.</w:t>
      </w:r>
    </w:p>
    <w:p w14:paraId="06FB0304" w14:textId="77777777" w:rsidR="002A6210" w:rsidRPr="004C5667" w:rsidRDefault="0098652F" w:rsidP="00EF36DF">
      <w:pPr>
        <w:pStyle w:val="Heading4"/>
      </w:pPr>
      <w:r w:rsidRPr="004C5667">
        <w:t>International Partnership for Blue Carbon</w:t>
      </w:r>
      <w:r w:rsidR="002A6210" w:rsidRPr="004C5667">
        <w:t xml:space="preserve"> (IPBC)</w:t>
      </w:r>
    </w:p>
    <w:p w14:paraId="3C670CBF" w14:textId="3FC696FF" w:rsidR="00376630" w:rsidRPr="004C5667" w:rsidRDefault="002A6210" w:rsidP="00EF36DF">
      <w:r w:rsidRPr="004C5667">
        <w:t xml:space="preserve">The IPBC was </w:t>
      </w:r>
      <w:r w:rsidR="00E14F95" w:rsidRPr="004C5667">
        <w:t xml:space="preserve">launched by Australia at COP21. </w:t>
      </w:r>
      <w:r w:rsidR="00E527D9" w:rsidRPr="004C5667">
        <w:t xml:space="preserve">Led by </w:t>
      </w:r>
      <w:r w:rsidR="00BF15A0">
        <w:t>Defra</w:t>
      </w:r>
      <w:r w:rsidR="00E527D9" w:rsidRPr="004C5667">
        <w:t xml:space="preserve">’s ICF team we have historically participated </w:t>
      </w:r>
      <w:r w:rsidR="0098652F" w:rsidRPr="004C5667">
        <w:t xml:space="preserve">through our contributions to the Finance Focal Group which </w:t>
      </w:r>
      <w:r w:rsidR="00E14F95" w:rsidRPr="004C5667">
        <w:t xml:space="preserve">offers </w:t>
      </w:r>
      <w:r w:rsidR="0098652F" w:rsidRPr="004C5667">
        <w:t xml:space="preserve">expertise </w:t>
      </w:r>
      <w:r w:rsidR="00E14F95" w:rsidRPr="004C5667">
        <w:t xml:space="preserve">for </w:t>
      </w:r>
      <w:r w:rsidR="0098652F" w:rsidRPr="004C5667">
        <w:t xml:space="preserve">establishing projects; for governments to implement frameworks, policies and technology; and for supporting on-ground </w:t>
      </w:r>
      <w:r w:rsidR="00376630" w:rsidRPr="004C5667">
        <w:t>projects.</w:t>
      </w:r>
    </w:p>
    <w:p w14:paraId="56F87060" w14:textId="553CB9FA" w:rsidR="00E527D9" w:rsidRPr="004C5667" w:rsidRDefault="00376630" w:rsidP="00EF36DF">
      <w:r w:rsidRPr="004C5667">
        <w:t xml:space="preserve">In August 2018 we </w:t>
      </w:r>
      <w:r w:rsidR="00E527D9" w:rsidRPr="004C5667">
        <w:t xml:space="preserve">received ministerial approval </w:t>
      </w:r>
      <w:r w:rsidRPr="004C5667">
        <w:t xml:space="preserve">at </w:t>
      </w:r>
      <w:r w:rsidR="00BF15A0">
        <w:t>Defra</w:t>
      </w:r>
      <w:r w:rsidRPr="004C5667">
        <w:t xml:space="preserve"> and BEIS </w:t>
      </w:r>
      <w:r w:rsidR="00E527D9" w:rsidRPr="004C5667">
        <w:t xml:space="preserve">to join </w:t>
      </w:r>
      <w:r w:rsidR="00502F45">
        <w:t xml:space="preserve">formally </w:t>
      </w:r>
      <w:r w:rsidR="00E527D9" w:rsidRPr="004C5667">
        <w:t>as partners</w:t>
      </w:r>
      <w:r w:rsidR="00502F45">
        <w:t xml:space="preserve"> which was welcomed by Australia</w:t>
      </w:r>
      <w:r w:rsidR="00CC18FA" w:rsidRPr="004C5667">
        <w:t>. G</w:t>
      </w:r>
      <w:r w:rsidR="0098652F" w:rsidRPr="004C5667">
        <w:t xml:space="preserve">oing forward </w:t>
      </w:r>
      <w:r w:rsidRPr="004C5667">
        <w:t xml:space="preserve">there </w:t>
      </w:r>
      <w:r w:rsidR="0098652F" w:rsidRPr="004C5667">
        <w:t xml:space="preserve">will </w:t>
      </w:r>
      <w:r w:rsidRPr="004C5667">
        <w:t xml:space="preserve">be </w:t>
      </w:r>
      <w:r w:rsidR="0098652F" w:rsidRPr="004C5667">
        <w:t xml:space="preserve">stronger collaboration </w:t>
      </w:r>
      <w:r w:rsidRPr="004C5667">
        <w:t xml:space="preserve">with </w:t>
      </w:r>
      <w:r w:rsidR="0098652F" w:rsidRPr="004C5667">
        <w:t xml:space="preserve">and </w:t>
      </w:r>
      <w:r w:rsidR="00E527D9" w:rsidRPr="004C5667">
        <w:t xml:space="preserve">contribution to </w:t>
      </w:r>
      <w:r w:rsidR="0098652F" w:rsidRPr="004C5667">
        <w:t xml:space="preserve">the </w:t>
      </w:r>
      <w:r w:rsidR="00E527D9" w:rsidRPr="004C5667">
        <w:t>partnership</w:t>
      </w:r>
      <w:r w:rsidRPr="004C5667">
        <w:t>.</w:t>
      </w:r>
      <w:r w:rsidR="00E527D9" w:rsidRPr="004C5667">
        <w:t xml:space="preserve"> </w:t>
      </w:r>
      <w:r w:rsidRPr="004C5667">
        <w:t>A</w:t>
      </w:r>
      <w:r w:rsidR="00E527D9" w:rsidRPr="004C5667">
        <w:t>n additional mangroves programme will significantly boost the expertise we can offer</w:t>
      </w:r>
      <w:r w:rsidRPr="004C5667">
        <w:t>, influence we can leverage,</w:t>
      </w:r>
      <w:r w:rsidR="00E527D9" w:rsidRPr="004C5667">
        <w:t xml:space="preserve"> and experience we can glean </w:t>
      </w:r>
      <w:r w:rsidRPr="004C5667">
        <w:t>through this</w:t>
      </w:r>
      <w:r w:rsidR="00E527D9" w:rsidRPr="004C5667">
        <w:t xml:space="preserve"> global </w:t>
      </w:r>
      <w:r w:rsidRPr="004C5667">
        <w:t>platform.</w:t>
      </w:r>
    </w:p>
    <w:p w14:paraId="31CB01D1" w14:textId="696A9FC0" w:rsidR="0098652F" w:rsidRPr="004C5667" w:rsidRDefault="0098652F" w:rsidP="00EF36DF">
      <w:r w:rsidRPr="004C5667">
        <w:t xml:space="preserve">Our </w:t>
      </w:r>
      <w:r w:rsidR="00376630" w:rsidRPr="004C5667">
        <w:t xml:space="preserve">current </w:t>
      </w:r>
      <w:r w:rsidRPr="004C5667">
        <w:t>ICF project partner, Blue Ventures</w:t>
      </w:r>
      <w:r w:rsidR="00376630" w:rsidRPr="004C5667">
        <w:t>,</w:t>
      </w:r>
      <w:r w:rsidRPr="004C5667">
        <w:t xml:space="preserve"> is </w:t>
      </w:r>
      <w:r w:rsidR="00376630" w:rsidRPr="004C5667">
        <w:t>also a partner of the IPBC; currently</w:t>
      </w:r>
      <w:r w:rsidRPr="004C5667">
        <w:t xml:space="preserve"> sharing the knowledge and expertise generated from our ICF investment</w:t>
      </w:r>
      <w:r w:rsidR="00376630" w:rsidRPr="004C5667">
        <w:t xml:space="preserve"> in the Technical Focal Group.</w:t>
      </w:r>
    </w:p>
    <w:p w14:paraId="3E19EE97" w14:textId="146FD38B" w:rsidR="007B38AC" w:rsidRDefault="007B38AC" w:rsidP="007B38AC">
      <w:pPr>
        <w:pStyle w:val="Heading4"/>
      </w:pPr>
      <w:r w:rsidRPr="004C5667">
        <w:t>Blue Charter Mangroves Action Group - Sri Lanka</w:t>
      </w:r>
    </w:p>
    <w:p w14:paraId="6FCFA283" w14:textId="6DA16723" w:rsidR="007B38AC" w:rsidRPr="007B38AC" w:rsidRDefault="007B38AC" w:rsidP="007B38AC">
      <w:r w:rsidRPr="004C5667">
        <w:rPr>
          <w:rFonts w:eastAsia="Times New Roman" w:cs="Arial"/>
        </w:rPr>
        <w:t>At the Committee of the Whole on 21-23</w:t>
      </w:r>
      <w:r w:rsidRPr="004C5667">
        <w:rPr>
          <w:rFonts w:eastAsia="Times New Roman" w:cs="Arial"/>
          <w:vertAlign w:val="superscript"/>
        </w:rPr>
        <w:t>rd</w:t>
      </w:r>
      <w:r w:rsidRPr="004C5667">
        <w:rPr>
          <w:rFonts w:eastAsia="Times New Roman" w:cs="Arial"/>
        </w:rPr>
        <w:t xml:space="preserve"> March 2018, </w:t>
      </w:r>
      <w:r w:rsidRPr="004C5667">
        <w:t xml:space="preserve">several commonwealth governments came forward proposing to lead action groups in support of the Commonwealth Blue Charter. Sri Lanka proposed leading a group on mangroves. There is little in-depth information on the mangroves action group as yet but broad aims include knowledge sharing, protection of mangroves, restoration and development of a commonwealth mangroves database. </w:t>
      </w:r>
    </w:p>
    <w:p w14:paraId="7914222B" w14:textId="21134228" w:rsidR="007B38AC" w:rsidRPr="007B38AC" w:rsidRDefault="007B38AC" w:rsidP="007B38AC">
      <w:r>
        <w:t>[Redacted]</w:t>
      </w:r>
    </w:p>
    <w:p w14:paraId="63991893" w14:textId="5F1A8618" w:rsidR="000A4CB0" w:rsidRPr="004C5667" w:rsidRDefault="000A4CB0" w:rsidP="00EF36DF">
      <w:pPr>
        <w:pStyle w:val="Heading4"/>
      </w:pPr>
      <w:r w:rsidRPr="004C5667">
        <w:t>Other initiatives</w:t>
      </w:r>
    </w:p>
    <w:p w14:paraId="62DA4C47" w14:textId="2559DF85" w:rsidR="00956A1A" w:rsidRPr="004C5667" w:rsidRDefault="000A4CB0" w:rsidP="00373F42">
      <w:r w:rsidRPr="004C5667">
        <w:t xml:space="preserve">The </w:t>
      </w:r>
      <w:r w:rsidR="0061474F" w:rsidRPr="004C5667">
        <w:t xml:space="preserve">international </w:t>
      </w:r>
      <w:r w:rsidRPr="004C5667">
        <w:t xml:space="preserve">landscape for Blue Carbon </w:t>
      </w:r>
      <w:r w:rsidR="00236753" w:rsidRPr="004C5667">
        <w:t>(</w:t>
      </w:r>
      <w:r w:rsidR="0061474F" w:rsidRPr="004C5667">
        <w:t>mangrove conservation</w:t>
      </w:r>
      <w:r w:rsidR="00236753" w:rsidRPr="004C5667">
        <w:t>)</w:t>
      </w:r>
      <w:r w:rsidR="0061474F" w:rsidRPr="004C5667">
        <w:t xml:space="preserve"> </w:t>
      </w:r>
      <w:r w:rsidR="00236753" w:rsidRPr="004C5667">
        <w:t xml:space="preserve">funding and </w:t>
      </w:r>
      <w:r w:rsidRPr="004C5667">
        <w:t>knowledg</w:t>
      </w:r>
      <w:r w:rsidR="000224C8" w:rsidRPr="004C5667">
        <w:t xml:space="preserve">e sharing frameworks is </w:t>
      </w:r>
      <w:r w:rsidR="0061474F" w:rsidRPr="004C5667">
        <w:t xml:space="preserve">burgeoning </w:t>
      </w:r>
      <w:bookmarkEnd w:id="63"/>
      <w:bookmarkEnd w:id="64"/>
      <w:r w:rsidR="0061474F" w:rsidRPr="004C5667">
        <w:t xml:space="preserve">with </w:t>
      </w:r>
      <w:r w:rsidR="000224C8" w:rsidRPr="004C5667">
        <w:t xml:space="preserve">many new </w:t>
      </w:r>
      <w:r w:rsidR="00236753" w:rsidRPr="004C5667">
        <w:t xml:space="preserve">initiatives </w:t>
      </w:r>
      <w:r w:rsidR="0061474F" w:rsidRPr="004C5667">
        <w:t xml:space="preserve">founded </w:t>
      </w:r>
      <w:r w:rsidR="000224C8" w:rsidRPr="004C5667">
        <w:t>each year.</w:t>
      </w:r>
      <w:r w:rsidR="00236753" w:rsidRPr="004C5667">
        <w:t xml:space="preserve"> Further ICF investment into </w:t>
      </w:r>
      <w:r w:rsidR="00236753" w:rsidRPr="004C5667">
        <w:lastRenderedPageBreak/>
        <w:t>mangrove projects would not only create multiple strategic benefits for, and synergies with, existing work across government, but also complement this with a commitment to this growing area of international policy. With further involvement</w:t>
      </w:r>
      <w:r w:rsidR="0061474F" w:rsidRPr="004C5667">
        <w:t xml:space="preserve"> in this sector </w:t>
      </w:r>
      <w:r w:rsidR="005A60F1" w:rsidRPr="004C5667">
        <w:t xml:space="preserve">there is an opportunity for the UK to show strong leadership and to </w:t>
      </w:r>
      <w:r w:rsidR="0061474F" w:rsidRPr="004C5667">
        <w:t>shape this critical sector of the environment on</w:t>
      </w:r>
      <w:r w:rsidR="005A60F1" w:rsidRPr="004C5667">
        <w:t xml:space="preserve"> the global stage.</w:t>
      </w:r>
      <w:r w:rsidR="00956A1A" w:rsidRPr="004C5667">
        <w:br w:type="page"/>
      </w:r>
    </w:p>
    <w:p w14:paraId="404FD143" w14:textId="3137786B" w:rsidR="00956A1A" w:rsidRPr="004C5667" w:rsidRDefault="007818C8" w:rsidP="00EF36DF">
      <w:pPr>
        <w:pStyle w:val="Heading1"/>
      </w:pPr>
      <w:bookmarkStart w:id="65" w:name="_Toc527027970"/>
      <w:r w:rsidRPr="004C5667">
        <w:lastRenderedPageBreak/>
        <w:t>Appraisal C</w:t>
      </w:r>
      <w:r w:rsidR="00956A1A" w:rsidRPr="004C5667">
        <w:t>ase</w:t>
      </w:r>
      <w:bookmarkEnd w:id="65"/>
    </w:p>
    <w:p w14:paraId="01EE2FBB" w14:textId="6F328347" w:rsidR="00956A1A" w:rsidRPr="004C5667" w:rsidRDefault="00956A1A" w:rsidP="00EF36DF">
      <w:pPr>
        <w:pStyle w:val="Heading2"/>
      </w:pPr>
      <w:bookmarkStart w:id="66" w:name="_Toc527027971"/>
      <w:r w:rsidRPr="004C5667">
        <w:t>Summary</w:t>
      </w:r>
      <w:bookmarkEnd w:id="66"/>
    </w:p>
    <w:p w14:paraId="4D24E04C" w14:textId="22F82855" w:rsidR="0055366A" w:rsidRDefault="0055366A" w:rsidP="00EF36DF">
      <w:r>
        <w:t>Multiple distinct options for delivery were initially discussed and assessed including NGOs (such as The Nature Conservancy) and international organisations (such as IUCN). These were ruled out due to questions around capacity, their untested nature and our 2018</w:t>
      </w:r>
      <w:r w:rsidR="0084090C">
        <w:t>/19</w:t>
      </w:r>
      <w:r>
        <w:t xml:space="preserve"> spend targets as discussed in section </w:t>
      </w:r>
      <w:r w:rsidR="0084090C">
        <w:t>3.2.1</w:t>
      </w:r>
      <w:r>
        <w:t xml:space="preserve">. Two options were carried forward for full economic appraisal which follows. </w:t>
      </w:r>
    </w:p>
    <w:p w14:paraId="7D866B5C" w14:textId="74E00CA7" w:rsidR="00444C9A" w:rsidRDefault="00956A1A" w:rsidP="00EF36DF">
      <w:r w:rsidRPr="004C5667">
        <w:t>The appraisal estimates the economic costs and benefits to soci</w:t>
      </w:r>
      <w:r w:rsidR="001A3397">
        <w:t>ety of two options to invest £12.75</w:t>
      </w:r>
      <w:r w:rsidRPr="004C5667">
        <w:t xml:space="preserve">m of </w:t>
      </w:r>
      <w:r w:rsidR="00BF15A0">
        <w:t>Defra</w:t>
      </w:r>
      <w:r w:rsidRPr="004C5667">
        <w:t xml:space="preserve">’s International Climate Finance (ICF). The impact of these options, when compared to a ‘do nothing’ baseline, is summarised in </w:t>
      </w:r>
      <w:r w:rsidR="00444C9A">
        <w:t>Figure 5.</w:t>
      </w:r>
    </w:p>
    <w:p w14:paraId="09203D6E" w14:textId="54F49E85" w:rsidR="00956A1A" w:rsidRPr="004C5667" w:rsidRDefault="00956A1A" w:rsidP="00EF36DF">
      <w:r w:rsidRPr="004C5667">
        <w:t>Sensitivity analysis, through the production of low and high scenarios, is detailed in Anne</w:t>
      </w:r>
      <w:r w:rsidR="00444C9A">
        <w:t>x 1.</w:t>
      </w:r>
    </w:p>
    <w:tbl>
      <w:tblPr>
        <w:tblStyle w:val="TableGrid"/>
        <w:tblW w:w="9072" w:type="dxa"/>
        <w:jc w:val="center"/>
        <w:tblLook w:val="04A0" w:firstRow="1" w:lastRow="0" w:firstColumn="1" w:lastColumn="0" w:noHBand="0" w:noVBand="1"/>
      </w:tblPr>
      <w:tblGrid>
        <w:gridCol w:w="2508"/>
        <w:gridCol w:w="3162"/>
        <w:gridCol w:w="3402"/>
      </w:tblGrid>
      <w:tr w:rsidR="00956A1A" w:rsidRPr="004C5667" w14:paraId="0D2424D5" w14:textId="77777777" w:rsidTr="002069B6">
        <w:trPr>
          <w:jc w:val="center"/>
        </w:trPr>
        <w:tc>
          <w:tcPr>
            <w:tcW w:w="2508" w:type="dxa"/>
            <w:shd w:val="clear" w:color="auto" w:fill="BDD6EE" w:themeFill="accent1" w:themeFillTint="66"/>
          </w:tcPr>
          <w:p w14:paraId="34E169D2" w14:textId="77777777" w:rsidR="00956A1A" w:rsidRPr="004C5667" w:rsidRDefault="00956A1A" w:rsidP="00EF36DF">
            <w:pPr>
              <w:spacing w:after="0"/>
              <w:rPr>
                <w:b/>
              </w:rPr>
            </w:pPr>
          </w:p>
        </w:tc>
        <w:tc>
          <w:tcPr>
            <w:tcW w:w="3162" w:type="dxa"/>
            <w:shd w:val="clear" w:color="auto" w:fill="BDD6EE" w:themeFill="accent1" w:themeFillTint="66"/>
          </w:tcPr>
          <w:p w14:paraId="46A5745B" w14:textId="431B62AA" w:rsidR="00956A1A" w:rsidRPr="004C5667" w:rsidRDefault="00956A1A" w:rsidP="00EF36DF">
            <w:pPr>
              <w:spacing w:after="0"/>
              <w:rPr>
                <w:b/>
              </w:rPr>
            </w:pPr>
            <w:r w:rsidRPr="004C5667">
              <w:rPr>
                <w:b/>
              </w:rPr>
              <w:t>Option 1.1</w:t>
            </w:r>
          </w:p>
        </w:tc>
        <w:tc>
          <w:tcPr>
            <w:tcW w:w="3402" w:type="dxa"/>
            <w:shd w:val="clear" w:color="auto" w:fill="BDD6EE" w:themeFill="accent1" w:themeFillTint="66"/>
          </w:tcPr>
          <w:p w14:paraId="546DA372" w14:textId="77777777" w:rsidR="00956A1A" w:rsidRPr="004C5667" w:rsidRDefault="00956A1A" w:rsidP="00EF36DF">
            <w:pPr>
              <w:spacing w:after="0"/>
              <w:rPr>
                <w:b/>
              </w:rPr>
            </w:pPr>
            <w:r w:rsidRPr="004C5667">
              <w:rPr>
                <w:b/>
              </w:rPr>
              <w:t>Option 1.2</w:t>
            </w:r>
          </w:p>
        </w:tc>
      </w:tr>
      <w:tr w:rsidR="00956A1A" w:rsidRPr="004C5667" w14:paraId="68EBB4D3" w14:textId="77777777" w:rsidTr="002069B6">
        <w:trPr>
          <w:jc w:val="center"/>
        </w:trPr>
        <w:tc>
          <w:tcPr>
            <w:tcW w:w="2508" w:type="dxa"/>
          </w:tcPr>
          <w:p w14:paraId="3EA5BFBE" w14:textId="77777777" w:rsidR="00956A1A" w:rsidRPr="004C5667" w:rsidRDefault="00956A1A" w:rsidP="00EF36DF">
            <w:pPr>
              <w:spacing w:after="0"/>
              <w:rPr>
                <w:b/>
              </w:rPr>
            </w:pPr>
            <w:r w:rsidRPr="004C5667">
              <w:rPr>
                <w:b/>
              </w:rPr>
              <w:t>Funding Option</w:t>
            </w:r>
          </w:p>
        </w:tc>
        <w:tc>
          <w:tcPr>
            <w:tcW w:w="3162" w:type="dxa"/>
          </w:tcPr>
          <w:p w14:paraId="77B9B6FC" w14:textId="13A1ADC2" w:rsidR="00956A1A" w:rsidRPr="004C5667" w:rsidRDefault="0019373C" w:rsidP="00EF36DF">
            <w:pPr>
              <w:spacing w:after="0"/>
              <w:rPr>
                <w:b/>
              </w:rPr>
            </w:pPr>
            <w:r>
              <w:rPr>
                <w:b/>
              </w:rPr>
              <w:t>IDB Blue Carbon Program - £12.75</w:t>
            </w:r>
            <w:r w:rsidR="00956A1A" w:rsidRPr="004C5667">
              <w:rPr>
                <w:b/>
              </w:rPr>
              <w:t>m</w:t>
            </w:r>
          </w:p>
        </w:tc>
        <w:tc>
          <w:tcPr>
            <w:tcW w:w="3402" w:type="dxa"/>
          </w:tcPr>
          <w:p w14:paraId="2AADCF05" w14:textId="72A99A9E" w:rsidR="00956A1A" w:rsidRPr="004C5667" w:rsidRDefault="00956A1A" w:rsidP="00EF36DF">
            <w:pPr>
              <w:spacing w:after="0"/>
              <w:rPr>
                <w:b/>
              </w:rPr>
            </w:pPr>
            <w:proofErr w:type="spellStart"/>
            <w:r w:rsidRPr="004C5667">
              <w:rPr>
                <w:b/>
              </w:rPr>
              <w:t>Althelia</w:t>
            </w:r>
            <w:proofErr w:type="spellEnd"/>
            <w:r w:rsidRPr="004C5667">
              <w:rPr>
                <w:b/>
              </w:rPr>
              <w:t xml:space="preserve"> Sust</w:t>
            </w:r>
            <w:r w:rsidR="0019373C">
              <w:rPr>
                <w:b/>
              </w:rPr>
              <w:t>ainable Mangroves Facility - £12.75</w:t>
            </w:r>
            <w:r w:rsidRPr="004C5667">
              <w:rPr>
                <w:b/>
              </w:rPr>
              <w:t>m</w:t>
            </w:r>
          </w:p>
        </w:tc>
      </w:tr>
      <w:tr w:rsidR="00956A1A" w:rsidRPr="004C5667" w14:paraId="15627484" w14:textId="77777777" w:rsidTr="002069B6">
        <w:trPr>
          <w:jc w:val="center"/>
        </w:trPr>
        <w:tc>
          <w:tcPr>
            <w:tcW w:w="2508" w:type="dxa"/>
          </w:tcPr>
          <w:p w14:paraId="358503D4" w14:textId="77777777" w:rsidR="00956A1A" w:rsidRPr="004C5667" w:rsidRDefault="00956A1A" w:rsidP="00EF36DF">
            <w:pPr>
              <w:spacing w:after="0"/>
              <w:rPr>
                <w:b/>
              </w:rPr>
            </w:pPr>
            <w:r w:rsidRPr="004C5667">
              <w:rPr>
                <w:b/>
              </w:rPr>
              <w:t>Costs</w:t>
            </w:r>
          </w:p>
        </w:tc>
        <w:tc>
          <w:tcPr>
            <w:tcW w:w="3162" w:type="dxa"/>
          </w:tcPr>
          <w:p w14:paraId="4AF0BB8D" w14:textId="49942FAB" w:rsidR="00956A1A" w:rsidRPr="004C5667" w:rsidRDefault="00290551" w:rsidP="00EF36DF">
            <w:pPr>
              <w:spacing w:after="0"/>
            </w:pPr>
            <w:r>
              <w:t>£19</w:t>
            </w:r>
            <w:r w:rsidR="00D23DE7">
              <w:t>.</w:t>
            </w:r>
            <w:r>
              <w:t>0</w:t>
            </w:r>
            <w:r w:rsidR="00956A1A" w:rsidRPr="004C5667">
              <w:t>m</w:t>
            </w:r>
          </w:p>
        </w:tc>
        <w:tc>
          <w:tcPr>
            <w:tcW w:w="3402" w:type="dxa"/>
          </w:tcPr>
          <w:p w14:paraId="1057DA68" w14:textId="486ECC37" w:rsidR="00956A1A" w:rsidRPr="004C5667" w:rsidRDefault="00956A1A" w:rsidP="00EF36DF">
            <w:pPr>
              <w:spacing w:after="0"/>
            </w:pPr>
            <w:r w:rsidRPr="004C5667">
              <w:t>£</w:t>
            </w:r>
            <w:r w:rsidR="00EF6F44">
              <w:t>39</w:t>
            </w:r>
            <w:r w:rsidRPr="004C5667">
              <w:t>.</w:t>
            </w:r>
            <w:r w:rsidR="00467658">
              <w:t>1</w:t>
            </w:r>
            <w:r w:rsidRPr="004C5667">
              <w:t>m</w:t>
            </w:r>
          </w:p>
        </w:tc>
      </w:tr>
      <w:tr w:rsidR="00956A1A" w:rsidRPr="004C5667" w14:paraId="1A09A63F" w14:textId="77777777" w:rsidTr="002069B6">
        <w:trPr>
          <w:jc w:val="center"/>
        </w:trPr>
        <w:tc>
          <w:tcPr>
            <w:tcW w:w="2508" w:type="dxa"/>
          </w:tcPr>
          <w:p w14:paraId="7D1CB049" w14:textId="77777777" w:rsidR="00956A1A" w:rsidRPr="004C5667" w:rsidRDefault="00956A1A" w:rsidP="00EF36DF">
            <w:pPr>
              <w:spacing w:after="0"/>
              <w:rPr>
                <w:b/>
              </w:rPr>
            </w:pPr>
            <w:r w:rsidRPr="004C5667">
              <w:rPr>
                <w:b/>
              </w:rPr>
              <w:t>Benefits</w:t>
            </w:r>
            <w:r w:rsidRPr="004C5667">
              <w:rPr>
                <w:rStyle w:val="FootnoteReference"/>
                <w:b/>
              </w:rPr>
              <w:footnoteReference w:id="23"/>
            </w:r>
          </w:p>
        </w:tc>
        <w:tc>
          <w:tcPr>
            <w:tcW w:w="3162" w:type="dxa"/>
          </w:tcPr>
          <w:p w14:paraId="50A3D389" w14:textId="1F7F6364" w:rsidR="00956A1A" w:rsidRPr="004C5667" w:rsidRDefault="00290551" w:rsidP="00873175">
            <w:pPr>
              <w:spacing w:after="0"/>
            </w:pPr>
            <w:r>
              <w:t>£</w:t>
            </w:r>
            <w:r w:rsidR="00873175">
              <w:t>217.8m</w:t>
            </w:r>
          </w:p>
        </w:tc>
        <w:tc>
          <w:tcPr>
            <w:tcW w:w="3402" w:type="dxa"/>
          </w:tcPr>
          <w:p w14:paraId="37F701B7" w14:textId="23F2CEF0" w:rsidR="00956A1A" w:rsidRPr="004C5667" w:rsidRDefault="00956A1A" w:rsidP="00AA417E">
            <w:pPr>
              <w:spacing w:after="0"/>
            </w:pPr>
            <w:r w:rsidRPr="004C5667">
              <w:t>£</w:t>
            </w:r>
            <w:r w:rsidR="00467658">
              <w:t>1</w:t>
            </w:r>
            <w:r w:rsidR="00AA417E">
              <w:t>22.3</w:t>
            </w:r>
            <w:r w:rsidRPr="004C5667">
              <w:t>m</w:t>
            </w:r>
          </w:p>
        </w:tc>
      </w:tr>
      <w:tr w:rsidR="00956A1A" w:rsidRPr="004C5667" w14:paraId="08A9720A" w14:textId="77777777" w:rsidTr="002069B6">
        <w:trPr>
          <w:jc w:val="center"/>
        </w:trPr>
        <w:tc>
          <w:tcPr>
            <w:tcW w:w="2508" w:type="dxa"/>
          </w:tcPr>
          <w:p w14:paraId="7F3B6D6A" w14:textId="77777777" w:rsidR="00956A1A" w:rsidRPr="004C5667" w:rsidRDefault="00956A1A" w:rsidP="00EF36DF">
            <w:pPr>
              <w:spacing w:after="0"/>
              <w:rPr>
                <w:b/>
              </w:rPr>
            </w:pPr>
            <w:r w:rsidRPr="004C5667">
              <w:rPr>
                <w:b/>
              </w:rPr>
              <w:t>NPV (£m)</w:t>
            </w:r>
          </w:p>
        </w:tc>
        <w:tc>
          <w:tcPr>
            <w:tcW w:w="3162" w:type="dxa"/>
          </w:tcPr>
          <w:p w14:paraId="25E173FF" w14:textId="78DCC855" w:rsidR="00956A1A" w:rsidRPr="004C5667" w:rsidRDefault="00D23DE7" w:rsidP="00873175">
            <w:pPr>
              <w:spacing w:after="0"/>
            </w:pPr>
            <w:r>
              <w:t>£</w:t>
            </w:r>
            <w:r w:rsidR="00873175">
              <w:t>198.9m</w:t>
            </w:r>
          </w:p>
        </w:tc>
        <w:tc>
          <w:tcPr>
            <w:tcW w:w="3402" w:type="dxa"/>
          </w:tcPr>
          <w:p w14:paraId="552BB41C" w14:textId="6DF3AAF0" w:rsidR="00956A1A" w:rsidRPr="004C5667" w:rsidRDefault="00D10CC9" w:rsidP="00EF36DF">
            <w:pPr>
              <w:spacing w:after="0"/>
            </w:pPr>
            <w:r>
              <w:t>£</w:t>
            </w:r>
            <w:r w:rsidR="00AA417E">
              <w:t>83.2</w:t>
            </w:r>
            <w:r w:rsidR="00956A1A" w:rsidRPr="004C5667">
              <w:t>m</w:t>
            </w:r>
          </w:p>
        </w:tc>
      </w:tr>
      <w:tr w:rsidR="00956A1A" w:rsidRPr="004C5667" w14:paraId="5B90AD2F" w14:textId="77777777" w:rsidTr="002069B6">
        <w:trPr>
          <w:jc w:val="center"/>
        </w:trPr>
        <w:tc>
          <w:tcPr>
            <w:tcW w:w="2508" w:type="dxa"/>
          </w:tcPr>
          <w:p w14:paraId="67889145" w14:textId="77777777" w:rsidR="00956A1A" w:rsidRPr="004C5667" w:rsidRDefault="00956A1A" w:rsidP="00EF36DF">
            <w:pPr>
              <w:spacing w:after="0"/>
              <w:rPr>
                <w:b/>
              </w:rPr>
            </w:pPr>
            <w:r w:rsidRPr="004C5667">
              <w:rPr>
                <w:b/>
              </w:rPr>
              <w:t>NPV/G</w:t>
            </w:r>
          </w:p>
        </w:tc>
        <w:tc>
          <w:tcPr>
            <w:tcW w:w="3162" w:type="dxa"/>
          </w:tcPr>
          <w:p w14:paraId="7D39E146" w14:textId="5600515F" w:rsidR="00956A1A" w:rsidRPr="004C5667" w:rsidRDefault="00873175" w:rsidP="00EF36DF">
            <w:pPr>
              <w:spacing w:after="0"/>
            </w:pPr>
            <w:r>
              <w:t>15.6</w:t>
            </w:r>
          </w:p>
        </w:tc>
        <w:tc>
          <w:tcPr>
            <w:tcW w:w="3402" w:type="dxa"/>
          </w:tcPr>
          <w:p w14:paraId="30843922" w14:textId="1DCF8138" w:rsidR="00956A1A" w:rsidRPr="004C5667" w:rsidRDefault="00AA417E" w:rsidP="00EF36DF">
            <w:pPr>
              <w:spacing w:after="0"/>
            </w:pPr>
            <w:r>
              <w:t>6.5</w:t>
            </w:r>
          </w:p>
        </w:tc>
      </w:tr>
      <w:tr w:rsidR="00956A1A" w:rsidRPr="004C5667" w14:paraId="03BC3864" w14:textId="77777777" w:rsidTr="002069B6">
        <w:trPr>
          <w:jc w:val="center"/>
        </w:trPr>
        <w:tc>
          <w:tcPr>
            <w:tcW w:w="2508" w:type="dxa"/>
          </w:tcPr>
          <w:p w14:paraId="5850CA20" w14:textId="77777777" w:rsidR="00956A1A" w:rsidRPr="004C5667" w:rsidRDefault="00956A1A" w:rsidP="00EF36DF">
            <w:pPr>
              <w:spacing w:after="0"/>
              <w:rPr>
                <w:b/>
              </w:rPr>
            </w:pPr>
            <w:r w:rsidRPr="004C5667">
              <w:rPr>
                <w:b/>
              </w:rPr>
              <w:t>Benefit Cost Ratio (Range)</w:t>
            </w:r>
          </w:p>
        </w:tc>
        <w:tc>
          <w:tcPr>
            <w:tcW w:w="3162" w:type="dxa"/>
          </w:tcPr>
          <w:p w14:paraId="2E67169A" w14:textId="526A5F95" w:rsidR="00956A1A" w:rsidRPr="004C5667" w:rsidRDefault="00873175" w:rsidP="00EF36DF">
            <w:pPr>
              <w:spacing w:after="0"/>
            </w:pPr>
            <w:r>
              <w:t>11.5</w:t>
            </w:r>
          </w:p>
          <w:p w14:paraId="43DAD7C7" w14:textId="00EE1F09" w:rsidR="00956A1A" w:rsidRPr="004C5667" w:rsidRDefault="00290551" w:rsidP="006A5B26">
            <w:pPr>
              <w:spacing w:after="0"/>
            </w:pPr>
            <w:r>
              <w:t>(</w:t>
            </w:r>
            <w:r w:rsidR="00873175">
              <w:t>2.8</w:t>
            </w:r>
            <w:r>
              <w:t>-</w:t>
            </w:r>
            <w:r w:rsidR="00873175">
              <w:t>27</w:t>
            </w:r>
            <w:r w:rsidR="00D23DE7">
              <w:t>.</w:t>
            </w:r>
            <w:r w:rsidR="00873175">
              <w:t>2</w:t>
            </w:r>
            <w:r w:rsidR="00956A1A" w:rsidRPr="004C5667">
              <w:t>)</w:t>
            </w:r>
          </w:p>
        </w:tc>
        <w:tc>
          <w:tcPr>
            <w:tcW w:w="3402" w:type="dxa"/>
          </w:tcPr>
          <w:p w14:paraId="3D94D239" w14:textId="2DE1AA73" w:rsidR="00956A1A" w:rsidRPr="004C5667" w:rsidRDefault="00D44998" w:rsidP="00EF36DF">
            <w:pPr>
              <w:spacing w:after="0"/>
            </w:pPr>
            <w:r>
              <w:t>3</w:t>
            </w:r>
            <w:r w:rsidR="00467658">
              <w:t>.</w:t>
            </w:r>
            <w:r w:rsidR="00AA417E">
              <w:t>1</w:t>
            </w:r>
          </w:p>
          <w:p w14:paraId="1151A1E3" w14:textId="3D77EA0F" w:rsidR="00956A1A" w:rsidRPr="004C5667" w:rsidRDefault="00AA417E" w:rsidP="00EF36DF">
            <w:pPr>
              <w:spacing w:after="0"/>
            </w:pPr>
            <w:r>
              <w:t>(0.7</w:t>
            </w:r>
            <w:r w:rsidR="00467658">
              <w:t>-7.</w:t>
            </w:r>
            <w:r>
              <w:t>5</w:t>
            </w:r>
            <w:r w:rsidR="00956A1A" w:rsidRPr="004C5667">
              <w:t>)</w:t>
            </w:r>
          </w:p>
        </w:tc>
      </w:tr>
      <w:tr w:rsidR="00956A1A" w:rsidRPr="004C5667" w14:paraId="45CF316D" w14:textId="77777777" w:rsidTr="002069B6">
        <w:trPr>
          <w:jc w:val="center"/>
        </w:trPr>
        <w:tc>
          <w:tcPr>
            <w:tcW w:w="2508" w:type="dxa"/>
          </w:tcPr>
          <w:p w14:paraId="66CC0D46" w14:textId="77777777" w:rsidR="00956A1A" w:rsidRPr="004C5667" w:rsidRDefault="00956A1A" w:rsidP="00EF36DF">
            <w:pPr>
              <w:spacing w:after="0"/>
              <w:rPr>
                <w:b/>
              </w:rPr>
            </w:pPr>
            <w:r w:rsidRPr="004C5667">
              <w:rPr>
                <w:b/>
              </w:rPr>
              <w:t>GHG emissions saved (TCO</w:t>
            </w:r>
            <w:r w:rsidRPr="004C5667">
              <w:rPr>
                <w:b/>
                <w:vertAlign w:val="subscript"/>
              </w:rPr>
              <w:t>2</w:t>
            </w:r>
            <w:r w:rsidRPr="004C5667">
              <w:rPr>
                <w:b/>
              </w:rPr>
              <w:t>e)</w:t>
            </w:r>
          </w:p>
        </w:tc>
        <w:tc>
          <w:tcPr>
            <w:tcW w:w="3162" w:type="dxa"/>
          </w:tcPr>
          <w:p w14:paraId="3D261211" w14:textId="78BF91CE" w:rsidR="00956A1A" w:rsidRPr="004C5667" w:rsidRDefault="00873175" w:rsidP="00EF36DF">
            <w:pPr>
              <w:spacing w:after="0"/>
            </w:pPr>
            <w:r>
              <w:t>2.9</w:t>
            </w:r>
            <w:r w:rsidR="00956A1A" w:rsidRPr="004C5667">
              <w:t>m</w:t>
            </w:r>
          </w:p>
        </w:tc>
        <w:tc>
          <w:tcPr>
            <w:tcW w:w="3402" w:type="dxa"/>
          </w:tcPr>
          <w:p w14:paraId="788FF5A2" w14:textId="3BF4618B" w:rsidR="00956A1A" w:rsidRPr="004C5667" w:rsidRDefault="00AA417E" w:rsidP="00EF36DF">
            <w:pPr>
              <w:spacing w:after="0"/>
            </w:pPr>
            <w:r>
              <w:t>1</w:t>
            </w:r>
            <w:r w:rsidR="00467658">
              <w:t>.</w:t>
            </w:r>
            <w:r>
              <w:t>6</w:t>
            </w:r>
            <w:r w:rsidR="00956A1A" w:rsidRPr="004C5667">
              <w:t>m</w:t>
            </w:r>
          </w:p>
        </w:tc>
      </w:tr>
      <w:tr w:rsidR="00956A1A" w:rsidRPr="004C5667" w14:paraId="0EDA02E6" w14:textId="77777777" w:rsidTr="002069B6">
        <w:trPr>
          <w:jc w:val="center"/>
        </w:trPr>
        <w:tc>
          <w:tcPr>
            <w:tcW w:w="2508" w:type="dxa"/>
          </w:tcPr>
          <w:p w14:paraId="38A7F9E4" w14:textId="77777777" w:rsidR="00956A1A" w:rsidRPr="004C5667" w:rsidRDefault="00956A1A" w:rsidP="00EF36DF">
            <w:pPr>
              <w:spacing w:after="0"/>
              <w:rPr>
                <w:b/>
              </w:rPr>
            </w:pPr>
            <w:r w:rsidRPr="004C5667">
              <w:rPr>
                <w:b/>
              </w:rPr>
              <w:t>Mangroves restored or protected (Ha)</w:t>
            </w:r>
            <w:r w:rsidRPr="004C5667">
              <w:rPr>
                <w:rStyle w:val="FootnoteReference"/>
                <w:b/>
              </w:rPr>
              <w:footnoteReference w:id="24"/>
            </w:r>
          </w:p>
        </w:tc>
        <w:tc>
          <w:tcPr>
            <w:tcW w:w="3162" w:type="dxa"/>
          </w:tcPr>
          <w:p w14:paraId="1F2A6AC2" w14:textId="4E90D5E2" w:rsidR="00956A1A" w:rsidRPr="004C5667" w:rsidRDefault="00057097" w:rsidP="00EF36DF">
            <w:pPr>
              <w:spacing w:after="0"/>
            </w:pPr>
            <w:r>
              <w:t>557</w:t>
            </w:r>
            <w:r w:rsidR="00FC4A2D">
              <w:t>0</w:t>
            </w:r>
          </w:p>
        </w:tc>
        <w:tc>
          <w:tcPr>
            <w:tcW w:w="3402" w:type="dxa"/>
          </w:tcPr>
          <w:p w14:paraId="394E6088" w14:textId="49EC358D" w:rsidR="00956A1A" w:rsidRPr="004C5667" w:rsidRDefault="00467658" w:rsidP="009070C2">
            <w:pPr>
              <w:keepNext/>
              <w:spacing w:after="0"/>
            </w:pPr>
            <w:r>
              <w:t>3</w:t>
            </w:r>
            <w:r w:rsidR="00AA417E">
              <w:t>00</w:t>
            </w:r>
            <w:r>
              <w:t>0</w:t>
            </w:r>
          </w:p>
        </w:tc>
      </w:tr>
      <w:tr w:rsidR="009070C2" w:rsidRPr="004C5667" w14:paraId="3FDCD5FC" w14:textId="77777777" w:rsidTr="009070C2">
        <w:trPr>
          <w:jc w:val="center"/>
        </w:trPr>
        <w:tc>
          <w:tcPr>
            <w:tcW w:w="9072" w:type="dxa"/>
            <w:gridSpan w:val="3"/>
            <w:shd w:val="clear" w:color="auto" w:fill="BDD6EE" w:themeFill="accent1" w:themeFillTint="66"/>
          </w:tcPr>
          <w:p w14:paraId="44077838" w14:textId="77777777" w:rsidR="009070C2" w:rsidRPr="00B62644" w:rsidRDefault="009070C2" w:rsidP="00373F42">
            <w:pPr>
              <w:spacing w:before="240"/>
              <w:jc w:val="center"/>
            </w:pPr>
            <w:r w:rsidRPr="00B62644">
              <w:rPr>
                <w:b/>
              </w:rPr>
              <w:t xml:space="preserve">Option 1.1 is considered the </w:t>
            </w:r>
            <w:r>
              <w:rPr>
                <w:b/>
              </w:rPr>
              <w:t>preferred option for investment</w:t>
            </w:r>
          </w:p>
          <w:p w14:paraId="674E3F3C" w14:textId="615B38ED" w:rsidR="009070C2" w:rsidRPr="004C5667" w:rsidRDefault="009070C2" w:rsidP="00FC4A2D">
            <w:pPr>
              <w:jc w:val="center"/>
            </w:pPr>
            <w:r w:rsidRPr="00B62644">
              <w:t xml:space="preserve">The difference in </w:t>
            </w:r>
            <w:r>
              <w:t xml:space="preserve">benefit-cost ratios reflects </w:t>
            </w:r>
            <w:r w:rsidR="00D23DE7">
              <w:t xml:space="preserve">a) </w:t>
            </w:r>
            <w:r w:rsidRPr="00B62644">
              <w:t xml:space="preserve">the difference in tonnes of C02 avoided per pound of </w:t>
            </w:r>
            <w:r w:rsidR="0019373C">
              <w:t xml:space="preserve">ICF </w:t>
            </w:r>
            <w:r w:rsidRPr="00B62644">
              <w:t xml:space="preserve">investment, and </w:t>
            </w:r>
            <w:r w:rsidR="00D23DE7">
              <w:t xml:space="preserve">b) </w:t>
            </w:r>
            <w:r w:rsidRPr="00B62644">
              <w:t xml:space="preserve">the significantly higher </w:t>
            </w:r>
            <w:r w:rsidR="00D23DE7">
              <w:t>delivery risks associated with</w:t>
            </w:r>
            <w:r w:rsidRPr="00B62644">
              <w:t xml:space="preserve"> option 1.2.</w:t>
            </w:r>
          </w:p>
        </w:tc>
      </w:tr>
    </w:tbl>
    <w:p w14:paraId="5CADDB97" w14:textId="2EA66001" w:rsidR="00956A1A" w:rsidRPr="00835728" w:rsidRDefault="009070C2" w:rsidP="009070C2">
      <w:pPr>
        <w:pStyle w:val="Caption"/>
        <w:spacing w:before="240"/>
        <w:jc w:val="center"/>
        <w:rPr>
          <w:i w:val="0"/>
          <w:sz w:val="20"/>
        </w:rPr>
      </w:pPr>
      <w:bookmarkStart w:id="67" w:name="_Toc523990659"/>
      <w:r w:rsidRPr="00835728">
        <w:rPr>
          <w:sz w:val="22"/>
          <w:szCs w:val="20"/>
        </w:rPr>
        <w:t xml:space="preserve">Figure </w:t>
      </w:r>
      <w:r w:rsidRPr="00835728">
        <w:rPr>
          <w:sz w:val="22"/>
          <w:szCs w:val="20"/>
        </w:rPr>
        <w:fldChar w:fldCharType="begin"/>
      </w:r>
      <w:r w:rsidRPr="00835728">
        <w:rPr>
          <w:sz w:val="22"/>
          <w:szCs w:val="20"/>
        </w:rPr>
        <w:instrText xml:space="preserve"> SEQ Figure \* ARABIC </w:instrText>
      </w:r>
      <w:r w:rsidRPr="00835728">
        <w:rPr>
          <w:sz w:val="22"/>
          <w:szCs w:val="20"/>
        </w:rPr>
        <w:fldChar w:fldCharType="separate"/>
      </w:r>
      <w:r w:rsidR="009D672A">
        <w:rPr>
          <w:noProof/>
          <w:sz w:val="22"/>
          <w:szCs w:val="20"/>
        </w:rPr>
        <w:t>5</w:t>
      </w:r>
      <w:r w:rsidRPr="00835728">
        <w:rPr>
          <w:sz w:val="22"/>
          <w:szCs w:val="20"/>
        </w:rPr>
        <w:fldChar w:fldCharType="end"/>
      </w:r>
      <w:r w:rsidRPr="00835728">
        <w:rPr>
          <w:sz w:val="22"/>
          <w:szCs w:val="20"/>
        </w:rPr>
        <w:t xml:space="preserve">: </w:t>
      </w:r>
      <w:r w:rsidRPr="00835728">
        <w:rPr>
          <w:i w:val="0"/>
          <w:sz w:val="22"/>
          <w:szCs w:val="20"/>
        </w:rPr>
        <w:t>Appraisal Summary – Cost-benefit Analysis</w:t>
      </w:r>
      <w:bookmarkEnd w:id="67"/>
    </w:p>
    <w:p w14:paraId="3FBDE4D9" w14:textId="5E2291F2" w:rsidR="00835728" w:rsidRPr="00835728" w:rsidRDefault="00835728" w:rsidP="00835728">
      <w:r w:rsidRPr="00835728">
        <w:t>Note: all figures above are calculated across the 20 year appraisal period</w:t>
      </w:r>
    </w:p>
    <w:p w14:paraId="634881BC" w14:textId="38146344" w:rsidR="00956A1A" w:rsidRPr="004C5667" w:rsidRDefault="00956A1A" w:rsidP="00EF36DF">
      <w:pPr>
        <w:pStyle w:val="Heading2"/>
        <w:rPr>
          <w:u w:val="single"/>
        </w:rPr>
      </w:pPr>
      <w:bookmarkStart w:id="68" w:name="_Toc527027972"/>
      <w:r w:rsidRPr="004C5667">
        <w:t>Introduction</w:t>
      </w:r>
      <w:bookmarkEnd w:id="68"/>
    </w:p>
    <w:p w14:paraId="4BD65291" w14:textId="7EFA1E29" w:rsidR="00956A1A" w:rsidRPr="004C5667" w:rsidRDefault="00956A1A" w:rsidP="00EF36DF">
      <w:r w:rsidRPr="004C5667">
        <w:t xml:space="preserve">Mangroves are some of the most carbon rich and productive habitats on earth and play a critical role in supporting both endangered biodiversity and the livelihoods of coastal communities. </w:t>
      </w:r>
    </w:p>
    <w:p w14:paraId="782A52D3" w14:textId="4D4C07C7" w:rsidR="00956A1A" w:rsidRPr="004C5667" w:rsidRDefault="00956A1A" w:rsidP="00EF36DF">
      <w:r w:rsidRPr="004C5667">
        <w:lastRenderedPageBreak/>
        <w:t xml:space="preserve">However, they are also one of the most threatened tropical ecosystems. The erosion of coastlines, unsustainable use of coastal resources and the loss of coastal livelihoods all reduce the capacity of developing coastal dependent communities to face the growing impacts of climate change. </w:t>
      </w:r>
    </w:p>
    <w:p w14:paraId="0AB853CE" w14:textId="7E95AEA3" w:rsidR="00956A1A" w:rsidRDefault="00956A1A" w:rsidP="00EF36DF">
      <w:r w:rsidRPr="004C5667">
        <w:t xml:space="preserve">As part of the £210 million allocated to </w:t>
      </w:r>
      <w:r w:rsidR="00BF15A0">
        <w:t>Defra</w:t>
      </w:r>
      <w:r w:rsidRPr="004C5667">
        <w:t xml:space="preserve"> International Climate Finance work for the spending p</w:t>
      </w:r>
      <w:r w:rsidR="001A3397">
        <w:t>eriod 2016 to 2021, there is £12.75</w:t>
      </w:r>
      <w:r w:rsidRPr="004C5667">
        <w:t xml:space="preserve">m assigned to an investment in the sustainable management, conservation and restoration of mangrove habitats. A global need, alignment with </w:t>
      </w:r>
      <w:r w:rsidR="00BF15A0">
        <w:t>Defra</w:t>
      </w:r>
      <w:r w:rsidRPr="004C5667">
        <w:t>’s strategic priorities, ministerial appetite and growing cross government engagement in this sector have been the driving forces behind this investment concept.</w:t>
      </w:r>
    </w:p>
    <w:p w14:paraId="5C73AFB8" w14:textId="18FCBE15" w:rsidR="00956A1A" w:rsidRPr="004C5667" w:rsidRDefault="00956A1A" w:rsidP="00EF36DF">
      <w:pPr>
        <w:pStyle w:val="Heading3"/>
      </w:pPr>
      <w:r w:rsidRPr="004C5667">
        <w:t>Aim and objectives</w:t>
      </w:r>
    </w:p>
    <w:p w14:paraId="5D291449" w14:textId="271460D9" w:rsidR="00956A1A" w:rsidRPr="004C5667" w:rsidRDefault="00956A1A" w:rsidP="00EF36DF">
      <w:r w:rsidRPr="004C5667">
        <w:t xml:space="preserve">The aim of this appraisal is to provide the ICF policy team with evidence to make a </w:t>
      </w:r>
      <w:r w:rsidR="001A3397">
        <w:t>decision as to how to invest £12.75</w:t>
      </w:r>
      <w:r w:rsidRPr="004C5667">
        <w:t xml:space="preserve">m of ICF funds. It will achieve this aim by estimating the costs and benefits of two investment options to restore and protect mangrove forests in developing countries relative to a “do nothing” baseline:  </w:t>
      </w:r>
    </w:p>
    <w:p w14:paraId="0BFC2AAF" w14:textId="2618123A" w:rsidR="00956A1A" w:rsidRPr="004C5667" w:rsidRDefault="00956A1A" w:rsidP="00F93F6C">
      <w:pPr>
        <w:pStyle w:val="ListParagraph"/>
        <w:numPr>
          <w:ilvl w:val="0"/>
          <w:numId w:val="19"/>
        </w:numPr>
        <w:spacing w:after="160"/>
      </w:pPr>
      <w:r w:rsidRPr="004C5667">
        <w:t xml:space="preserve">One option </w:t>
      </w:r>
      <w:r w:rsidR="0019033C" w:rsidRPr="004C5667">
        <w:t xml:space="preserve">(1.1) </w:t>
      </w:r>
      <w:r w:rsidRPr="004C5667">
        <w:t xml:space="preserve">is an investment through the Inter-American Development Bank (IDB) focussing on supporting climate change mitigation through the reduction and avoidance of greenhouse gas (GHG) emissions from anthropogenic degradation of mangrove ecosystems and through enhancing carbon sequestration through agriculture, forestry and other land use (AFOLU) activities. Indirect benefits focused on climate change adaptation, biodiversity conservation, poverty alleviation and coastal zone management are also expected. The project will be delivered over </w:t>
      </w:r>
      <w:r w:rsidR="0061429E">
        <w:t xml:space="preserve">six </w:t>
      </w:r>
      <w:r w:rsidRPr="004C5667">
        <w:t xml:space="preserve">years. </w:t>
      </w:r>
    </w:p>
    <w:p w14:paraId="2BF219C8" w14:textId="75145322" w:rsidR="00956A1A" w:rsidRPr="004C5667" w:rsidRDefault="00956A1A" w:rsidP="00F93F6C">
      <w:pPr>
        <w:pStyle w:val="ListParagraph"/>
        <w:numPr>
          <w:ilvl w:val="0"/>
          <w:numId w:val="19"/>
        </w:numPr>
        <w:spacing w:after="160"/>
      </w:pPr>
      <w:r w:rsidRPr="004C5667">
        <w:t>The second option</w:t>
      </w:r>
      <w:r w:rsidR="0019033C" w:rsidRPr="004C5667">
        <w:t xml:space="preserve"> (1.2)</w:t>
      </w:r>
      <w:r w:rsidRPr="004C5667">
        <w:t xml:space="preserve"> is an investment in a bespoke sustainable mangroves facility in the format of an impact investment fund. The investments will provide long term financial solutions to sustainable activities that address the drivers of mangrove deforestation, improvements in related livelihoods and also in coastal resilience infrastructure. This Sustainable Mangrove Facility will provide funding on a repayable loan basis creating a pool of dedicated capital able to be deployed for the long term with repayments being re-invested creating an “ever-green” financing facility.</w:t>
      </w:r>
    </w:p>
    <w:p w14:paraId="01D3D00C" w14:textId="1F783982" w:rsidR="00956A1A" w:rsidRPr="004C5667" w:rsidRDefault="00956A1A" w:rsidP="00EF36DF">
      <w:pPr>
        <w:pStyle w:val="Heading3"/>
      </w:pPr>
      <w:r w:rsidRPr="004C5667">
        <w:t xml:space="preserve">Scope </w:t>
      </w:r>
    </w:p>
    <w:p w14:paraId="35E10D4A" w14:textId="77777777" w:rsidR="00956A1A" w:rsidRPr="004C5667" w:rsidRDefault="00956A1A" w:rsidP="00EF36DF">
      <w:r w:rsidRPr="004C5667">
        <w:t>The scope of the analysis is as follows:</w:t>
      </w:r>
    </w:p>
    <w:p w14:paraId="15C79AD1" w14:textId="77777777" w:rsidR="00956A1A" w:rsidRPr="004C5667" w:rsidRDefault="00956A1A" w:rsidP="00F93F6C">
      <w:pPr>
        <w:pStyle w:val="ListParagraph"/>
        <w:numPr>
          <w:ilvl w:val="0"/>
          <w:numId w:val="17"/>
        </w:numPr>
        <w:spacing w:after="160"/>
      </w:pPr>
      <w:r w:rsidRPr="004C5667">
        <w:t>Costs included in the analysis are investment, leveraging, management, staffing costs.   The opportunity costs faced by invested private capital is also quantified.</w:t>
      </w:r>
    </w:p>
    <w:p w14:paraId="258B009F" w14:textId="03632EC0" w:rsidR="00956A1A" w:rsidRPr="004C5667" w:rsidRDefault="00956A1A" w:rsidP="00F93F6C">
      <w:pPr>
        <w:pStyle w:val="ListParagraph"/>
        <w:numPr>
          <w:ilvl w:val="0"/>
          <w:numId w:val="17"/>
        </w:numPr>
        <w:spacing w:after="160"/>
      </w:pPr>
      <w:r w:rsidRPr="004C5667">
        <w:t>Benefits related to a) sequestration or avoidance of GHG emissions, and b) the ecosystem services provided through the protection or restoration of mangrove forests as a result of the program, have been selected on the basis that these are the most significant and can be readily quantified for all options given existing evidence and analysis.</w:t>
      </w:r>
      <w:r w:rsidR="00715196">
        <w:t xml:space="preserve"> Benefits related to increased productivity for benefits have been monetised for Option 1.2, though no quantitative estimate could be reached for the IDB program.</w:t>
      </w:r>
    </w:p>
    <w:p w14:paraId="60A38C2E" w14:textId="0638BDBD" w:rsidR="00956A1A" w:rsidRPr="004C5667" w:rsidRDefault="00956A1A" w:rsidP="00F93F6C">
      <w:pPr>
        <w:pStyle w:val="ListParagraph"/>
        <w:numPr>
          <w:ilvl w:val="0"/>
          <w:numId w:val="17"/>
        </w:numPr>
        <w:spacing w:after="160"/>
      </w:pPr>
      <w:r w:rsidRPr="004C5667">
        <w:t xml:space="preserve">Further benefits from ecosystem services, </w:t>
      </w:r>
      <w:r w:rsidR="00715196">
        <w:t xml:space="preserve">and </w:t>
      </w:r>
      <w:r w:rsidRPr="004C5667">
        <w:t>benefits from job creation have not been quantified due to lack of existing evidence.</w:t>
      </w:r>
    </w:p>
    <w:p w14:paraId="7D45B84B" w14:textId="77777777" w:rsidR="00956A1A" w:rsidRPr="004C5667" w:rsidRDefault="00956A1A" w:rsidP="00F93F6C">
      <w:pPr>
        <w:pStyle w:val="ListParagraph"/>
        <w:numPr>
          <w:ilvl w:val="0"/>
          <w:numId w:val="17"/>
        </w:numPr>
        <w:spacing w:after="160"/>
      </w:pPr>
      <w:r w:rsidRPr="004C5667">
        <w:t>The impact of the investment options is estimated by comparing against a ‘do nothing’ baseline;</w:t>
      </w:r>
    </w:p>
    <w:p w14:paraId="76BC118D" w14:textId="77777777" w:rsidR="00956A1A" w:rsidRPr="004C5667" w:rsidRDefault="00956A1A" w:rsidP="00F93F6C">
      <w:pPr>
        <w:pStyle w:val="ListParagraph"/>
        <w:numPr>
          <w:ilvl w:val="0"/>
          <w:numId w:val="17"/>
        </w:numPr>
        <w:spacing w:after="160"/>
      </w:pPr>
      <w:r w:rsidRPr="004C5667">
        <w:t xml:space="preserve">The appraisal period is 20 years in line with the assumed timeline of delivery and realisation of project impacts; </w:t>
      </w:r>
    </w:p>
    <w:p w14:paraId="27FA3540" w14:textId="563CC467" w:rsidR="00956A1A" w:rsidRPr="004C5667" w:rsidRDefault="00956A1A" w:rsidP="00F93F6C">
      <w:pPr>
        <w:pStyle w:val="ListParagraph"/>
        <w:numPr>
          <w:ilvl w:val="0"/>
          <w:numId w:val="17"/>
        </w:numPr>
        <w:spacing w:after="160"/>
      </w:pPr>
      <w:r w:rsidRPr="004C5667">
        <w:lastRenderedPageBreak/>
        <w:t>An additionality assumption has been applied to the benefits associated with each investment, to account for a) optimism bias, b) uncertainty around the evidence base for benefits, and c) the delivery risks attached to investment</w:t>
      </w:r>
      <w:r w:rsidR="0025799C" w:rsidRPr="004C5667">
        <w:t>.</w:t>
      </w:r>
    </w:p>
    <w:p w14:paraId="44D9A8CC" w14:textId="77777777" w:rsidR="00956A1A" w:rsidRPr="004C5667" w:rsidRDefault="00956A1A" w:rsidP="00F93F6C">
      <w:pPr>
        <w:pStyle w:val="ListParagraph"/>
        <w:numPr>
          <w:ilvl w:val="0"/>
          <w:numId w:val="22"/>
        </w:numPr>
        <w:spacing w:after="160"/>
      </w:pPr>
      <w:r w:rsidRPr="004C5667">
        <w:t>A 50% discount is applied to Option 1.1, in line with standard ICF appraisal guidance</w:t>
      </w:r>
    </w:p>
    <w:p w14:paraId="6D2D7E10" w14:textId="77777777" w:rsidR="00956A1A" w:rsidRPr="004C5667" w:rsidRDefault="00956A1A" w:rsidP="00F93F6C">
      <w:pPr>
        <w:pStyle w:val="ListParagraph"/>
        <w:numPr>
          <w:ilvl w:val="0"/>
          <w:numId w:val="22"/>
        </w:numPr>
        <w:spacing w:after="160"/>
      </w:pPr>
      <w:r w:rsidRPr="004C5667">
        <w:t>A 60% discount is applied to Option 1.2 – this reflects the significant delivery risks attached to this option in the short-to-medium term.</w:t>
      </w:r>
    </w:p>
    <w:p w14:paraId="054A117E" w14:textId="4E89C496" w:rsidR="00956A1A" w:rsidRPr="004C5667" w:rsidRDefault="00956A1A" w:rsidP="00F93F6C">
      <w:pPr>
        <w:pStyle w:val="ListParagraph"/>
        <w:numPr>
          <w:ilvl w:val="0"/>
          <w:numId w:val="22"/>
        </w:numPr>
        <w:spacing w:after="160"/>
      </w:pPr>
      <w:r w:rsidRPr="004C5667">
        <w:t>Sensitivity analysis is undertaken for low and high scenarios (see Annex</w:t>
      </w:r>
      <w:r w:rsidR="00444C9A">
        <w:t xml:space="preserve"> 1).</w:t>
      </w:r>
    </w:p>
    <w:p w14:paraId="7F91418B" w14:textId="028C7F31" w:rsidR="00B83D2F" w:rsidRDefault="00956A1A" w:rsidP="00B83D2F">
      <w:r w:rsidRPr="004C5667">
        <w:t xml:space="preserve">The remainder of this economic case sets out the evidence underpinning the baseline and estimates of costs and benefits that are summarised in </w:t>
      </w:r>
      <w:r w:rsidR="00EC081F">
        <w:t>Figure 5</w:t>
      </w:r>
      <w:r w:rsidRPr="004C5667">
        <w:t>.</w:t>
      </w:r>
    </w:p>
    <w:p w14:paraId="62F81A7E" w14:textId="631D4D9B" w:rsidR="00B83D2F" w:rsidRDefault="00B83D2F" w:rsidP="00B83D2F">
      <w:pPr>
        <w:pStyle w:val="Heading2"/>
      </w:pPr>
      <w:bookmarkStart w:id="69" w:name="_Toc527027973"/>
      <w:r>
        <w:t>Shortlisting Options</w:t>
      </w:r>
      <w:bookmarkEnd w:id="69"/>
    </w:p>
    <w:p w14:paraId="56495578" w14:textId="77777777" w:rsidR="00B83D2F" w:rsidRPr="004C5667" w:rsidRDefault="00B83D2F" w:rsidP="00BF6F35">
      <w:pPr>
        <w:pStyle w:val="Heading3"/>
      </w:pPr>
      <w:r w:rsidRPr="004C5667">
        <w:t>What delivery model is best placed to deliver the programme?</w:t>
      </w:r>
    </w:p>
    <w:p w14:paraId="5660C75E" w14:textId="1C3D5893" w:rsidR="00B83D2F" w:rsidRPr="004C5667" w:rsidRDefault="00E6319E" w:rsidP="00B83D2F">
      <w:r>
        <w:t>In order to commit to this programme, to begin timely and thorough implementation and to maximise value for money, our international delivery partner needs assurances from the outset that we are committed to them and the programme. Therefore a</w:t>
      </w:r>
      <w:r w:rsidR="00B83D2F" w:rsidRPr="004C5667">
        <w:t xml:space="preserve"> promissory note is </w:t>
      </w:r>
      <w:r>
        <w:t xml:space="preserve">the most suitable way </w:t>
      </w:r>
      <w:r w:rsidR="00B83D2F" w:rsidRPr="004C5667">
        <w:t xml:space="preserve">to </w:t>
      </w:r>
      <w:r>
        <w:t xml:space="preserve">achieve this and finance the </w:t>
      </w:r>
      <w:r w:rsidR="00B83D2F" w:rsidRPr="004C5667">
        <w:t>programme</w:t>
      </w:r>
      <w:r>
        <w:t>.</w:t>
      </w:r>
      <w:r w:rsidR="00B83D2F" w:rsidRPr="004C5667">
        <w:t xml:space="preserve"> </w:t>
      </w:r>
      <w:r>
        <w:t xml:space="preserve">Promissory notes also </w:t>
      </w:r>
      <w:r w:rsidR="00B83D2F" w:rsidRPr="004C5667">
        <w:t xml:space="preserve">ensure </w:t>
      </w:r>
      <w:r>
        <w:t xml:space="preserve">that </w:t>
      </w:r>
      <w:r w:rsidR="00B83D2F" w:rsidRPr="004C5667">
        <w:t xml:space="preserve">funds are not provided in advance of need </w:t>
      </w:r>
      <w:r>
        <w:t>by maintain</w:t>
      </w:r>
      <w:r w:rsidR="00725EBE">
        <w:t>ing</w:t>
      </w:r>
      <w:r>
        <w:t xml:space="preserve"> a pre-agreed drawdown </w:t>
      </w:r>
      <w:r w:rsidR="00B83D2F">
        <w:t>schedule</w:t>
      </w:r>
      <w:r w:rsidR="00B83D2F" w:rsidRPr="004C5667">
        <w:t>.</w:t>
      </w:r>
    </w:p>
    <w:p w14:paraId="59CD34C4" w14:textId="0AD55D91" w:rsidR="00B83D2F" w:rsidRPr="004C5667" w:rsidRDefault="00B83D2F" w:rsidP="00B83D2F">
      <w:r w:rsidRPr="004C5667">
        <w:t xml:space="preserve">The </w:t>
      </w:r>
      <w:r>
        <w:t>entirety of the budget (i.e. £12.75</w:t>
      </w:r>
      <w:r w:rsidRPr="004C5667">
        <w:t xml:space="preserve">m) needs to be committed within this financial year to ensure there is no ICF </w:t>
      </w:r>
      <w:r>
        <w:t xml:space="preserve">(ODA) </w:t>
      </w:r>
      <w:r w:rsidRPr="004C5667">
        <w:t xml:space="preserve">underspend. Therefore the delivery partner needs to be have proven capacity and capability to </w:t>
      </w:r>
      <w:r w:rsidR="00BF6F35">
        <w:t xml:space="preserve">quickly and </w:t>
      </w:r>
      <w:r w:rsidRPr="004C5667">
        <w:t xml:space="preserve">effectively utilise this scale of funding as well as </w:t>
      </w:r>
      <w:r>
        <w:t>have a promissory registered with it.</w:t>
      </w:r>
    </w:p>
    <w:p w14:paraId="306E3851" w14:textId="634F2033" w:rsidR="00B83D2F" w:rsidRDefault="00B83D2F" w:rsidP="00B83D2F">
      <w:r>
        <w:t>The long-list of potential delivery mechanisms initially included NGOs and international organisations but after consideration of the above, several o</w:t>
      </w:r>
      <w:r w:rsidR="00725EBE">
        <w:t xml:space="preserve">f these have been discounted </w:t>
      </w:r>
      <w:r>
        <w:t>using a top-</w:t>
      </w:r>
      <w:r w:rsidR="00AC7642">
        <w:t xml:space="preserve">level appraisal matrix (Annex </w:t>
      </w:r>
      <w:r w:rsidR="00845E2B">
        <w:t>5</w:t>
      </w:r>
      <w:r>
        <w:t xml:space="preserve">). </w:t>
      </w:r>
      <w:r w:rsidR="00BF6F35">
        <w:t xml:space="preserve">The matrix showed that </w:t>
      </w:r>
      <w:r w:rsidRPr="004C5667">
        <w:t xml:space="preserve">the </w:t>
      </w:r>
      <w:r>
        <w:t xml:space="preserve">most appropriate </w:t>
      </w:r>
      <w:r w:rsidRPr="004C5667">
        <w:t xml:space="preserve">recipient of this </w:t>
      </w:r>
      <w:r>
        <w:t xml:space="preserve">funding will be a tested or high capacity </w:t>
      </w:r>
      <w:r w:rsidRPr="004C5667">
        <w:t>multi-lateral bank, multi-lateral facility, or impact investment fund, all of w</w:t>
      </w:r>
      <w:r>
        <w:t xml:space="preserve">hich fulfil the requirements outlined above and the capability </w:t>
      </w:r>
      <w:r w:rsidRPr="004C5667">
        <w:t>to deliver across all thematic focusses.</w:t>
      </w:r>
    </w:p>
    <w:p w14:paraId="0F735199" w14:textId="77777777" w:rsidR="00B83D2F" w:rsidRDefault="00B83D2F" w:rsidP="00B83D2F">
      <w:pPr>
        <w:pStyle w:val="Heading3"/>
      </w:pPr>
      <w:r>
        <w:t>What region should we deliver in?</w:t>
      </w:r>
    </w:p>
    <w:p w14:paraId="560E09B6" w14:textId="43EEE08E" w:rsidR="00B83D2F" w:rsidRPr="00B83D2F" w:rsidRDefault="00B83D2F" w:rsidP="00B83D2F">
      <w:pPr>
        <w:rPr>
          <w:lang w:eastAsia="en-US"/>
        </w:rPr>
      </w:pPr>
      <w:r>
        <w:rPr>
          <w:lang w:eastAsia="en-US"/>
        </w:rPr>
        <w:t>A multi criteria analysis (MCA) was developed in order to assess the value of the world’s mangrove forests by country. We considered multiple cross-sectoral metrics and weighted according to the priorities of Defra’s ICF and those issues discussed in the strategic case. The top 25 co</w:t>
      </w:r>
      <w:r w:rsidR="00845E2B">
        <w:rPr>
          <w:lang w:eastAsia="en-US"/>
        </w:rPr>
        <w:t>untries are included in Annex 6</w:t>
      </w:r>
      <w:r w:rsidR="00AC7642">
        <w:rPr>
          <w:lang w:eastAsia="en-US"/>
        </w:rPr>
        <w:t>.</w:t>
      </w:r>
      <w:r>
        <w:rPr>
          <w:lang w:eastAsia="en-US"/>
        </w:rPr>
        <w:t xml:space="preserve"> The MCA showed several priority regions including Latin America and the Caribbean (10 countries within the top 25 countries) and South East Asia (6 countries in the top 25)</w:t>
      </w:r>
      <w:r w:rsidR="00BF6F35">
        <w:rPr>
          <w:lang w:eastAsia="en-US"/>
        </w:rPr>
        <w:t xml:space="preserve">.The MCA was also </w:t>
      </w:r>
      <w:r>
        <w:rPr>
          <w:lang w:eastAsia="en-US"/>
        </w:rPr>
        <w:t>taken into account when shortlisting proposals for full appraisal.</w:t>
      </w:r>
    </w:p>
    <w:p w14:paraId="73976E9E" w14:textId="382C30E0" w:rsidR="00B83D2F" w:rsidRPr="004C5667" w:rsidRDefault="00B83D2F" w:rsidP="00B83D2F">
      <w:pPr>
        <w:pStyle w:val="Heading3"/>
      </w:pPr>
      <w:r>
        <w:t>What impacts should the intervention have?</w:t>
      </w:r>
    </w:p>
    <w:p w14:paraId="137BABFF" w14:textId="69433B29" w:rsidR="00B83D2F" w:rsidRPr="004C5667" w:rsidRDefault="00B83D2F" w:rsidP="00B83D2F">
      <w:pPr>
        <w:rPr>
          <w:lang w:eastAsia="en-US"/>
        </w:rPr>
      </w:pPr>
      <w:r w:rsidRPr="004C5667">
        <w:rPr>
          <w:lang w:eastAsia="en-US"/>
        </w:rPr>
        <w:t xml:space="preserve">When taking the preceding </w:t>
      </w:r>
      <w:r>
        <w:rPr>
          <w:lang w:eastAsia="en-US"/>
        </w:rPr>
        <w:t xml:space="preserve">strategic case </w:t>
      </w:r>
      <w:r w:rsidRPr="004C5667">
        <w:rPr>
          <w:lang w:eastAsia="en-US"/>
        </w:rPr>
        <w:t xml:space="preserve">into consideration, an intervention to target the drivers of mangroves loss and bring about financial, social and environmental benefits across multiple fronts and in line with ICF and wider strategic objectives </w:t>
      </w:r>
      <w:r>
        <w:rPr>
          <w:lang w:eastAsia="en-US"/>
        </w:rPr>
        <w:t>should</w:t>
      </w:r>
      <w:r w:rsidR="00BF6F35">
        <w:rPr>
          <w:lang w:eastAsia="en-US"/>
        </w:rPr>
        <w:t xml:space="preserve"> </w:t>
      </w:r>
      <w:r w:rsidRPr="004C5667">
        <w:rPr>
          <w:lang w:eastAsia="en-US"/>
        </w:rPr>
        <w:t>include some distinct activities</w:t>
      </w:r>
      <w:r>
        <w:rPr>
          <w:lang w:eastAsia="en-US"/>
        </w:rPr>
        <w:t xml:space="preserve"> leading to impacts across three themes</w:t>
      </w:r>
      <w:r w:rsidRPr="004C5667">
        <w:rPr>
          <w:lang w:eastAsia="en-US"/>
        </w:rPr>
        <w:t>:</w:t>
      </w:r>
    </w:p>
    <w:p w14:paraId="0A820E36" w14:textId="77777777" w:rsidR="00B83D2F" w:rsidRDefault="00B83D2F" w:rsidP="00B83D2F">
      <w:pPr>
        <w:pStyle w:val="ListParagraph"/>
        <w:numPr>
          <w:ilvl w:val="0"/>
          <w:numId w:val="30"/>
        </w:numPr>
        <w:rPr>
          <w:lang w:eastAsia="en-US"/>
        </w:rPr>
      </w:pPr>
      <w:r>
        <w:rPr>
          <w:lang w:eastAsia="en-US"/>
        </w:rPr>
        <w:lastRenderedPageBreak/>
        <w:t>C</w:t>
      </w:r>
      <w:r w:rsidRPr="004C5667">
        <w:rPr>
          <w:lang w:eastAsia="en-US"/>
        </w:rPr>
        <w:t>limate change mitigation through the reduction and avoidance of greenhouse gas (GHG) emissions from anthropogenic deg</w:t>
      </w:r>
      <w:r>
        <w:rPr>
          <w:lang w:eastAsia="en-US"/>
        </w:rPr>
        <w:t>radation of mangrove ecosystems</w:t>
      </w:r>
    </w:p>
    <w:p w14:paraId="3A67E66A" w14:textId="77777777" w:rsidR="00B83D2F" w:rsidRDefault="00B83D2F" w:rsidP="00B83D2F">
      <w:pPr>
        <w:pStyle w:val="ListParagraph"/>
        <w:numPr>
          <w:ilvl w:val="0"/>
          <w:numId w:val="30"/>
        </w:numPr>
        <w:rPr>
          <w:lang w:eastAsia="en-US"/>
        </w:rPr>
      </w:pPr>
      <w:r>
        <w:rPr>
          <w:lang w:eastAsia="en-US"/>
        </w:rPr>
        <w:t xml:space="preserve">Climate change mitigation by </w:t>
      </w:r>
      <w:r w:rsidRPr="004C5667">
        <w:rPr>
          <w:lang w:eastAsia="en-US"/>
        </w:rPr>
        <w:t>enhancing carbon sequestration through agriculture, forestry and oth</w:t>
      </w:r>
      <w:r>
        <w:rPr>
          <w:lang w:eastAsia="en-US"/>
        </w:rPr>
        <w:t>er land use (AFOLU) activities.</w:t>
      </w:r>
    </w:p>
    <w:p w14:paraId="3EFF3E35" w14:textId="77777777" w:rsidR="00B83D2F" w:rsidRDefault="00B83D2F" w:rsidP="00B83D2F">
      <w:pPr>
        <w:pStyle w:val="ListParagraph"/>
        <w:numPr>
          <w:ilvl w:val="0"/>
          <w:numId w:val="30"/>
        </w:numPr>
        <w:rPr>
          <w:lang w:eastAsia="en-US"/>
        </w:rPr>
      </w:pPr>
      <w:r>
        <w:rPr>
          <w:lang w:eastAsia="en-US"/>
        </w:rPr>
        <w:t>B</w:t>
      </w:r>
      <w:r w:rsidRPr="004C5667">
        <w:rPr>
          <w:lang w:eastAsia="en-US"/>
        </w:rPr>
        <w:t>enefits focused on climate change adaptation, biodiversity conservation, poverty alleviation and coastal zone management.</w:t>
      </w:r>
    </w:p>
    <w:p w14:paraId="058DD4FC" w14:textId="109CF127" w:rsidR="00956A1A" w:rsidRPr="00B83D2F" w:rsidRDefault="00B83D2F" w:rsidP="00EF36DF">
      <w:pPr>
        <w:rPr>
          <w:lang w:eastAsia="en-US"/>
        </w:rPr>
      </w:pPr>
      <w:r>
        <w:rPr>
          <w:lang w:eastAsia="en-US"/>
        </w:rPr>
        <w:t>When considering the delivery matrix, the MCA and the proposed impacts, a short list of proposals was taken forwards for full appraisal. .</w:t>
      </w:r>
      <w:r w:rsidR="00956A1A" w:rsidRPr="004C5667">
        <w:t xml:space="preserve"> </w:t>
      </w:r>
    </w:p>
    <w:p w14:paraId="09DB6E01" w14:textId="779BEBF8" w:rsidR="00B83D2F" w:rsidRPr="00B83D2F" w:rsidRDefault="00956A1A" w:rsidP="00B83D2F">
      <w:pPr>
        <w:pStyle w:val="Heading2"/>
      </w:pPr>
      <w:bookmarkStart w:id="70" w:name="_Toc527027974"/>
      <w:r w:rsidRPr="004C5667">
        <w:t>Options Appraisal</w:t>
      </w:r>
      <w:bookmarkEnd w:id="70"/>
    </w:p>
    <w:p w14:paraId="390EB9CA" w14:textId="7305A81B" w:rsidR="00956A1A" w:rsidRPr="004C5667" w:rsidRDefault="00BF6F35" w:rsidP="00EF36DF">
      <w:r>
        <w:t xml:space="preserve">The resulting shortlist is the </w:t>
      </w:r>
      <w:r w:rsidR="00956A1A" w:rsidRPr="004C5667">
        <w:t xml:space="preserve">two investment options </w:t>
      </w:r>
      <w:r w:rsidR="00B83D2F">
        <w:t xml:space="preserve">in the </w:t>
      </w:r>
      <w:r w:rsidR="00956A1A" w:rsidRPr="004C5667">
        <w:t xml:space="preserve">above </w:t>
      </w:r>
      <w:r w:rsidR="00B83D2F">
        <w:t xml:space="preserve">summary (3.1) </w:t>
      </w:r>
      <w:r w:rsidR="00956A1A" w:rsidRPr="004C5667">
        <w:t>in addition to the baseline “do nothing” option:</w:t>
      </w:r>
    </w:p>
    <w:p w14:paraId="04FA598C" w14:textId="7321C9C3" w:rsidR="00956A1A" w:rsidRPr="004C5667" w:rsidRDefault="00956A1A" w:rsidP="00EF36DF">
      <w:pPr>
        <w:pStyle w:val="Heading3"/>
      </w:pPr>
      <w:r w:rsidRPr="004C5667">
        <w:t>Option 0. Baseline. Do nothing</w:t>
      </w:r>
    </w:p>
    <w:p w14:paraId="1349F733" w14:textId="77777777" w:rsidR="00956A1A" w:rsidRPr="004C5667" w:rsidRDefault="00956A1A" w:rsidP="00EF36DF">
      <w:pPr>
        <w:rPr>
          <w:b/>
          <w:u w:val="single"/>
        </w:rPr>
      </w:pPr>
      <w:r w:rsidRPr="004C5667">
        <w:t>There are currently high levels of mangrove loss globally, with over 15,000ha of mangrove deforestation every year</w:t>
      </w:r>
      <w:r w:rsidRPr="004C5667">
        <w:rPr>
          <w:rStyle w:val="FootnoteReference"/>
        </w:rPr>
        <w:footnoteReference w:id="25"/>
      </w:r>
      <w:r w:rsidRPr="004C5667">
        <w:t>. Under a ‘do nothing’ scenario current levels of mangrove deforestation are assumed to continue.</w:t>
      </w:r>
    </w:p>
    <w:p w14:paraId="179D20DE" w14:textId="532F5D9C" w:rsidR="00956A1A" w:rsidRPr="004C5667" w:rsidRDefault="00956A1A" w:rsidP="00EF36DF">
      <w:pPr>
        <w:pStyle w:val="ListParagraph"/>
        <w:ind w:left="0"/>
      </w:pPr>
      <w:r w:rsidRPr="004C5667">
        <w:t>Associated with this are the global annual emissions of 12 million tonnes of carbon dioxide, of which 90% is in developing countries</w:t>
      </w:r>
      <w:r w:rsidRPr="004C5667">
        <w:rPr>
          <w:rStyle w:val="FootnoteReference"/>
        </w:rPr>
        <w:footnoteReference w:id="26"/>
      </w:r>
      <w:r w:rsidRPr="004C5667">
        <w:t xml:space="preserve">. Carbon dioxide emissions due to mangrove deforestation will continue to fuel climate change, exacerbating negative impacts including: </w:t>
      </w:r>
    </w:p>
    <w:p w14:paraId="0202A71D" w14:textId="77777777" w:rsidR="00956A1A" w:rsidRPr="004C5667" w:rsidRDefault="00956A1A" w:rsidP="00F93F6C">
      <w:pPr>
        <w:pStyle w:val="ListParagraph"/>
        <w:numPr>
          <w:ilvl w:val="0"/>
          <w:numId w:val="14"/>
        </w:numPr>
        <w:spacing w:after="160"/>
      </w:pPr>
      <w:r w:rsidRPr="004C5667">
        <w:t xml:space="preserve">Stronger natural events such as tsunamis, storms and hurricanes which is likely to be felt disproportionately by developing nations; </w:t>
      </w:r>
    </w:p>
    <w:p w14:paraId="3AD1BB6F" w14:textId="77777777" w:rsidR="00956A1A" w:rsidRPr="004C5667" w:rsidRDefault="00956A1A" w:rsidP="00F93F6C">
      <w:pPr>
        <w:pStyle w:val="ListParagraph"/>
        <w:numPr>
          <w:ilvl w:val="0"/>
          <w:numId w:val="14"/>
        </w:numPr>
        <w:spacing w:after="160"/>
      </w:pPr>
      <w:r w:rsidRPr="004C5667">
        <w:t>A divergence of resources away from global economic growth and development towards disaster recovery, as coastal protection services from mangroves are reduced or lost;</w:t>
      </w:r>
    </w:p>
    <w:p w14:paraId="1B105823" w14:textId="77777777" w:rsidR="00956A1A" w:rsidRPr="004C5667" w:rsidRDefault="00956A1A" w:rsidP="00F93F6C">
      <w:pPr>
        <w:pStyle w:val="ListParagraph"/>
        <w:numPr>
          <w:ilvl w:val="0"/>
          <w:numId w:val="14"/>
        </w:numPr>
        <w:spacing w:after="160"/>
      </w:pPr>
      <w:r w:rsidRPr="004C5667">
        <w:t>Degradation of global fish stocks, risking global biodiversity and presenting significant challenges to the hundreds of millions of poor people across the developing world who rely on fishing as their primary income or food source;</w:t>
      </w:r>
    </w:p>
    <w:p w14:paraId="5D11F3C8" w14:textId="77777777" w:rsidR="00956A1A" w:rsidRPr="004C5667" w:rsidRDefault="00956A1A" w:rsidP="00F93F6C">
      <w:pPr>
        <w:pStyle w:val="ListParagraph"/>
        <w:numPr>
          <w:ilvl w:val="0"/>
          <w:numId w:val="14"/>
        </w:numPr>
        <w:spacing w:after="160"/>
      </w:pPr>
      <w:r w:rsidRPr="004C5667">
        <w:t>Damaging wider UK Government and global efforts to tackle climate change to ensure that the global temperature does not rise by more than 2</w:t>
      </w:r>
      <w:r w:rsidRPr="004C5667">
        <w:rPr>
          <w:vertAlign w:val="superscript"/>
        </w:rPr>
        <w:t>o</w:t>
      </w:r>
      <w:r w:rsidRPr="004C5667">
        <w:t>C</w:t>
      </w:r>
    </w:p>
    <w:p w14:paraId="14C21AEC" w14:textId="28356FBA" w:rsidR="00956A1A" w:rsidRPr="004C5667" w:rsidRDefault="00956A1A" w:rsidP="00EF36DF">
      <w:r w:rsidRPr="004C5667">
        <w:t xml:space="preserve">The UK Government have commitments to Official Development Assistance and to mobilising $100bn of climate finance by </w:t>
      </w:r>
      <w:r w:rsidR="00E6319E">
        <w:t xml:space="preserve">per year </w:t>
      </w:r>
      <w:r w:rsidRPr="004C5667">
        <w:t>2020</w:t>
      </w:r>
      <w:r w:rsidR="001A3397">
        <w:t>. Not spending the allocated £12.75</w:t>
      </w:r>
      <w:r w:rsidRPr="004C5667">
        <w:t xml:space="preserve">m would risk </w:t>
      </w:r>
      <w:r w:rsidR="00BF15A0">
        <w:t>Defra</w:t>
      </w:r>
      <w:r w:rsidRPr="004C5667">
        <w:t xml:space="preserve"> not meeting these targets which carries significant reputational risk.</w:t>
      </w:r>
    </w:p>
    <w:p w14:paraId="758F8C59" w14:textId="185E45B5" w:rsidR="00956A1A" w:rsidRPr="004C5667" w:rsidRDefault="001A3397" w:rsidP="00EF36DF">
      <w:pPr>
        <w:pStyle w:val="Heading3"/>
      </w:pPr>
      <w:r>
        <w:t>Option 1. Investing £12.75</w:t>
      </w:r>
      <w:r w:rsidR="00956A1A" w:rsidRPr="004C5667">
        <w:t xml:space="preserve">m in mangrove restoration, conservation and sustainable management </w:t>
      </w:r>
    </w:p>
    <w:p w14:paraId="1F083083" w14:textId="632EA164" w:rsidR="00956A1A" w:rsidRPr="004C5667" w:rsidRDefault="00956A1A" w:rsidP="00EF36DF">
      <w:r w:rsidRPr="004C5667">
        <w:t xml:space="preserve">Both </w:t>
      </w:r>
      <w:r w:rsidR="001D30D6" w:rsidRPr="004C5667">
        <w:t>sub-</w:t>
      </w:r>
      <w:r w:rsidRPr="004C5667">
        <w:t>options</w:t>
      </w:r>
      <w:r w:rsidR="001D30D6" w:rsidRPr="004C5667">
        <w:t xml:space="preserve"> within option 1 </w:t>
      </w:r>
      <w:r w:rsidRPr="004C5667">
        <w:t xml:space="preserve">focus investment in innovative projects which, were they to prove effective, could be scaled up and replicated across the globe, driving a sustainable approach to mangrove use and amplifying any </w:t>
      </w:r>
      <w:r w:rsidR="00BF15A0">
        <w:t>Defra</w:t>
      </w:r>
      <w:r w:rsidRPr="004C5667">
        <w:t xml:space="preserve"> ICF investment significantly in the long term. This would not be the case under the “do nothing” option.</w:t>
      </w:r>
    </w:p>
    <w:p w14:paraId="1839E6F0" w14:textId="75494BE4" w:rsidR="00956A1A" w:rsidRPr="004C5667" w:rsidRDefault="00956A1A" w:rsidP="00EF36DF">
      <w:pPr>
        <w:pStyle w:val="Heading3"/>
      </w:pPr>
      <w:r w:rsidRPr="004C5667">
        <w:lastRenderedPageBreak/>
        <w:t>Option 1.1: Establish a Blue Carbon Program with IDB</w:t>
      </w:r>
    </w:p>
    <w:p w14:paraId="005D3466" w14:textId="66A26044" w:rsidR="00956A1A" w:rsidRPr="004C5667" w:rsidRDefault="001A3397" w:rsidP="00EF36DF">
      <w:r>
        <w:t>This option uses £12.75</w:t>
      </w:r>
      <w:r w:rsidR="00956A1A" w:rsidRPr="004C5667">
        <w:t>m of ICF funding to establish a Blue Carbon Program focused on the protection, restoration and sustainable management of mangrove forests in South and Central America. This program would be delivered through the Inter-American Development Bank (IDB). The IDB have experience of working with ICF on programs in developing countries throughout Latin America, including 2 projects in Brazil.</w:t>
      </w:r>
    </w:p>
    <w:p w14:paraId="12AFCACE" w14:textId="19B5B339" w:rsidR="00956A1A" w:rsidRPr="004C5667" w:rsidRDefault="00956A1A" w:rsidP="00EF36DF">
      <w:pPr>
        <w:pStyle w:val="Heading4"/>
      </w:pPr>
      <w:r w:rsidRPr="004C5667">
        <w:t xml:space="preserve">Aim </w:t>
      </w:r>
    </w:p>
    <w:p w14:paraId="7D03F895" w14:textId="3AC9B6F8" w:rsidR="00956A1A" w:rsidRPr="004C5667" w:rsidRDefault="00956A1A" w:rsidP="00EF36DF">
      <w:r w:rsidRPr="004C5667">
        <w:t xml:space="preserve">This investment option aims to produce a transformational change in the conservation of mangroves by developing and embedding operational blue carbon markets across Latin America that provide local communities with a sustainable income and assist in moving low-income countries towards low-emission, climate-resilient development. </w:t>
      </w:r>
    </w:p>
    <w:p w14:paraId="1C6459BC" w14:textId="677D14D1" w:rsidR="00956A1A" w:rsidRPr="004C5667" w:rsidRDefault="00956A1A" w:rsidP="00EF36DF">
      <w:pPr>
        <w:rPr>
          <w:rFonts w:cstheme="minorHAnsi"/>
        </w:rPr>
      </w:pPr>
      <w:r w:rsidRPr="004C5667">
        <w:rPr>
          <w:rFonts w:cstheme="minorHAnsi"/>
        </w:rPr>
        <w:t xml:space="preserve">The program will mobilise strategic public and private sector investments in the blue carbon sector, funding projects in sectors such as sustainable aquaculture, coastal zone management and eco-tourism that target the main drivers of mangrove degradation and barriers to mangrove conservation. This will ensure the sustainable management of mangrove forests and accelerate sustainable development in key mangrove-focused countries in South and Central America. </w:t>
      </w:r>
    </w:p>
    <w:p w14:paraId="50D332AD" w14:textId="7D7841C4" w:rsidR="00956A1A" w:rsidRPr="004C5667" w:rsidRDefault="00956A1A" w:rsidP="00EF36DF">
      <w:pPr>
        <w:rPr>
          <w:rFonts w:cstheme="minorHAnsi"/>
        </w:rPr>
      </w:pPr>
      <w:r w:rsidRPr="004C5667">
        <w:rPr>
          <w:rFonts w:cstheme="minorHAnsi"/>
        </w:rPr>
        <w:t xml:space="preserve">There will be a focus on developing and implementing incentive-based instruments via the various financial products of the IDB Group including technical cooperation grants, loans, high-risk investment grants and equity. These will be tailored to the intervention to maximize value for money of ICF funding.  The IDB Group will </w:t>
      </w:r>
      <w:r w:rsidR="005A29BB" w:rsidRPr="004C5667">
        <w:rPr>
          <w:rFonts w:cstheme="minorHAnsi"/>
        </w:rPr>
        <w:t xml:space="preserve">also </w:t>
      </w:r>
      <w:r w:rsidRPr="004C5667">
        <w:rPr>
          <w:rFonts w:cstheme="minorHAnsi"/>
        </w:rPr>
        <w:t>utilise its ongoing programs on Sustainable Islands Platform and its Natural Capital Lab in order to leverage additional resources, know</w:t>
      </w:r>
      <w:r w:rsidR="005A29BB" w:rsidRPr="004C5667">
        <w:rPr>
          <w:rFonts w:cstheme="minorHAnsi"/>
        </w:rPr>
        <w:t>ledge and complement and maximis</w:t>
      </w:r>
      <w:r w:rsidRPr="004C5667">
        <w:rPr>
          <w:rFonts w:cstheme="minorHAnsi"/>
        </w:rPr>
        <w:t>e the impact of ICF resources</w:t>
      </w:r>
      <w:r w:rsidR="005A29BB" w:rsidRPr="004C5667">
        <w:rPr>
          <w:rFonts w:cstheme="minorHAnsi"/>
        </w:rPr>
        <w:t xml:space="preserve"> through various blended finance solutions</w:t>
      </w:r>
      <w:r w:rsidRPr="004C5667">
        <w:rPr>
          <w:rFonts w:cstheme="minorHAnsi"/>
        </w:rPr>
        <w:t>.</w:t>
      </w:r>
    </w:p>
    <w:p w14:paraId="514BE539" w14:textId="711D24C8" w:rsidR="00956A1A" w:rsidRPr="004C5667" w:rsidRDefault="00956A1A" w:rsidP="00EF36DF">
      <w:pPr>
        <w:pStyle w:val="Heading4"/>
      </w:pPr>
      <w:r w:rsidRPr="004C5667">
        <w:t>Project Delivery</w:t>
      </w:r>
    </w:p>
    <w:p w14:paraId="23C798A7" w14:textId="11399F87" w:rsidR="00373F42" w:rsidRDefault="00444C9A" w:rsidP="00EF36DF">
      <w:r>
        <w:t>Figure 6 p</w:t>
      </w:r>
      <w:r w:rsidR="00956A1A" w:rsidRPr="004C5667">
        <w:t xml:space="preserve">rovides </w:t>
      </w:r>
      <w:r w:rsidR="00373F42">
        <w:t>a summary of</w:t>
      </w:r>
      <w:r w:rsidR="00956A1A" w:rsidRPr="004C5667">
        <w:t xml:space="preserve"> activities that will be undertaken across eight projects </w:t>
      </w:r>
      <w:r w:rsidR="00EC0899">
        <w:t xml:space="preserve">highlighted as </w:t>
      </w:r>
      <w:r w:rsidR="00956A1A" w:rsidRPr="004C5667">
        <w:t>highest priority</w:t>
      </w:r>
      <w:r w:rsidR="00EC0899">
        <w:t xml:space="preserve"> in terms of readiness and</w:t>
      </w:r>
      <w:r w:rsidR="00956A1A" w:rsidRPr="004C5667">
        <w:t xml:space="preserve"> align</w:t>
      </w:r>
      <w:r w:rsidR="00EC0899">
        <w:t>ment</w:t>
      </w:r>
      <w:r w:rsidR="00956A1A" w:rsidRPr="004C5667">
        <w:t xml:space="preserve"> with </w:t>
      </w:r>
      <w:r w:rsidR="00BF15A0">
        <w:t>Defra</w:t>
      </w:r>
      <w:r w:rsidR="00956A1A" w:rsidRPr="004C5667">
        <w:t>’s ICF priorities and risk appetite.</w:t>
      </w:r>
      <w:r w:rsidR="00EC0899">
        <w:t xml:space="preserve"> These projects will form the complete pipeline for implementation.</w:t>
      </w:r>
    </w:p>
    <w:p w14:paraId="6F6AA36B" w14:textId="051E1B78" w:rsidR="00373F42" w:rsidRDefault="00373F42" w:rsidP="00373F42">
      <w:r>
        <w:t>Three from these eight were selected to appraise as they held the most robust data on benefits and across the widest range of indicators including carbon, area of mangrove protected or restored, and levels of public and/or private finance leveraged; thus best reflecting the pipeline portfolio as a whole. Although the remaining pipeline did provide data across these KPIs, uncertainty around the methodology used to calculate GHG emissions and hectares</w:t>
      </w:r>
      <w:r w:rsidR="00455517">
        <w:t xml:space="preserve"> avoided deforestation</w:t>
      </w:r>
      <w:r>
        <w:t>, specifically the level of attribution to impacts was sufficient to discount them from the analysis.</w:t>
      </w:r>
    </w:p>
    <w:p w14:paraId="67A59565" w14:textId="247B2B5E" w:rsidR="00956A1A" w:rsidRPr="004C5667" w:rsidRDefault="00373F42" w:rsidP="00EF36DF">
      <w:r>
        <w:t>The eight identified projects will</w:t>
      </w:r>
      <w:r w:rsidR="00956A1A" w:rsidRPr="004C5667">
        <w:t>:</w:t>
      </w:r>
    </w:p>
    <w:p w14:paraId="56612DCA" w14:textId="08216A81" w:rsidR="00956A1A" w:rsidRPr="004C5667" w:rsidRDefault="00956A1A" w:rsidP="00F93F6C">
      <w:pPr>
        <w:pStyle w:val="ListParagraph"/>
        <w:numPr>
          <w:ilvl w:val="0"/>
          <w:numId w:val="20"/>
        </w:numPr>
        <w:spacing w:after="160"/>
      </w:pPr>
      <w:r w:rsidRPr="004C5667">
        <w:t xml:space="preserve">Deliver </w:t>
      </w:r>
      <w:r w:rsidR="00373F42">
        <w:t xml:space="preserve">but </w:t>
      </w:r>
      <w:r w:rsidRPr="004C5667">
        <w:t xml:space="preserve">to </w:t>
      </w:r>
      <w:r w:rsidR="00373F42">
        <w:t xml:space="preserve">varying </w:t>
      </w:r>
      <w:r w:rsidRPr="004C5667">
        <w:t xml:space="preserve">extents against </w:t>
      </w:r>
      <w:r w:rsidR="00BF15A0">
        <w:t>Defra</w:t>
      </w:r>
      <w:r w:rsidRPr="004C5667">
        <w:t xml:space="preserve"> ICF target areas of climate change mitigation, adaptation, biodiversity and sustainable livelihoods</w:t>
      </w:r>
    </w:p>
    <w:p w14:paraId="69268003" w14:textId="0C6B7E0C" w:rsidR="00956A1A" w:rsidRPr="004C5667" w:rsidRDefault="00373F42" w:rsidP="00F93F6C">
      <w:pPr>
        <w:pStyle w:val="ListParagraph"/>
        <w:numPr>
          <w:ilvl w:val="0"/>
          <w:numId w:val="20"/>
        </w:numPr>
        <w:spacing w:after="160"/>
      </w:pPr>
      <w:r>
        <w:t xml:space="preserve">Work </w:t>
      </w:r>
      <w:r w:rsidR="00956A1A" w:rsidRPr="004C5667">
        <w:t>across at least 5 countries, including low income nations such as Haiti and small island developing states such as Jamaica</w:t>
      </w:r>
    </w:p>
    <w:p w14:paraId="507531B5" w14:textId="51645DFE" w:rsidR="00992FC3" w:rsidRPr="004C5667" w:rsidRDefault="00956A1A" w:rsidP="00057097">
      <w:pPr>
        <w:pStyle w:val="ListParagraph"/>
        <w:numPr>
          <w:ilvl w:val="0"/>
          <w:numId w:val="20"/>
        </w:numPr>
        <w:spacing w:after="160"/>
      </w:pPr>
      <w:r w:rsidRPr="004C5667">
        <w:t>Constitute funding of £1</w:t>
      </w:r>
      <w:r w:rsidR="00373F42">
        <w:t>2</w:t>
      </w:r>
      <w:r w:rsidRPr="004C5667">
        <w:t>.</w:t>
      </w:r>
      <w:r w:rsidR="0019373C">
        <w:t>7</w:t>
      </w:r>
      <w:r w:rsidR="00373F42">
        <w:t>5million in total, of which £1</w:t>
      </w:r>
      <w:r w:rsidR="00E843FB">
        <w:t>1</w:t>
      </w:r>
      <w:r w:rsidR="00373F42">
        <w:t>.</w:t>
      </w:r>
      <w:r w:rsidR="00E843FB">
        <w:t>73</w:t>
      </w:r>
      <w:r w:rsidRPr="004C5667">
        <w:t>m of projects will be chosen to be funded through the ICF-IDB program.</w:t>
      </w:r>
    </w:p>
    <w:tbl>
      <w:tblPr>
        <w:tblStyle w:val="TableGrid"/>
        <w:tblpPr w:leftFromText="180" w:rightFromText="180" w:vertAnchor="text" w:horzAnchor="margin" w:tblpXSpec="center" w:tblpY="125"/>
        <w:tblW w:w="9781" w:type="dxa"/>
        <w:tblLook w:val="04A0" w:firstRow="1" w:lastRow="0" w:firstColumn="1" w:lastColumn="0" w:noHBand="0" w:noVBand="1"/>
      </w:tblPr>
      <w:tblGrid>
        <w:gridCol w:w="2552"/>
        <w:gridCol w:w="1276"/>
        <w:gridCol w:w="992"/>
        <w:gridCol w:w="4961"/>
      </w:tblGrid>
      <w:tr w:rsidR="003C78C8" w:rsidRPr="004C5667" w14:paraId="0BED4B5F" w14:textId="77777777" w:rsidTr="003C78C8">
        <w:trPr>
          <w:trHeight w:val="193"/>
        </w:trPr>
        <w:tc>
          <w:tcPr>
            <w:tcW w:w="2552" w:type="dxa"/>
            <w:shd w:val="clear" w:color="auto" w:fill="BDD6EE" w:themeFill="accent1" w:themeFillTint="66"/>
          </w:tcPr>
          <w:p w14:paraId="7FA4FF19" w14:textId="77777777" w:rsidR="003C78C8" w:rsidRPr="004C5667" w:rsidRDefault="003C78C8" w:rsidP="003C78C8">
            <w:pPr>
              <w:spacing w:after="0"/>
              <w:jc w:val="center"/>
              <w:rPr>
                <w:b/>
              </w:rPr>
            </w:pPr>
            <w:r w:rsidRPr="004C5667">
              <w:rPr>
                <w:b/>
              </w:rPr>
              <w:lastRenderedPageBreak/>
              <w:t>Project title</w:t>
            </w:r>
          </w:p>
        </w:tc>
        <w:tc>
          <w:tcPr>
            <w:tcW w:w="1276" w:type="dxa"/>
            <w:shd w:val="clear" w:color="auto" w:fill="BDD6EE" w:themeFill="accent1" w:themeFillTint="66"/>
          </w:tcPr>
          <w:p w14:paraId="77DB517F" w14:textId="77777777" w:rsidR="003C78C8" w:rsidRPr="004C5667" w:rsidRDefault="003C78C8" w:rsidP="003C78C8">
            <w:pPr>
              <w:spacing w:after="0"/>
              <w:jc w:val="center"/>
              <w:rPr>
                <w:b/>
              </w:rPr>
            </w:pPr>
            <w:r w:rsidRPr="004C5667">
              <w:rPr>
                <w:b/>
              </w:rPr>
              <w:t>Country</w:t>
            </w:r>
          </w:p>
        </w:tc>
        <w:tc>
          <w:tcPr>
            <w:tcW w:w="992" w:type="dxa"/>
            <w:shd w:val="clear" w:color="auto" w:fill="BDD6EE" w:themeFill="accent1" w:themeFillTint="66"/>
          </w:tcPr>
          <w:p w14:paraId="33D2793D" w14:textId="77777777" w:rsidR="003C78C8" w:rsidRPr="004C5667" w:rsidRDefault="003C78C8" w:rsidP="003C78C8">
            <w:pPr>
              <w:spacing w:after="0"/>
              <w:jc w:val="center"/>
              <w:rPr>
                <w:b/>
              </w:rPr>
            </w:pPr>
            <w:r w:rsidRPr="004C5667">
              <w:rPr>
                <w:b/>
              </w:rPr>
              <w:t>Funding</w:t>
            </w:r>
          </w:p>
        </w:tc>
        <w:tc>
          <w:tcPr>
            <w:tcW w:w="4961" w:type="dxa"/>
            <w:shd w:val="clear" w:color="auto" w:fill="BDD6EE" w:themeFill="accent1" w:themeFillTint="66"/>
          </w:tcPr>
          <w:p w14:paraId="2C81D5A1" w14:textId="77777777" w:rsidR="003C78C8" w:rsidRPr="004C5667" w:rsidRDefault="003C78C8" w:rsidP="003C78C8">
            <w:pPr>
              <w:spacing w:after="0"/>
              <w:jc w:val="center"/>
              <w:rPr>
                <w:b/>
              </w:rPr>
            </w:pPr>
            <w:r w:rsidRPr="004C5667">
              <w:rPr>
                <w:b/>
              </w:rPr>
              <w:t>Summary</w:t>
            </w:r>
          </w:p>
        </w:tc>
      </w:tr>
      <w:tr w:rsidR="003C78C8" w:rsidRPr="004C5667" w14:paraId="613066A4" w14:textId="77777777" w:rsidTr="003C78C8">
        <w:trPr>
          <w:trHeight w:val="389"/>
        </w:trPr>
        <w:tc>
          <w:tcPr>
            <w:tcW w:w="2552" w:type="dxa"/>
          </w:tcPr>
          <w:p w14:paraId="297132BC" w14:textId="77777777" w:rsidR="003C78C8" w:rsidRPr="004C5667" w:rsidRDefault="003C78C8" w:rsidP="003C78C8">
            <w:pPr>
              <w:spacing w:after="0"/>
              <w:jc w:val="center"/>
            </w:pPr>
            <w:r w:rsidRPr="004C5667">
              <w:t>1. Sustainable Forest Management Project Mangrove Restoration</w:t>
            </w:r>
          </w:p>
        </w:tc>
        <w:tc>
          <w:tcPr>
            <w:tcW w:w="1276" w:type="dxa"/>
          </w:tcPr>
          <w:p w14:paraId="76B42B1D" w14:textId="77777777" w:rsidR="003C78C8" w:rsidRPr="004C5667" w:rsidRDefault="003C78C8" w:rsidP="003C78C8">
            <w:pPr>
              <w:spacing w:after="0"/>
              <w:jc w:val="center"/>
            </w:pPr>
            <w:r w:rsidRPr="004C5667">
              <w:t>Jamaica</w:t>
            </w:r>
          </w:p>
        </w:tc>
        <w:tc>
          <w:tcPr>
            <w:tcW w:w="992" w:type="dxa"/>
          </w:tcPr>
          <w:p w14:paraId="78E6E90C" w14:textId="77777777" w:rsidR="003C78C8" w:rsidRPr="004C5667" w:rsidRDefault="003C78C8" w:rsidP="003C78C8">
            <w:pPr>
              <w:spacing w:after="0"/>
              <w:jc w:val="center"/>
            </w:pPr>
            <w:r w:rsidRPr="004C5667">
              <w:t>£0.9m</w:t>
            </w:r>
          </w:p>
        </w:tc>
        <w:tc>
          <w:tcPr>
            <w:tcW w:w="4961" w:type="dxa"/>
          </w:tcPr>
          <w:p w14:paraId="4D8778C1" w14:textId="77777777" w:rsidR="003C78C8" w:rsidRPr="004C5667" w:rsidRDefault="003C78C8" w:rsidP="003C78C8">
            <w:pPr>
              <w:spacing w:after="0"/>
              <w:jc w:val="center"/>
            </w:pPr>
            <w:r w:rsidRPr="004C5667">
              <w:t>Focus on changing the hydrological regime from agricultural activities in surrounding areas to restore mangrove forests in Jackson Bay</w:t>
            </w:r>
          </w:p>
        </w:tc>
      </w:tr>
      <w:tr w:rsidR="003C78C8" w:rsidRPr="004C5667" w14:paraId="7A50710A" w14:textId="77777777" w:rsidTr="003C78C8">
        <w:trPr>
          <w:trHeight w:val="385"/>
        </w:trPr>
        <w:tc>
          <w:tcPr>
            <w:tcW w:w="2552" w:type="dxa"/>
          </w:tcPr>
          <w:p w14:paraId="18DE9C50" w14:textId="77777777" w:rsidR="003C78C8" w:rsidRPr="004C5667" w:rsidRDefault="003C78C8" w:rsidP="003C78C8">
            <w:pPr>
              <w:spacing w:after="0"/>
              <w:jc w:val="center"/>
            </w:pPr>
            <w:r w:rsidRPr="004C5667">
              <w:t>2. Community Based Mangrove Restoration</w:t>
            </w:r>
          </w:p>
        </w:tc>
        <w:tc>
          <w:tcPr>
            <w:tcW w:w="1276" w:type="dxa"/>
          </w:tcPr>
          <w:p w14:paraId="2F1F70C5" w14:textId="77777777" w:rsidR="003C78C8" w:rsidRPr="004C5667" w:rsidRDefault="003C78C8" w:rsidP="003C78C8">
            <w:pPr>
              <w:spacing w:after="0"/>
              <w:jc w:val="center"/>
            </w:pPr>
            <w:r w:rsidRPr="004C5667">
              <w:t>Haiti</w:t>
            </w:r>
          </w:p>
        </w:tc>
        <w:tc>
          <w:tcPr>
            <w:tcW w:w="992" w:type="dxa"/>
          </w:tcPr>
          <w:p w14:paraId="643608E3" w14:textId="16E34C0F" w:rsidR="003C78C8" w:rsidRPr="004C5667" w:rsidRDefault="00057097" w:rsidP="003C78C8">
            <w:pPr>
              <w:spacing w:after="0"/>
              <w:jc w:val="center"/>
            </w:pPr>
            <w:r>
              <w:t>£3.0</w:t>
            </w:r>
            <w:r w:rsidR="003C78C8" w:rsidRPr="004C5667">
              <w:t>m</w:t>
            </w:r>
          </w:p>
        </w:tc>
        <w:tc>
          <w:tcPr>
            <w:tcW w:w="4961" w:type="dxa"/>
          </w:tcPr>
          <w:p w14:paraId="07FFC5B5" w14:textId="77777777" w:rsidR="003C78C8" w:rsidRPr="004C5667" w:rsidRDefault="003C78C8" w:rsidP="003C78C8">
            <w:pPr>
              <w:spacing w:after="0"/>
              <w:jc w:val="center"/>
            </w:pPr>
            <w:r w:rsidRPr="004C5667">
              <w:t>Rehabilitation of mangroves through community-based management; the development of SLM practices in south of Haiti</w:t>
            </w:r>
          </w:p>
        </w:tc>
      </w:tr>
      <w:tr w:rsidR="003C78C8" w:rsidRPr="004C5667" w14:paraId="0C5F7EB9" w14:textId="77777777" w:rsidTr="003C78C8">
        <w:trPr>
          <w:trHeight w:val="22"/>
        </w:trPr>
        <w:tc>
          <w:tcPr>
            <w:tcW w:w="2552" w:type="dxa"/>
          </w:tcPr>
          <w:p w14:paraId="7B0D86FD" w14:textId="77777777" w:rsidR="003C78C8" w:rsidRPr="004C5667" w:rsidRDefault="003C78C8" w:rsidP="003C78C8">
            <w:pPr>
              <w:spacing w:after="0"/>
              <w:jc w:val="center"/>
            </w:pPr>
            <w:r w:rsidRPr="004C5667">
              <w:t>3. Blue Carbon Colombia – Strengthening Local Governance &amp; Benefits</w:t>
            </w:r>
          </w:p>
        </w:tc>
        <w:tc>
          <w:tcPr>
            <w:tcW w:w="1276" w:type="dxa"/>
          </w:tcPr>
          <w:p w14:paraId="51008993" w14:textId="77777777" w:rsidR="003C78C8" w:rsidRPr="004C5667" w:rsidRDefault="003C78C8" w:rsidP="003C78C8">
            <w:pPr>
              <w:spacing w:after="0"/>
              <w:jc w:val="center"/>
            </w:pPr>
            <w:r w:rsidRPr="004C5667">
              <w:t>Colombia</w:t>
            </w:r>
          </w:p>
        </w:tc>
        <w:tc>
          <w:tcPr>
            <w:tcW w:w="992" w:type="dxa"/>
          </w:tcPr>
          <w:p w14:paraId="1CAABB60" w14:textId="6B13E4C3" w:rsidR="003C78C8" w:rsidRPr="004C5667" w:rsidRDefault="00057097" w:rsidP="003C78C8">
            <w:pPr>
              <w:spacing w:after="0"/>
              <w:jc w:val="center"/>
            </w:pPr>
            <w:r>
              <w:t>£1.9</w:t>
            </w:r>
            <w:r w:rsidR="003C78C8" w:rsidRPr="004C5667">
              <w:t>m</w:t>
            </w:r>
          </w:p>
        </w:tc>
        <w:tc>
          <w:tcPr>
            <w:tcW w:w="4961" w:type="dxa"/>
          </w:tcPr>
          <w:p w14:paraId="5CE305B9" w14:textId="77777777" w:rsidR="003C78C8" w:rsidRPr="004C5667" w:rsidRDefault="003C78C8" w:rsidP="003C78C8">
            <w:pPr>
              <w:spacing w:after="0"/>
              <w:jc w:val="center"/>
            </w:pPr>
            <w:r w:rsidRPr="004C5667">
              <w:t>Support implementation of blue carbon projects in at least priority areas in Colombia, while developing national mangrove restoration frameworks</w:t>
            </w:r>
          </w:p>
        </w:tc>
      </w:tr>
      <w:tr w:rsidR="003C78C8" w:rsidRPr="004C5667" w14:paraId="19816ECF" w14:textId="77777777" w:rsidTr="003C78C8">
        <w:trPr>
          <w:trHeight w:val="22"/>
        </w:trPr>
        <w:tc>
          <w:tcPr>
            <w:tcW w:w="2552" w:type="dxa"/>
          </w:tcPr>
          <w:p w14:paraId="468D43FE" w14:textId="77777777" w:rsidR="003C78C8" w:rsidRPr="004C5667" w:rsidRDefault="003C78C8" w:rsidP="003C78C8">
            <w:pPr>
              <w:spacing w:after="0"/>
              <w:jc w:val="center"/>
              <w:rPr>
                <w:b/>
              </w:rPr>
            </w:pPr>
            <w:r w:rsidRPr="004C5667">
              <w:t>4. Blue Carbon Panama – Strengthening Local Governance &amp; Benefits</w:t>
            </w:r>
          </w:p>
        </w:tc>
        <w:tc>
          <w:tcPr>
            <w:tcW w:w="1276" w:type="dxa"/>
          </w:tcPr>
          <w:p w14:paraId="3476375F" w14:textId="77777777" w:rsidR="003C78C8" w:rsidRPr="004C5667" w:rsidRDefault="003C78C8" w:rsidP="003C78C8">
            <w:pPr>
              <w:spacing w:after="0"/>
              <w:jc w:val="center"/>
            </w:pPr>
            <w:r w:rsidRPr="004C5667">
              <w:t>Panama</w:t>
            </w:r>
          </w:p>
        </w:tc>
        <w:tc>
          <w:tcPr>
            <w:tcW w:w="992" w:type="dxa"/>
          </w:tcPr>
          <w:p w14:paraId="36371805" w14:textId="130A6464" w:rsidR="003C78C8" w:rsidRPr="004C5667" w:rsidRDefault="00057097" w:rsidP="003C78C8">
            <w:pPr>
              <w:spacing w:after="0"/>
              <w:jc w:val="center"/>
            </w:pPr>
            <w:r>
              <w:t>£1.9</w:t>
            </w:r>
            <w:r w:rsidR="003C78C8" w:rsidRPr="004C5667">
              <w:t>m</w:t>
            </w:r>
          </w:p>
        </w:tc>
        <w:tc>
          <w:tcPr>
            <w:tcW w:w="4961" w:type="dxa"/>
          </w:tcPr>
          <w:p w14:paraId="7AA14FDB" w14:textId="77777777" w:rsidR="003C78C8" w:rsidRPr="004C5667" w:rsidRDefault="003C78C8" w:rsidP="003C78C8">
            <w:pPr>
              <w:spacing w:after="0"/>
              <w:jc w:val="center"/>
            </w:pPr>
            <w:r w:rsidRPr="004C5667">
              <w:t xml:space="preserve">Restoration of mangrove forests in the </w:t>
            </w:r>
            <w:proofErr w:type="spellStart"/>
            <w:r w:rsidRPr="004C5667">
              <w:t>Chiriqui</w:t>
            </w:r>
            <w:proofErr w:type="spellEnd"/>
            <w:r w:rsidRPr="004C5667">
              <w:t xml:space="preserve"> Gulf; capacity building and strengthening of local stakeholder involvement; technical and financial assistance to increase/diversify community benefits</w:t>
            </w:r>
          </w:p>
        </w:tc>
      </w:tr>
      <w:tr w:rsidR="008C15AA" w:rsidRPr="004C5667" w14:paraId="19FB4DCA" w14:textId="77777777" w:rsidTr="003C78C8">
        <w:trPr>
          <w:trHeight w:val="22"/>
        </w:trPr>
        <w:tc>
          <w:tcPr>
            <w:tcW w:w="2552" w:type="dxa"/>
          </w:tcPr>
          <w:p w14:paraId="0A1E651F" w14:textId="792F12D4" w:rsidR="008C15AA" w:rsidRPr="004C5667" w:rsidRDefault="008C15AA" w:rsidP="008C15AA">
            <w:pPr>
              <w:spacing w:after="0"/>
              <w:jc w:val="center"/>
            </w:pPr>
            <w:r w:rsidRPr="004C5667">
              <w:rPr>
                <w:color w:val="000000"/>
              </w:rPr>
              <w:t>5. Regional Blue Carbon, Ecosystem Services, Resilience, and Biodiversity Program</w:t>
            </w:r>
          </w:p>
        </w:tc>
        <w:tc>
          <w:tcPr>
            <w:tcW w:w="1276" w:type="dxa"/>
          </w:tcPr>
          <w:p w14:paraId="4B1A016C" w14:textId="666B1989" w:rsidR="008C15AA" w:rsidRPr="004C5667" w:rsidRDefault="008C15AA" w:rsidP="008C15AA">
            <w:pPr>
              <w:spacing w:after="0"/>
              <w:jc w:val="center"/>
            </w:pPr>
            <w:r w:rsidRPr="004C5667">
              <w:t>Panama and Colombia</w:t>
            </w:r>
          </w:p>
        </w:tc>
        <w:tc>
          <w:tcPr>
            <w:tcW w:w="992" w:type="dxa"/>
          </w:tcPr>
          <w:p w14:paraId="3FB557B0" w14:textId="2785D27B" w:rsidR="008C15AA" w:rsidRPr="004C5667" w:rsidRDefault="00057097" w:rsidP="008C15AA">
            <w:pPr>
              <w:spacing w:after="0"/>
              <w:jc w:val="center"/>
            </w:pPr>
            <w:r>
              <w:t>£2.3</w:t>
            </w:r>
            <w:r w:rsidR="008C15AA" w:rsidRPr="004C5667">
              <w:t>m</w:t>
            </w:r>
          </w:p>
        </w:tc>
        <w:tc>
          <w:tcPr>
            <w:tcW w:w="4961" w:type="dxa"/>
          </w:tcPr>
          <w:p w14:paraId="2AF1D168" w14:textId="352F7883" w:rsidR="008C15AA" w:rsidRPr="004C5667" w:rsidRDefault="008C15AA" w:rsidP="008C15AA">
            <w:pPr>
              <w:spacing w:after="0"/>
              <w:jc w:val="center"/>
            </w:pPr>
            <w:r w:rsidRPr="004C5667">
              <w:t xml:space="preserve">Implementation of strategic pilot projects </w:t>
            </w:r>
            <w:r w:rsidRPr="004C5667">
              <w:rPr>
                <w:rFonts w:eastAsia="Times New Roman" w:cstheme="minorHAnsi"/>
              </w:rPr>
              <w:t>that restore and improve protection of mangroves; assess and share the value of ecosystem services of coastal wetlands; educate communities and build processes that reduce impacts to mangroves from plastic pollution and poor land-use planning.</w:t>
            </w:r>
          </w:p>
        </w:tc>
      </w:tr>
      <w:tr w:rsidR="008C15AA" w:rsidRPr="004C5667" w14:paraId="1B2C4E8A" w14:textId="77777777" w:rsidTr="003C78C8">
        <w:trPr>
          <w:trHeight w:val="22"/>
        </w:trPr>
        <w:tc>
          <w:tcPr>
            <w:tcW w:w="2552" w:type="dxa"/>
          </w:tcPr>
          <w:p w14:paraId="33CA8291" w14:textId="51A9BE0B" w:rsidR="008C15AA" w:rsidRDefault="008C15AA" w:rsidP="008C15AA">
            <w:pPr>
              <w:spacing w:after="0"/>
              <w:jc w:val="center"/>
            </w:pPr>
            <w:r w:rsidRPr="004C5667">
              <w:t>6. Blue Carbon Ecuador – Strengthening Local Governance &amp; Benefits</w:t>
            </w:r>
          </w:p>
        </w:tc>
        <w:tc>
          <w:tcPr>
            <w:tcW w:w="1276" w:type="dxa"/>
          </w:tcPr>
          <w:p w14:paraId="7AFFC0A6" w14:textId="19F44F63" w:rsidR="008C15AA" w:rsidRPr="004C5667" w:rsidRDefault="008C15AA" w:rsidP="008C15AA">
            <w:pPr>
              <w:spacing w:after="0"/>
              <w:jc w:val="center"/>
            </w:pPr>
            <w:r w:rsidRPr="004C5667">
              <w:t>Ecuador</w:t>
            </w:r>
          </w:p>
        </w:tc>
        <w:tc>
          <w:tcPr>
            <w:tcW w:w="992" w:type="dxa"/>
          </w:tcPr>
          <w:p w14:paraId="408EA78D" w14:textId="3F508997" w:rsidR="008C15AA" w:rsidRPr="004C5667" w:rsidRDefault="00057097" w:rsidP="008C15AA">
            <w:pPr>
              <w:spacing w:after="0"/>
              <w:jc w:val="center"/>
            </w:pPr>
            <w:r>
              <w:t>£1.6</w:t>
            </w:r>
            <w:r w:rsidR="008C15AA" w:rsidRPr="004C5667">
              <w:t>m</w:t>
            </w:r>
          </w:p>
        </w:tc>
        <w:tc>
          <w:tcPr>
            <w:tcW w:w="4961" w:type="dxa"/>
          </w:tcPr>
          <w:p w14:paraId="3BBEA0D1" w14:textId="1B70CE5E" w:rsidR="008C15AA" w:rsidRDefault="008C15AA" w:rsidP="008C15AA">
            <w:pPr>
              <w:spacing w:after="0"/>
              <w:jc w:val="center"/>
            </w:pPr>
            <w:r w:rsidRPr="004C5667">
              <w:t>Restoration and protection of mangroves across 3 areas in the Gulf of Guayaquil; ensuring co-benefits for local communities; and developing long-term financial strategies to ensure sustainable management of the sites</w:t>
            </w:r>
          </w:p>
        </w:tc>
      </w:tr>
      <w:tr w:rsidR="008C15AA" w:rsidRPr="004C5667" w14:paraId="2415F34A" w14:textId="77777777" w:rsidTr="003C78C8">
        <w:trPr>
          <w:trHeight w:val="22"/>
        </w:trPr>
        <w:tc>
          <w:tcPr>
            <w:tcW w:w="2552" w:type="dxa"/>
          </w:tcPr>
          <w:p w14:paraId="5F37DEA3" w14:textId="5BB3FD27" w:rsidR="008C15AA" w:rsidRDefault="008C15AA" w:rsidP="008C15AA">
            <w:pPr>
              <w:spacing w:after="0"/>
              <w:jc w:val="center"/>
            </w:pPr>
            <w:r w:rsidRPr="004C5667">
              <w:t>7. Carbon Offering</w:t>
            </w:r>
          </w:p>
        </w:tc>
        <w:tc>
          <w:tcPr>
            <w:tcW w:w="1276" w:type="dxa"/>
          </w:tcPr>
          <w:p w14:paraId="7D650135" w14:textId="3F368EF6" w:rsidR="008C15AA" w:rsidRPr="004C5667" w:rsidRDefault="008C15AA" w:rsidP="008C15AA">
            <w:pPr>
              <w:spacing w:after="0"/>
              <w:jc w:val="center"/>
            </w:pPr>
            <w:r w:rsidRPr="004C5667">
              <w:t>Honduras</w:t>
            </w:r>
          </w:p>
        </w:tc>
        <w:tc>
          <w:tcPr>
            <w:tcW w:w="992" w:type="dxa"/>
          </w:tcPr>
          <w:p w14:paraId="26EC40F9" w14:textId="498319A3" w:rsidR="008C15AA" w:rsidRPr="004C5667" w:rsidRDefault="00057097" w:rsidP="008C15AA">
            <w:pPr>
              <w:spacing w:after="0"/>
              <w:jc w:val="center"/>
            </w:pPr>
            <w:r>
              <w:t>£0.5</w:t>
            </w:r>
            <w:r w:rsidR="008C15AA" w:rsidRPr="004C5667">
              <w:t>m</w:t>
            </w:r>
          </w:p>
        </w:tc>
        <w:tc>
          <w:tcPr>
            <w:tcW w:w="4961" w:type="dxa"/>
          </w:tcPr>
          <w:p w14:paraId="50854787" w14:textId="6333F7BD" w:rsidR="008C15AA" w:rsidRDefault="008C15AA" w:rsidP="008C15AA">
            <w:pPr>
              <w:spacing w:after="0"/>
              <w:jc w:val="center"/>
            </w:pPr>
            <w:r w:rsidRPr="004C5667">
              <w:t xml:space="preserve">Develop a blue carbon program to finance the protection of mangroves in </w:t>
            </w:r>
            <w:proofErr w:type="spellStart"/>
            <w:r w:rsidRPr="004C5667">
              <w:t>Mosquitia</w:t>
            </w:r>
            <w:proofErr w:type="spellEnd"/>
            <w:r w:rsidRPr="004C5667">
              <w:t>, with income distributed to community projects.</w:t>
            </w:r>
          </w:p>
        </w:tc>
      </w:tr>
      <w:tr w:rsidR="008C15AA" w:rsidRPr="004C5667" w14:paraId="2394BA23" w14:textId="77777777" w:rsidTr="003C78C8">
        <w:trPr>
          <w:trHeight w:val="22"/>
        </w:trPr>
        <w:tc>
          <w:tcPr>
            <w:tcW w:w="2552" w:type="dxa"/>
          </w:tcPr>
          <w:p w14:paraId="23AE3C08" w14:textId="7378C50D" w:rsidR="008C15AA" w:rsidRDefault="008C15AA" w:rsidP="008C15AA">
            <w:pPr>
              <w:spacing w:after="0"/>
              <w:jc w:val="center"/>
            </w:pPr>
            <w:r w:rsidRPr="004C5667">
              <w:t>8. Innovation Competition</w:t>
            </w:r>
          </w:p>
        </w:tc>
        <w:tc>
          <w:tcPr>
            <w:tcW w:w="1276" w:type="dxa"/>
          </w:tcPr>
          <w:p w14:paraId="6E41BF31" w14:textId="4BCC9BD6" w:rsidR="008C15AA" w:rsidRPr="004C5667" w:rsidRDefault="008C15AA" w:rsidP="008C15AA">
            <w:pPr>
              <w:spacing w:after="0"/>
              <w:jc w:val="center"/>
            </w:pPr>
            <w:r w:rsidRPr="004C5667">
              <w:t>Caribbean Developing States</w:t>
            </w:r>
          </w:p>
        </w:tc>
        <w:tc>
          <w:tcPr>
            <w:tcW w:w="992" w:type="dxa"/>
          </w:tcPr>
          <w:p w14:paraId="6B50B528" w14:textId="61582514" w:rsidR="008C15AA" w:rsidRPr="004C5667" w:rsidRDefault="00057097" w:rsidP="008C15AA">
            <w:pPr>
              <w:spacing w:after="0"/>
              <w:jc w:val="center"/>
            </w:pPr>
            <w:r>
              <w:t>£2.3</w:t>
            </w:r>
            <w:r w:rsidR="008C15AA" w:rsidRPr="004C5667">
              <w:t>m</w:t>
            </w:r>
          </w:p>
        </w:tc>
        <w:tc>
          <w:tcPr>
            <w:tcW w:w="4961" w:type="dxa"/>
          </w:tcPr>
          <w:p w14:paraId="1242B133" w14:textId="0C6400A1" w:rsidR="008C15AA" w:rsidRDefault="008C15AA" w:rsidP="008C15AA">
            <w:pPr>
              <w:spacing w:after="0"/>
              <w:jc w:val="center"/>
            </w:pPr>
            <w:r w:rsidRPr="004C5667">
              <w:t>A competitive grant scheme, to support innovative post-concept pre-commercial businesses/technological models which offer solutions for reforestation, sustainable use, conservation or monitoring of mangroves. If businesses are successful, the grant funding is converted to an equity stake.</w:t>
            </w:r>
          </w:p>
        </w:tc>
      </w:tr>
    </w:tbl>
    <w:p w14:paraId="073740FB" w14:textId="7E973F3A" w:rsidR="00EF36DF" w:rsidRDefault="008C15AA" w:rsidP="008C15AA">
      <w:pPr>
        <w:pStyle w:val="Caption"/>
        <w:spacing w:before="240"/>
        <w:jc w:val="center"/>
        <w:rPr>
          <w:sz w:val="20"/>
        </w:rPr>
      </w:pPr>
      <w:bookmarkStart w:id="71" w:name="_Toc523990660"/>
      <w:r w:rsidRPr="00835728">
        <w:rPr>
          <w:sz w:val="22"/>
        </w:rPr>
        <w:t xml:space="preserve">Figure </w:t>
      </w:r>
      <w:r w:rsidRPr="00835728">
        <w:rPr>
          <w:sz w:val="22"/>
        </w:rPr>
        <w:fldChar w:fldCharType="begin"/>
      </w:r>
      <w:r w:rsidRPr="00835728">
        <w:rPr>
          <w:sz w:val="22"/>
        </w:rPr>
        <w:instrText xml:space="preserve"> SEQ Figure \* ARABIC </w:instrText>
      </w:r>
      <w:r w:rsidRPr="00835728">
        <w:rPr>
          <w:sz w:val="22"/>
        </w:rPr>
        <w:fldChar w:fldCharType="separate"/>
      </w:r>
      <w:r w:rsidR="009D672A">
        <w:rPr>
          <w:noProof/>
          <w:sz w:val="22"/>
        </w:rPr>
        <w:t>6</w:t>
      </w:r>
      <w:r w:rsidRPr="00835728">
        <w:rPr>
          <w:sz w:val="22"/>
        </w:rPr>
        <w:fldChar w:fldCharType="end"/>
      </w:r>
      <w:r w:rsidRPr="00835728">
        <w:rPr>
          <w:sz w:val="22"/>
        </w:rPr>
        <w:t xml:space="preserve">: </w:t>
      </w:r>
      <w:r w:rsidRPr="00835728">
        <w:rPr>
          <w:i w:val="0"/>
          <w:sz w:val="22"/>
        </w:rPr>
        <w:t>Proposed Projects for ICF-IDB Blue Carbon Program</w:t>
      </w:r>
      <w:bookmarkEnd w:id="71"/>
      <w:r>
        <w:rPr>
          <w:sz w:val="20"/>
        </w:rPr>
        <w:t xml:space="preserve"> </w:t>
      </w:r>
    </w:p>
    <w:p w14:paraId="0B6180DF" w14:textId="7A057A35" w:rsidR="008C15AA" w:rsidRPr="00835728" w:rsidRDefault="008C15AA" w:rsidP="008C15AA">
      <w:r w:rsidRPr="00835728">
        <w:t>All figures assu</w:t>
      </w:r>
      <w:r w:rsidR="00057097">
        <w:t>me a £/$ exchange rate of 1.3</w:t>
      </w:r>
      <w:r w:rsidRPr="00835728">
        <w:t>.</w:t>
      </w:r>
    </w:p>
    <w:p w14:paraId="36999499" w14:textId="77777777" w:rsidR="008C15AA" w:rsidRPr="004C5667" w:rsidRDefault="008C15AA" w:rsidP="008C15AA">
      <w:r w:rsidRPr="004C5667">
        <w:t xml:space="preserve">The program will be centrally managed by IDB which will disburse the funds, and oversee monitoring of the projects in line with </w:t>
      </w:r>
      <w:r>
        <w:t>Defra</w:t>
      </w:r>
      <w:r w:rsidRPr="004C5667">
        <w:t xml:space="preserve"> ICF’s M&amp;E requirements. IDB policy for grant funding assumes a one-off management cost of 5% of total finance committed. In this case, this would</w:t>
      </w:r>
      <w:r>
        <w:t xml:space="preserve"> entail a one-off cost of £637,5</w:t>
      </w:r>
      <w:r w:rsidRPr="004C5667">
        <w:t>00.</w:t>
      </w:r>
    </w:p>
    <w:p w14:paraId="3CE68427" w14:textId="77777777" w:rsidR="008C15AA" w:rsidRPr="004C5667" w:rsidRDefault="008C15AA" w:rsidP="008C15AA">
      <w:pPr>
        <w:pStyle w:val="CommentText"/>
        <w:spacing w:line="276" w:lineRule="auto"/>
        <w:jc w:val="both"/>
        <w:rPr>
          <w:sz w:val="22"/>
          <w:szCs w:val="22"/>
        </w:rPr>
      </w:pPr>
      <w:r w:rsidRPr="004C5667">
        <w:rPr>
          <w:sz w:val="22"/>
          <w:szCs w:val="22"/>
        </w:rPr>
        <w:t>Target countries for the program are selected based on:</w:t>
      </w:r>
    </w:p>
    <w:p w14:paraId="7268AC73" w14:textId="77777777" w:rsidR="008C15AA" w:rsidRPr="004C5667" w:rsidRDefault="008C15AA" w:rsidP="008C15AA">
      <w:pPr>
        <w:pStyle w:val="CommentText"/>
        <w:numPr>
          <w:ilvl w:val="0"/>
          <w:numId w:val="21"/>
        </w:numPr>
        <w:spacing w:after="0" w:line="276" w:lineRule="auto"/>
        <w:jc w:val="both"/>
        <w:rPr>
          <w:sz w:val="22"/>
          <w:szCs w:val="22"/>
        </w:rPr>
      </w:pPr>
      <w:r w:rsidRPr="004C5667">
        <w:rPr>
          <w:sz w:val="22"/>
          <w:szCs w:val="22"/>
        </w:rPr>
        <w:lastRenderedPageBreak/>
        <w:t>Presence of threats to mangrove</w:t>
      </w:r>
    </w:p>
    <w:p w14:paraId="34ACA147" w14:textId="77777777" w:rsidR="008C15AA" w:rsidRPr="004C5667" w:rsidRDefault="008C15AA" w:rsidP="008C15AA">
      <w:pPr>
        <w:pStyle w:val="CommentText"/>
        <w:numPr>
          <w:ilvl w:val="0"/>
          <w:numId w:val="21"/>
        </w:numPr>
        <w:spacing w:after="0" w:line="276" w:lineRule="auto"/>
        <w:jc w:val="both"/>
        <w:rPr>
          <w:sz w:val="22"/>
          <w:szCs w:val="22"/>
        </w:rPr>
      </w:pPr>
      <w:r w:rsidRPr="004C5667">
        <w:rPr>
          <w:sz w:val="22"/>
          <w:szCs w:val="22"/>
        </w:rPr>
        <w:t>Reference to mangroves conservation/restoration as CC mitigation strategy in the country’s NDC and/or NAMAs;</w:t>
      </w:r>
    </w:p>
    <w:p w14:paraId="5DB3F10A" w14:textId="77777777" w:rsidR="008C15AA" w:rsidRPr="004C5667" w:rsidRDefault="008C15AA" w:rsidP="008C15AA">
      <w:pPr>
        <w:pStyle w:val="CommentText"/>
        <w:numPr>
          <w:ilvl w:val="0"/>
          <w:numId w:val="21"/>
        </w:numPr>
        <w:spacing w:after="0" w:line="276" w:lineRule="auto"/>
        <w:jc w:val="both"/>
        <w:rPr>
          <w:sz w:val="22"/>
          <w:szCs w:val="22"/>
        </w:rPr>
      </w:pPr>
      <w:r w:rsidRPr="004C5667">
        <w:rPr>
          <w:sz w:val="22"/>
          <w:szCs w:val="22"/>
        </w:rPr>
        <w:t>Existence of a forest monitoring system in the country capable to account for land use cover changes affecting mangroves;</w:t>
      </w:r>
    </w:p>
    <w:p w14:paraId="5B32FB13" w14:textId="77777777" w:rsidR="008C15AA" w:rsidRPr="004C5667" w:rsidRDefault="008C15AA" w:rsidP="008C15AA">
      <w:pPr>
        <w:pStyle w:val="CommentText"/>
        <w:numPr>
          <w:ilvl w:val="0"/>
          <w:numId w:val="21"/>
        </w:numPr>
        <w:spacing w:after="0" w:line="276" w:lineRule="auto"/>
        <w:jc w:val="both"/>
        <w:rPr>
          <w:sz w:val="22"/>
          <w:szCs w:val="22"/>
        </w:rPr>
      </w:pPr>
      <w:r w:rsidRPr="004C5667">
        <w:rPr>
          <w:sz w:val="22"/>
          <w:szCs w:val="22"/>
        </w:rPr>
        <w:t>Where marine resources are an important part of GDP;</w:t>
      </w:r>
    </w:p>
    <w:p w14:paraId="4DD6FE10" w14:textId="77777777" w:rsidR="008C15AA" w:rsidRPr="004C5667" w:rsidRDefault="008C15AA" w:rsidP="008C15AA">
      <w:pPr>
        <w:pStyle w:val="CommentText"/>
        <w:numPr>
          <w:ilvl w:val="0"/>
          <w:numId w:val="21"/>
        </w:numPr>
        <w:spacing w:after="0" w:line="276" w:lineRule="auto"/>
        <w:jc w:val="both"/>
        <w:rPr>
          <w:sz w:val="22"/>
          <w:szCs w:val="22"/>
        </w:rPr>
      </w:pPr>
      <w:r w:rsidRPr="004C5667">
        <w:rPr>
          <w:sz w:val="22"/>
          <w:szCs w:val="22"/>
        </w:rPr>
        <w:t>On a demand-basis, where private-sector partners evidence demand for project support;</w:t>
      </w:r>
    </w:p>
    <w:p w14:paraId="4BDD96CF" w14:textId="77777777" w:rsidR="008C15AA" w:rsidRPr="004C5667" w:rsidRDefault="008C15AA" w:rsidP="008C15AA">
      <w:pPr>
        <w:pStyle w:val="CommentText"/>
        <w:numPr>
          <w:ilvl w:val="0"/>
          <w:numId w:val="21"/>
        </w:numPr>
        <w:spacing w:after="0" w:line="276" w:lineRule="auto"/>
        <w:jc w:val="both"/>
        <w:rPr>
          <w:sz w:val="22"/>
          <w:szCs w:val="22"/>
        </w:rPr>
      </w:pPr>
      <w:r w:rsidRPr="004C5667">
        <w:rPr>
          <w:sz w:val="22"/>
          <w:szCs w:val="22"/>
        </w:rPr>
        <w:t>Where the local regulatory framework may help develop this sector;</w:t>
      </w:r>
    </w:p>
    <w:p w14:paraId="0EEF6BBA" w14:textId="77777777" w:rsidR="008C15AA" w:rsidRPr="004C5667" w:rsidRDefault="008C15AA" w:rsidP="008C15AA">
      <w:pPr>
        <w:pStyle w:val="CommentText"/>
        <w:numPr>
          <w:ilvl w:val="0"/>
          <w:numId w:val="21"/>
        </w:numPr>
        <w:spacing w:after="160" w:line="276" w:lineRule="auto"/>
        <w:jc w:val="both"/>
        <w:rPr>
          <w:sz w:val="22"/>
          <w:szCs w:val="22"/>
        </w:rPr>
      </w:pPr>
      <w:r w:rsidRPr="004C5667">
        <w:rPr>
          <w:sz w:val="22"/>
          <w:szCs w:val="22"/>
        </w:rPr>
        <w:t xml:space="preserve">Eligibility for ICF funding. </w:t>
      </w:r>
    </w:p>
    <w:p w14:paraId="26C50615" w14:textId="77777777" w:rsidR="00992FC3" w:rsidRDefault="008C15AA" w:rsidP="00992FC3">
      <w:pPr>
        <w:pStyle w:val="CommentText"/>
        <w:spacing w:line="276" w:lineRule="auto"/>
        <w:jc w:val="both"/>
        <w:rPr>
          <w:sz w:val="22"/>
          <w:szCs w:val="22"/>
        </w:rPr>
      </w:pPr>
      <w:r w:rsidRPr="004C5667">
        <w:rPr>
          <w:sz w:val="22"/>
          <w:szCs w:val="22"/>
        </w:rPr>
        <w:t>In all cases, projects will aim to serve as examples for scale, replicability and innovation.</w:t>
      </w:r>
    </w:p>
    <w:p w14:paraId="0048CCEA" w14:textId="6F87187C" w:rsidR="00444C9A" w:rsidRPr="004C5667" w:rsidRDefault="00444C9A" w:rsidP="00444C9A">
      <w:pPr>
        <w:pStyle w:val="Heading4"/>
      </w:pPr>
      <w:r w:rsidRPr="004C5667">
        <w:t>Project Monitoring and Evaluation</w:t>
      </w:r>
      <w:r>
        <w:t xml:space="preserve"> (M&amp;E)</w:t>
      </w:r>
    </w:p>
    <w:p w14:paraId="03E9D5B3" w14:textId="7F58B15D" w:rsidR="00444C9A" w:rsidRPr="004C5667" w:rsidRDefault="00444C9A" w:rsidP="00444C9A">
      <w:r w:rsidRPr="004C5667">
        <w:t>IDB have developed a theory of change for the program in collaboration with ICF officials which sets out the expected activities-outputs-outcomes-impacts of the program of work – this is detailed in Annex</w:t>
      </w:r>
      <w:r w:rsidR="003C78C8">
        <w:t xml:space="preserve"> 2. </w:t>
      </w:r>
      <w:r w:rsidRPr="004C5667">
        <w:t xml:space="preserve">This enables </w:t>
      </w:r>
      <w:r>
        <w:t>Defra</w:t>
      </w:r>
      <w:r w:rsidRPr="004C5667">
        <w:t xml:space="preserve"> and IDB to assess and consider the mechanisms, theory and assumptions through which the proposed program will deliver on its objectives, covering the strategic picture of the expected path towards a project’s intended impact. </w:t>
      </w:r>
    </w:p>
    <w:p w14:paraId="3CB7D958" w14:textId="77777777" w:rsidR="00444C9A" w:rsidRPr="004C5667" w:rsidRDefault="00444C9A" w:rsidP="00444C9A">
      <w:r>
        <w:t>An</w:t>
      </w:r>
      <w:r w:rsidRPr="004C5667">
        <w:t xml:space="preserve"> M&amp;E framework will be refined pre</w:t>
      </w:r>
      <w:r>
        <w:t xml:space="preserve"> and post-</w:t>
      </w:r>
      <w:r w:rsidRPr="004C5667">
        <w:t xml:space="preserve">implementation and in addition to the regular IDB monitoring and reporting, an </w:t>
      </w:r>
      <w:r w:rsidRPr="004C5667">
        <w:rPr>
          <w:i/>
        </w:rPr>
        <w:t>Evaluation Plan</w:t>
      </w:r>
      <w:r>
        <w:t xml:space="preserve"> will be collaboratively designed</w:t>
      </w:r>
      <w:r w:rsidRPr="004C5667">
        <w:t xml:space="preserve"> </w:t>
      </w:r>
      <w:r>
        <w:t xml:space="preserve">by </w:t>
      </w:r>
      <w:r w:rsidRPr="004C5667">
        <w:t xml:space="preserve">IDB and </w:t>
      </w:r>
      <w:r>
        <w:t>Defra</w:t>
      </w:r>
      <w:r w:rsidRPr="004C5667">
        <w:t xml:space="preserve"> during t</w:t>
      </w:r>
      <w:r>
        <w:t>he first year of implementation. This evaluation plan</w:t>
      </w:r>
      <w:r w:rsidRPr="004C5667">
        <w:t xml:space="preserve"> </w:t>
      </w:r>
      <w:r>
        <w:t xml:space="preserve">will include a schedule for independent mid and end term </w:t>
      </w:r>
      <w:r w:rsidRPr="004C5667">
        <w:t>evaluation</w:t>
      </w:r>
      <w:r>
        <w:t>s</w:t>
      </w:r>
      <w:r w:rsidRPr="004C5667">
        <w:t>. ICF is legally obliged to commission these evaluations.</w:t>
      </w:r>
    </w:p>
    <w:p w14:paraId="7419D859" w14:textId="77777777" w:rsidR="00444C9A" w:rsidRPr="004C5667" w:rsidRDefault="00444C9A" w:rsidP="00444C9A">
      <w:r w:rsidRPr="004C5667">
        <w:t xml:space="preserve">IDB will monitor the use of resources and report activities and outputs of each project, and aggregate </w:t>
      </w:r>
      <w:r>
        <w:t xml:space="preserve">this </w:t>
      </w:r>
      <w:r w:rsidRPr="004C5667">
        <w:t xml:space="preserve">information to be incorporated into </w:t>
      </w:r>
      <w:r>
        <w:t xml:space="preserve">quarterly progress reports and </w:t>
      </w:r>
      <w:r w:rsidRPr="004C5667">
        <w:t xml:space="preserve">Annual Reviews to be written by </w:t>
      </w:r>
      <w:r>
        <w:t>Defra</w:t>
      </w:r>
      <w:r w:rsidRPr="004C5667">
        <w:t xml:space="preserve"> each year. Data fr</w:t>
      </w:r>
      <w:r>
        <w:t>om IDB will be provided for these Annual Reviews</w:t>
      </w:r>
      <w:r w:rsidRPr="004C5667">
        <w:t xml:space="preserve"> no later than April 30th every year. Information about the individual operations will be available to </w:t>
      </w:r>
      <w:r>
        <w:t>DEFRA</w:t>
      </w:r>
      <w:r w:rsidRPr="004C5667">
        <w:t xml:space="preserve"> as needed. </w:t>
      </w:r>
    </w:p>
    <w:p w14:paraId="1E8DBE0D" w14:textId="77777777" w:rsidR="00FC4A2D" w:rsidRPr="004C5667" w:rsidRDefault="00444C9A" w:rsidP="00444C9A">
      <w:r w:rsidRPr="004C5667">
        <w:t xml:space="preserve">IDB and </w:t>
      </w:r>
      <w:r>
        <w:t>DEFRA</w:t>
      </w:r>
      <w:r w:rsidRPr="004C5667">
        <w:t xml:space="preserve"> will design a results framework to guide monitoring and evaluation efforts. The results framework will follow and be aligned with ICF indicators. </w:t>
      </w:r>
    </w:p>
    <w:p w14:paraId="65B57EDD" w14:textId="1565B661" w:rsidR="00EF36DF" w:rsidRPr="004C5667" w:rsidRDefault="00EF36DF" w:rsidP="00EF36DF">
      <w:pPr>
        <w:spacing w:before="240"/>
        <w:jc w:val="left"/>
      </w:pPr>
      <w:r w:rsidRPr="004C5667">
        <w:t>The following table shows the Costs and Benefits for Option 1.1</w:t>
      </w:r>
    </w:p>
    <w:tbl>
      <w:tblPr>
        <w:tblStyle w:val="TableGrid"/>
        <w:tblW w:w="5000" w:type="pct"/>
        <w:tblLook w:val="04A0" w:firstRow="1" w:lastRow="0" w:firstColumn="1" w:lastColumn="0" w:noHBand="0" w:noVBand="1"/>
      </w:tblPr>
      <w:tblGrid>
        <w:gridCol w:w="4701"/>
        <w:gridCol w:w="4701"/>
      </w:tblGrid>
      <w:tr w:rsidR="00956A1A" w:rsidRPr="004C5667" w14:paraId="7734EC5C" w14:textId="77777777" w:rsidTr="00745200">
        <w:tc>
          <w:tcPr>
            <w:tcW w:w="2500" w:type="pct"/>
            <w:shd w:val="clear" w:color="auto" w:fill="BDD6EE" w:themeFill="accent1" w:themeFillTint="66"/>
          </w:tcPr>
          <w:p w14:paraId="221B3A85" w14:textId="77777777" w:rsidR="00956A1A" w:rsidRPr="004C5667" w:rsidRDefault="00956A1A" w:rsidP="00EF36DF">
            <w:pPr>
              <w:spacing w:after="0"/>
              <w:rPr>
                <w:b/>
              </w:rPr>
            </w:pPr>
            <w:r w:rsidRPr="004C5667">
              <w:rPr>
                <w:b/>
              </w:rPr>
              <w:t>Costs</w:t>
            </w:r>
          </w:p>
        </w:tc>
        <w:tc>
          <w:tcPr>
            <w:tcW w:w="2500" w:type="pct"/>
            <w:shd w:val="clear" w:color="auto" w:fill="BDD6EE" w:themeFill="accent1" w:themeFillTint="66"/>
          </w:tcPr>
          <w:p w14:paraId="09A0C1BC" w14:textId="68AD8D99" w:rsidR="00956A1A" w:rsidRPr="004C5667" w:rsidRDefault="00956A1A" w:rsidP="00EF36DF">
            <w:pPr>
              <w:spacing w:after="0"/>
              <w:rPr>
                <w:b/>
              </w:rPr>
            </w:pPr>
            <w:r w:rsidRPr="004C5667">
              <w:rPr>
                <w:b/>
              </w:rPr>
              <w:t>Present Value (20 years), 2018</w:t>
            </w:r>
            <w:r w:rsidR="00455517">
              <w:rPr>
                <w:b/>
              </w:rPr>
              <w:t xml:space="preserve"> pounds sterling</w:t>
            </w:r>
          </w:p>
        </w:tc>
      </w:tr>
      <w:tr w:rsidR="00956A1A" w:rsidRPr="004C5667" w14:paraId="5C9D1EEE" w14:textId="77777777" w:rsidTr="00745200">
        <w:tc>
          <w:tcPr>
            <w:tcW w:w="2500" w:type="pct"/>
          </w:tcPr>
          <w:p w14:paraId="445C85ED" w14:textId="77777777" w:rsidR="00956A1A" w:rsidRPr="004C5667" w:rsidRDefault="00956A1A" w:rsidP="00EF36DF">
            <w:pPr>
              <w:spacing w:after="0"/>
            </w:pPr>
            <w:r w:rsidRPr="004C5667">
              <w:t>ICF Funding costs</w:t>
            </w:r>
          </w:p>
        </w:tc>
        <w:tc>
          <w:tcPr>
            <w:tcW w:w="2500" w:type="pct"/>
          </w:tcPr>
          <w:p w14:paraId="2C8A9C5B" w14:textId="402F487B" w:rsidR="00956A1A" w:rsidRPr="004C5667" w:rsidRDefault="006A5B26" w:rsidP="00EF36DF">
            <w:pPr>
              <w:spacing w:after="0"/>
            </w:pPr>
            <w:r>
              <w:t>£1</w:t>
            </w:r>
            <w:r w:rsidR="00BD15AB">
              <w:t>1,700,000</w:t>
            </w:r>
          </w:p>
        </w:tc>
      </w:tr>
      <w:tr w:rsidR="00956A1A" w:rsidRPr="004C5667" w14:paraId="341F0D20" w14:textId="77777777" w:rsidTr="00745200">
        <w:tc>
          <w:tcPr>
            <w:tcW w:w="2500" w:type="pct"/>
          </w:tcPr>
          <w:p w14:paraId="12B8826E" w14:textId="77777777" w:rsidR="00956A1A" w:rsidRPr="004C5667" w:rsidRDefault="00956A1A" w:rsidP="00EF36DF">
            <w:pPr>
              <w:spacing w:after="0"/>
            </w:pPr>
            <w:r w:rsidRPr="004C5667">
              <w:t>Fund Management costs</w:t>
            </w:r>
          </w:p>
        </w:tc>
        <w:tc>
          <w:tcPr>
            <w:tcW w:w="2500" w:type="pct"/>
          </w:tcPr>
          <w:p w14:paraId="4B707400" w14:textId="3DB0D532" w:rsidR="00956A1A" w:rsidRPr="004C5667" w:rsidRDefault="0019373C" w:rsidP="00EF36DF">
            <w:pPr>
              <w:spacing w:after="0"/>
            </w:pPr>
            <w:r>
              <w:t>£637,5</w:t>
            </w:r>
            <w:r w:rsidR="00956A1A" w:rsidRPr="004C5667">
              <w:t>00</w:t>
            </w:r>
          </w:p>
        </w:tc>
      </w:tr>
      <w:tr w:rsidR="00BD15AB" w:rsidRPr="004C5667" w14:paraId="2E96D4C1" w14:textId="77777777" w:rsidTr="00745200">
        <w:tc>
          <w:tcPr>
            <w:tcW w:w="2500" w:type="pct"/>
          </w:tcPr>
          <w:p w14:paraId="470001D8" w14:textId="3DB9F4B9" w:rsidR="00BD15AB" w:rsidRPr="004C5667" w:rsidRDefault="00BD15AB" w:rsidP="00EF36DF">
            <w:pPr>
              <w:spacing w:after="0"/>
            </w:pPr>
            <w:r>
              <w:t>Monitoring and Evaluation costs</w:t>
            </w:r>
          </w:p>
        </w:tc>
        <w:tc>
          <w:tcPr>
            <w:tcW w:w="2500" w:type="pct"/>
          </w:tcPr>
          <w:p w14:paraId="66538EB6" w14:textId="681E54E6" w:rsidR="00BD15AB" w:rsidRDefault="00BD15AB" w:rsidP="00EF36DF">
            <w:pPr>
              <w:spacing w:after="0"/>
            </w:pPr>
            <w:r>
              <w:t>£334,100</w:t>
            </w:r>
          </w:p>
        </w:tc>
      </w:tr>
      <w:tr w:rsidR="00956A1A" w:rsidRPr="004C5667" w14:paraId="7E1D1229" w14:textId="77777777" w:rsidTr="00745200">
        <w:tc>
          <w:tcPr>
            <w:tcW w:w="2500" w:type="pct"/>
          </w:tcPr>
          <w:p w14:paraId="26475866" w14:textId="77777777" w:rsidR="00956A1A" w:rsidRPr="004C5667" w:rsidRDefault="00956A1A" w:rsidP="00EF36DF">
            <w:pPr>
              <w:spacing w:after="0"/>
            </w:pPr>
            <w:r w:rsidRPr="004C5667">
              <w:t>Finance leveraged</w:t>
            </w:r>
          </w:p>
        </w:tc>
        <w:tc>
          <w:tcPr>
            <w:tcW w:w="2500" w:type="pct"/>
          </w:tcPr>
          <w:p w14:paraId="1A16F761" w14:textId="1C67B988" w:rsidR="00956A1A" w:rsidRPr="004C5667" w:rsidRDefault="0019373C" w:rsidP="00EF36DF">
            <w:pPr>
              <w:spacing w:after="0"/>
            </w:pPr>
            <w:r>
              <w:t>£</w:t>
            </w:r>
            <w:r w:rsidR="00BD15AB">
              <w:t>4,926</w:t>
            </w:r>
            <w:r>
              <w:t>,</w:t>
            </w:r>
            <w:r w:rsidR="00BD15AB">
              <w:t>6</w:t>
            </w:r>
            <w:r>
              <w:t>0</w:t>
            </w:r>
            <w:r w:rsidR="00956A1A" w:rsidRPr="004C5667">
              <w:t>0</w:t>
            </w:r>
          </w:p>
        </w:tc>
      </w:tr>
      <w:tr w:rsidR="00956A1A" w:rsidRPr="004C5667" w14:paraId="3A57819F" w14:textId="77777777" w:rsidTr="00745200">
        <w:tc>
          <w:tcPr>
            <w:tcW w:w="2500" w:type="pct"/>
          </w:tcPr>
          <w:p w14:paraId="3C4EAB80" w14:textId="77777777" w:rsidR="00956A1A" w:rsidRPr="004C5667" w:rsidRDefault="00956A1A" w:rsidP="00EF36DF">
            <w:pPr>
              <w:spacing w:after="0"/>
            </w:pPr>
            <w:r w:rsidRPr="004C5667">
              <w:t>ICF staff costs</w:t>
            </w:r>
          </w:p>
        </w:tc>
        <w:tc>
          <w:tcPr>
            <w:tcW w:w="2500" w:type="pct"/>
          </w:tcPr>
          <w:p w14:paraId="31162A0A" w14:textId="2447646D" w:rsidR="00956A1A" w:rsidRPr="004C5667" w:rsidRDefault="00D23DE7">
            <w:pPr>
              <w:spacing w:after="0"/>
            </w:pPr>
            <w:r>
              <w:t>£</w:t>
            </w:r>
            <w:r w:rsidR="0019373C">
              <w:t>576</w:t>
            </w:r>
            <w:r w:rsidR="006A5B26">
              <w:t>,2</w:t>
            </w:r>
            <w:r w:rsidR="001E6C14">
              <w:t>00</w:t>
            </w:r>
          </w:p>
        </w:tc>
      </w:tr>
      <w:tr w:rsidR="00956A1A" w:rsidRPr="004C5667" w14:paraId="4A3CB702" w14:textId="77777777" w:rsidTr="00745200">
        <w:tc>
          <w:tcPr>
            <w:tcW w:w="2500" w:type="pct"/>
          </w:tcPr>
          <w:p w14:paraId="4A148F3F" w14:textId="77777777" w:rsidR="00956A1A" w:rsidRPr="004C5667" w:rsidRDefault="00956A1A" w:rsidP="00EF36DF">
            <w:pPr>
              <w:spacing w:after="0"/>
            </w:pPr>
            <w:r w:rsidRPr="004C5667">
              <w:t xml:space="preserve">Opportunity cost of foregone investments by private funders </w:t>
            </w:r>
          </w:p>
        </w:tc>
        <w:tc>
          <w:tcPr>
            <w:tcW w:w="2500" w:type="pct"/>
          </w:tcPr>
          <w:p w14:paraId="11C83F9A" w14:textId="4866A6CE" w:rsidR="00956A1A" w:rsidRPr="004C5667" w:rsidRDefault="0019373C" w:rsidP="00EF36DF">
            <w:pPr>
              <w:spacing w:after="0"/>
            </w:pPr>
            <w:r>
              <w:t>£</w:t>
            </w:r>
            <w:r w:rsidR="00BD15AB">
              <w:t>751,</w:t>
            </w:r>
            <w:r w:rsidDel="00BD15AB">
              <w:t>4</w:t>
            </w:r>
            <w:r w:rsidR="00D23DE7" w:rsidDel="00BD15AB">
              <w:t>00</w:t>
            </w:r>
          </w:p>
        </w:tc>
      </w:tr>
      <w:tr w:rsidR="00956A1A" w:rsidRPr="004C5667" w14:paraId="5F9991C6" w14:textId="77777777" w:rsidTr="00745200">
        <w:tc>
          <w:tcPr>
            <w:tcW w:w="2500" w:type="pct"/>
          </w:tcPr>
          <w:p w14:paraId="1645AD2F" w14:textId="77777777" w:rsidR="00956A1A" w:rsidRPr="004C5667" w:rsidRDefault="00956A1A" w:rsidP="00EF36DF">
            <w:pPr>
              <w:spacing w:after="0"/>
              <w:rPr>
                <w:b/>
              </w:rPr>
            </w:pPr>
            <w:r w:rsidRPr="004C5667">
              <w:rPr>
                <w:b/>
              </w:rPr>
              <w:t>Present Value Total Costs</w:t>
            </w:r>
          </w:p>
        </w:tc>
        <w:tc>
          <w:tcPr>
            <w:tcW w:w="2500" w:type="pct"/>
          </w:tcPr>
          <w:p w14:paraId="0A11954E" w14:textId="0E838D34" w:rsidR="00956A1A" w:rsidRPr="004C5667" w:rsidRDefault="00956A1A">
            <w:pPr>
              <w:spacing w:after="0"/>
              <w:rPr>
                <w:b/>
              </w:rPr>
            </w:pPr>
            <w:r w:rsidRPr="004C5667">
              <w:rPr>
                <w:b/>
              </w:rPr>
              <w:t>£</w:t>
            </w:r>
            <w:r w:rsidR="00BD15AB">
              <w:rPr>
                <w:b/>
              </w:rPr>
              <w:t>18,955,900</w:t>
            </w:r>
          </w:p>
        </w:tc>
      </w:tr>
      <w:tr w:rsidR="00956A1A" w:rsidRPr="004C5667" w14:paraId="15F186BE" w14:textId="77777777" w:rsidTr="00745200">
        <w:tc>
          <w:tcPr>
            <w:tcW w:w="2500" w:type="pct"/>
          </w:tcPr>
          <w:p w14:paraId="217A3ADD" w14:textId="77777777" w:rsidR="00956A1A" w:rsidRPr="004C5667" w:rsidRDefault="00956A1A" w:rsidP="00EF36DF">
            <w:pPr>
              <w:spacing w:after="0"/>
            </w:pPr>
          </w:p>
        </w:tc>
        <w:tc>
          <w:tcPr>
            <w:tcW w:w="2500" w:type="pct"/>
          </w:tcPr>
          <w:p w14:paraId="6930F345" w14:textId="77777777" w:rsidR="00956A1A" w:rsidRPr="004C5667" w:rsidRDefault="00956A1A" w:rsidP="00EF36DF">
            <w:pPr>
              <w:spacing w:after="0"/>
            </w:pPr>
          </w:p>
        </w:tc>
      </w:tr>
      <w:tr w:rsidR="00956A1A" w:rsidRPr="004C5667" w14:paraId="2ACFDB5B" w14:textId="77777777" w:rsidTr="00745200">
        <w:tc>
          <w:tcPr>
            <w:tcW w:w="2500" w:type="pct"/>
          </w:tcPr>
          <w:p w14:paraId="6DCAF758" w14:textId="77777777" w:rsidR="00956A1A" w:rsidRPr="004C5667" w:rsidRDefault="00956A1A" w:rsidP="00EF36DF">
            <w:pPr>
              <w:spacing w:after="0"/>
              <w:rPr>
                <w:b/>
              </w:rPr>
            </w:pPr>
            <w:r w:rsidRPr="004C5667">
              <w:rPr>
                <w:b/>
              </w:rPr>
              <w:t>Benefits</w:t>
            </w:r>
          </w:p>
        </w:tc>
        <w:tc>
          <w:tcPr>
            <w:tcW w:w="2500" w:type="pct"/>
          </w:tcPr>
          <w:p w14:paraId="1E7FE062" w14:textId="77777777" w:rsidR="00956A1A" w:rsidRPr="004C5667" w:rsidRDefault="00956A1A" w:rsidP="00EF36DF">
            <w:pPr>
              <w:spacing w:after="0"/>
            </w:pPr>
          </w:p>
        </w:tc>
      </w:tr>
      <w:tr w:rsidR="00956A1A" w:rsidRPr="004C5667" w14:paraId="62B52CB0" w14:textId="77777777" w:rsidTr="00745200">
        <w:tc>
          <w:tcPr>
            <w:tcW w:w="2500" w:type="pct"/>
          </w:tcPr>
          <w:p w14:paraId="031EFE0A" w14:textId="77777777" w:rsidR="00956A1A" w:rsidRPr="004C5667" w:rsidRDefault="00956A1A" w:rsidP="00EF36DF">
            <w:pPr>
              <w:spacing w:after="0"/>
            </w:pPr>
            <w:r w:rsidRPr="004C5667">
              <w:t>Carbon savings</w:t>
            </w:r>
          </w:p>
        </w:tc>
        <w:tc>
          <w:tcPr>
            <w:tcW w:w="2500" w:type="pct"/>
          </w:tcPr>
          <w:p w14:paraId="57048027" w14:textId="60A8BEB4" w:rsidR="00956A1A" w:rsidRPr="004C5667" w:rsidRDefault="00D23DE7" w:rsidP="00873175">
            <w:pPr>
              <w:spacing w:after="0"/>
            </w:pPr>
            <w:r>
              <w:t>£</w:t>
            </w:r>
            <w:r w:rsidR="00873175">
              <w:t>169,771,700</w:t>
            </w:r>
          </w:p>
        </w:tc>
      </w:tr>
      <w:tr w:rsidR="00956A1A" w:rsidRPr="004C5667" w14:paraId="76B583AC" w14:textId="77777777" w:rsidTr="00745200">
        <w:tc>
          <w:tcPr>
            <w:tcW w:w="2500" w:type="pct"/>
          </w:tcPr>
          <w:p w14:paraId="5B804895" w14:textId="77777777" w:rsidR="00956A1A" w:rsidRPr="004C5667" w:rsidRDefault="00956A1A" w:rsidP="00EF36DF">
            <w:pPr>
              <w:spacing w:after="0"/>
            </w:pPr>
            <w:r w:rsidRPr="004C5667">
              <w:t>Ecosystem service benefits</w:t>
            </w:r>
          </w:p>
        </w:tc>
        <w:tc>
          <w:tcPr>
            <w:tcW w:w="2500" w:type="pct"/>
          </w:tcPr>
          <w:p w14:paraId="636D6481" w14:textId="6919A80E" w:rsidR="00956A1A" w:rsidRPr="004C5667" w:rsidRDefault="006A5B26">
            <w:pPr>
              <w:spacing w:after="0"/>
            </w:pPr>
            <w:r>
              <w:t>£</w:t>
            </w:r>
            <w:r w:rsidR="00057097">
              <w:t>48,044,700</w:t>
            </w:r>
          </w:p>
        </w:tc>
      </w:tr>
      <w:tr w:rsidR="00956A1A" w:rsidRPr="004C5667" w14:paraId="4B145B9F" w14:textId="77777777" w:rsidTr="00745200">
        <w:tc>
          <w:tcPr>
            <w:tcW w:w="2500" w:type="pct"/>
          </w:tcPr>
          <w:p w14:paraId="2C896362" w14:textId="77777777" w:rsidR="00956A1A" w:rsidRPr="004C5667" w:rsidRDefault="00956A1A" w:rsidP="00EF36DF">
            <w:pPr>
              <w:spacing w:after="0"/>
              <w:rPr>
                <w:b/>
              </w:rPr>
            </w:pPr>
            <w:r w:rsidRPr="004C5667">
              <w:rPr>
                <w:b/>
              </w:rPr>
              <w:lastRenderedPageBreak/>
              <w:t>Present Value Total Benefits</w:t>
            </w:r>
          </w:p>
        </w:tc>
        <w:tc>
          <w:tcPr>
            <w:tcW w:w="2500" w:type="pct"/>
          </w:tcPr>
          <w:p w14:paraId="2DB670DB" w14:textId="38F366C6" w:rsidR="00956A1A" w:rsidRPr="004C5667" w:rsidRDefault="00D23DE7" w:rsidP="00873175">
            <w:pPr>
              <w:spacing w:after="0"/>
              <w:rPr>
                <w:b/>
              </w:rPr>
            </w:pPr>
            <w:r>
              <w:rPr>
                <w:b/>
              </w:rPr>
              <w:t>£</w:t>
            </w:r>
            <w:r w:rsidR="00873175">
              <w:rPr>
                <w:b/>
              </w:rPr>
              <w:t>217,816,400</w:t>
            </w:r>
          </w:p>
        </w:tc>
      </w:tr>
      <w:tr w:rsidR="00956A1A" w:rsidRPr="004C5667" w14:paraId="5BF1A533" w14:textId="77777777" w:rsidTr="00745200">
        <w:tc>
          <w:tcPr>
            <w:tcW w:w="2500" w:type="pct"/>
          </w:tcPr>
          <w:p w14:paraId="670BC956" w14:textId="77777777" w:rsidR="00956A1A" w:rsidRPr="004C5667" w:rsidRDefault="00956A1A" w:rsidP="00EF36DF">
            <w:pPr>
              <w:spacing w:after="0"/>
              <w:rPr>
                <w:b/>
              </w:rPr>
            </w:pPr>
            <w:r w:rsidRPr="004C5667">
              <w:rPr>
                <w:b/>
              </w:rPr>
              <w:t>NPV</w:t>
            </w:r>
          </w:p>
        </w:tc>
        <w:tc>
          <w:tcPr>
            <w:tcW w:w="2500" w:type="pct"/>
          </w:tcPr>
          <w:p w14:paraId="4A37DBA2" w14:textId="13262424" w:rsidR="00956A1A" w:rsidRPr="004C5667" w:rsidRDefault="00956A1A" w:rsidP="00873175">
            <w:pPr>
              <w:spacing w:after="0"/>
              <w:rPr>
                <w:b/>
              </w:rPr>
            </w:pPr>
            <w:r w:rsidRPr="004C5667">
              <w:rPr>
                <w:b/>
              </w:rPr>
              <w:t>£</w:t>
            </w:r>
            <w:r w:rsidR="00873175">
              <w:rPr>
                <w:b/>
              </w:rPr>
              <w:t>198,860,500</w:t>
            </w:r>
          </w:p>
        </w:tc>
      </w:tr>
      <w:tr w:rsidR="00956A1A" w:rsidRPr="004C5667" w14:paraId="404F15AC" w14:textId="77777777" w:rsidTr="00745200">
        <w:tc>
          <w:tcPr>
            <w:tcW w:w="2500" w:type="pct"/>
          </w:tcPr>
          <w:p w14:paraId="605B7D14" w14:textId="77777777" w:rsidR="00956A1A" w:rsidRPr="004C5667" w:rsidRDefault="00956A1A" w:rsidP="00EF36DF">
            <w:pPr>
              <w:spacing w:after="0"/>
              <w:rPr>
                <w:b/>
              </w:rPr>
            </w:pPr>
            <w:r w:rsidRPr="004C5667">
              <w:rPr>
                <w:b/>
              </w:rPr>
              <w:t>BCR</w:t>
            </w:r>
          </w:p>
        </w:tc>
        <w:tc>
          <w:tcPr>
            <w:tcW w:w="2500" w:type="pct"/>
          </w:tcPr>
          <w:p w14:paraId="30DA4328" w14:textId="6A6D9F57" w:rsidR="00956A1A" w:rsidRPr="004C5667" w:rsidRDefault="00873175" w:rsidP="009070C2">
            <w:pPr>
              <w:keepNext/>
              <w:spacing w:after="0"/>
              <w:rPr>
                <w:b/>
              </w:rPr>
            </w:pPr>
            <w:r>
              <w:rPr>
                <w:b/>
              </w:rPr>
              <w:t>11.5</w:t>
            </w:r>
          </w:p>
        </w:tc>
      </w:tr>
    </w:tbl>
    <w:p w14:paraId="34FF2D8B" w14:textId="2CBA40D5" w:rsidR="00956A1A" w:rsidRPr="00835728" w:rsidRDefault="009070C2" w:rsidP="009070C2">
      <w:pPr>
        <w:pStyle w:val="Caption"/>
        <w:spacing w:before="240"/>
        <w:jc w:val="center"/>
        <w:rPr>
          <w:sz w:val="22"/>
        </w:rPr>
      </w:pPr>
      <w:bookmarkStart w:id="72" w:name="_Toc523990661"/>
      <w:r w:rsidRPr="00835728">
        <w:rPr>
          <w:sz w:val="22"/>
        </w:rPr>
        <w:t xml:space="preserve">Figure </w:t>
      </w:r>
      <w:r w:rsidRPr="00835728">
        <w:rPr>
          <w:sz w:val="22"/>
        </w:rPr>
        <w:fldChar w:fldCharType="begin"/>
      </w:r>
      <w:r w:rsidRPr="00835728">
        <w:rPr>
          <w:sz w:val="22"/>
        </w:rPr>
        <w:instrText xml:space="preserve"> SEQ Figure \* ARABIC </w:instrText>
      </w:r>
      <w:r w:rsidRPr="00835728">
        <w:rPr>
          <w:sz w:val="22"/>
        </w:rPr>
        <w:fldChar w:fldCharType="separate"/>
      </w:r>
      <w:r w:rsidR="009D672A">
        <w:rPr>
          <w:noProof/>
          <w:sz w:val="22"/>
        </w:rPr>
        <w:t>7</w:t>
      </w:r>
      <w:r w:rsidRPr="00835728">
        <w:rPr>
          <w:sz w:val="22"/>
        </w:rPr>
        <w:fldChar w:fldCharType="end"/>
      </w:r>
      <w:r w:rsidRPr="00835728">
        <w:rPr>
          <w:sz w:val="22"/>
        </w:rPr>
        <w:t xml:space="preserve">: </w:t>
      </w:r>
      <w:r w:rsidRPr="00835728">
        <w:rPr>
          <w:i w:val="0"/>
          <w:sz w:val="22"/>
        </w:rPr>
        <w:t>Cost and Benefit Summary for ICF-IDB Mangroves Program</w:t>
      </w:r>
      <w:r w:rsidR="00835728">
        <w:rPr>
          <w:i w:val="0"/>
          <w:sz w:val="22"/>
        </w:rPr>
        <w:t>me</w:t>
      </w:r>
      <w:bookmarkEnd w:id="72"/>
      <w:r w:rsidR="00735069">
        <w:rPr>
          <w:i w:val="0"/>
          <w:sz w:val="22"/>
        </w:rPr>
        <w:t>. All figures to nearest £100.</w:t>
      </w:r>
      <w:r w:rsidRPr="00835728">
        <w:rPr>
          <w:i w:val="0"/>
          <w:sz w:val="20"/>
        </w:rPr>
        <w:t xml:space="preserve"> </w:t>
      </w:r>
    </w:p>
    <w:p w14:paraId="3C8300F7" w14:textId="77777777" w:rsidR="00956A1A" w:rsidRPr="004C5667" w:rsidRDefault="00956A1A" w:rsidP="00EF36DF">
      <w:pPr>
        <w:pStyle w:val="Heading4"/>
      </w:pPr>
      <w:r w:rsidRPr="004C5667">
        <w:t>Approach</w:t>
      </w:r>
    </w:p>
    <w:p w14:paraId="08C8EAE9" w14:textId="6AB582EB" w:rsidR="00956A1A" w:rsidRPr="004C5667" w:rsidRDefault="00956A1A" w:rsidP="00EF36DF">
      <w:r w:rsidRPr="004C5667">
        <w:t xml:space="preserve">Three of the eight projects in </w:t>
      </w:r>
      <w:r w:rsidR="003C78C8">
        <w:t>Figure 7</w:t>
      </w:r>
      <w:r w:rsidRPr="004C5667">
        <w:rPr>
          <w:rStyle w:val="FootnoteReference"/>
        </w:rPr>
        <w:footnoteReference w:id="27"/>
      </w:r>
      <w:r w:rsidRPr="004C5667">
        <w:t xml:space="preserve"> were chosen as a basis for the appraisal, based on the robustness of the data on projected costs and benefits provided by IDB for these projects across a range of indicators including a) carbon savings, b) area of mangrove protected or restored, and c) levels of public and/or private finance leveraged. Costs and benefits for the program as a whole were extrapolated from analysis of these </w:t>
      </w:r>
      <w:r w:rsidR="00D04783">
        <w:t xml:space="preserve">three </w:t>
      </w:r>
      <w:r w:rsidRPr="004C5667">
        <w:t>projects.</w:t>
      </w:r>
    </w:p>
    <w:p w14:paraId="1EE8A4B1" w14:textId="77777777" w:rsidR="00956A1A" w:rsidRPr="004C5667" w:rsidRDefault="00956A1A" w:rsidP="00EF36DF">
      <w:r w:rsidRPr="004C5667">
        <w:t xml:space="preserve">Data for projects where estimated benefits were adjudged to be optimistic were not used in assessing the costs and benefits of the program, to ensure that analysis of potential costs and benefits of the program were realistic and robust. </w:t>
      </w:r>
    </w:p>
    <w:p w14:paraId="5E02EF0B" w14:textId="77777777" w:rsidR="00956A1A" w:rsidRPr="004C5667" w:rsidRDefault="00956A1A" w:rsidP="00EF36DF">
      <w:r w:rsidRPr="004C5667">
        <w:t>For example, the carbon savings estimates for three proposed projects</w:t>
      </w:r>
      <w:r w:rsidRPr="004C5667">
        <w:rPr>
          <w:rStyle w:val="FootnoteReference"/>
        </w:rPr>
        <w:footnoteReference w:id="28"/>
      </w:r>
      <w:r w:rsidRPr="004C5667">
        <w:t xml:space="preserve"> were calculated by multiplying the area of mangroves in an indicative area in which the project would be operating by the estimated level of carbon stocks held per hectare in this area. Attributing this entire carbon stock to a single small-scale development project was not considered appropriate.</w:t>
      </w:r>
    </w:p>
    <w:p w14:paraId="3199638C" w14:textId="3A1718AA" w:rsidR="00956A1A" w:rsidRPr="004C5667" w:rsidRDefault="00D23DE7" w:rsidP="00EF36DF">
      <w:r>
        <w:t xml:space="preserve">Program operation </w:t>
      </w:r>
      <w:r w:rsidR="00C07504">
        <w:t>is assumed to be</w:t>
      </w:r>
      <w:r>
        <w:t xml:space="preserve"> over a timeline of</w:t>
      </w:r>
      <w:r w:rsidR="0061429E">
        <w:t xml:space="preserve"> 6</w:t>
      </w:r>
      <w:r w:rsidR="00956A1A" w:rsidRPr="004C5667">
        <w:t xml:space="preserve"> years in the analysis. An additional year has been added to the estimate of program life provided by IDB to account for the possibility of delay in program delivery.</w:t>
      </w:r>
    </w:p>
    <w:p w14:paraId="648CB093" w14:textId="77777777" w:rsidR="00956A1A" w:rsidRPr="004C5667" w:rsidRDefault="00956A1A" w:rsidP="00EF36DF">
      <w:pPr>
        <w:pStyle w:val="Heading5"/>
      </w:pPr>
      <w:r w:rsidRPr="004C5667">
        <w:t>Costs</w:t>
      </w:r>
    </w:p>
    <w:p w14:paraId="045ED285" w14:textId="77777777" w:rsidR="00956A1A" w:rsidRPr="004C5667" w:rsidRDefault="00956A1A" w:rsidP="00EF36DF">
      <w:r w:rsidRPr="004C5667">
        <w:t>The costs that were within scope to monetise as part of this analysis are:</w:t>
      </w:r>
    </w:p>
    <w:p w14:paraId="44BEE6FF" w14:textId="2FF2EF34" w:rsidR="00956A1A" w:rsidRPr="004C5667" w:rsidRDefault="00956A1A">
      <w:pPr>
        <w:pStyle w:val="ListParagraph"/>
        <w:numPr>
          <w:ilvl w:val="0"/>
          <w:numId w:val="14"/>
        </w:numPr>
        <w:spacing w:after="160"/>
      </w:pPr>
      <w:r w:rsidRPr="004C5667">
        <w:rPr>
          <w:b/>
        </w:rPr>
        <w:t xml:space="preserve">ICF staff costs: </w:t>
      </w:r>
      <w:r w:rsidR="003E271E" w:rsidRPr="004C5667">
        <w:t xml:space="preserve">FTE capacity </w:t>
      </w:r>
      <w:r w:rsidR="003E271E">
        <w:t>of different posts is as follows: EO (0.05); HEO (0.7); G7 (0.1); G6 (0.1); SCS (0.05).</w:t>
      </w:r>
      <w:r w:rsidR="003E271E" w:rsidRPr="004C5667">
        <w:t xml:space="preserve"> </w:t>
      </w:r>
      <w:r w:rsidR="003E271E">
        <w:t xml:space="preserve">This is drawn from information provided in the Financial </w:t>
      </w:r>
      <w:r w:rsidR="00931D23">
        <w:t>C</w:t>
      </w:r>
      <w:r w:rsidR="0061429E">
        <w:t>ase</w:t>
      </w:r>
      <w:r w:rsidR="003E271E">
        <w:t xml:space="preserve">. </w:t>
      </w:r>
      <w:r w:rsidRPr="004C5667">
        <w:t xml:space="preserve">The costs associated with this capacity have been provided by </w:t>
      </w:r>
      <w:r w:rsidR="00BF15A0">
        <w:t>Defra</w:t>
      </w:r>
      <w:r w:rsidRPr="004C5667">
        <w:t xml:space="preserve"> Finance.</w:t>
      </w:r>
    </w:p>
    <w:p w14:paraId="6AB0A4B1" w14:textId="622A77A8" w:rsidR="00956A1A" w:rsidRDefault="00956A1A" w:rsidP="00F93F6C">
      <w:pPr>
        <w:pStyle w:val="ListParagraph"/>
        <w:numPr>
          <w:ilvl w:val="0"/>
          <w:numId w:val="14"/>
        </w:numPr>
        <w:spacing w:after="160"/>
      </w:pPr>
      <w:r w:rsidRPr="004C5667">
        <w:rPr>
          <w:b/>
        </w:rPr>
        <w:t>ICF funding costs</w:t>
      </w:r>
      <w:r w:rsidR="001A3397">
        <w:t>: The £12.75</w:t>
      </w:r>
      <w:r w:rsidRPr="004C5667">
        <w:t>m of ICF funding provided to the program, assumed to be faced at the start of year 1.</w:t>
      </w:r>
    </w:p>
    <w:p w14:paraId="6C2042E6" w14:textId="6F01A36F" w:rsidR="00FC4A2D" w:rsidRPr="004C5667" w:rsidRDefault="00FC4A2D" w:rsidP="00F93F6C">
      <w:pPr>
        <w:pStyle w:val="ListParagraph"/>
        <w:numPr>
          <w:ilvl w:val="0"/>
          <w:numId w:val="14"/>
        </w:numPr>
        <w:spacing w:after="160"/>
      </w:pPr>
      <w:r>
        <w:rPr>
          <w:b/>
        </w:rPr>
        <w:t xml:space="preserve">Monitoring and evaluation costs: </w:t>
      </w:r>
      <w:r>
        <w:t>Assumed to be 3% of total program costs, and spread across the 7 years of program lifetime.</w:t>
      </w:r>
    </w:p>
    <w:p w14:paraId="15AB1543" w14:textId="4775C0FA" w:rsidR="00956A1A" w:rsidRPr="004C5667" w:rsidRDefault="00956A1A" w:rsidP="00F93F6C">
      <w:pPr>
        <w:pStyle w:val="ListParagraph"/>
        <w:numPr>
          <w:ilvl w:val="0"/>
          <w:numId w:val="14"/>
        </w:numPr>
        <w:spacing w:after="160"/>
      </w:pPr>
      <w:r w:rsidRPr="004C5667">
        <w:rPr>
          <w:b/>
        </w:rPr>
        <w:t xml:space="preserve">Finance leveraged through ICF funding: </w:t>
      </w:r>
      <w:r w:rsidRPr="004C5667">
        <w:t>Based on the median value of leveraged</w:t>
      </w:r>
      <w:r w:rsidR="00B31918">
        <w:t xml:space="preserve"> finance from IDB data for the 3</w:t>
      </w:r>
      <w:r w:rsidRPr="004C5667">
        <w:t xml:space="preserve"> pipeline projects appraised, finance is expected to be leveraged into funded projects at a rate of 1:0.42. These costs are assumed to be faced at the start of year 1. </w:t>
      </w:r>
    </w:p>
    <w:p w14:paraId="5F5B6196" w14:textId="57903CC8" w:rsidR="00956A1A" w:rsidRPr="004C5667" w:rsidRDefault="00956A1A" w:rsidP="00F93F6C">
      <w:pPr>
        <w:pStyle w:val="ListParagraph"/>
        <w:numPr>
          <w:ilvl w:val="0"/>
          <w:numId w:val="14"/>
        </w:numPr>
        <w:spacing w:after="160"/>
      </w:pPr>
      <w:r w:rsidRPr="004C5667">
        <w:rPr>
          <w:b/>
        </w:rPr>
        <w:t xml:space="preserve">The opportunity cost of foregone investments for private finance leveraged through ICF funding: </w:t>
      </w:r>
      <w:r w:rsidRPr="004C5667">
        <w:t xml:space="preserve">It is </w:t>
      </w:r>
      <w:r w:rsidR="00455517">
        <w:t>important</w:t>
      </w:r>
      <w:r w:rsidRPr="004C5667">
        <w:t xml:space="preserve"> to </w:t>
      </w:r>
      <w:r w:rsidR="00455517">
        <w:t xml:space="preserve">account for </w:t>
      </w:r>
      <w:r w:rsidRPr="004C5667">
        <w:t xml:space="preserve">the returns </w:t>
      </w:r>
      <w:r w:rsidR="00455517">
        <w:t>the private sector</w:t>
      </w:r>
      <w:r w:rsidRPr="004C5667">
        <w:t xml:space="preserve"> would have </w:t>
      </w:r>
      <w:r w:rsidR="00455517">
        <w:t>made</w:t>
      </w:r>
      <w:r w:rsidRPr="004C5667">
        <w:t xml:space="preserve"> had the money been </w:t>
      </w:r>
      <w:r w:rsidRPr="004C5667">
        <w:lastRenderedPageBreak/>
        <w:t xml:space="preserve">utilised for a different investment throughout the five-year lifespan of the program. This level of forgone return has been set at </w:t>
      </w:r>
      <w:r w:rsidR="00BD15AB">
        <w:t>3.5</w:t>
      </w:r>
      <w:r w:rsidRPr="004C5667">
        <w:t>% annually</w:t>
      </w:r>
      <w:r w:rsidR="00BD15AB">
        <w:t xml:space="preserve">, as per </w:t>
      </w:r>
      <w:proofErr w:type="spellStart"/>
      <w:r w:rsidR="00BD15AB">
        <w:t>DfID</w:t>
      </w:r>
      <w:proofErr w:type="spellEnd"/>
      <w:r w:rsidR="00BD15AB">
        <w:t xml:space="preserve"> guidance</w:t>
      </w:r>
      <w:r w:rsidRPr="004C5667">
        <w:t>.</w:t>
      </w:r>
    </w:p>
    <w:p w14:paraId="4FBBA4D0" w14:textId="6B8DA339" w:rsidR="00956A1A" w:rsidRPr="004C5667" w:rsidRDefault="00956A1A" w:rsidP="00EF36DF">
      <w:r w:rsidRPr="004C5667">
        <w:t>Following advice from colleagues across HMG, it is assumed that there is no opportunity cost associated with public funding, whether provided by ICF</w:t>
      </w:r>
      <w:r w:rsidR="00691890">
        <w:t xml:space="preserve"> or</w:t>
      </w:r>
      <w:r w:rsidRPr="004C5667">
        <w:t xml:space="preserve"> other donors.</w:t>
      </w:r>
    </w:p>
    <w:p w14:paraId="6CAE99EC" w14:textId="77777777" w:rsidR="00956A1A" w:rsidRPr="004C5667" w:rsidRDefault="00956A1A" w:rsidP="00EF36DF">
      <w:pPr>
        <w:pStyle w:val="Heading5"/>
      </w:pPr>
      <w:r w:rsidRPr="004C5667">
        <w:t>Benefits</w:t>
      </w:r>
    </w:p>
    <w:p w14:paraId="0153F530" w14:textId="02FBF9CF" w:rsidR="00956A1A" w:rsidRPr="004C5667" w:rsidRDefault="00956A1A" w:rsidP="0061429E">
      <w:pPr>
        <w:pStyle w:val="ListParagraph"/>
        <w:numPr>
          <w:ilvl w:val="0"/>
          <w:numId w:val="14"/>
        </w:numPr>
        <w:spacing w:after="160"/>
      </w:pPr>
      <w:r w:rsidRPr="0061429E">
        <w:rPr>
          <w:b/>
        </w:rPr>
        <w:t xml:space="preserve">GHG emissions: </w:t>
      </w:r>
      <w:r w:rsidRPr="004C5667">
        <w:t>An indicative estimate for the tonnes of carbon sequestered or emissions avoided has been estimated based on the estimates of mangrove area protected or restored from the three projects appraised. This has been extrapolated across the total funding provided under this investment</w:t>
      </w:r>
      <w:r w:rsidR="006A5B26">
        <w:t xml:space="preserve"> to reach an estimation of </w:t>
      </w:r>
      <w:r w:rsidR="00057097">
        <w:t>557</w:t>
      </w:r>
      <w:r w:rsidR="006A5B26">
        <w:t>0</w:t>
      </w:r>
      <w:r w:rsidRPr="004C5667">
        <w:t>ha</w:t>
      </w:r>
      <w:r w:rsidR="00FC4A2D">
        <w:t xml:space="preserve">, once additionality and leakage considerations </w:t>
      </w:r>
      <w:r w:rsidR="00BD55B3">
        <w:t>have been accounted for</w:t>
      </w:r>
      <w:r w:rsidRPr="004C5667">
        <w:t>. It is assumed that half of this figure is mangroves protected, while the other half is mangroves restored.</w:t>
      </w:r>
    </w:p>
    <w:p w14:paraId="0CF1EF0F" w14:textId="35C078B1" w:rsidR="00956A1A" w:rsidRPr="004C5667" w:rsidRDefault="00956A1A">
      <w:pPr>
        <w:ind w:left="720"/>
      </w:pPr>
      <w:r w:rsidRPr="004C5667">
        <w:t xml:space="preserve">For mangroves protected, the area is multiplied by </w:t>
      </w:r>
      <w:r w:rsidR="00BD55B3">
        <w:t xml:space="preserve">the IPCC carbon stock value for mangroves of </w:t>
      </w:r>
      <w:r w:rsidR="00BD55B3" w:rsidRPr="00455517">
        <w:t>1</w:t>
      </w:r>
      <w:r w:rsidR="00455517">
        <w:t>,</w:t>
      </w:r>
      <w:r w:rsidR="00BD55B3" w:rsidRPr="00455517">
        <w:t>874</w:t>
      </w:r>
      <w:r w:rsidR="00455517" w:rsidRPr="00455517">
        <w:t>tCO</w:t>
      </w:r>
      <w:r w:rsidR="00455517" w:rsidRPr="00455517">
        <w:rPr>
          <w:vertAlign w:val="subscript"/>
        </w:rPr>
        <w:t>2</w:t>
      </w:r>
      <w:r w:rsidRPr="00455517">
        <w:t>e</w:t>
      </w:r>
      <w:r w:rsidRPr="004C5667">
        <w:t>/ha</w:t>
      </w:r>
      <w:r w:rsidR="00BD55B3">
        <w:rPr>
          <w:rStyle w:val="FootnoteReference"/>
        </w:rPr>
        <w:footnoteReference w:id="29"/>
      </w:r>
      <w:r w:rsidRPr="004C5667">
        <w:t xml:space="preserve">. </w:t>
      </w:r>
      <w:r w:rsidR="002D4610">
        <w:t>This was used as a conservative estimate</w:t>
      </w:r>
      <w:r w:rsidR="00D821B6">
        <w:t>. (R</w:t>
      </w:r>
      <w:r w:rsidR="002D4610">
        <w:t>ecent literature reviews of mangrove carbon stocks in Latin America suggest that carbon stock per ha on average is significantly higher</w:t>
      </w:r>
      <w:r w:rsidR="00D821B6">
        <w:t xml:space="preserve"> -</w:t>
      </w:r>
      <w:r w:rsidR="002D4610">
        <w:t xml:space="preserve"> upwards of </w:t>
      </w:r>
      <w:r w:rsidR="00455517">
        <w:t>900t</w:t>
      </w:r>
      <w:r w:rsidR="002D4610">
        <w:t>C/ha</w:t>
      </w:r>
      <w:r w:rsidR="002D4610">
        <w:rPr>
          <w:rStyle w:val="FootnoteReference"/>
        </w:rPr>
        <w:footnoteReference w:id="30"/>
      </w:r>
      <w:r w:rsidR="002D4610">
        <w:t xml:space="preserve">, equivalent to over </w:t>
      </w:r>
      <w:r w:rsidR="00455517">
        <w:t>3,300</w:t>
      </w:r>
      <w:r w:rsidR="00455517" w:rsidRPr="00455517">
        <w:t>tCO</w:t>
      </w:r>
      <w:r w:rsidR="00455517" w:rsidRPr="00455517">
        <w:rPr>
          <w:vertAlign w:val="subscript"/>
        </w:rPr>
        <w:t>2</w:t>
      </w:r>
      <w:r w:rsidR="00455517" w:rsidRPr="00455517">
        <w:t>e</w:t>
      </w:r>
      <w:r w:rsidR="00455517">
        <w:t xml:space="preserve"> </w:t>
      </w:r>
      <w:r w:rsidR="002D4610">
        <w:t>/ha</w:t>
      </w:r>
      <w:r w:rsidR="00D821B6">
        <w:t>)</w:t>
      </w:r>
      <w:r w:rsidR="002D4610">
        <w:t>.</w:t>
      </w:r>
      <w:r w:rsidR="007E3A65">
        <w:t xml:space="preserve"> We assume that deforestation of a hectare of mangr</w:t>
      </w:r>
      <w:r w:rsidR="009D2589">
        <w:t>oves will lead to the loss of 50</w:t>
      </w:r>
      <w:r w:rsidR="007E3A65">
        <w:t>% of the carbon stock, as reflected</w:t>
      </w:r>
      <w:r w:rsidR="009D2589">
        <w:t xml:space="preserve"> at the conservative end of the range (25%-100%) offered </w:t>
      </w:r>
      <w:r w:rsidR="007E3A65">
        <w:t>in relevant literature</w:t>
      </w:r>
      <w:r w:rsidR="007E3A65">
        <w:rPr>
          <w:rStyle w:val="FootnoteReference"/>
        </w:rPr>
        <w:footnoteReference w:id="31"/>
      </w:r>
      <w:r w:rsidR="007E3A65">
        <w:t>.</w:t>
      </w:r>
      <w:r w:rsidR="00CE7198">
        <w:t xml:space="preserve"> The volume of stock protected is shared equally from year 4 to year 20.</w:t>
      </w:r>
    </w:p>
    <w:p w14:paraId="386CC3E7" w14:textId="25DD3A50" w:rsidR="00956A1A" w:rsidRPr="004C5667" w:rsidRDefault="00956A1A" w:rsidP="0061429E">
      <w:pPr>
        <w:ind w:left="720"/>
      </w:pPr>
      <w:r w:rsidRPr="004C5667">
        <w:t>For mangroves restored, it is assumed that each hectare will sequester 6.</w:t>
      </w:r>
      <w:r w:rsidR="00455517">
        <w:t>4</w:t>
      </w:r>
      <w:r w:rsidR="00455517" w:rsidRPr="00455517">
        <w:t>tCO</w:t>
      </w:r>
      <w:r w:rsidR="00455517" w:rsidRPr="00455517">
        <w:rPr>
          <w:vertAlign w:val="subscript"/>
        </w:rPr>
        <w:t>2</w:t>
      </w:r>
      <w:r w:rsidR="00455517" w:rsidRPr="00455517">
        <w:t>e</w:t>
      </w:r>
      <w:r w:rsidR="00455517" w:rsidRPr="004C5667">
        <w:rPr>
          <w:rStyle w:val="FootnoteReference"/>
        </w:rPr>
        <w:t xml:space="preserve"> </w:t>
      </w:r>
      <w:r w:rsidRPr="004C5667">
        <w:rPr>
          <w:rStyle w:val="FootnoteReference"/>
        </w:rPr>
        <w:footnoteReference w:id="32"/>
      </w:r>
      <w:r w:rsidRPr="004C5667">
        <w:t xml:space="preserve"> per year from year 4 to year 20.</w:t>
      </w:r>
    </w:p>
    <w:p w14:paraId="3FA455C3" w14:textId="77777777" w:rsidR="00956A1A" w:rsidRPr="004C5667" w:rsidRDefault="00956A1A" w:rsidP="0061429E">
      <w:pPr>
        <w:ind w:left="720"/>
      </w:pPr>
      <w:r w:rsidRPr="004C5667">
        <w:t xml:space="preserve">The value of each tonne has been derived from the BEIS International Carbon Price Series, which assumes that the value of every tonne sequestered or avoided will rise throughout the appraisal period. </w:t>
      </w:r>
    </w:p>
    <w:p w14:paraId="1E7AFE19" w14:textId="7450EDF1" w:rsidR="00956A1A" w:rsidRPr="004C5667" w:rsidRDefault="00956A1A" w:rsidP="0061429E">
      <w:pPr>
        <w:ind w:left="720"/>
      </w:pPr>
      <w:r w:rsidRPr="004C5667">
        <w:t>In the central scenario, it is assumed that the programs will provide no GHG benefits until year 4 of operation, as it may take time for projects to become operational and for carbon benefits to accrue. The volume of carbon savings are assumed to be constant from year 4 onwards to the end of the 20 y</w:t>
      </w:r>
      <w:r w:rsidR="00FE4B30">
        <w:t xml:space="preserve">ear appraisal period, at </w:t>
      </w:r>
      <w:r w:rsidR="009D2589">
        <w:t>171</w:t>
      </w:r>
      <w:r w:rsidR="00FE4B30">
        <w:t>,</w:t>
      </w:r>
      <w:r w:rsidR="009D2589">
        <w:t>3</w:t>
      </w:r>
      <w:r w:rsidR="00FE4B30">
        <w:t>00</w:t>
      </w:r>
      <w:r w:rsidR="00455517" w:rsidRPr="00455517">
        <w:t>tCO</w:t>
      </w:r>
      <w:r w:rsidR="00455517" w:rsidRPr="00455517">
        <w:rPr>
          <w:vertAlign w:val="subscript"/>
        </w:rPr>
        <w:t>2</w:t>
      </w:r>
      <w:r w:rsidR="00455517" w:rsidRPr="00455517">
        <w:t>e</w:t>
      </w:r>
      <w:r w:rsidR="00455517" w:rsidRPr="004C5667">
        <w:t xml:space="preserve"> </w:t>
      </w:r>
      <w:r w:rsidRPr="004C5667">
        <w:t>/year. However, the value of these emissions is projected to rise from £61/</w:t>
      </w:r>
      <w:r w:rsidR="00DE7C3D">
        <w:t>t</w:t>
      </w:r>
      <w:r w:rsidRPr="004C5667">
        <w:t xml:space="preserve"> in Year 4 to £140/</w:t>
      </w:r>
      <w:r w:rsidR="00DE7C3D">
        <w:t>t</w:t>
      </w:r>
      <w:r w:rsidRPr="004C5667">
        <w:t xml:space="preserve"> in Year 20</w:t>
      </w:r>
      <w:r w:rsidR="00DE7C3D">
        <w:t xml:space="preserve"> following the international carbon price series agreed by ICF analysts across HMG</w:t>
      </w:r>
      <w:r w:rsidRPr="004C5667">
        <w:t>.</w:t>
      </w:r>
    </w:p>
    <w:p w14:paraId="1F52D54C" w14:textId="4D5558C4" w:rsidR="00956A1A" w:rsidRPr="0061429E" w:rsidRDefault="00956A1A" w:rsidP="0061429E">
      <w:pPr>
        <w:pStyle w:val="ListParagraph"/>
        <w:numPr>
          <w:ilvl w:val="0"/>
          <w:numId w:val="14"/>
        </w:numPr>
      </w:pPr>
      <w:r w:rsidRPr="0061429E">
        <w:rPr>
          <w:b/>
        </w:rPr>
        <w:t xml:space="preserve">Wider ecosystem services: </w:t>
      </w:r>
      <w:r w:rsidRPr="004C5667">
        <w:t>The value of coastal protection service (£1452/ha) and food provision (£39/ha) provided on an annual basis by a typical hectare of mangrove forest was drawn from the TEEB Ecosystem Service Values database (2010)</w:t>
      </w:r>
      <w:r w:rsidRPr="004C5667">
        <w:rPr>
          <w:rStyle w:val="FootnoteReference"/>
        </w:rPr>
        <w:footnoteReference w:id="33"/>
      </w:r>
      <w:r w:rsidRPr="004C5667">
        <w:t xml:space="preserve">, a synthesis of academic studies on the value of services provided by different biomes. This typical value for mangroves globally is considered an appropriate value to use to use in this analysis because of the range of countries for which </w:t>
      </w:r>
      <w:r w:rsidRPr="004C5667">
        <w:lastRenderedPageBreak/>
        <w:t>investment in mangroves is being made. These values were multiplied by the expected area of mangroves protected o</w:t>
      </w:r>
      <w:r w:rsidR="0040509E">
        <w:t>r restored by the program (</w:t>
      </w:r>
      <w:r w:rsidR="00057097">
        <w:t>557</w:t>
      </w:r>
      <w:r w:rsidR="006A5B26">
        <w:t>0</w:t>
      </w:r>
      <w:r w:rsidR="00DE7C3D">
        <w:t xml:space="preserve"> </w:t>
      </w:r>
      <w:r w:rsidR="0061429E">
        <w:t xml:space="preserve">ha). </w:t>
      </w:r>
    </w:p>
    <w:p w14:paraId="47CD7A2F" w14:textId="77777777" w:rsidR="00956A1A" w:rsidRPr="004C5667" w:rsidRDefault="00956A1A" w:rsidP="0061429E">
      <w:pPr>
        <w:ind w:left="720"/>
      </w:pPr>
      <w:r w:rsidRPr="004C5667">
        <w:t>Ecosystem service benefits are not projected to begin until year 4 of the program. These are then expected to rise to 100% over 5 years at a linear rate of increase.</w:t>
      </w:r>
    </w:p>
    <w:p w14:paraId="30D5320B" w14:textId="77777777" w:rsidR="00956A1A" w:rsidRPr="004C5667" w:rsidRDefault="00956A1A" w:rsidP="00EF36DF">
      <w:pPr>
        <w:pStyle w:val="Heading5"/>
      </w:pPr>
      <w:r w:rsidRPr="004C5667">
        <w:t>Discounting and Adjustments for Uncertainty</w:t>
      </w:r>
    </w:p>
    <w:p w14:paraId="7DEDA915" w14:textId="78CE0FC9" w:rsidR="00956A1A" w:rsidRPr="004C5667" w:rsidRDefault="00956A1A" w:rsidP="00EF36DF">
      <w:r w:rsidRPr="004C5667">
        <w:t>To account for the tendency of individuals to value benefits in the present over benefits in the future – and vice versa for costs – social discount rates have been applied to future impacts of the program, as per HMG appraisal guidance</w:t>
      </w:r>
      <w:r w:rsidRPr="004C5667">
        <w:rPr>
          <w:rStyle w:val="FootnoteReference"/>
        </w:rPr>
        <w:footnoteReference w:id="34"/>
      </w:r>
      <w:r w:rsidRPr="004C5667">
        <w:t xml:space="preserve">. Values have been discounted at an annual rate of 7.9% for investment costs and productivity benefits, as this is the average of the social discount rates of countries in which the projects in </w:t>
      </w:r>
      <w:r w:rsidR="003C78C8">
        <w:t xml:space="preserve">Figure 6 </w:t>
      </w:r>
      <w:r w:rsidRPr="004C5667">
        <w:t xml:space="preserve">are proposed: 65% UMICs, 10% LMICs, </w:t>
      </w:r>
      <w:r w:rsidR="00456BF4" w:rsidRPr="004C5667">
        <w:t>and 25</w:t>
      </w:r>
      <w:r w:rsidRPr="004C5667">
        <w:t xml:space="preserve">% LDCs. </w:t>
      </w:r>
    </w:p>
    <w:p w14:paraId="217C89B6" w14:textId="46ACBBF4" w:rsidR="00956A1A" w:rsidRPr="004C5667" w:rsidRDefault="00956A1A" w:rsidP="00EF36DF">
      <w:r w:rsidRPr="004C5667">
        <w:t>Annual benefits from avoided GHG emissions are discounted at 3.5% annually, in accordance with ICF analytical guidance on discounting of global goods</w:t>
      </w:r>
      <w:r w:rsidRPr="004C5667">
        <w:rPr>
          <w:rStyle w:val="FootnoteReference"/>
        </w:rPr>
        <w:footnoteReference w:id="35"/>
      </w:r>
      <w:r w:rsidRPr="004C5667">
        <w:t>.</w:t>
      </w:r>
      <w:r w:rsidR="000276A8">
        <w:t xml:space="preserve"> The opportunity cost faced by private capital is also discounted at 3.5% a year, in accordance with guidance from </w:t>
      </w:r>
      <w:proofErr w:type="spellStart"/>
      <w:r w:rsidR="000276A8">
        <w:t>DfID</w:t>
      </w:r>
      <w:proofErr w:type="spellEnd"/>
      <w:r w:rsidR="000276A8">
        <w:t xml:space="preserve"> analysts – this is based on the assumption that the capital will be sourced from developed countries.</w:t>
      </w:r>
    </w:p>
    <w:p w14:paraId="41BBC0FE" w14:textId="77777777" w:rsidR="00956A1A" w:rsidRPr="004C5667" w:rsidRDefault="00956A1A" w:rsidP="00EF36DF">
      <w:r w:rsidRPr="004C5667">
        <w:t>The uncertainty related to this option is derived from three main sources:</w:t>
      </w:r>
    </w:p>
    <w:p w14:paraId="5AE79AC0" w14:textId="77777777" w:rsidR="00956A1A" w:rsidRPr="004C5667" w:rsidRDefault="00956A1A" w:rsidP="00F93F6C">
      <w:pPr>
        <w:pStyle w:val="ListParagraph"/>
        <w:numPr>
          <w:ilvl w:val="0"/>
          <w:numId w:val="14"/>
        </w:numPr>
        <w:spacing w:after="160"/>
      </w:pPr>
      <w:r w:rsidRPr="004C5667">
        <w:t xml:space="preserve">The level of additionality delivered by ICF funding of projects under the program, and the benefits which are delivered </w:t>
      </w:r>
      <w:r w:rsidRPr="004C5667">
        <w:rPr>
          <w:i/>
        </w:rPr>
        <w:t>over and above</w:t>
      </w:r>
      <w:r w:rsidRPr="004C5667">
        <w:t xml:space="preserve"> those delivered by actions which recipients would have taken in the absence of funding</w:t>
      </w:r>
    </w:p>
    <w:p w14:paraId="0228A6B9" w14:textId="77777777" w:rsidR="00956A1A" w:rsidRPr="004C5667" w:rsidRDefault="00956A1A" w:rsidP="00F93F6C">
      <w:pPr>
        <w:pStyle w:val="ListParagraph"/>
        <w:numPr>
          <w:ilvl w:val="0"/>
          <w:numId w:val="14"/>
        </w:numPr>
        <w:spacing w:after="160"/>
      </w:pPr>
      <w:r w:rsidRPr="004C5667">
        <w:t>Uncertainty around the source of data for benefits, for example the application of generic biome ecosystem service values to specific areas of mangrove forests</w:t>
      </w:r>
    </w:p>
    <w:p w14:paraId="443CA2DA" w14:textId="77777777" w:rsidR="000276A8" w:rsidRDefault="000276A8" w:rsidP="00EF36DF"/>
    <w:p w14:paraId="67315A50" w14:textId="7A0279E4" w:rsidR="00D821B6" w:rsidRDefault="00956A1A" w:rsidP="00EF36DF">
      <w:r w:rsidRPr="004C5667">
        <w:t xml:space="preserve">To account for the uncertainties </w:t>
      </w:r>
      <w:r w:rsidR="00D821B6">
        <w:t>around the level of additionality offered by any ICF program when compared to the counterfactual of the activities individuals would have undertaken regardless of support</w:t>
      </w:r>
      <w:r w:rsidRPr="004C5667">
        <w:t xml:space="preserve">, </w:t>
      </w:r>
      <w:r w:rsidRPr="00240011">
        <w:t xml:space="preserve">a 50% discount has been applied to </w:t>
      </w:r>
      <w:r w:rsidR="000276A8" w:rsidRPr="00240011">
        <w:t>the area of mangroves protected or restored</w:t>
      </w:r>
      <w:r w:rsidRPr="000276A8">
        <w:t xml:space="preserve">. </w:t>
      </w:r>
      <w:r w:rsidR="00D821B6">
        <w:t>T</w:t>
      </w:r>
      <w:r w:rsidR="000276A8">
        <w:t xml:space="preserve">o account for potential leakage effects, a </w:t>
      </w:r>
      <w:r w:rsidR="00DE7C3D">
        <w:t>further 25% discount</w:t>
      </w:r>
      <w:r w:rsidR="000276A8">
        <w:t xml:space="preserve"> has been</w:t>
      </w:r>
      <w:r w:rsidR="00D821B6">
        <w:t xml:space="preserve"> </w:t>
      </w:r>
      <w:r w:rsidR="000276A8">
        <w:t xml:space="preserve">applied. </w:t>
      </w:r>
      <w:r w:rsidR="00DE7C3D">
        <w:t>Both of these assumption are standard in HMG ICF appraisal guidance.</w:t>
      </w:r>
    </w:p>
    <w:p w14:paraId="3AC19FBA" w14:textId="6092A2FB" w:rsidR="000276A8" w:rsidRPr="00240011" w:rsidRDefault="000276A8" w:rsidP="00EF36DF">
      <w:pPr>
        <w:rPr>
          <w:u w:val="single"/>
        </w:rPr>
      </w:pPr>
      <w:r>
        <w:rPr>
          <w:u w:val="single"/>
        </w:rPr>
        <w:t>As a result of applying these discounts</w:t>
      </w:r>
      <w:r w:rsidRPr="00240011">
        <w:rPr>
          <w:u w:val="single"/>
        </w:rPr>
        <w:t xml:space="preserve">, the model monetises 37.5% </w:t>
      </w:r>
      <w:r w:rsidR="00DE7C3D">
        <w:rPr>
          <w:u w:val="single"/>
        </w:rPr>
        <w:t>(50%*75%)</w:t>
      </w:r>
      <w:r w:rsidRPr="00240011">
        <w:rPr>
          <w:u w:val="single"/>
        </w:rPr>
        <w:t xml:space="preserve"> of the original gross projected </w:t>
      </w:r>
      <w:r w:rsidR="009D2589">
        <w:rPr>
          <w:u w:val="single"/>
        </w:rPr>
        <w:t>impacts</w:t>
      </w:r>
      <w:r w:rsidRPr="00240011">
        <w:rPr>
          <w:u w:val="single"/>
        </w:rPr>
        <w:t xml:space="preserve"> of the program.</w:t>
      </w:r>
    </w:p>
    <w:p w14:paraId="483B7BBB" w14:textId="62181C01" w:rsidR="00956A1A" w:rsidRDefault="00956A1A" w:rsidP="00EF36DF">
      <w:r w:rsidRPr="004C5667">
        <w:t xml:space="preserve">Low and high scenarios were developed for the purposes of sensitivity analysis, using the lower and upper bounds for each input variable: $/£ exchange rate; funding leveraged; emissions avoided; additionality of benefits; ecosystem service values. This produced a range </w:t>
      </w:r>
      <w:r w:rsidR="00601DB1">
        <w:t xml:space="preserve">of the benefit-cost ratio of </w:t>
      </w:r>
      <w:r w:rsidR="009D2589">
        <w:t>2.8</w:t>
      </w:r>
      <w:r w:rsidR="00601DB1">
        <w:t>-</w:t>
      </w:r>
      <w:r w:rsidR="009D2589">
        <w:t>27</w:t>
      </w:r>
      <w:r w:rsidR="00601DB1">
        <w:t>.</w:t>
      </w:r>
      <w:r w:rsidR="009D2589">
        <w:t>2</w:t>
      </w:r>
      <w:r w:rsidRPr="004C5667">
        <w:t>. The</w:t>
      </w:r>
      <w:r w:rsidRPr="004C5667" w:rsidDel="000276A8">
        <w:t xml:space="preserve"> </w:t>
      </w:r>
      <w:r w:rsidR="00DE7C3D">
        <w:t>size</w:t>
      </w:r>
      <w:r w:rsidRPr="004C5667">
        <w:t xml:space="preserve"> of this range reflects the significant uncertainties attached to this quantitative appraisal. Detailed results of this analysis are available in the Annex</w:t>
      </w:r>
      <w:r w:rsidR="003C78C8">
        <w:t xml:space="preserve"> 1.</w:t>
      </w:r>
    </w:p>
    <w:p w14:paraId="183ACB3C" w14:textId="5A0C0993" w:rsidR="00DB36D2" w:rsidRDefault="00DB36D2" w:rsidP="00EF36DF"/>
    <w:p w14:paraId="3C3861C8" w14:textId="77777777" w:rsidR="00DB36D2" w:rsidRPr="004C5667" w:rsidRDefault="00DB36D2" w:rsidP="00EF36DF"/>
    <w:p w14:paraId="2D06A255" w14:textId="77777777" w:rsidR="00956A1A" w:rsidRPr="004C5667" w:rsidRDefault="00956A1A" w:rsidP="00EF36DF">
      <w:pPr>
        <w:pStyle w:val="Heading4"/>
      </w:pPr>
      <w:r w:rsidRPr="004C5667">
        <w:lastRenderedPageBreak/>
        <w:t xml:space="preserve">Results </w:t>
      </w:r>
    </w:p>
    <w:p w14:paraId="728E51D8" w14:textId="77777777" w:rsidR="00956A1A" w:rsidRPr="004C5667" w:rsidRDefault="00956A1A" w:rsidP="00EF36DF">
      <w:pPr>
        <w:pStyle w:val="Heading5"/>
      </w:pPr>
      <w:r w:rsidRPr="004C5667">
        <w:t>Costs</w:t>
      </w:r>
    </w:p>
    <w:p w14:paraId="58E6C9CC" w14:textId="3BCC4C2F" w:rsidR="00956A1A" w:rsidRDefault="006A5B26" w:rsidP="00EF36DF">
      <w:r>
        <w:t>£1</w:t>
      </w:r>
      <w:r w:rsidR="000276A8">
        <w:t>1</w:t>
      </w:r>
      <w:r>
        <w:t>.</w:t>
      </w:r>
      <w:r w:rsidR="000276A8">
        <w:t>7</w:t>
      </w:r>
      <w:r w:rsidR="00956A1A" w:rsidRPr="004C5667">
        <w:t xml:space="preserve">m of ICF </w:t>
      </w:r>
      <w:r w:rsidR="00D821B6">
        <w:t xml:space="preserve">project </w:t>
      </w:r>
      <w:r w:rsidR="00956A1A" w:rsidRPr="004C5667">
        <w:t>funding (after accounting for IDB management costs of 5%</w:t>
      </w:r>
      <w:r w:rsidR="000276A8">
        <w:t xml:space="preserve"> and M&amp;E costs of 3%</w:t>
      </w:r>
      <w:r w:rsidR="00956A1A" w:rsidRPr="004C5667">
        <w:t>)</w:t>
      </w:r>
      <w:r>
        <w:t xml:space="preserve"> will be expected to leverage £</w:t>
      </w:r>
      <w:r w:rsidR="000276A8">
        <w:t>4</w:t>
      </w:r>
      <w:r>
        <w:t>.</w:t>
      </w:r>
      <w:r w:rsidR="000276A8">
        <w:t>9</w:t>
      </w:r>
      <w:r w:rsidR="00956A1A" w:rsidRPr="004C5667">
        <w:t>m of funding. It is estimated, based on evidence from the project pipeline, that 35% of funding leveraged for the program through the ICF commitment will be public funds, with the remaining 65% in the form of private capital.</w:t>
      </w:r>
    </w:p>
    <w:p w14:paraId="7CF8BAF9" w14:textId="174BE69C" w:rsidR="004B2462" w:rsidRDefault="004B2462" w:rsidP="00EF36DF">
      <w:r>
        <w:t>Fund management costs are projected as a one-off payment of £637k in Year 1.</w:t>
      </w:r>
    </w:p>
    <w:p w14:paraId="6F220784" w14:textId="011AF91F" w:rsidR="000D54E0" w:rsidRPr="004C5667" w:rsidRDefault="000D54E0" w:rsidP="00EF36DF">
      <w:r>
        <w:t>Monitoring and evaluation costs are projected at £383k, spread equally across 7 years - the 6 years of the program plus a further year for program evaluation. This produces a present value cost of £334k.</w:t>
      </w:r>
    </w:p>
    <w:p w14:paraId="28D87A8A" w14:textId="6796E1BD" w:rsidR="00956A1A" w:rsidRPr="004C5667" w:rsidRDefault="00956A1A" w:rsidP="00EF36DF">
      <w:r w:rsidRPr="004C5667">
        <w:t>ICF staffing costs, including overheads, are estimated at £</w:t>
      </w:r>
      <w:r w:rsidR="001E6C14">
        <w:t xml:space="preserve">106,000 </w:t>
      </w:r>
      <w:r w:rsidRPr="004C5667">
        <w:t>a year. The overall presen</w:t>
      </w:r>
      <w:r w:rsidR="006A5B26">
        <w:t>t value of staffing costs over 7</w:t>
      </w:r>
      <w:r w:rsidR="003F6D80">
        <w:t xml:space="preserve"> years is £</w:t>
      </w:r>
      <w:r w:rsidR="006A5B26">
        <w:t>576</w:t>
      </w:r>
      <w:r w:rsidRPr="004C5667">
        <w:t>k.</w:t>
      </w:r>
    </w:p>
    <w:p w14:paraId="13E1DB66" w14:textId="11B7F0F6" w:rsidR="00956A1A" w:rsidRPr="004C5667" w:rsidRDefault="00956A1A" w:rsidP="00EF36DF">
      <w:r w:rsidRPr="004C5667">
        <w:t xml:space="preserve">Opportunity costs of private capital are projected over the six </w:t>
      </w:r>
      <w:r w:rsidR="006A5B26">
        <w:t>year programme. £3.</w:t>
      </w:r>
      <w:r w:rsidR="000D54E0">
        <w:t>2</w:t>
      </w:r>
      <w:r w:rsidRPr="004C5667">
        <w:t>m of leveraged capital is projected to be private and subject to opportunity costs. The costs are projected to r</w:t>
      </w:r>
      <w:r w:rsidR="006A5B26">
        <w:t>ise from £</w:t>
      </w:r>
      <w:r w:rsidR="000D54E0">
        <w:t xml:space="preserve">112k </w:t>
      </w:r>
      <w:r w:rsidR="006A5B26">
        <w:t>in Year 1 to £</w:t>
      </w:r>
      <w:r w:rsidR="000D54E0">
        <w:t xml:space="preserve">135k </w:t>
      </w:r>
      <w:r w:rsidR="006A5B26">
        <w:t>in Year 7</w:t>
      </w:r>
      <w:r w:rsidRPr="004C5667">
        <w:t>. This produces a pre</w:t>
      </w:r>
      <w:r w:rsidR="006A5B26">
        <w:t>sent value of £</w:t>
      </w:r>
      <w:r w:rsidR="000D54E0">
        <w:t>751k</w:t>
      </w:r>
      <w:r w:rsidRPr="004C5667">
        <w:t xml:space="preserve">. </w:t>
      </w:r>
    </w:p>
    <w:p w14:paraId="5AAA94AC" w14:textId="4D874497" w:rsidR="00956A1A" w:rsidRPr="004C5667" w:rsidRDefault="00956A1A" w:rsidP="00EF36DF">
      <w:r w:rsidRPr="004C5667">
        <w:t>Overall, present value of project costs over the 20 ye</w:t>
      </w:r>
      <w:r w:rsidR="006A5B26">
        <w:t>ar appraisal period comes to £</w:t>
      </w:r>
      <w:r w:rsidR="000D54E0">
        <w:t>18.9</w:t>
      </w:r>
      <w:r w:rsidRPr="004C5667">
        <w:t>m.</w:t>
      </w:r>
    </w:p>
    <w:p w14:paraId="5D16624D" w14:textId="77777777" w:rsidR="00956A1A" w:rsidRPr="004C5667" w:rsidRDefault="00956A1A" w:rsidP="00EF36DF">
      <w:pPr>
        <w:pStyle w:val="Heading5"/>
      </w:pPr>
      <w:r w:rsidRPr="004C5667">
        <w:t>Benefits</w:t>
      </w:r>
    </w:p>
    <w:p w14:paraId="3EC5F951" w14:textId="07EA8D14" w:rsidR="00956A1A" w:rsidRPr="004C5667" w:rsidRDefault="00956A1A" w:rsidP="00EF36DF">
      <w:r w:rsidRPr="004C5667">
        <w:t>The GHG emissions benefit</w:t>
      </w:r>
      <w:r w:rsidR="004B2462">
        <w:t>s of the program rise from £</w:t>
      </w:r>
      <w:r w:rsidR="009D2589">
        <w:t>10</w:t>
      </w:r>
      <w:r w:rsidR="000D54E0">
        <w:t>.</w:t>
      </w:r>
      <w:r w:rsidR="009D2589">
        <w:t>4</w:t>
      </w:r>
      <w:r w:rsidR="004B2462">
        <w:t>m in year 4 to £</w:t>
      </w:r>
      <w:r w:rsidR="00747A66">
        <w:t>2</w:t>
      </w:r>
      <w:r w:rsidR="009D2589">
        <w:t>4</w:t>
      </w:r>
      <w:r w:rsidR="004B2462">
        <w:t>.</w:t>
      </w:r>
      <w:r w:rsidR="009D2589">
        <w:t>0</w:t>
      </w:r>
      <w:r w:rsidR="004B2462">
        <w:t xml:space="preserve">m </w:t>
      </w:r>
      <w:r w:rsidRPr="004C5667">
        <w:t>in year 20. This produces an overall present value</w:t>
      </w:r>
      <w:r w:rsidR="000D54E0">
        <w:t xml:space="preserve"> of </w:t>
      </w:r>
      <w:r w:rsidRPr="004C5667">
        <w:t>£</w:t>
      </w:r>
      <w:r w:rsidR="009D2589">
        <w:t>169.8</w:t>
      </w:r>
      <w:r w:rsidR="000D54E0">
        <w:t>m</w:t>
      </w:r>
      <w:r w:rsidRPr="004C5667">
        <w:t>.</w:t>
      </w:r>
    </w:p>
    <w:p w14:paraId="4BFA6DFE" w14:textId="5CB89A64" w:rsidR="00956A1A" w:rsidRPr="004C5667" w:rsidRDefault="00956A1A" w:rsidP="00EF36DF">
      <w:r w:rsidRPr="004C5667">
        <w:t>Benefits from coastal protection and food provision are projected to</w:t>
      </w:r>
      <w:r w:rsidR="00747A66">
        <w:t xml:space="preserve"> rise from </w:t>
      </w:r>
      <w:r w:rsidR="000A0320">
        <w:t>£1.</w:t>
      </w:r>
      <w:r w:rsidR="00057097">
        <w:t>6</w:t>
      </w:r>
      <w:r w:rsidR="000A0320">
        <w:t xml:space="preserve">m </w:t>
      </w:r>
      <w:r w:rsidR="00E843FB">
        <w:t xml:space="preserve">in year 4 </w:t>
      </w:r>
      <w:r w:rsidR="000A0320">
        <w:t>to</w:t>
      </w:r>
      <w:r w:rsidRPr="004C5667">
        <w:t xml:space="preserve"> </w:t>
      </w:r>
      <w:r w:rsidR="004B2462">
        <w:t>£</w:t>
      </w:r>
      <w:r w:rsidR="004B2462" w:rsidDel="000A0320">
        <w:t>8</w:t>
      </w:r>
      <w:r w:rsidR="004B2462">
        <w:t>.</w:t>
      </w:r>
      <w:r w:rsidR="00057097">
        <w:t>1</w:t>
      </w:r>
      <w:r w:rsidRPr="004C5667">
        <w:t>m</w:t>
      </w:r>
      <w:r w:rsidR="000A0320">
        <w:t xml:space="preserve"> in year 8, staying constant at this value until year 20</w:t>
      </w:r>
      <w:r w:rsidRPr="004C5667">
        <w:t>. This</w:t>
      </w:r>
      <w:r w:rsidR="004B2462">
        <w:t xml:space="preserve"> produces a present value of £</w:t>
      </w:r>
      <w:r w:rsidR="00057097">
        <w:t>48</w:t>
      </w:r>
      <w:r w:rsidR="004B2462">
        <w:t>.</w:t>
      </w:r>
      <w:r w:rsidR="00057097">
        <w:t>0</w:t>
      </w:r>
      <w:r w:rsidRPr="004C5667">
        <w:t>m.</w:t>
      </w:r>
    </w:p>
    <w:p w14:paraId="615A93BF" w14:textId="5F989354" w:rsidR="00956A1A" w:rsidRPr="004C5667" w:rsidRDefault="00956A1A" w:rsidP="00EF36DF">
      <w:r w:rsidRPr="004C5667">
        <w:t>Overall, present value of project benefits over the 20 year appraisal period comes to £</w:t>
      </w:r>
      <w:r w:rsidR="000A0320">
        <w:t>2</w:t>
      </w:r>
      <w:r w:rsidR="009D2589">
        <w:t>17</w:t>
      </w:r>
      <w:r w:rsidR="000A0320">
        <w:t>.</w:t>
      </w:r>
      <w:r w:rsidR="009D2589">
        <w:t>8</w:t>
      </w:r>
      <w:r w:rsidR="000A0320">
        <w:t>m</w:t>
      </w:r>
      <w:r w:rsidRPr="004C5667">
        <w:t xml:space="preserve">. </w:t>
      </w:r>
    </w:p>
    <w:p w14:paraId="6AE2E47F" w14:textId="6499CAAC" w:rsidR="00956A1A" w:rsidRPr="004C5667" w:rsidRDefault="00956A1A" w:rsidP="00EF36DF">
      <w:r w:rsidRPr="004C5667">
        <w:t>The net present value of an investment in the ICF-IDB Blue Carbon</w:t>
      </w:r>
      <w:r w:rsidR="004B2462">
        <w:t xml:space="preserve"> Program is projected to be £</w:t>
      </w:r>
      <w:r w:rsidR="009D2589">
        <w:t>198</w:t>
      </w:r>
      <w:r w:rsidR="000A0320">
        <w:t>.</w:t>
      </w:r>
      <w:r w:rsidR="009D2589">
        <w:t>9</w:t>
      </w:r>
      <w:r w:rsidRPr="004C5667">
        <w:t>m.</w:t>
      </w:r>
    </w:p>
    <w:p w14:paraId="1D64BB5F" w14:textId="77777777" w:rsidR="00956A1A" w:rsidRPr="004C5667" w:rsidRDefault="00956A1A" w:rsidP="00EF36DF">
      <w:pPr>
        <w:pStyle w:val="Heading4"/>
      </w:pPr>
      <w:r w:rsidRPr="004C5667">
        <w:t xml:space="preserve">Discussion  </w:t>
      </w:r>
    </w:p>
    <w:p w14:paraId="3C750042" w14:textId="77777777" w:rsidR="00956A1A" w:rsidRPr="004C5667" w:rsidRDefault="00956A1A" w:rsidP="00EF36DF">
      <w:r w:rsidRPr="004C5667">
        <w:t>The estimate of net present value is considered conservative because:</w:t>
      </w:r>
    </w:p>
    <w:p w14:paraId="6F97A829" w14:textId="673ECE5B" w:rsidR="00956A1A" w:rsidRPr="004C5667" w:rsidRDefault="00E25A0E" w:rsidP="00F93F6C">
      <w:pPr>
        <w:pStyle w:val="ListParagraph"/>
        <w:numPr>
          <w:ilvl w:val="0"/>
          <w:numId w:val="23"/>
        </w:numPr>
      </w:pPr>
      <w:r w:rsidRPr="004C5667">
        <w:rPr>
          <w:b/>
        </w:rPr>
        <w:t>F</w:t>
      </w:r>
      <w:r w:rsidR="00956A1A" w:rsidRPr="004C5667">
        <w:rPr>
          <w:b/>
        </w:rPr>
        <w:t>urther ecosystem services beyond coastal protection and food provision are not monetised.</w:t>
      </w:r>
      <w:r w:rsidR="00956A1A" w:rsidRPr="004C5667">
        <w:t xml:space="preserve"> </w:t>
      </w:r>
      <w:r w:rsidR="002233B2">
        <w:t xml:space="preserve">The most </w:t>
      </w:r>
      <w:r w:rsidR="00956A1A" w:rsidRPr="004C5667">
        <w:t>recent estimates produced by the UN Environment Program put the value of all ecosystem services provided by mangroves at a minimum of £120,000/ha/year</w:t>
      </w:r>
      <w:r w:rsidR="003F6D80">
        <w:rPr>
          <w:rStyle w:val="FootnoteReference"/>
        </w:rPr>
        <w:footnoteReference w:id="36"/>
      </w:r>
      <w:r w:rsidR="00956A1A" w:rsidRPr="004C5667">
        <w:t xml:space="preserve">. </w:t>
      </w:r>
      <w:r w:rsidR="000A0320">
        <w:t xml:space="preserve">Further, analysis of the TEEB ESV Database gave a value for all </w:t>
      </w:r>
      <w:proofErr w:type="spellStart"/>
      <w:r w:rsidR="000A0320">
        <w:t>monetisable</w:t>
      </w:r>
      <w:proofErr w:type="spellEnd"/>
      <w:r w:rsidR="000A0320">
        <w:t xml:space="preserve"> ecosystem services of around £8590/ha/</w:t>
      </w:r>
      <w:proofErr w:type="spellStart"/>
      <w:r w:rsidR="000A0320">
        <w:t>yr</w:t>
      </w:r>
      <w:proofErr w:type="spellEnd"/>
      <w:r w:rsidR="000A0320">
        <w:rPr>
          <w:rStyle w:val="FootnoteReference"/>
        </w:rPr>
        <w:footnoteReference w:id="37"/>
      </w:r>
      <w:r w:rsidR="000A0320">
        <w:t xml:space="preserve">. </w:t>
      </w:r>
      <w:r w:rsidR="00956A1A" w:rsidRPr="004C5667">
        <w:t xml:space="preserve">However, ICF analysts adjudged it more effective to monetise two services </w:t>
      </w:r>
      <w:r w:rsidR="00DE7C3D">
        <w:t xml:space="preserve">(with a combined value of £1452/ha) </w:t>
      </w:r>
      <w:r w:rsidR="00956A1A" w:rsidRPr="004C5667">
        <w:t>for which a considerable body of evidence exists, enabling decision makers to implicitly consider the value of further ecosystem services which would also benefit through this program.</w:t>
      </w:r>
    </w:p>
    <w:p w14:paraId="281B11F9" w14:textId="30966976" w:rsidR="00956A1A" w:rsidRPr="004C5667" w:rsidRDefault="00E25A0E" w:rsidP="00F93F6C">
      <w:pPr>
        <w:pStyle w:val="ListParagraph"/>
        <w:numPr>
          <w:ilvl w:val="0"/>
          <w:numId w:val="23"/>
        </w:numPr>
      </w:pPr>
      <w:r w:rsidRPr="000A2ADE">
        <w:rPr>
          <w:b/>
        </w:rPr>
        <w:t>P</w:t>
      </w:r>
      <w:r w:rsidR="00956A1A" w:rsidRPr="004C5667">
        <w:rPr>
          <w:b/>
        </w:rPr>
        <w:t>ositive impacts related to increased income and productivity</w:t>
      </w:r>
      <w:r w:rsidR="00956A1A" w:rsidRPr="004C5667">
        <w:t xml:space="preserve"> for local communities engaged as part of the programme, as the level of uncertainty attached to any values produced was </w:t>
      </w:r>
      <w:r w:rsidR="00956A1A" w:rsidRPr="004C5667">
        <w:lastRenderedPageBreak/>
        <w:t>considered too great. The challenge of quantifying these impacts across the range of countries, geographies, wealth levels and sectors of primary income targeted through this program to any degree of certainty is significant. In addition, it is challenging to estimate the indirect and knock-on impacts such as multiplier effects from more efficient allocation of economic resources.</w:t>
      </w:r>
    </w:p>
    <w:p w14:paraId="168E8DF5" w14:textId="1020F9E6" w:rsidR="00956A1A" w:rsidRPr="004C5667" w:rsidRDefault="00E25A0E" w:rsidP="00F93F6C">
      <w:pPr>
        <w:pStyle w:val="ListParagraph"/>
        <w:numPr>
          <w:ilvl w:val="0"/>
          <w:numId w:val="23"/>
        </w:numPr>
      </w:pPr>
      <w:r w:rsidRPr="004C5667">
        <w:rPr>
          <w:b/>
        </w:rPr>
        <w:t>I</w:t>
      </w:r>
      <w:r w:rsidR="00956A1A" w:rsidRPr="004C5667">
        <w:rPr>
          <w:b/>
        </w:rPr>
        <w:t>mpacts on biodiversity</w:t>
      </w:r>
      <w:r w:rsidR="00956A1A" w:rsidRPr="004C5667">
        <w:t xml:space="preserve"> are not captured. The inherent uncertainty attached to the value of biodiversity on a local, national and global level meant that this benefit could not be quantified. </w:t>
      </w:r>
      <w:r w:rsidR="00BF15A0">
        <w:t>Defra</w:t>
      </w:r>
      <w:r w:rsidR="00956A1A" w:rsidRPr="004C5667">
        <w:t xml:space="preserve"> country-level application of academic literature suggests that 5 of the 6 countries in which country-level projects would potentially operate through the program all place within the top 20 countries in the world for the diversity of mangrove-dependent species – Panama, Colombia and Haiti all place within the top 10, as </w:t>
      </w:r>
      <w:r w:rsidR="00745200" w:rsidRPr="00745200">
        <w:rPr>
          <w:i/>
        </w:rPr>
        <w:t>Figure 8</w:t>
      </w:r>
      <w:r w:rsidR="00956A1A" w:rsidRPr="004C5667">
        <w:t xml:space="preserve"> highlights. In addition, 4 of the countries contain mangrove-dependent species which are critically endangered.</w:t>
      </w:r>
    </w:p>
    <w:tbl>
      <w:tblPr>
        <w:tblW w:w="5000" w:type="pct"/>
        <w:jc w:val="center"/>
        <w:tblLook w:val="04A0" w:firstRow="1" w:lastRow="0" w:firstColumn="1" w:lastColumn="0" w:noHBand="0" w:noVBand="1"/>
      </w:tblPr>
      <w:tblGrid>
        <w:gridCol w:w="1567"/>
        <w:gridCol w:w="1568"/>
        <w:gridCol w:w="1568"/>
        <w:gridCol w:w="1566"/>
        <w:gridCol w:w="1790"/>
        <w:gridCol w:w="1343"/>
      </w:tblGrid>
      <w:tr w:rsidR="00956A1A" w:rsidRPr="004C5667" w14:paraId="2E18F286" w14:textId="77777777" w:rsidTr="003C78C8">
        <w:trPr>
          <w:trHeight w:val="1500"/>
          <w:jc w:val="center"/>
        </w:trPr>
        <w:tc>
          <w:tcPr>
            <w:tcW w:w="83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75E8A593" w14:textId="77777777" w:rsidR="00956A1A" w:rsidRPr="004C5667" w:rsidRDefault="00956A1A" w:rsidP="00EF36DF">
            <w:pPr>
              <w:spacing w:after="0"/>
              <w:rPr>
                <w:rFonts w:eastAsia="Times New Roman"/>
                <w:color w:val="000000"/>
              </w:rPr>
            </w:pPr>
            <w:r w:rsidRPr="004C5667">
              <w:rPr>
                <w:rFonts w:eastAsia="Times New Roman"/>
                <w:color w:val="000000"/>
              </w:rPr>
              <w:t>Country</w:t>
            </w:r>
          </w:p>
        </w:tc>
        <w:tc>
          <w:tcPr>
            <w:tcW w:w="834" w:type="pct"/>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7924F3BB" w14:textId="77777777" w:rsidR="00956A1A" w:rsidRPr="004C5667" w:rsidRDefault="00956A1A" w:rsidP="00EF36DF">
            <w:pPr>
              <w:spacing w:after="0"/>
              <w:rPr>
                <w:rFonts w:eastAsia="Times New Roman"/>
                <w:color w:val="000000"/>
              </w:rPr>
            </w:pPr>
            <w:r w:rsidRPr="004C5667">
              <w:rPr>
                <w:rFonts w:eastAsia="Times New Roman"/>
                <w:color w:val="000000"/>
              </w:rPr>
              <w:t>Number of Mangrove Dependent Species</w:t>
            </w:r>
          </w:p>
        </w:tc>
        <w:tc>
          <w:tcPr>
            <w:tcW w:w="834" w:type="pct"/>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19A74C8A" w14:textId="77777777" w:rsidR="00956A1A" w:rsidRPr="004C5667" w:rsidRDefault="00956A1A" w:rsidP="00EF36DF">
            <w:pPr>
              <w:spacing w:after="0"/>
              <w:rPr>
                <w:rFonts w:eastAsia="Times New Roman"/>
                <w:color w:val="000000"/>
              </w:rPr>
            </w:pPr>
            <w:r w:rsidRPr="004C5667">
              <w:rPr>
                <w:rFonts w:eastAsia="Times New Roman"/>
                <w:color w:val="000000"/>
              </w:rPr>
              <w:t>Number of VU/NT Mangrove Dependent Species</w:t>
            </w:r>
          </w:p>
        </w:tc>
        <w:tc>
          <w:tcPr>
            <w:tcW w:w="833" w:type="pct"/>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42300A7F" w14:textId="77777777" w:rsidR="00956A1A" w:rsidRPr="004C5667" w:rsidRDefault="00956A1A" w:rsidP="00EF36DF">
            <w:pPr>
              <w:spacing w:after="0"/>
              <w:rPr>
                <w:rFonts w:eastAsia="Times New Roman"/>
                <w:color w:val="000000"/>
              </w:rPr>
            </w:pPr>
            <w:r w:rsidRPr="004C5667">
              <w:rPr>
                <w:rFonts w:eastAsia="Times New Roman"/>
                <w:color w:val="000000"/>
              </w:rPr>
              <w:t>Number of EN Mangrove Dependent Species</w:t>
            </w:r>
          </w:p>
        </w:tc>
        <w:tc>
          <w:tcPr>
            <w:tcW w:w="952" w:type="pct"/>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480F8519" w14:textId="77777777" w:rsidR="00956A1A" w:rsidRPr="004C5667" w:rsidRDefault="00956A1A" w:rsidP="00EF36DF">
            <w:pPr>
              <w:spacing w:after="0"/>
              <w:rPr>
                <w:rFonts w:eastAsia="Times New Roman"/>
                <w:color w:val="000000"/>
              </w:rPr>
            </w:pPr>
            <w:r w:rsidRPr="004C5667">
              <w:rPr>
                <w:rFonts w:eastAsia="Times New Roman"/>
                <w:color w:val="000000"/>
              </w:rPr>
              <w:t>Number of CR Mangrove Dependent Species</w:t>
            </w:r>
          </w:p>
        </w:tc>
        <w:tc>
          <w:tcPr>
            <w:tcW w:w="715" w:type="pct"/>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1671FD8E" w14:textId="77777777" w:rsidR="00956A1A" w:rsidRPr="004C5667" w:rsidRDefault="00956A1A" w:rsidP="00EF36DF">
            <w:pPr>
              <w:spacing w:after="0"/>
              <w:rPr>
                <w:rFonts w:eastAsia="Times New Roman"/>
                <w:color w:val="000000"/>
              </w:rPr>
            </w:pPr>
            <w:r w:rsidRPr="004C5667">
              <w:rPr>
                <w:rFonts w:eastAsia="Times New Roman"/>
                <w:color w:val="000000"/>
              </w:rPr>
              <w:t>Weighted Score</w:t>
            </w:r>
          </w:p>
        </w:tc>
      </w:tr>
      <w:tr w:rsidR="00956A1A" w:rsidRPr="004C5667" w14:paraId="3D9E2D63" w14:textId="77777777" w:rsidTr="003C78C8">
        <w:trPr>
          <w:trHeight w:val="315"/>
          <w:jc w:val="center"/>
        </w:trPr>
        <w:tc>
          <w:tcPr>
            <w:tcW w:w="833" w:type="pct"/>
            <w:tcBorders>
              <w:top w:val="nil"/>
              <w:left w:val="single" w:sz="4" w:space="0" w:color="auto"/>
              <w:bottom w:val="single" w:sz="4" w:space="0" w:color="auto"/>
              <w:right w:val="single" w:sz="4" w:space="0" w:color="auto"/>
            </w:tcBorders>
            <w:shd w:val="clear" w:color="000000" w:fill="FFFFFF"/>
            <w:vAlign w:val="center"/>
            <w:hideMark/>
          </w:tcPr>
          <w:p w14:paraId="0E1CD287" w14:textId="77777777" w:rsidR="00956A1A" w:rsidRPr="004C5667" w:rsidRDefault="00956A1A" w:rsidP="00EF36DF">
            <w:pPr>
              <w:spacing w:after="0"/>
              <w:rPr>
                <w:rFonts w:eastAsia="Times New Roman"/>
                <w:b/>
                <w:bCs/>
              </w:rPr>
            </w:pPr>
            <w:r w:rsidRPr="004C5667">
              <w:rPr>
                <w:rFonts w:eastAsia="Times New Roman"/>
                <w:b/>
                <w:bCs/>
              </w:rPr>
              <w:t>Malaysia</w:t>
            </w:r>
          </w:p>
        </w:tc>
        <w:tc>
          <w:tcPr>
            <w:tcW w:w="834" w:type="pct"/>
            <w:tcBorders>
              <w:top w:val="nil"/>
              <w:left w:val="nil"/>
              <w:bottom w:val="single" w:sz="4" w:space="0" w:color="auto"/>
              <w:right w:val="single" w:sz="4" w:space="0" w:color="auto"/>
            </w:tcBorders>
            <w:shd w:val="clear" w:color="auto" w:fill="auto"/>
            <w:vAlign w:val="center"/>
            <w:hideMark/>
          </w:tcPr>
          <w:p w14:paraId="02C54257" w14:textId="77777777" w:rsidR="00956A1A" w:rsidRPr="004C5667" w:rsidRDefault="00956A1A" w:rsidP="00EF36DF">
            <w:pPr>
              <w:spacing w:after="0"/>
              <w:rPr>
                <w:rFonts w:eastAsia="Times New Roman"/>
              </w:rPr>
            </w:pPr>
            <w:r w:rsidRPr="004C5667">
              <w:rPr>
                <w:rFonts w:eastAsia="Times New Roman"/>
              </w:rPr>
              <w:t>23</w:t>
            </w:r>
          </w:p>
        </w:tc>
        <w:tc>
          <w:tcPr>
            <w:tcW w:w="834" w:type="pct"/>
            <w:tcBorders>
              <w:top w:val="nil"/>
              <w:left w:val="nil"/>
              <w:bottom w:val="single" w:sz="4" w:space="0" w:color="auto"/>
              <w:right w:val="single" w:sz="4" w:space="0" w:color="auto"/>
            </w:tcBorders>
            <w:shd w:val="clear" w:color="auto" w:fill="auto"/>
            <w:vAlign w:val="center"/>
            <w:hideMark/>
          </w:tcPr>
          <w:p w14:paraId="648EA70B" w14:textId="77777777" w:rsidR="00956A1A" w:rsidRPr="004C5667" w:rsidRDefault="00956A1A" w:rsidP="00EF36DF">
            <w:pPr>
              <w:spacing w:after="0"/>
              <w:rPr>
                <w:rFonts w:eastAsia="Times New Roman"/>
              </w:rPr>
            </w:pPr>
            <w:r w:rsidRPr="004C5667">
              <w:rPr>
                <w:rFonts w:eastAsia="Times New Roman"/>
              </w:rPr>
              <w:t>3</w:t>
            </w:r>
          </w:p>
        </w:tc>
        <w:tc>
          <w:tcPr>
            <w:tcW w:w="833" w:type="pct"/>
            <w:tcBorders>
              <w:top w:val="nil"/>
              <w:left w:val="nil"/>
              <w:bottom w:val="single" w:sz="4" w:space="0" w:color="auto"/>
              <w:right w:val="single" w:sz="4" w:space="0" w:color="auto"/>
            </w:tcBorders>
            <w:shd w:val="clear" w:color="auto" w:fill="auto"/>
            <w:vAlign w:val="center"/>
            <w:hideMark/>
          </w:tcPr>
          <w:p w14:paraId="4FAB4DFA" w14:textId="77777777" w:rsidR="00956A1A" w:rsidRPr="004C5667" w:rsidRDefault="00956A1A" w:rsidP="00EF36DF">
            <w:pPr>
              <w:spacing w:after="0"/>
              <w:rPr>
                <w:rFonts w:eastAsia="Times New Roman"/>
              </w:rPr>
            </w:pPr>
            <w:r w:rsidRPr="004C5667">
              <w:rPr>
                <w:rFonts w:eastAsia="Times New Roman"/>
              </w:rPr>
              <w:t>1</w:t>
            </w:r>
          </w:p>
        </w:tc>
        <w:tc>
          <w:tcPr>
            <w:tcW w:w="952" w:type="pct"/>
            <w:tcBorders>
              <w:top w:val="nil"/>
              <w:left w:val="nil"/>
              <w:bottom w:val="single" w:sz="4" w:space="0" w:color="auto"/>
              <w:right w:val="single" w:sz="4" w:space="0" w:color="auto"/>
            </w:tcBorders>
            <w:shd w:val="clear" w:color="auto" w:fill="auto"/>
            <w:vAlign w:val="center"/>
            <w:hideMark/>
          </w:tcPr>
          <w:p w14:paraId="79DB5FC3" w14:textId="77777777" w:rsidR="00956A1A" w:rsidRPr="004C5667" w:rsidRDefault="00956A1A" w:rsidP="00EF36DF">
            <w:pPr>
              <w:spacing w:after="0"/>
              <w:rPr>
                <w:rFonts w:eastAsia="Times New Roman"/>
              </w:rPr>
            </w:pPr>
            <w:r w:rsidRPr="004C5667">
              <w:rPr>
                <w:rFonts w:eastAsia="Times New Roman"/>
              </w:rPr>
              <w:t>0</w:t>
            </w:r>
          </w:p>
        </w:tc>
        <w:tc>
          <w:tcPr>
            <w:tcW w:w="715" w:type="pct"/>
            <w:tcBorders>
              <w:top w:val="nil"/>
              <w:left w:val="nil"/>
              <w:bottom w:val="single" w:sz="4" w:space="0" w:color="auto"/>
              <w:right w:val="single" w:sz="4" w:space="0" w:color="auto"/>
            </w:tcBorders>
            <w:shd w:val="clear" w:color="auto" w:fill="auto"/>
            <w:vAlign w:val="center"/>
            <w:hideMark/>
          </w:tcPr>
          <w:p w14:paraId="6FF5A3EA" w14:textId="77777777" w:rsidR="00956A1A" w:rsidRPr="004C5667" w:rsidRDefault="00956A1A" w:rsidP="00EF36DF">
            <w:pPr>
              <w:spacing w:after="0"/>
              <w:rPr>
                <w:rFonts w:eastAsia="Times New Roman"/>
                <w:b/>
                <w:bCs/>
              </w:rPr>
            </w:pPr>
            <w:r w:rsidRPr="004C5667">
              <w:rPr>
                <w:rFonts w:eastAsia="Times New Roman"/>
                <w:b/>
                <w:bCs/>
              </w:rPr>
              <w:t>37</w:t>
            </w:r>
          </w:p>
        </w:tc>
      </w:tr>
      <w:tr w:rsidR="00956A1A" w:rsidRPr="004C5667" w14:paraId="045DB186" w14:textId="77777777" w:rsidTr="003C78C8">
        <w:trPr>
          <w:trHeight w:val="315"/>
          <w:jc w:val="center"/>
        </w:trPr>
        <w:tc>
          <w:tcPr>
            <w:tcW w:w="833" w:type="pct"/>
            <w:tcBorders>
              <w:top w:val="nil"/>
              <w:left w:val="single" w:sz="4" w:space="0" w:color="auto"/>
              <w:bottom w:val="single" w:sz="4" w:space="0" w:color="auto"/>
              <w:right w:val="single" w:sz="4" w:space="0" w:color="auto"/>
            </w:tcBorders>
            <w:shd w:val="clear" w:color="000000" w:fill="FFFFFF"/>
            <w:vAlign w:val="center"/>
            <w:hideMark/>
          </w:tcPr>
          <w:p w14:paraId="783FFFA9" w14:textId="77777777" w:rsidR="00956A1A" w:rsidRPr="004C5667" w:rsidRDefault="00956A1A" w:rsidP="00EF36DF">
            <w:pPr>
              <w:spacing w:after="0"/>
              <w:rPr>
                <w:rFonts w:eastAsia="Times New Roman"/>
                <w:b/>
                <w:bCs/>
              </w:rPr>
            </w:pPr>
            <w:r w:rsidRPr="004C5667">
              <w:rPr>
                <w:rFonts w:eastAsia="Times New Roman"/>
                <w:b/>
                <w:bCs/>
              </w:rPr>
              <w:t>Cuba</w:t>
            </w:r>
          </w:p>
        </w:tc>
        <w:tc>
          <w:tcPr>
            <w:tcW w:w="834" w:type="pct"/>
            <w:tcBorders>
              <w:top w:val="nil"/>
              <w:left w:val="nil"/>
              <w:bottom w:val="single" w:sz="4" w:space="0" w:color="auto"/>
              <w:right w:val="single" w:sz="4" w:space="0" w:color="auto"/>
            </w:tcBorders>
            <w:shd w:val="clear" w:color="auto" w:fill="auto"/>
            <w:vAlign w:val="center"/>
            <w:hideMark/>
          </w:tcPr>
          <w:p w14:paraId="4A3FE849" w14:textId="77777777" w:rsidR="00956A1A" w:rsidRPr="004C5667" w:rsidRDefault="00956A1A" w:rsidP="00EF36DF">
            <w:pPr>
              <w:spacing w:after="0"/>
              <w:rPr>
                <w:rFonts w:eastAsia="Times New Roman"/>
              </w:rPr>
            </w:pPr>
            <w:r w:rsidRPr="004C5667">
              <w:rPr>
                <w:rFonts w:eastAsia="Times New Roman"/>
              </w:rPr>
              <w:t>10</w:t>
            </w:r>
          </w:p>
        </w:tc>
        <w:tc>
          <w:tcPr>
            <w:tcW w:w="834" w:type="pct"/>
            <w:tcBorders>
              <w:top w:val="nil"/>
              <w:left w:val="nil"/>
              <w:bottom w:val="single" w:sz="4" w:space="0" w:color="auto"/>
              <w:right w:val="single" w:sz="4" w:space="0" w:color="auto"/>
            </w:tcBorders>
            <w:shd w:val="clear" w:color="auto" w:fill="auto"/>
            <w:vAlign w:val="center"/>
            <w:hideMark/>
          </w:tcPr>
          <w:p w14:paraId="10BF15F5" w14:textId="77777777" w:rsidR="00956A1A" w:rsidRPr="004C5667" w:rsidRDefault="00956A1A" w:rsidP="00EF36DF">
            <w:pPr>
              <w:spacing w:after="0"/>
              <w:rPr>
                <w:rFonts w:eastAsia="Times New Roman"/>
              </w:rPr>
            </w:pPr>
            <w:r w:rsidRPr="004C5667">
              <w:rPr>
                <w:rFonts w:eastAsia="Times New Roman"/>
              </w:rPr>
              <w:t>2</w:t>
            </w:r>
          </w:p>
        </w:tc>
        <w:tc>
          <w:tcPr>
            <w:tcW w:w="833" w:type="pct"/>
            <w:tcBorders>
              <w:top w:val="nil"/>
              <w:left w:val="nil"/>
              <w:bottom w:val="single" w:sz="4" w:space="0" w:color="auto"/>
              <w:right w:val="single" w:sz="4" w:space="0" w:color="auto"/>
            </w:tcBorders>
            <w:shd w:val="clear" w:color="auto" w:fill="auto"/>
            <w:vAlign w:val="center"/>
            <w:hideMark/>
          </w:tcPr>
          <w:p w14:paraId="0DBA1EE4" w14:textId="77777777" w:rsidR="00956A1A" w:rsidRPr="004C5667" w:rsidRDefault="00956A1A" w:rsidP="00EF36DF">
            <w:pPr>
              <w:spacing w:after="0"/>
              <w:rPr>
                <w:rFonts w:eastAsia="Times New Roman"/>
              </w:rPr>
            </w:pPr>
            <w:r w:rsidRPr="004C5667">
              <w:rPr>
                <w:rFonts w:eastAsia="Times New Roman"/>
              </w:rPr>
              <w:t>0</w:t>
            </w:r>
          </w:p>
        </w:tc>
        <w:tc>
          <w:tcPr>
            <w:tcW w:w="952" w:type="pct"/>
            <w:tcBorders>
              <w:top w:val="nil"/>
              <w:left w:val="nil"/>
              <w:bottom w:val="single" w:sz="4" w:space="0" w:color="auto"/>
              <w:right w:val="single" w:sz="4" w:space="0" w:color="auto"/>
            </w:tcBorders>
            <w:shd w:val="clear" w:color="auto" w:fill="auto"/>
            <w:vAlign w:val="center"/>
            <w:hideMark/>
          </w:tcPr>
          <w:p w14:paraId="383FBDDC" w14:textId="77777777" w:rsidR="00956A1A" w:rsidRPr="004C5667" w:rsidRDefault="00956A1A" w:rsidP="00EF36DF">
            <w:pPr>
              <w:spacing w:after="0"/>
              <w:rPr>
                <w:rFonts w:eastAsia="Times New Roman"/>
              </w:rPr>
            </w:pPr>
            <w:r w:rsidRPr="004C5667">
              <w:rPr>
                <w:rFonts w:eastAsia="Times New Roman"/>
              </w:rPr>
              <w:t>2</w:t>
            </w:r>
          </w:p>
        </w:tc>
        <w:tc>
          <w:tcPr>
            <w:tcW w:w="715" w:type="pct"/>
            <w:tcBorders>
              <w:top w:val="nil"/>
              <w:left w:val="nil"/>
              <w:bottom w:val="single" w:sz="4" w:space="0" w:color="auto"/>
              <w:right w:val="single" w:sz="4" w:space="0" w:color="auto"/>
            </w:tcBorders>
            <w:shd w:val="clear" w:color="auto" w:fill="auto"/>
            <w:vAlign w:val="center"/>
            <w:hideMark/>
          </w:tcPr>
          <w:p w14:paraId="00638122" w14:textId="77777777" w:rsidR="00956A1A" w:rsidRPr="004C5667" w:rsidRDefault="00956A1A" w:rsidP="00EF36DF">
            <w:pPr>
              <w:spacing w:after="0"/>
              <w:rPr>
                <w:rFonts w:eastAsia="Times New Roman"/>
                <w:b/>
                <w:bCs/>
              </w:rPr>
            </w:pPr>
            <w:r w:rsidRPr="004C5667">
              <w:rPr>
                <w:rFonts w:eastAsia="Times New Roman"/>
                <w:b/>
                <w:bCs/>
              </w:rPr>
              <w:t>36</w:t>
            </w:r>
          </w:p>
        </w:tc>
      </w:tr>
      <w:tr w:rsidR="00956A1A" w:rsidRPr="004C5667" w14:paraId="617A3A36" w14:textId="77777777" w:rsidTr="003C78C8">
        <w:trPr>
          <w:trHeight w:val="315"/>
          <w:jc w:val="center"/>
        </w:trPr>
        <w:tc>
          <w:tcPr>
            <w:tcW w:w="833" w:type="pct"/>
            <w:tcBorders>
              <w:top w:val="nil"/>
              <w:left w:val="single" w:sz="4" w:space="0" w:color="auto"/>
              <w:bottom w:val="single" w:sz="4" w:space="0" w:color="auto"/>
              <w:right w:val="single" w:sz="4" w:space="0" w:color="auto"/>
            </w:tcBorders>
            <w:shd w:val="clear" w:color="000000" w:fill="FFFFFF"/>
            <w:vAlign w:val="center"/>
            <w:hideMark/>
          </w:tcPr>
          <w:p w14:paraId="19700FB1" w14:textId="77777777" w:rsidR="00956A1A" w:rsidRPr="004C5667" w:rsidRDefault="00956A1A" w:rsidP="00EF36DF">
            <w:pPr>
              <w:spacing w:after="0"/>
              <w:rPr>
                <w:rFonts w:eastAsia="Times New Roman"/>
                <w:b/>
                <w:bCs/>
              </w:rPr>
            </w:pPr>
            <w:r w:rsidRPr="004C5667">
              <w:rPr>
                <w:rFonts w:eastAsia="Times New Roman"/>
                <w:b/>
                <w:bCs/>
              </w:rPr>
              <w:t>Indonesia</w:t>
            </w:r>
          </w:p>
        </w:tc>
        <w:tc>
          <w:tcPr>
            <w:tcW w:w="834" w:type="pct"/>
            <w:tcBorders>
              <w:top w:val="nil"/>
              <w:left w:val="nil"/>
              <w:bottom w:val="single" w:sz="4" w:space="0" w:color="auto"/>
              <w:right w:val="single" w:sz="4" w:space="0" w:color="auto"/>
            </w:tcBorders>
            <w:shd w:val="clear" w:color="auto" w:fill="auto"/>
            <w:vAlign w:val="center"/>
            <w:hideMark/>
          </w:tcPr>
          <w:p w14:paraId="7B16A903" w14:textId="77777777" w:rsidR="00956A1A" w:rsidRPr="004C5667" w:rsidRDefault="00956A1A" w:rsidP="00EF36DF">
            <w:pPr>
              <w:spacing w:after="0"/>
              <w:rPr>
                <w:rFonts w:eastAsia="Times New Roman"/>
              </w:rPr>
            </w:pPr>
            <w:r w:rsidRPr="004C5667">
              <w:rPr>
                <w:rFonts w:eastAsia="Times New Roman"/>
              </w:rPr>
              <w:t>24</w:t>
            </w:r>
          </w:p>
        </w:tc>
        <w:tc>
          <w:tcPr>
            <w:tcW w:w="834" w:type="pct"/>
            <w:tcBorders>
              <w:top w:val="nil"/>
              <w:left w:val="nil"/>
              <w:bottom w:val="single" w:sz="4" w:space="0" w:color="auto"/>
              <w:right w:val="single" w:sz="4" w:space="0" w:color="auto"/>
            </w:tcBorders>
            <w:shd w:val="clear" w:color="auto" w:fill="auto"/>
            <w:vAlign w:val="center"/>
            <w:hideMark/>
          </w:tcPr>
          <w:p w14:paraId="2F5EDC74" w14:textId="77777777" w:rsidR="00956A1A" w:rsidRPr="004C5667" w:rsidRDefault="00956A1A" w:rsidP="00EF36DF">
            <w:pPr>
              <w:spacing w:after="0"/>
              <w:rPr>
                <w:rFonts w:eastAsia="Times New Roman"/>
              </w:rPr>
            </w:pPr>
            <w:r w:rsidRPr="004C5667">
              <w:rPr>
                <w:rFonts w:eastAsia="Times New Roman"/>
              </w:rPr>
              <w:t>1</w:t>
            </w:r>
          </w:p>
        </w:tc>
        <w:tc>
          <w:tcPr>
            <w:tcW w:w="833" w:type="pct"/>
            <w:tcBorders>
              <w:top w:val="nil"/>
              <w:left w:val="nil"/>
              <w:bottom w:val="single" w:sz="4" w:space="0" w:color="auto"/>
              <w:right w:val="single" w:sz="4" w:space="0" w:color="auto"/>
            </w:tcBorders>
            <w:shd w:val="clear" w:color="auto" w:fill="auto"/>
            <w:vAlign w:val="center"/>
            <w:hideMark/>
          </w:tcPr>
          <w:p w14:paraId="653C0FDA" w14:textId="77777777" w:rsidR="00956A1A" w:rsidRPr="004C5667" w:rsidRDefault="00956A1A" w:rsidP="00EF36DF">
            <w:pPr>
              <w:spacing w:after="0"/>
              <w:rPr>
                <w:rFonts w:eastAsia="Times New Roman"/>
              </w:rPr>
            </w:pPr>
            <w:r w:rsidRPr="004C5667">
              <w:rPr>
                <w:rFonts w:eastAsia="Times New Roman"/>
              </w:rPr>
              <w:t>1</w:t>
            </w:r>
          </w:p>
        </w:tc>
        <w:tc>
          <w:tcPr>
            <w:tcW w:w="952" w:type="pct"/>
            <w:tcBorders>
              <w:top w:val="nil"/>
              <w:left w:val="nil"/>
              <w:bottom w:val="single" w:sz="4" w:space="0" w:color="auto"/>
              <w:right w:val="single" w:sz="4" w:space="0" w:color="auto"/>
            </w:tcBorders>
            <w:shd w:val="clear" w:color="auto" w:fill="auto"/>
            <w:vAlign w:val="center"/>
            <w:hideMark/>
          </w:tcPr>
          <w:p w14:paraId="4C39037F" w14:textId="77777777" w:rsidR="00956A1A" w:rsidRPr="004C5667" w:rsidRDefault="00956A1A" w:rsidP="00EF36DF">
            <w:pPr>
              <w:spacing w:after="0"/>
              <w:rPr>
                <w:rFonts w:eastAsia="Times New Roman"/>
              </w:rPr>
            </w:pPr>
            <w:r w:rsidRPr="004C5667">
              <w:rPr>
                <w:rFonts w:eastAsia="Times New Roman"/>
              </w:rPr>
              <w:t>0</w:t>
            </w:r>
          </w:p>
        </w:tc>
        <w:tc>
          <w:tcPr>
            <w:tcW w:w="715" w:type="pct"/>
            <w:tcBorders>
              <w:top w:val="nil"/>
              <w:left w:val="nil"/>
              <w:bottom w:val="single" w:sz="4" w:space="0" w:color="auto"/>
              <w:right w:val="single" w:sz="4" w:space="0" w:color="auto"/>
            </w:tcBorders>
            <w:shd w:val="clear" w:color="auto" w:fill="auto"/>
            <w:vAlign w:val="center"/>
            <w:hideMark/>
          </w:tcPr>
          <w:p w14:paraId="42480F28" w14:textId="77777777" w:rsidR="00956A1A" w:rsidRPr="004C5667" w:rsidRDefault="00956A1A" w:rsidP="00EF36DF">
            <w:pPr>
              <w:spacing w:after="0"/>
              <w:rPr>
                <w:rFonts w:eastAsia="Times New Roman"/>
                <w:b/>
                <w:bCs/>
              </w:rPr>
            </w:pPr>
            <w:r w:rsidRPr="004C5667">
              <w:rPr>
                <w:rFonts w:eastAsia="Times New Roman"/>
                <w:b/>
                <w:bCs/>
              </w:rPr>
              <w:t>32</w:t>
            </w:r>
          </w:p>
        </w:tc>
      </w:tr>
      <w:tr w:rsidR="00956A1A" w:rsidRPr="004C5667" w14:paraId="57B7DDAE" w14:textId="77777777" w:rsidTr="003C78C8">
        <w:trPr>
          <w:trHeight w:val="315"/>
          <w:jc w:val="center"/>
        </w:trPr>
        <w:tc>
          <w:tcPr>
            <w:tcW w:w="833" w:type="pct"/>
            <w:tcBorders>
              <w:top w:val="nil"/>
              <w:left w:val="single" w:sz="4" w:space="0" w:color="auto"/>
              <w:bottom w:val="single" w:sz="4" w:space="0" w:color="auto"/>
              <w:right w:val="single" w:sz="4" w:space="0" w:color="auto"/>
            </w:tcBorders>
            <w:shd w:val="clear" w:color="000000" w:fill="92D050"/>
            <w:vAlign w:val="center"/>
            <w:hideMark/>
          </w:tcPr>
          <w:p w14:paraId="29180ACD" w14:textId="77777777" w:rsidR="00956A1A" w:rsidRPr="004C5667" w:rsidRDefault="00956A1A" w:rsidP="00EF36DF">
            <w:pPr>
              <w:spacing w:after="0"/>
              <w:rPr>
                <w:rFonts w:eastAsia="Times New Roman"/>
                <w:b/>
                <w:bCs/>
              </w:rPr>
            </w:pPr>
            <w:r w:rsidRPr="004C5667">
              <w:rPr>
                <w:rFonts w:eastAsia="Times New Roman"/>
                <w:b/>
                <w:bCs/>
              </w:rPr>
              <w:t>Panama</w:t>
            </w:r>
          </w:p>
        </w:tc>
        <w:tc>
          <w:tcPr>
            <w:tcW w:w="834" w:type="pct"/>
            <w:tcBorders>
              <w:top w:val="nil"/>
              <w:left w:val="nil"/>
              <w:bottom w:val="single" w:sz="4" w:space="0" w:color="auto"/>
              <w:right w:val="single" w:sz="4" w:space="0" w:color="auto"/>
            </w:tcBorders>
            <w:shd w:val="clear" w:color="auto" w:fill="auto"/>
            <w:vAlign w:val="center"/>
            <w:hideMark/>
          </w:tcPr>
          <w:p w14:paraId="1A632481" w14:textId="77777777" w:rsidR="00956A1A" w:rsidRPr="004C5667" w:rsidRDefault="00956A1A" w:rsidP="00EF36DF">
            <w:pPr>
              <w:spacing w:after="0"/>
              <w:rPr>
                <w:rFonts w:eastAsia="Times New Roman"/>
              </w:rPr>
            </w:pPr>
            <w:r w:rsidRPr="004C5667">
              <w:rPr>
                <w:rFonts w:eastAsia="Times New Roman"/>
              </w:rPr>
              <w:t>9</w:t>
            </w:r>
          </w:p>
        </w:tc>
        <w:tc>
          <w:tcPr>
            <w:tcW w:w="834" w:type="pct"/>
            <w:tcBorders>
              <w:top w:val="nil"/>
              <w:left w:val="nil"/>
              <w:bottom w:val="single" w:sz="4" w:space="0" w:color="auto"/>
              <w:right w:val="single" w:sz="4" w:space="0" w:color="auto"/>
            </w:tcBorders>
            <w:shd w:val="clear" w:color="auto" w:fill="auto"/>
            <w:vAlign w:val="center"/>
            <w:hideMark/>
          </w:tcPr>
          <w:p w14:paraId="687C2E05" w14:textId="77777777" w:rsidR="00956A1A" w:rsidRPr="004C5667" w:rsidRDefault="00956A1A" w:rsidP="00EF36DF">
            <w:pPr>
              <w:spacing w:after="0"/>
              <w:rPr>
                <w:rFonts w:eastAsia="Times New Roman"/>
              </w:rPr>
            </w:pPr>
            <w:r w:rsidRPr="004C5667">
              <w:rPr>
                <w:rFonts w:eastAsia="Times New Roman"/>
              </w:rPr>
              <w:t>1</w:t>
            </w:r>
          </w:p>
        </w:tc>
        <w:tc>
          <w:tcPr>
            <w:tcW w:w="833" w:type="pct"/>
            <w:tcBorders>
              <w:top w:val="nil"/>
              <w:left w:val="nil"/>
              <w:bottom w:val="single" w:sz="4" w:space="0" w:color="auto"/>
              <w:right w:val="single" w:sz="4" w:space="0" w:color="auto"/>
            </w:tcBorders>
            <w:shd w:val="clear" w:color="auto" w:fill="auto"/>
            <w:vAlign w:val="center"/>
            <w:hideMark/>
          </w:tcPr>
          <w:p w14:paraId="7EFE68C1" w14:textId="77777777" w:rsidR="00956A1A" w:rsidRPr="004C5667" w:rsidRDefault="00956A1A" w:rsidP="00EF36DF">
            <w:pPr>
              <w:spacing w:after="0"/>
              <w:rPr>
                <w:rFonts w:eastAsia="Times New Roman"/>
              </w:rPr>
            </w:pPr>
            <w:r w:rsidRPr="004C5667">
              <w:rPr>
                <w:rFonts w:eastAsia="Times New Roman"/>
              </w:rPr>
              <w:t>1</w:t>
            </w:r>
          </w:p>
        </w:tc>
        <w:tc>
          <w:tcPr>
            <w:tcW w:w="952" w:type="pct"/>
            <w:tcBorders>
              <w:top w:val="nil"/>
              <w:left w:val="nil"/>
              <w:bottom w:val="single" w:sz="4" w:space="0" w:color="auto"/>
              <w:right w:val="single" w:sz="4" w:space="0" w:color="auto"/>
            </w:tcBorders>
            <w:shd w:val="clear" w:color="auto" w:fill="auto"/>
            <w:vAlign w:val="center"/>
            <w:hideMark/>
          </w:tcPr>
          <w:p w14:paraId="0105A662" w14:textId="77777777" w:rsidR="00956A1A" w:rsidRPr="004C5667" w:rsidRDefault="00956A1A" w:rsidP="00EF36DF">
            <w:pPr>
              <w:spacing w:after="0"/>
              <w:rPr>
                <w:rFonts w:eastAsia="Times New Roman"/>
              </w:rPr>
            </w:pPr>
            <w:r w:rsidRPr="004C5667">
              <w:rPr>
                <w:rFonts w:eastAsia="Times New Roman"/>
              </w:rPr>
              <w:t>1</w:t>
            </w:r>
          </w:p>
        </w:tc>
        <w:tc>
          <w:tcPr>
            <w:tcW w:w="715" w:type="pct"/>
            <w:tcBorders>
              <w:top w:val="nil"/>
              <w:left w:val="nil"/>
              <w:bottom w:val="single" w:sz="4" w:space="0" w:color="auto"/>
              <w:right w:val="single" w:sz="4" w:space="0" w:color="auto"/>
            </w:tcBorders>
            <w:shd w:val="clear" w:color="auto" w:fill="auto"/>
            <w:vAlign w:val="center"/>
            <w:hideMark/>
          </w:tcPr>
          <w:p w14:paraId="50CCB13A" w14:textId="77777777" w:rsidR="00956A1A" w:rsidRPr="004C5667" w:rsidRDefault="00956A1A" w:rsidP="00EF36DF">
            <w:pPr>
              <w:spacing w:after="0"/>
              <w:rPr>
                <w:rFonts w:eastAsia="Times New Roman"/>
                <w:b/>
                <w:bCs/>
              </w:rPr>
            </w:pPr>
            <w:r w:rsidRPr="004C5667">
              <w:rPr>
                <w:rFonts w:eastAsia="Times New Roman"/>
                <w:b/>
                <w:bCs/>
              </w:rPr>
              <w:t>27</w:t>
            </w:r>
          </w:p>
        </w:tc>
      </w:tr>
      <w:tr w:rsidR="00956A1A" w:rsidRPr="004C5667" w14:paraId="1E8CEEFE" w14:textId="77777777" w:rsidTr="003C78C8">
        <w:trPr>
          <w:trHeight w:val="315"/>
          <w:jc w:val="center"/>
        </w:trPr>
        <w:tc>
          <w:tcPr>
            <w:tcW w:w="833" w:type="pct"/>
            <w:tcBorders>
              <w:top w:val="nil"/>
              <w:left w:val="single" w:sz="4" w:space="0" w:color="auto"/>
              <w:bottom w:val="single" w:sz="4" w:space="0" w:color="auto"/>
              <w:right w:val="single" w:sz="4" w:space="0" w:color="auto"/>
            </w:tcBorders>
            <w:shd w:val="clear" w:color="000000" w:fill="FFFFFF"/>
            <w:vAlign w:val="center"/>
            <w:hideMark/>
          </w:tcPr>
          <w:p w14:paraId="43C038D3" w14:textId="77777777" w:rsidR="00956A1A" w:rsidRPr="004C5667" w:rsidRDefault="00956A1A" w:rsidP="00EF36DF">
            <w:pPr>
              <w:spacing w:after="0"/>
              <w:rPr>
                <w:rFonts w:eastAsia="Times New Roman"/>
                <w:b/>
                <w:bCs/>
              </w:rPr>
            </w:pPr>
            <w:r w:rsidRPr="004C5667">
              <w:rPr>
                <w:rFonts w:eastAsia="Times New Roman"/>
                <w:b/>
                <w:bCs/>
              </w:rPr>
              <w:t>Costa Rica</w:t>
            </w:r>
          </w:p>
        </w:tc>
        <w:tc>
          <w:tcPr>
            <w:tcW w:w="834" w:type="pct"/>
            <w:tcBorders>
              <w:top w:val="nil"/>
              <w:left w:val="nil"/>
              <w:bottom w:val="single" w:sz="4" w:space="0" w:color="auto"/>
              <w:right w:val="single" w:sz="4" w:space="0" w:color="auto"/>
            </w:tcBorders>
            <w:shd w:val="clear" w:color="auto" w:fill="auto"/>
            <w:vAlign w:val="center"/>
            <w:hideMark/>
          </w:tcPr>
          <w:p w14:paraId="4050BD9C" w14:textId="77777777" w:rsidR="00956A1A" w:rsidRPr="004C5667" w:rsidRDefault="00956A1A" w:rsidP="00EF36DF">
            <w:pPr>
              <w:spacing w:after="0"/>
              <w:rPr>
                <w:rFonts w:eastAsia="Times New Roman"/>
              </w:rPr>
            </w:pPr>
            <w:r w:rsidRPr="004C5667">
              <w:rPr>
                <w:rFonts w:eastAsia="Times New Roman"/>
              </w:rPr>
              <w:t>10</w:t>
            </w:r>
          </w:p>
        </w:tc>
        <w:tc>
          <w:tcPr>
            <w:tcW w:w="834" w:type="pct"/>
            <w:tcBorders>
              <w:top w:val="nil"/>
              <w:left w:val="nil"/>
              <w:bottom w:val="single" w:sz="4" w:space="0" w:color="auto"/>
              <w:right w:val="single" w:sz="4" w:space="0" w:color="auto"/>
            </w:tcBorders>
            <w:shd w:val="clear" w:color="auto" w:fill="auto"/>
            <w:vAlign w:val="center"/>
            <w:hideMark/>
          </w:tcPr>
          <w:p w14:paraId="7486E408" w14:textId="77777777" w:rsidR="00956A1A" w:rsidRPr="004C5667" w:rsidRDefault="00956A1A" w:rsidP="00EF36DF">
            <w:pPr>
              <w:spacing w:after="0"/>
              <w:rPr>
                <w:rFonts w:eastAsia="Times New Roman"/>
              </w:rPr>
            </w:pPr>
            <w:r w:rsidRPr="004C5667">
              <w:rPr>
                <w:rFonts w:eastAsia="Times New Roman"/>
              </w:rPr>
              <w:t>2</w:t>
            </w:r>
          </w:p>
        </w:tc>
        <w:tc>
          <w:tcPr>
            <w:tcW w:w="833" w:type="pct"/>
            <w:tcBorders>
              <w:top w:val="nil"/>
              <w:left w:val="nil"/>
              <w:bottom w:val="single" w:sz="4" w:space="0" w:color="auto"/>
              <w:right w:val="single" w:sz="4" w:space="0" w:color="auto"/>
            </w:tcBorders>
            <w:shd w:val="clear" w:color="auto" w:fill="auto"/>
            <w:vAlign w:val="center"/>
            <w:hideMark/>
          </w:tcPr>
          <w:p w14:paraId="75E7095A" w14:textId="77777777" w:rsidR="00956A1A" w:rsidRPr="004C5667" w:rsidRDefault="00956A1A" w:rsidP="00EF36DF">
            <w:pPr>
              <w:spacing w:after="0"/>
              <w:rPr>
                <w:rFonts w:eastAsia="Times New Roman"/>
              </w:rPr>
            </w:pPr>
            <w:r w:rsidRPr="004C5667">
              <w:rPr>
                <w:rFonts w:eastAsia="Times New Roman"/>
              </w:rPr>
              <w:t>2</w:t>
            </w:r>
          </w:p>
        </w:tc>
        <w:tc>
          <w:tcPr>
            <w:tcW w:w="952" w:type="pct"/>
            <w:tcBorders>
              <w:top w:val="nil"/>
              <w:left w:val="nil"/>
              <w:bottom w:val="single" w:sz="4" w:space="0" w:color="auto"/>
              <w:right w:val="single" w:sz="4" w:space="0" w:color="auto"/>
            </w:tcBorders>
            <w:shd w:val="clear" w:color="auto" w:fill="auto"/>
            <w:vAlign w:val="center"/>
            <w:hideMark/>
          </w:tcPr>
          <w:p w14:paraId="3B5ECB0A" w14:textId="77777777" w:rsidR="00956A1A" w:rsidRPr="004C5667" w:rsidRDefault="00956A1A" w:rsidP="00EF36DF">
            <w:pPr>
              <w:spacing w:after="0"/>
              <w:rPr>
                <w:rFonts w:eastAsia="Times New Roman"/>
              </w:rPr>
            </w:pPr>
            <w:r w:rsidRPr="004C5667">
              <w:rPr>
                <w:rFonts w:eastAsia="Times New Roman"/>
              </w:rPr>
              <w:t>0</w:t>
            </w:r>
          </w:p>
        </w:tc>
        <w:tc>
          <w:tcPr>
            <w:tcW w:w="715" w:type="pct"/>
            <w:tcBorders>
              <w:top w:val="nil"/>
              <w:left w:val="nil"/>
              <w:bottom w:val="single" w:sz="4" w:space="0" w:color="auto"/>
              <w:right w:val="single" w:sz="4" w:space="0" w:color="auto"/>
            </w:tcBorders>
            <w:shd w:val="clear" w:color="auto" w:fill="auto"/>
            <w:vAlign w:val="center"/>
            <w:hideMark/>
          </w:tcPr>
          <w:p w14:paraId="3EA01686" w14:textId="77777777" w:rsidR="00956A1A" w:rsidRPr="004C5667" w:rsidRDefault="00956A1A" w:rsidP="00EF36DF">
            <w:pPr>
              <w:spacing w:after="0"/>
              <w:rPr>
                <w:rFonts w:eastAsia="Times New Roman"/>
                <w:b/>
                <w:bCs/>
              </w:rPr>
            </w:pPr>
            <w:r w:rsidRPr="004C5667">
              <w:rPr>
                <w:rFonts w:eastAsia="Times New Roman"/>
                <w:b/>
                <w:bCs/>
              </w:rPr>
              <w:t>26</w:t>
            </w:r>
          </w:p>
        </w:tc>
      </w:tr>
      <w:tr w:rsidR="00956A1A" w:rsidRPr="004C5667" w14:paraId="1501E9C8" w14:textId="77777777" w:rsidTr="003C78C8">
        <w:trPr>
          <w:trHeight w:val="315"/>
          <w:jc w:val="center"/>
        </w:trPr>
        <w:tc>
          <w:tcPr>
            <w:tcW w:w="833" w:type="pct"/>
            <w:tcBorders>
              <w:top w:val="nil"/>
              <w:left w:val="single" w:sz="4" w:space="0" w:color="auto"/>
              <w:bottom w:val="single" w:sz="4" w:space="0" w:color="auto"/>
              <w:right w:val="single" w:sz="4" w:space="0" w:color="auto"/>
            </w:tcBorders>
            <w:shd w:val="clear" w:color="000000" w:fill="FFFFFF"/>
            <w:vAlign w:val="center"/>
            <w:hideMark/>
          </w:tcPr>
          <w:p w14:paraId="1FB957B9" w14:textId="77777777" w:rsidR="00956A1A" w:rsidRPr="004C5667" w:rsidRDefault="00956A1A" w:rsidP="00EF36DF">
            <w:pPr>
              <w:spacing w:after="0"/>
              <w:rPr>
                <w:rFonts w:eastAsia="Times New Roman"/>
                <w:b/>
                <w:bCs/>
              </w:rPr>
            </w:pPr>
            <w:r w:rsidRPr="004C5667">
              <w:rPr>
                <w:rFonts w:eastAsia="Times New Roman"/>
                <w:b/>
                <w:bCs/>
              </w:rPr>
              <w:t>Philippines</w:t>
            </w:r>
          </w:p>
        </w:tc>
        <w:tc>
          <w:tcPr>
            <w:tcW w:w="834" w:type="pct"/>
            <w:tcBorders>
              <w:top w:val="nil"/>
              <w:left w:val="nil"/>
              <w:bottom w:val="single" w:sz="4" w:space="0" w:color="auto"/>
              <w:right w:val="single" w:sz="4" w:space="0" w:color="auto"/>
            </w:tcBorders>
            <w:shd w:val="clear" w:color="auto" w:fill="auto"/>
            <w:vAlign w:val="center"/>
            <w:hideMark/>
          </w:tcPr>
          <w:p w14:paraId="246718B2" w14:textId="77777777" w:rsidR="00956A1A" w:rsidRPr="004C5667" w:rsidRDefault="00956A1A" w:rsidP="00EF36DF">
            <w:pPr>
              <w:spacing w:after="0"/>
              <w:rPr>
                <w:rFonts w:eastAsia="Times New Roman"/>
              </w:rPr>
            </w:pPr>
            <w:r w:rsidRPr="004C5667">
              <w:rPr>
                <w:rFonts w:eastAsia="Times New Roman"/>
              </w:rPr>
              <w:t>16</w:t>
            </w:r>
          </w:p>
        </w:tc>
        <w:tc>
          <w:tcPr>
            <w:tcW w:w="834" w:type="pct"/>
            <w:tcBorders>
              <w:top w:val="nil"/>
              <w:left w:val="nil"/>
              <w:bottom w:val="single" w:sz="4" w:space="0" w:color="auto"/>
              <w:right w:val="single" w:sz="4" w:space="0" w:color="auto"/>
            </w:tcBorders>
            <w:shd w:val="clear" w:color="auto" w:fill="auto"/>
            <w:vAlign w:val="center"/>
            <w:hideMark/>
          </w:tcPr>
          <w:p w14:paraId="222B18E4" w14:textId="77777777" w:rsidR="00956A1A" w:rsidRPr="004C5667" w:rsidRDefault="00956A1A" w:rsidP="00EF36DF">
            <w:pPr>
              <w:spacing w:after="0"/>
              <w:rPr>
                <w:rFonts w:eastAsia="Times New Roman"/>
              </w:rPr>
            </w:pPr>
            <w:r w:rsidRPr="004C5667">
              <w:rPr>
                <w:rFonts w:eastAsia="Times New Roman"/>
              </w:rPr>
              <w:t>0</w:t>
            </w:r>
          </w:p>
        </w:tc>
        <w:tc>
          <w:tcPr>
            <w:tcW w:w="833" w:type="pct"/>
            <w:tcBorders>
              <w:top w:val="nil"/>
              <w:left w:val="nil"/>
              <w:bottom w:val="single" w:sz="4" w:space="0" w:color="auto"/>
              <w:right w:val="single" w:sz="4" w:space="0" w:color="auto"/>
            </w:tcBorders>
            <w:shd w:val="clear" w:color="auto" w:fill="auto"/>
            <w:vAlign w:val="center"/>
            <w:hideMark/>
          </w:tcPr>
          <w:p w14:paraId="6A66AD74" w14:textId="77777777" w:rsidR="00956A1A" w:rsidRPr="004C5667" w:rsidRDefault="00956A1A" w:rsidP="00EF36DF">
            <w:pPr>
              <w:spacing w:after="0"/>
              <w:rPr>
                <w:rFonts w:eastAsia="Times New Roman"/>
              </w:rPr>
            </w:pPr>
            <w:r w:rsidRPr="004C5667">
              <w:rPr>
                <w:rFonts w:eastAsia="Times New Roman"/>
              </w:rPr>
              <w:t>0</w:t>
            </w:r>
          </w:p>
        </w:tc>
        <w:tc>
          <w:tcPr>
            <w:tcW w:w="952" w:type="pct"/>
            <w:tcBorders>
              <w:top w:val="nil"/>
              <w:left w:val="nil"/>
              <w:bottom w:val="single" w:sz="4" w:space="0" w:color="auto"/>
              <w:right w:val="single" w:sz="4" w:space="0" w:color="auto"/>
            </w:tcBorders>
            <w:shd w:val="clear" w:color="auto" w:fill="auto"/>
            <w:vAlign w:val="center"/>
            <w:hideMark/>
          </w:tcPr>
          <w:p w14:paraId="0019380D" w14:textId="77777777" w:rsidR="00956A1A" w:rsidRPr="004C5667" w:rsidRDefault="00956A1A" w:rsidP="00EF36DF">
            <w:pPr>
              <w:spacing w:after="0"/>
              <w:rPr>
                <w:rFonts w:eastAsia="Times New Roman"/>
              </w:rPr>
            </w:pPr>
            <w:r w:rsidRPr="004C5667">
              <w:rPr>
                <w:rFonts w:eastAsia="Times New Roman"/>
              </w:rPr>
              <w:t>1</w:t>
            </w:r>
          </w:p>
        </w:tc>
        <w:tc>
          <w:tcPr>
            <w:tcW w:w="715" w:type="pct"/>
            <w:tcBorders>
              <w:top w:val="nil"/>
              <w:left w:val="nil"/>
              <w:bottom w:val="single" w:sz="4" w:space="0" w:color="auto"/>
              <w:right w:val="single" w:sz="4" w:space="0" w:color="auto"/>
            </w:tcBorders>
            <w:shd w:val="clear" w:color="auto" w:fill="auto"/>
            <w:vAlign w:val="center"/>
            <w:hideMark/>
          </w:tcPr>
          <w:p w14:paraId="6287F654" w14:textId="77777777" w:rsidR="00956A1A" w:rsidRPr="004C5667" w:rsidRDefault="00956A1A" w:rsidP="00EF36DF">
            <w:pPr>
              <w:spacing w:after="0"/>
              <w:rPr>
                <w:rFonts w:eastAsia="Times New Roman"/>
                <w:b/>
                <w:bCs/>
              </w:rPr>
            </w:pPr>
            <w:r w:rsidRPr="004C5667">
              <w:rPr>
                <w:rFonts w:eastAsia="Times New Roman"/>
                <w:b/>
                <w:bCs/>
              </w:rPr>
              <w:t>26</w:t>
            </w:r>
          </w:p>
        </w:tc>
      </w:tr>
      <w:tr w:rsidR="00956A1A" w:rsidRPr="004C5667" w14:paraId="336E05D7" w14:textId="77777777" w:rsidTr="003C78C8">
        <w:trPr>
          <w:trHeight w:val="315"/>
          <w:jc w:val="center"/>
        </w:trPr>
        <w:tc>
          <w:tcPr>
            <w:tcW w:w="833" w:type="pct"/>
            <w:tcBorders>
              <w:top w:val="nil"/>
              <w:left w:val="single" w:sz="4" w:space="0" w:color="auto"/>
              <w:bottom w:val="single" w:sz="4" w:space="0" w:color="auto"/>
              <w:right w:val="single" w:sz="4" w:space="0" w:color="auto"/>
            </w:tcBorders>
            <w:shd w:val="clear" w:color="000000" w:fill="FFFFFF"/>
            <w:vAlign w:val="center"/>
            <w:hideMark/>
          </w:tcPr>
          <w:p w14:paraId="0572690A" w14:textId="77777777" w:rsidR="00956A1A" w:rsidRPr="004C5667" w:rsidRDefault="00956A1A" w:rsidP="00EF36DF">
            <w:pPr>
              <w:spacing w:after="0"/>
              <w:rPr>
                <w:rFonts w:eastAsia="Times New Roman"/>
                <w:b/>
                <w:bCs/>
              </w:rPr>
            </w:pPr>
            <w:r w:rsidRPr="004C5667">
              <w:rPr>
                <w:rFonts w:eastAsia="Times New Roman"/>
                <w:b/>
                <w:bCs/>
              </w:rPr>
              <w:t>Thailand</w:t>
            </w:r>
          </w:p>
        </w:tc>
        <w:tc>
          <w:tcPr>
            <w:tcW w:w="834" w:type="pct"/>
            <w:tcBorders>
              <w:top w:val="nil"/>
              <w:left w:val="nil"/>
              <w:bottom w:val="single" w:sz="4" w:space="0" w:color="auto"/>
              <w:right w:val="single" w:sz="4" w:space="0" w:color="auto"/>
            </w:tcBorders>
            <w:shd w:val="clear" w:color="auto" w:fill="auto"/>
            <w:vAlign w:val="center"/>
            <w:hideMark/>
          </w:tcPr>
          <w:p w14:paraId="11344DC6" w14:textId="77777777" w:rsidR="00956A1A" w:rsidRPr="004C5667" w:rsidRDefault="00956A1A" w:rsidP="00EF36DF">
            <w:pPr>
              <w:spacing w:after="0"/>
              <w:rPr>
                <w:rFonts w:eastAsia="Times New Roman"/>
              </w:rPr>
            </w:pPr>
            <w:r w:rsidRPr="004C5667">
              <w:rPr>
                <w:rFonts w:eastAsia="Times New Roman"/>
              </w:rPr>
              <w:t>17</w:t>
            </w:r>
          </w:p>
        </w:tc>
        <w:tc>
          <w:tcPr>
            <w:tcW w:w="834" w:type="pct"/>
            <w:tcBorders>
              <w:top w:val="nil"/>
              <w:left w:val="nil"/>
              <w:bottom w:val="single" w:sz="4" w:space="0" w:color="auto"/>
              <w:right w:val="single" w:sz="4" w:space="0" w:color="auto"/>
            </w:tcBorders>
            <w:shd w:val="clear" w:color="auto" w:fill="auto"/>
            <w:vAlign w:val="center"/>
            <w:hideMark/>
          </w:tcPr>
          <w:p w14:paraId="1E984DB1" w14:textId="77777777" w:rsidR="00956A1A" w:rsidRPr="004C5667" w:rsidRDefault="00956A1A" w:rsidP="00EF36DF">
            <w:pPr>
              <w:spacing w:after="0"/>
              <w:rPr>
                <w:rFonts w:eastAsia="Times New Roman"/>
              </w:rPr>
            </w:pPr>
            <w:r w:rsidRPr="004C5667">
              <w:rPr>
                <w:rFonts w:eastAsia="Times New Roman"/>
              </w:rPr>
              <w:t>3</w:t>
            </w:r>
          </w:p>
        </w:tc>
        <w:tc>
          <w:tcPr>
            <w:tcW w:w="833" w:type="pct"/>
            <w:tcBorders>
              <w:top w:val="nil"/>
              <w:left w:val="nil"/>
              <w:bottom w:val="single" w:sz="4" w:space="0" w:color="auto"/>
              <w:right w:val="single" w:sz="4" w:space="0" w:color="auto"/>
            </w:tcBorders>
            <w:shd w:val="clear" w:color="auto" w:fill="auto"/>
            <w:vAlign w:val="center"/>
            <w:hideMark/>
          </w:tcPr>
          <w:p w14:paraId="53E951F2" w14:textId="77777777" w:rsidR="00956A1A" w:rsidRPr="004C5667" w:rsidRDefault="00956A1A" w:rsidP="00EF36DF">
            <w:pPr>
              <w:spacing w:after="0"/>
              <w:rPr>
                <w:rFonts w:eastAsia="Times New Roman"/>
              </w:rPr>
            </w:pPr>
            <w:r w:rsidRPr="004C5667">
              <w:rPr>
                <w:rFonts w:eastAsia="Times New Roman"/>
              </w:rPr>
              <w:t>0</w:t>
            </w:r>
          </w:p>
        </w:tc>
        <w:tc>
          <w:tcPr>
            <w:tcW w:w="952" w:type="pct"/>
            <w:tcBorders>
              <w:top w:val="nil"/>
              <w:left w:val="nil"/>
              <w:bottom w:val="single" w:sz="4" w:space="0" w:color="auto"/>
              <w:right w:val="single" w:sz="4" w:space="0" w:color="auto"/>
            </w:tcBorders>
            <w:shd w:val="clear" w:color="auto" w:fill="auto"/>
            <w:vAlign w:val="center"/>
            <w:hideMark/>
          </w:tcPr>
          <w:p w14:paraId="38F9982A" w14:textId="77777777" w:rsidR="00956A1A" w:rsidRPr="004C5667" w:rsidRDefault="00956A1A" w:rsidP="00EF36DF">
            <w:pPr>
              <w:spacing w:after="0"/>
              <w:rPr>
                <w:rFonts w:eastAsia="Times New Roman"/>
              </w:rPr>
            </w:pPr>
            <w:r w:rsidRPr="004C5667">
              <w:rPr>
                <w:rFonts w:eastAsia="Times New Roman"/>
              </w:rPr>
              <w:t>0</w:t>
            </w:r>
          </w:p>
        </w:tc>
        <w:tc>
          <w:tcPr>
            <w:tcW w:w="715" w:type="pct"/>
            <w:tcBorders>
              <w:top w:val="nil"/>
              <w:left w:val="nil"/>
              <w:bottom w:val="single" w:sz="4" w:space="0" w:color="auto"/>
              <w:right w:val="single" w:sz="4" w:space="0" w:color="auto"/>
            </w:tcBorders>
            <w:shd w:val="clear" w:color="auto" w:fill="auto"/>
            <w:vAlign w:val="center"/>
            <w:hideMark/>
          </w:tcPr>
          <w:p w14:paraId="5A4F68A2" w14:textId="77777777" w:rsidR="00956A1A" w:rsidRPr="004C5667" w:rsidRDefault="00956A1A" w:rsidP="00EF36DF">
            <w:pPr>
              <w:spacing w:after="0"/>
              <w:rPr>
                <w:rFonts w:eastAsia="Times New Roman"/>
                <w:b/>
                <w:bCs/>
              </w:rPr>
            </w:pPr>
            <w:r w:rsidRPr="004C5667">
              <w:rPr>
                <w:rFonts w:eastAsia="Times New Roman"/>
                <w:b/>
                <w:bCs/>
              </w:rPr>
              <w:t>26</w:t>
            </w:r>
          </w:p>
        </w:tc>
      </w:tr>
      <w:tr w:rsidR="00956A1A" w:rsidRPr="004C5667" w14:paraId="4060F637" w14:textId="77777777" w:rsidTr="003C78C8">
        <w:trPr>
          <w:trHeight w:val="315"/>
          <w:jc w:val="center"/>
        </w:trPr>
        <w:tc>
          <w:tcPr>
            <w:tcW w:w="833" w:type="pct"/>
            <w:tcBorders>
              <w:top w:val="nil"/>
              <w:left w:val="single" w:sz="4" w:space="0" w:color="auto"/>
              <w:bottom w:val="single" w:sz="4" w:space="0" w:color="auto"/>
              <w:right w:val="single" w:sz="4" w:space="0" w:color="auto"/>
            </w:tcBorders>
            <w:shd w:val="clear" w:color="000000" w:fill="92D050"/>
            <w:vAlign w:val="center"/>
            <w:hideMark/>
          </w:tcPr>
          <w:p w14:paraId="1EE2CDAB" w14:textId="77777777" w:rsidR="00956A1A" w:rsidRPr="004C5667" w:rsidRDefault="00956A1A" w:rsidP="00EF36DF">
            <w:pPr>
              <w:spacing w:after="0"/>
              <w:rPr>
                <w:rFonts w:eastAsia="Times New Roman"/>
                <w:b/>
                <w:bCs/>
              </w:rPr>
            </w:pPr>
            <w:r w:rsidRPr="004C5667">
              <w:rPr>
                <w:rFonts w:eastAsia="Times New Roman"/>
                <w:b/>
                <w:bCs/>
              </w:rPr>
              <w:t>Colombia</w:t>
            </w:r>
          </w:p>
        </w:tc>
        <w:tc>
          <w:tcPr>
            <w:tcW w:w="834" w:type="pct"/>
            <w:tcBorders>
              <w:top w:val="nil"/>
              <w:left w:val="nil"/>
              <w:bottom w:val="single" w:sz="4" w:space="0" w:color="auto"/>
              <w:right w:val="single" w:sz="4" w:space="0" w:color="auto"/>
            </w:tcBorders>
            <w:shd w:val="clear" w:color="auto" w:fill="auto"/>
            <w:vAlign w:val="center"/>
            <w:hideMark/>
          </w:tcPr>
          <w:p w14:paraId="7DF8D450" w14:textId="77777777" w:rsidR="00956A1A" w:rsidRPr="004C5667" w:rsidRDefault="00956A1A" w:rsidP="00EF36DF">
            <w:pPr>
              <w:spacing w:after="0"/>
              <w:rPr>
                <w:rFonts w:eastAsia="Times New Roman"/>
              </w:rPr>
            </w:pPr>
            <w:r w:rsidRPr="004C5667">
              <w:rPr>
                <w:rFonts w:eastAsia="Times New Roman"/>
              </w:rPr>
              <w:t>9</w:t>
            </w:r>
          </w:p>
        </w:tc>
        <w:tc>
          <w:tcPr>
            <w:tcW w:w="834" w:type="pct"/>
            <w:tcBorders>
              <w:top w:val="nil"/>
              <w:left w:val="nil"/>
              <w:bottom w:val="single" w:sz="4" w:space="0" w:color="auto"/>
              <w:right w:val="single" w:sz="4" w:space="0" w:color="auto"/>
            </w:tcBorders>
            <w:shd w:val="clear" w:color="auto" w:fill="auto"/>
            <w:vAlign w:val="center"/>
            <w:hideMark/>
          </w:tcPr>
          <w:p w14:paraId="4DF5EDEF" w14:textId="77777777" w:rsidR="00956A1A" w:rsidRPr="004C5667" w:rsidRDefault="00956A1A" w:rsidP="00EF36DF">
            <w:pPr>
              <w:spacing w:after="0"/>
              <w:rPr>
                <w:rFonts w:eastAsia="Times New Roman"/>
              </w:rPr>
            </w:pPr>
            <w:r w:rsidRPr="004C5667">
              <w:rPr>
                <w:rFonts w:eastAsia="Times New Roman"/>
              </w:rPr>
              <w:t>2</w:t>
            </w:r>
          </w:p>
        </w:tc>
        <w:tc>
          <w:tcPr>
            <w:tcW w:w="833" w:type="pct"/>
            <w:tcBorders>
              <w:top w:val="nil"/>
              <w:left w:val="nil"/>
              <w:bottom w:val="single" w:sz="4" w:space="0" w:color="auto"/>
              <w:right w:val="single" w:sz="4" w:space="0" w:color="auto"/>
            </w:tcBorders>
            <w:shd w:val="clear" w:color="auto" w:fill="auto"/>
            <w:vAlign w:val="center"/>
            <w:hideMark/>
          </w:tcPr>
          <w:p w14:paraId="6EB5C0D0" w14:textId="77777777" w:rsidR="00956A1A" w:rsidRPr="004C5667" w:rsidRDefault="00956A1A" w:rsidP="00EF36DF">
            <w:pPr>
              <w:spacing w:after="0"/>
              <w:rPr>
                <w:rFonts w:eastAsia="Times New Roman"/>
              </w:rPr>
            </w:pPr>
            <w:r w:rsidRPr="004C5667">
              <w:rPr>
                <w:rFonts w:eastAsia="Times New Roman"/>
              </w:rPr>
              <w:t>0</w:t>
            </w:r>
          </w:p>
        </w:tc>
        <w:tc>
          <w:tcPr>
            <w:tcW w:w="952" w:type="pct"/>
            <w:tcBorders>
              <w:top w:val="nil"/>
              <w:left w:val="nil"/>
              <w:bottom w:val="single" w:sz="4" w:space="0" w:color="auto"/>
              <w:right w:val="single" w:sz="4" w:space="0" w:color="auto"/>
            </w:tcBorders>
            <w:shd w:val="clear" w:color="auto" w:fill="auto"/>
            <w:vAlign w:val="center"/>
            <w:hideMark/>
          </w:tcPr>
          <w:p w14:paraId="4DB2E758" w14:textId="77777777" w:rsidR="00956A1A" w:rsidRPr="004C5667" w:rsidRDefault="00956A1A" w:rsidP="00EF36DF">
            <w:pPr>
              <w:spacing w:after="0"/>
              <w:rPr>
                <w:rFonts w:eastAsia="Times New Roman"/>
              </w:rPr>
            </w:pPr>
            <w:r w:rsidRPr="004C5667">
              <w:rPr>
                <w:rFonts w:eastAsia="Times New Roman"/>
              </w:rPr>
              <w:t>1</w:t>
            </w:r>
          </w:p>
        </w:tc>
        <w:tc>
          <w:tcPr>
            <w:tcW w:w="715" w:type="pct"/>
            <w:tcBorders>
              <w:top w:val="nil"/>
              <w:left w:val="nil"/>
              <w:bottom w:val="single" w:sz="4" w:space="0" w:color="auto"/>
              <w:right w:val="single" w:sz="4" w:space="0" w:color="auto"/>
            </w:tcBorders>
            <w:shd w:val="clear" w:color="auto" w:fill="auto"/>
            <w:vAlign w:val="center"/>
            <w:hideMark/>
          </w:tcPr>
          <w:p w14:paraId="6361F781" w14:textId="77777777" w:rsidR="00956A1A" w:rsidRPr="004C5667" w:rsidRDefault="00956A1A" w:rsidP="00EF36DF">
            <w:pPr>
              <w:spacing w:after="0"/>
              <w:rPr>
                <w:rFonts w:eastAsia="Times New Roman"/>
                <w:b/>
                <w:bCs/>
              </w:rPr>
            </w:pPr>
            <w:r w:rsidRPr="004C5667">
              <w:rPr>
                <w:rFonts w:eastAsia="Times New Roman"/>
                <w:b/>
                <w:bCs/>
              </w:rPr>
              <w:t>25</w:t>
            </w:r>
          </w:p>
        </w:tc>
      </w:tr>
      <w:tr w:rsidR="00956A1A" w:rsidRPr="004C5667" w14:paraId="2F3E9334" w14:textId="77777777" w:rsidTr="003C78C8">
        <w:trPr>
          <w:trHeight w:val="315"/>
          <w:jc w:val="center"/>
        </w:trPr>
        <w:tc>
          <w:tcPr>
            <w:tcW w:w="833" w:type="pct"/>
            <w:tcBorders>
              <w:top w:val="nil"/>
              <w:left w:val="single" w:sz="4" w:space="0" w:color="auto"/>
              <w:bottom w:val="single" w:sz="4" w:space="0" w:color="auto"/>
              <w:right w:val="single" w:sz="4" w:space="0" w:color="auto"/>
            </w:tcBorders>
            <w:shd w:val="clear" w:color="000000" w:fill="92D050"/>
            <w:vAlign w:val="center"/>
            <w:hideMark/>
          </w:tcPr>
          <w:p w14:paraId="62D27A77" w14:textId="77777777" w:rsidR="00956A1A" w:rsidRPr="004C5667" w:rsidRDefault="00956A1A" w:rsidP="00EF36DF">
            <w:pPr>
              <w:spacing w:after="0"/>
              <w:rPr>
                <w:rFonts w:eastAsia="Times New Roman"/>
                <w:b/>
                <w:bCs/>
              </w:rPr>
            </w:pPr>
            <w:r w:rsidRPr="004C5667">
              <w:rPr>
                <w:rFonts w:eastAsia="Times New Roman"/>
                <w:b/>
                <w:bCs/>
              </w:rPr>
              <w:t>Haiti</w:t>
            </w:r>
          </w:p>
        </w:tc>
        <w:tc>
          <w:tcPr>
            <w:tcW w:w="834" w:type="pct"/>
            <w:tcBorders>
              <w:top w:val="nil"/>
              <w:left w:val="nil"/>
              <w:bottom w:val="single" w:sz="4" w:space="0" w:color="auto"/>
              <w:right w:val="single" w:sz="4" w:space="0" w:color="auto"/>
            </w:tcBorders>
            <w:shd w:val="clear" w:color="auto" w:fill="auto"/>
            <w:vAlign w:val="center"/>
            <w:hideMark/>
          </w:tcPr>
          <w:p w14:paraId="3FB102F1" w14:textId="77777777" w:rsidR="00956A1A" w:rsidRPr="004C5667" w:rsidRDefault="00956A1A" w:rsidP="00EF36DF">
            <w:pPr>
              <w:spacing w:after="0"/>
              <w:rPr>
                <w:rFonts w:eastAsia="Times New Roman"/>
              </w:rPr>
            </w:pPr>
            <w:r w:rsidRPr="004C5667">
              <w:rPr>
                <w:rFonts w:eastAsia="Times New Roman"/>
              </w:rPr>
              <w:t>9</w:t>
            </w:r>
          </w:p>
        </w:tc>
        <w:tc>
          <w:tcPr>
            <w:tcW w:w="834" w:type="pct"/>
            <w:tcBorders>
              <w:top w:val="nil"/>
              <w:left w:val="nil"/>
              <w:bottom w:val="single" w:sz="4" w:space="0" w:color="auto"/>
              <w:right w:val="single" w:sz="4" w:space="0" w:color="auto"/>
            </w:tcBorders>
            <w:shd w:val="clear" w:color="auto" w:fill="auto"/>
            <w:vAlign w:val="center"/>
            <w:hideMark/>
          </w:tcPr>
          <w:p w14:paraId="04CABDFB" w14:textId="77777777" w:rsidR="00956A1A" w:rsidRPr="004C5667" w:rsidRDefault="00956A1A" w:rsidP="00EF36DF">
            <w:pPr>
              <w:spacing w:after="0"/>
              <w:rPr>
                <w:rFonts w:eastAsia="Times New Roman"/>
              </w:rPr>
            </w:pPr>
            <w:r w:rsidRPr="004C5667">
              <w:rPr>
                <w:rFonts w:eastAsia="Times New Roman"/>
              </w:rPr>
              <w:t>2</w:t>
            </w:r>
          </w:p>
        </w:tc>
        <w:tc>
          <w:tcPr>
            <w:tcW w:w="833" w:type="pct"/>
            <w:tcBorders>
              <w:top w:val="nil"/>
              <w:left w:val="nil"/>
              <w:bottom w:val="single" w:sz="4" w:space="0" w:color="auto"/>
              <w:right w:val="single" w:sz="4" w:space="0" w:color="auto"/>
            </w:tcBorders>
            <w:shd w:val="clear" w:color="auto" w:fill="auto"/>
            <w:vAlign w:val="center"/>
            <w:hideMark/>
          </w:tcPr>
          <w:p w14:paraId="70E70545" w14:textId="77777777" w:rsidR="00956A1A" w:rsidRPr="004C5667" w:rsidRDefault="00956A1A" w:rsidP="00EF36DF">
            <w:pPr>
              <w:spacing w:after="0"/>
              <w:rPr>
                <w:rFonts w:eastAsia="Times New Roman"/>
              </w:rPr>
            </w:pPr>
            <w:r w:rsidRPr="004C5667">
              <w:rPr>
                <w:rFonts w:eastAsia="Times New Roman"/>
              </w:rPr>
              <w:t>0</w:t>
            </w:r>
          </w:p>
        </w:tc>
        <w:tc>
          <w:tcPr>
            <w:tcW w:w="952" w:type="pct"/>
            <w:tcBorders>
              <w:top w:val="nil"/>
              <w:left w:val="nil"/>
              <w:bottom w:val="single" w:sz="4" w:space="0" w:color="auto"/>
              <w:right w:val="single" w:sz="4" w:space="0" w:color="auto"/>
            </w:tcBorders>
            <w:shd w:val="clear" w:color="auto" w:fill="auto"/>
            <w:vAlign w:val="center"/>
            <w:hideMark/>
          </w:tcPr>
          <w:p w14:paraId="69C22605" w14:textId="77777777" w:rsidR="00956A1A" w:rsidRPr="004C5667" w:rsidRDefault="00956A1A" w:rsidP="00EF36DF">
            <w:pPr>
              <w:spacing w:after="0"/>
              <w:rPr>
                <w:rFonts w:eastAsia="Times New Roman"/>
              </w:rPr>
            </w:pPr>
            <w:r w:rsidRPr="004C5667">
              <w:rPr>
                <w:rFonts w:eastAsia="Times New Roman"/>
              </w:rPr>
              <w:t>1</w:t>
            </w:r>
          </w:p>
        </w:tc>
        <w:tc>
          <w:tcPr>
            <w:tcW w:w="715" w:type="pct"/>
            <w:tcBorders>
              <w:top w:val="nil"/>
              <w:left w:val="nil"/>
              <w:bottom w:val="single" w:sz="4" w:space="0" w:color="auto"/>
              <w:right w:val="single" w:sz="4" w:space="0" w:color="auto"/>
            </w:tcBorders>
            <w:shd w:val="clear" w:color="auto" w:fill="auto"/>
            <w:vAlign w:val="center"/>
            <w:hideMark/>
          </w:tcPr>
          <w:p w14:paraId="583974B1" w14:textId="77777777" w:rsidR="00956A1A" w:rsidRPr="004C5667" w:rsidRDefault="00956A1A" w:rsidP="009070C2">
            <w:pPr>
              <w:keepNext/>
              <w:spacing w:after="0"/>
              <w:rPr>
                <w:rFonts w:eastAsia="Times New Roman"/>
                <w:b/>
                <w:bCs/>
              </w:rPr>
            </w:pPr>
            <w:r w:rsidRPr="004C5667">
              <w:rPr>
                <w:rFonts w:eastAsia="Times New Roman"/>
                <w:b/>
                <w:bCs/>
              </w:rPr>
              <w:t>25</w:t>
            </w:r>
          </w:p>
        </w:tc>
      </w:tr>
    </w:tbl>
    <w:p w14:paraId="4B3EBDBB" w14:textId="7B7A796D" w:rsidR="00DF6930" w:rsidRPr="00835728" w:rsidRDefault="009070C2" w:rsidP="009070C2">
      <w:pPr>
        <w:pStyle w:val="Caption"/>
        <w:spacing w:before="240"/>
        <w:jc w:val="center"/>
        <w:rPr>
          <w:sz w:val="22"/>
        </w:rPr>
      </w:pPr>
      <w:bookmarkStart w:id="73" w:name="_Toc523990662"/>
      <w:r w:rsidRPr="00835728">
        <w:rPr>
          <w:sz w:val="22"/>
        </w:rPr>
        <w:t xml:space="preserve">Figure </w:t>
      </w:r>
      <w:r w:rsidRPr="00835728">
        <w:rPr>
          <w:sz w:val="22"/>
        </w:rPr>
        <w:fldChar w:fldCharType="begin"/>
      </w:r>
      <w:r w:rsidRPr="00835728">
        <w:rPr>
          <w:sz w:val="22"/>
        </w:rPr>
        <w:instrText xml:space="preserve"> SEQ Figure \* ARABIC </w:instrText>
      </w:r>
      <w:r w:rsidRPr="00835728">
        <w:rPr>
          <w:sz w:val="22"/>
        </w:rPr>
        <w:fldChar w:fldCharType="separate"/>
      </w:r>
      <w:r w:rsidR="009D672A">
        <w:rPr>
          <w:noProof/>
          <w:sz w:val="22"/>
        </w:rPr>
        <w:t>8</w:t>
      </w:r>
      <w:r w:rsidRPr="00835728">
        <w:rPr>
          <w:sz w:val="22"/>
        </w:rPr>
        <w:fldChar w:fldCharType="end"/>
      </w:r>
      <w:r w:rsidRPr="00835728">
        <w:rPr>
          <w:sz w:val="22"/>
        </w:rPr>
        <w:t xml:space="preserve">: </w:t>
      </w:r>
      <w:r w:rsidRPr="00835728">
        <w:rPr>
          <w:i w:val="0"/>
          <w:sz w:val="22"/>
        </w:rPr>
        <w:t>DAC-eligible Countries with Mangrove Dependent Species, Top 10</w:t>
      </w:r>
      <w:bookmarkEnd w:id="73"/>
    </w:p>
    <w:p w14:paraId="0EA1F0C2" w14:textId="4BD183F0" w:rsidR="00956A1A" w:rsidRPr="00DF6930" w:rsidRDefault="00956A1A" w:rsidP="00DF6930">
      <w:r w:rsidRPr="00DF6930">
        <w:t>Note</w:t>
      </w:r>
      <w:r w:rsidR="00DF6930">
        <w:t xml:space="preserve"> in Figure 8 that</w:t>
      </w:r>
      <w:r w:rsidRPr="00DF6930">
        <w:t xml:space="preserve"> CR - critically endangered; EN – endangered; VU – vulnerable; NT – near threatened. Countries with endangered or critically endangered species are given an additional weighting.</w:t>
      </w:r>
    </w:p>
    <w:p w14:paraId="4A38E90F" w14:textId="3A6CCF9A" w:rsidR="00956A1A" w:rsidRPr="004C5667" w:rsidRDefault="00956A1A" w:rsidP="00EF36DF">
      <w:pPr>
        <w:rPr>
          <w:b/>
          <w:u w:val="single"/>
        </w:rPr>
      </w:pPr>
      <w:r w:rsidRPr="004C5667">
        <w:t>Given these issues, we estimate the cos</w:t>
      </w:r>
      <w:r w:rsidR="004B2462">
        <w:t>t-benefit ratio of 1:1</w:t>
      </w:r>
      <w:r w:rsidR="00057097">
        <w:t>0</w:t>
      </w:r>
      <w:r w:rsidR="004B2462">
        <w:t>.</w:t>
      </w:r>
      <w:r w:rsidR="00057097">
        <w:t>8</w:t>
      </w:r>
      <w:r w:rsidR="004B2462">
        <w:t xml:space="preserve"> (i.e. £1 cost delivers £1</w:t>
      </w:r>
      <w:r w:rsidR="00057097">
        <w:t>0</w:t>
      </w:r>
      <w:r w:rsidR="004B2462">
        <w:t>.</w:t>
      </w:r>
      <w:r w:rsidR="00057097">
        <w:t>8</w:t>
      </w:r>
      <w:r w:rsidRPr="004C5667">
        <w:t>0 in societal benefit) as a conservative estimate of the positive impacts of an ICF investment in the program.</w:t>
      </w:r>
    </w:p>
    <w:p w14:paraId="0451C556" w14:textId="77777777" w:rsidR="00956A1A" w:rsidRPr="004C5667" w:rsidRDefault="00956A1A" w:rsidP="00EF36DF">
      <w:r w:rsidRPr="004C5667">
        <w:t>Estimated physical impacts for the program would be:</w:t>
      </w:r>
    </w:p>
    <w:p w14:paraId="500C2266" w14:textId="782A93E4" w:rsidR="00956A1A" w:rsidRPr="004C5667" w:rsidRDefault="009D2589" w:rsidP="00F93F6C">
      <w:pPr>
        <w:pStyle w:val="ListParagraph"/>
        <w:numPr>
          <w:ilvl w:val="0"/>
          <w:numId w:val="15"/>
        </w:numPr>
        <w:spacing w:after="160"/>
      </w:pPr>
      <w:r>
        <w:t>2</w:t>
      </w:r>
      <w:r w:rsidR="004B2462">
        <w:t>,</w:t>
      </w:r>
      <w:r>
        <w:t>911</w:t>
      </w:r>
      <w:r w:rsidR="004B2462">
        <w:t>,</w:t>
      </w:r>
      <w:r>
        <w:t>6</w:t>
      </w:r>
      <w:r w:rsidR="00057097">
        <w:t>0</w:t>
      </w:r>
      <w:r w:rsidR="00956A1A" w:rsidRPr="004C5667">
        <w:t>0 tonnes of GHG emissions sequestered or avoided</w:t>
      </w:r>
    </w:p>
    <w:p w14:paraId="7C9078B2" w14:textId="255482D4" w:rsidR="00956A1A" w:rsidRPr="004C5667" w:rsidRDefault="00057097" w:rsidP="00F93F6C">
      <w:pPr>
        <w:pStyle w:val="ListParagraph"/>
        <w:numPr>
          <w:ilvl w:val="0"/>
          <w:numId w:val="15"/>
        </w:numPr>
        <w:spacing w:after="160"/>
      </w:pPr>
      <w:r>
        <w:t>557</w:t>
      </w:r>
      <w:r w:rsidR="000A0320">
        <w:t>0</w:t>
      </w:r>
      <w:r w:rsidR="00956A1A" w:rsidRPr="004C5667">
        <w:t xml:space="preserve">ha of mangroves restored or protected  </w:t>
      </w:r>
    </w:p>
    <w:p w14:paraId="4D27CBAE" w14:textId="145D236C" w:rsidR="002C0CA7" w:rsidRDefault="00956A1A" w:rsidP="00EF36DF">
      <w:r w:rsidRPr="004C5667">
        <w:t xml:space="preserve">As currently proposed, </w:t>
      </w:r>
      <w:r w:rsidR="00931D23">
        <w:t xml:space="preserve">some of </w:t>
      </w:r>
      <w:r w:rsidRPr="004C5667">
        <w:t xml:space="preserve">the </w:t>
      </w:r>
      <w:r w:rsidR="002C0CA7">
        <w:t xml:space="preserve">projects </w:t>
      </w:r>
      <w:r w:rsidRPr="004C5667">
        <w:t>prioritised for funding through this program</w:t>
      </w:r>
      <w:r w:rsidR="002C0CA7">
        <w:t>me</w:t>
      </w:r>
      <w:r w:rsidRPr="004C5667">
        <w:t xml:space="preserve"> involve </w:t>
      </w:r>
      <w:r w:rsidR="005A29BB" w:rsidRPr="004C5667">
        <w:t xml:space="preserve">elements of </w:t>
      </w:r>
      <w:r w:rsidR="002C0CA7">
        <w:t xml:space="preserve">both </w:t>
      </w:r>
      <w:r w:rsidRPr="004C5667">
        <w:t xml:space="preserve">grant funding </w:t>
      </w:r>
      <w:r w:rsidR="005A29BB" w:rsidRPr="004C5667">
        <w:t xml:space="preserve">and blended finance </w:t>
      </w:r>
      <w:r w:rsidR="00D35D62">
        <w:t>and</w:t>
      </w:r>
      <w:r w:rsidR="002C0CA7">
        <w:t xml:space="preserve"> </w:t>
      </w:r>
      <w:r w:rsidR="00D35D62">
        <w:t xml:space="preserve">the terms of these mechanisms </w:t>
      </w:r>
      <w:r w:rsidR="002C0CA7">
        <w:t xml:space="preserve">need refining </w:t>
      </w:r>
      <w:r w:rsidR="006A0CA8">
        <w:t>pre-</w:t>
      </w:r>
      <w:r w:rsidR="00D35D62">
        <w:t>programme implementation</w:t>
      </w:r>
      <w:r w:rsidR="002C0CA7">
        <w:t>.</w:t>
      </w:r>
      <w:r w:rsidR="006A0CA8">
        <w:t xml:space="preserve"> These are likely to be a combination of risk capital and concessional loans selected depending on the market at the time of implementation and the level of development of the country the finance will be disbursed into. IDB have a strict set of </w:t>
      </w:r>
      <w:proofErr w:type="spellStart"/>
      <w:r w:rsidR="006A0CA8">
        <w:t>concessionality</w:t>
      </w:r>
      <w:proofErr w:type="spellEnd"/>
      <w:r w:rsidR="006A0CA8">
        <w:t xml:space="preserve"> guidelines which we will adhere to. </w:t>
      </w:r>
    </w:p>
    <w:p w14:paraId="4D73361B" w14:textId="542490DE" w:rsidR="00956A1A" w:rsidRPr="004C5667" w:rsidRDefault="002C0CA7" w:rsidP="00EF36DF">
      <w:r>
        <w:lastRenderedPageBreak/>
        <w:t>I</w:t>
      </w:r>
      <w:r w:rsidR="005A29BB" w:rsidRPr="004C5667">
        <w:t xml:space="preserve">t is important to note that </w:t>
      </w:r>
      <w:r w:rsidR="00956A1A" w:rsidRPr="004C5667">
        <w:t xml:space="preserve">a wider range and depth of public goods should be obtainable with grant finance than private finance, given that there would be considerably less focus on financial returns. This would aim to compensate for </w:t>
      </w:r>
      <w:r w:rsidR="005A29BB" w:rsidRPr="004C5667">
        <w:t>any limit</w:t>
      </w:r>
      <w:r w:rsidR="00956A1A" w:rsidRPr="004C5667">
        <w:t xml:space="preserve"> in private funding lev</w:t>
      </w:r>
      <w:r w:rsidR="005A29BB" w:rsidRPr="004C5667">
        <w:t xml:space="preserve">eraged or funding recycled through debt financing. </w:t>
      </w:r>
      <w:r w:rsidR="00931D23">
        <w:t>Any returns or dividends from blended finance solutions would be redeployed as grants</w:t>
      </w:r>
      <w:r w:rsidR="006A0CA8">
        <w:t>, ideally</w:t>
      </w:r>
      <w:r w:rsidR="00931D23">
        <w:t xml:space="preserve"> before the end of programme</w:t>
      </w:r>
      <w:r w:rsidR="00D35D62">
        <w:t xml:space="preserve"> impact assessment</w:t>
      </w:r>
      <w:r w:rsidR="00931D23">
        <w:t xml:space="preserve">. </w:t>
      </w:r>
      <w:r w:rsidR="005A29BB" w:rsidRPr="004C5667">
        <w:t>A more complete breakdown of the budget including the proportion of blended and grant financing mechanisms can be found in section 4.1 and Annex</w:t>
      </w:r>
      <w:r w:rsidR="003C78C8">
        <w:t xml:space="preserve"> 4.</w:t>
      </w:r>
    </w:p>
    <w:p w14:paraId="57EF83F2" w14:textId="4D09A8EF" w:rsidR="00956A1A" w:rsidRPr="004C5667" w:rsidRDefault="00956A1A" w:rsidP="00EF36DF">
      <w:pPr>
        <w:pStyle w:val="Heading3"/>
      </w:pPr>
      <w:r w:rsidRPr="004C5667">
        <w:t xml:space="preserve">Option 1.2:  Establish </w:t>
      </w:r>
      <w:proofErr w:type="spellStart"/>
      <w:r w:rsidRPr="004C5667">
        <w:t>Althelia</w:t>
      </w:r>
      <w:proofErr w:type="spellEnd"/>
      <w:r w:rsidRPr="004C5667">
        <w:t xml:space="preserve"> Sustainable Mangroves Facility</w:t>
      </w:r>
    </w:p>
    <w:p w14:paraId="1AA5C876" w14:textId="6520CFFD" w:rsidR="00956A1A" w:rsidRPr="004C5667" w:rsidRDefault="00956A1A" w:rsidP="00EF36DF">
      <w:r w:rsidRPr="004C5667">
        <w:t>In t</w:t>
      </w:r>
      <w:r w:rsidR="001A3397">
        <w:t>his option, ICF would invest £12.75</w:t>
      </w:r>
      <w:r w:rsidRPr="004C5667">
        <w:t xml:space="preserve">m through </w:t>
      </w:r>
      <w:proofErr w:type="spellStart"/>
      <w:r w:rsidRPr="004C5667">
        <w:t>Althelia</w:t>
      </w:r>
      <w:proofErr w:type="spellEnd"/>
      <w:r w:rsidRPr="004C5667">
        <w:t xml:space="preserve"> Natural Capital to establish an investment vehicle known as the Sustainable Mangroves Facility. </w:t>
      </w:r>
    </w:p>
    <w:p w14:paraId="65081FC5" w14:textId="77777777" w:rsidR="00956A1A" w:rsidRPr="004C5667" w:rsidRDefault="00956A1A" w:rsidP="00EF36DF">
      <w:pPr>
        <w:pStyle w:val="Heading4"/>
      </w:pPr>
      <w:r w:rsidRPr="004C5667">
        <w:t>Aim</w:t>
      </w:r>
    </w:p>
    <w:p w14:paraId="03B7BEA8" w14:textId="77777777" w:rsidR="00956A1A" w:rsidRPr="004C5667" w:rsidRDefault="00956A1A" w:rsidP="00EF36DF">
      <w:r w:rsidRPr="004C5667">
        <w:t xml:space="preserve">The Sustainable Mangroves Facility would be a new and unique concept, with the objective of providing blended public/private finance to projects which address the primary drivers of mangrove deforestation. These investments will aim to restore and protect mangrove habitats while directly benefiting local communities and stakeholders. </w:t>
      </w:r>
    </w:p>
    <w:p w14:paraId="3B19F0B3" w14:textId="77777777" w:rsidR="00956A1A" w:rsidRPr="004C5667" w:rsidRDefault="00956A1A" w:rsidP="00EF36DF">
      <w:pPr>
        <w:rPr>
          <w:b/>
          <w:i/>
        </w:rPr>
      </w:pPr>
      <w:r w:rsidRPr="004C5667">
        <w:t xml:space="preserve">The secondary aim of the Facility would be to prove the viability of private sector investments in sustainable mangrove use, which can generate positive financial </w:t>
      </w:r>
      <w:r w:rsidRPr="004C5667">
        <w:rPr>
          <w:i/>
        </w:rPr>
        <w:t>and</w:t>
      </w:r>
      <w:r w:rsidRPr="004C5667">
        <w:rPr>
          <w:b/>
          <w:i/>
        </w:rPr>
        <w:t xml:space="preserve"> </w:t>
      </w:r>
      <w:r w:rsidRPr="004C5667">
        <w:t>environmental/social returns. In the long term, this could have a transformational effect on mangrove conservation by mobilising private capital flows to achieve conservation objectives. The Facility would be an ‘evergreen’ fund, meaning that initial capital provided to the Facility would continue to be reinvested in projects for the foreseeable future. For this analysis, we have assumed that the Facility would operate for at least the duration of the 20-year appraisal period.</w:t>
      </w:r>
    </w:p>
    <w:p w14:paraId="6D33C94F" w14:textId="77777777" w:rsidR="00956A1A" w:rsidRPr="004C5667" w:rsidRDefault="00956A1A" w:rsidP="00EF36DF">
      <w:pPr>
        <w:pStyle w:val="Heading4"/>
      </w:pPr>
      <w:r w:rsidRPr="004C5667">
        <w:t>Project Delivery</w:t>
      </w:r>
    </w:p>
    <w:p w14:paraId="76BEC412" w14:textId="77777777" w:rsidR="00956A1A" w:rsidRPr="004C5667" w:rsidRDefault="00956A1A" w:rsidP="00EF36DF">
      <w:r w:rsidRPr="004C5667">
        <w:t xml:space="preserve">The Sustainable Mangroves Facility would be managed by </w:t>
      </w:r>
      <w:proofErr w:type="spellStart"/>
      <w:r w:rsidRPr="004C5667">
        <w:t>Mirova-Althelia</w:t>
      </w:r>
      <w:proofErr w:type="spellEnd"/>
      <w:r w:rsidRPr="004C5667">
        <w:t xml:space="preserve">, an asset management firm focused on delivering responsible investments in sustainable development. The firm has experience of managing conservation-focused funds such as the </w:t>
      </w:r>
      <w:proofErr w:type="spellStart"/>
      <w:r w:rsidRPr="004C5667">
        <w:t>Althelia</w:t>
      </w:r>
      <w:proofErr w:type="spellEnd"/>
      <w:r w:rsidRPr="004C5667">
        <w:t xml:space="preserve"> Climate Fund and the Land Degradation Neutrality (LDN) Fund. The Sustainable Mangroves Facility would be operated as a mangroves-focused extension of the Sustainable Ocean Fund (SOF) (launched in July 2018), with a shared management and back office team. This would enable existing knowledge of similar investments to be utilised while reducing costs.</w:t>
      </w:r>
    </w:p>
    <w:p w14:paraId="12ED16F6" w14:textId="2D927DE6" w:rsidR="00956A1A" w:rsidRDefault="00956A1A" w:rsidP="00EF36DF">
      <w:r w:rsidRPr="004C5667">
        <w:t>SMF investments would aim to generate financial returns, attracting private sector capital, while delivering non-financial returns in climate change mitigation, mangroves protection, alternative livelihoods and other environmental and social priorities.  The facility would prioritise projects which have clearly considered strategies to ensure permanent mangrove protection and climate change mitigation. Projects would also need to demonstrate potential to scale to other locations or geographies. Examples of proposed pro</w:t>
      </w:r>
      <w:r w:rsidR="00835728">
        <w:t xml:space="preserve">jects are detailed in Figure 9 </w:t>
      </w:r>
      <w:r w:rsidR="00CC6AEF">
        <w:t xml:space="preserve">below </w:t>
      </w:r>
      <w:r w:rsidR="00835728">
        <w:t>where a</w:t>
      </w:r>
      <w:r w:rsidR="00835728" w:rsidRPr="00835728">
        <w:t>ll figures assume</w:t>
      </w:r>
      <w:r w:rsidR="00057097">
        <w:t xml:space="preserve"> a £/$ exchange rate of 1.3</w:t>
      </w:r>
      <w:r w:rsidR="00835728">
        <w:t>.</w:t>
      </w:r>
    </w:p>
    <w:tbl>
      <w:tblPr>
        <w:tblStyle w:val="TableGrid"/>
        <w:tblW w:w="5000" w:type="pct"/>
        <w:jc w:val="center"/>
        <w:tblLook w:val="04A0" w:firstRow="1" w:lastRow="0" w:firstColumn="1" w:lastColumn="0" w:noHBand="0" w:noVBand="1"/>
      </w:tblPr>
      <w:tblGrid>
        <w:gridCol w:w="3133"/>
        <w:gridCol w:w="2183"/>
        <w:gridCol w:w="4086"/>
      </w:tblGrid>
      <w:tr w:rsidR="00956A1A" w:rsidRPr="004C5667" w14:paraId="15659AF7" w14:textId="77777777" w:rsidTr="00745200">
        <w:trPr>
          <w:jc w:val="center"/>
        </w:trPr>
        <w:tc>
          <w:tcPr>
            <w:tcW w:w="1666" w:type="pct"/>
            <w:shd w:val="clear" w:color="auto" w:fill="BDD6EE" w:themeFill="accent1" w:themeFillTint="66"/>
          </w:tcPr>
          <w:p w14:paraId="2C96A865" w14:textId="77777777" w:rsidR="00956A1A" w:rsidRPr="004C5667" w:rsidRDefault="00956A1A" w:rsidP="00EF36DF">
            <w:pPr>
              <w:spacing w:after="0"/>
              <w:rPr>
                <w:b/>
              </w:rPr>
            </w:pPr>
            <w:r w:rsidRPr="004C5667">
              <w:rPr>
                <w:b/>
              </w:rPr>
              <w:t>Project Name</w:t>
            </w:r>
          </w:p>
        </w:tc>
        <w:tc>
          <w:tcPr>
            <w:tcW w:w="1161" w:type="pct"/>
            <w:shd w:val="clear" w:color="auto" w:fill="BDD6EE" w:themeFill="accent1" w:themeFillTint="66"/>
          </w:tcPr>
          <w:p w14:paraId="2AC6FA0B" w14:textId="77777777" w:rsidR="00956A1A" w:rsidRPr="004C5667" w:rsidRDefault="00956A1A" w:rsidP="00EF36DF">
            <w:pPr>
              <w:spacing w:after="0"/>
              <w:rPr>
                <w:b/>
              </w:rPr>
            </w:pPr>
            <w:r w:rsidRPr="004C5667">
              <w:rPr>
                <w:b/>
              </w:rPr>
              <w:t>SMF Investment</w:t>
            </w:r>
          </w:p>
        </w:tc>
        <w:tc>
          <w:tcPr>
            <w:tcW w:w="2173" w:type="pct"/>
            <w:shd w:val="clear" w:color="auto" w:fill="BDD6EE" w:themeFill="accent1" w:themeFillTint="66"/>
          </w:tcPr>
          <w:p w14:paraId="2E73392F" w14:textId="77777777" w:rsidR="00956A1A" w:rsidRPr="004C5667" w:rsidRDefault="00956A1A" w:rsidP="00EF36DF">
            <w:pPr>
              <w:spacing w:after="0"/>
              <w:rPr>
                <w:b/>
              </w:rPr>
            </w:pPr>
            <w:r w:rsidRPr="004C5667">
              <w:rPr>
                <w:b/>
              </w:rPr>
              <w:t>Description</w:t>
            </w:r>
          </w:p>
        </w:tc>
      </w:tr>
      <w:tr w:rsidR="00956A1A" w:rsidRPr="004C5667" w14:paraId="7842C3C5" w14:textId="77777777" w:rsidTr="00745200">
        <w:trPr>
          <w:jc w:val="center"/>
        </w:trPr>
        <w:tc>
          <w:tcPr>
            <w:tcW w:w="1666" w:type="pct"/>
          </w:tcPr>
          <w:p w14:paraId="75F6B5DE" w14:textId="77777777" w:rsidR="00956A1A" w:rsidRPr="004C5667" w:rsidRDefault="00956A1A" w:rsidP="00EF36DF">
            <w:pPr>
              <w:spacing w:after="0"/>
            </w:pPr>
            <w:r w:rsidRPr="004C5667">
              <w:t>Colombia – Re-establishment of shrimp ponds and protection of mangroves</w:t>
            </w:r>
          </w:p>
        </w:tc>
        <w:tc>
          <w:tcPr>
            <w:tcW w:w="1161" w:type="pct"/>
          </w:tcPr>
          <w:p w14:paraId="14ABF213" w14:textId="248CEA8A" w:rsidR="00956A1A" w:rsidRPr="004C5667" w:rsidRDefault="00057097" w:rsidP="00EF36DF">
            <w:pPr>
              <w:spacing w:after="0"/>
            </w:pPr>
            <w:r>
              <w:t>£0.8</w:t>
            </w:r>
            <w:r w:rsidR="00956A1A" w:rsidRPr="004C5667">
              <w:t>m</w:t>
            </w:r>
          </w:p>
        </w:tc>
        <w:tc>
          <w:tcPr>
            <w:tcW w:w="2173" w:type="pct"/>
          </w:tcPr>
          <w:p w14:paraId="23727016" w14:textId="77777777" w:rsidR="00956A1A" w:rsidRPr="004C5667" w:rsidRDefault="00956A1A" w:rsidP="00EF36DF">
            <w:pPr>
              <w:spacing w:after="0"/>
            </w:pPr>
            <w:r w:rsidRPr="004C5667">
              <w:t xml:space="preserve">Sustainable management of shrimp ponds employing local communities, with </w:t>
            </w:r>
            <w:r w:rsidRPr="004C5667">
              <w:lastRenderedPageBreak/>
              <w:t xml:space="preserve">protection and rehydration of surrounding mangroves. </w:t>
            </w:r>
          </w:p>
        </w:tc>
      </w:tr>
      <w:tr w:rsidR="00956A1A" w:rsidRPr="004C5667" w14:paraId="00E93E8F" w14:textId="77777777" w:rsidTr="00745200">
        <w:trPr>
          <w:jc w:val="center"/>
        </w:trPr>
        <w:tc>
          <w:tcPr>
            <w:tcW w:w="1666" w:type="pct"/>
          </w:tcPr>
          <w:p w14:paraId="345D5D38" w14:textId="77777777" w:rsidR="00956A1A" w:rsidRPr="004C5667" w:rsidRDefault="00956A1A" w:rsidP="00EF36DF">
            <w:pPr>
              <w:spacing w:after="0"/>
            </w:pPr>
            <w:r w:rsidRPr="004C5667">
              <w:lastRenderedPageBreak/>
              <w:t>Dominican Republic – Marine park creation and protection of mangroves</w:t>
            </w:r>
          </w:p>
        </w:tc>
        <w:tc>
          <w:tcPr>
            <w:tcW w:w="1161" w:type="pct"/>
          </w:tcPr>
          <w:p w14:paraId="7CCE0289" w14:textId="2377BB1E" w:rsidR="00956A1A" w:rsidRPr="004C5667" w:rsidRDefault="00057097" w:rsidP="00EF36DF">
            <w:pPr>
              <w:spacing w:after="0"/>
            </w:pPr>
            <w:r>
              <w:t>£0.8</w:t>
            </w:r>
            <w:r w:rsidR="00956A1A" w:rsidRPr="004C5667">
              <w:t>m</w:t>
            </w:r>
          </w:p>
        </w:tc>
        <w:tc>
          <w:tcPr>
            <w:tcW w:w="2173" w:type="pct"/>
          </w:tcPr>
          <w:p w14:paraId="06442FC5" w14:textId="77777777" w:rsidR="00956A1A" w:rsidRPr="004C5667" w:rsidRDefault="00956A1A" w:rsidP="00EF36DF">
            <w:pPr>
              <w:spacing w:after="0"/>
            </w:pPr>
            <w:r w:rsidRPr="004C5667">
              <w:t>Establish and manage protected marine parks, funding restoration and protection of mangroves.</w:t>
            </w:r>
          </w:p>
        </w:tc>
      </w:tr>
      <w:tr w:rsidR="00956A1A" w:rsidRPr="004C5667" w14:paraId="23E59E69" w14:textId="77777777" w:rsidTr="00745200">
        <w:trPr>
          <w:jc w:val="center"/>
        </w:trPr>
        <w:tc>
          <w:tcPr>
            <w:tcW w:w="1666" w:type="pct"/>
          </w:tcPr>
          <w:p w14:paraId="0F11AAF3" w14:textId="77777777" w:rsidR="00956A1A" w:rsidRPr="004C5667" w:rsidRDefault="00956A1A" w:rsidP="00EF36DF">
            <w:pPr>
              <w:spacing w:after="0"/>
            </w:pPr>
            <w:r w:rsidRPr="004C5667">
              <w:t>Fiji – Sustainable crab aquaculture</w:t>
            </w:r>
          </w:p>
        </w:tc>
        <w:tc>
          <w:tcPr>
            <w:tcW w:w="1161" w:type="pct"/>
          </w:tcPr>
          <w:p w14:paraId="33D7EC32" w14:textId="77777777" w:rsidR="00956A1A" w:rsidRPr="004C5667" w:rsidRDefault="00956A1A" w:rsidP="00EF36DF">
            <w:pPr>
              <w:spacing w:after="0"/>
            </w:pPr>
            <w:r w:rsidRPr="004C5667">
              <w:t>£1.1m</w:t>
            </w:r>
          </w:p>
        </w:tc>
        <w:tc>
          <w:tcPr>
            <w:tcW w:w="2173" w:type="pct"/>
          </w:tcPr>
          <w:p w14:paraId="7D8CF6D1" w14:textId="77777777" w:rsidR="00956A1A" w:rsidRPr="004C5667" w:rsidRDefault="00956A1A" w:rsidP="009070C2">
            <w:pPr>
              <w:keepNext/>
              <w:spacing w:after="0"/>
            </w:pPr>
            <w:r w:rsidRPr="004C5667">
              <w:t>Sustainable aquaculture model of crab pens employing local people, and restoration and protection of surrounding mangroves</w:t>
            </w:r>
          </w:p>
        </w:tc>
      </w:tr>
    </w:tbl>
    <w:p w14:paraId="26178242" w14:textId="2555F83B" w:rsidR="009070C2" w:rsidRPr="00835728" w:rsidRDefault="009070C2" w:rsidP="009070C2">
      <w:pPr>
        <w:pStyle w:val="Caption"/>
        <w:spacing w:before="240"/>
        <w:jc w:val="center"/>
        <w:rPr>
          <w:sz w:val="20"/>
        </w:rPr>
      </w:pPr>
      <w:bookmarkStart w:id="74" w:name="_Toc523990663"/>
      <w:r w:rsidRPr="00835728">
        <w:rPr>
          <w:sz w:val="22"/>
        </w:rPr>
        <w:t xml:space="preserve">Figure </w:t>
      </w:r>
      <w:r w:rsidRPr="00835728">
        <w:rPr>
          <w:sz w:val="22"/>
        </w:rPr>
        <w:fldChar w:fldCharType="begin"/>
      </w:r>
      <w:r w:rsidRPr="00835728">
        <w:rPr>
          <w:sz w:val="22"/>
        </w:rPr>
        <w:instrText xml:space="preserve"> SEQ Figure \* ARABIC </w:instrText>
      </w:r>
      <w:r w:rsidRPr="00835728">
        <w:rPr>
          <w:sz w:val="22"/>
        </w:rPr>
        <w:fldChar w:fldCharType="separate"/>
      </w:r>
      <w:r w:rsidR="009D672A">
        <w:rPr>
          <w:noProof/>
          <w:sz w:val="22"/>
        </w:rPr>
        <w:t>9</w:t>
      </w:r>
      <w:r w:rsidRPr="00835728">
        <w:rPr>
          <w:sz w:val="22"/>
        </w:rPr>
        <w:fldChar w:fldCharType="end"/>
      </w:r>
      <w:r w:rsidRPr="00835728">
        <w:rPr>
          <w:sz w:val="22"/>
        </w:rPr>
        <w:t xml:space="preserve">: </w:t>
      </w:r>
      <w:r w:rsidRPr="00835728">
        <w:rPr>
          <w:i w:val="0"/>
          <w:sz w:val="22"/>
        </w:rPr>
        <w:t>Proposed Projects for Sustainable Mangroves Facility</w:t>
      </w:r>
      <w:bookmarkEnd w:id="74"/>
      <w:r w:rsidRPr="00835728">
        <w:rPr>
          <w:sz w:val="22"/>
        </w:rPr>
        <w:t xml:space="preserve"> </w:t>
      </w:r>
    </w:p>
    <w:p w14:paraId="45CAB073" w14:textId="2290FD27" w:rsidR="00956A1A" w:rsidRPr="004C5667" w:rsidRDefault="00956A1A" w:rsidP="00EF36DF">
      <w:r w:rsidRPr="004C5667">
        <w:t xml:space="preserve">Work is ongoing to identify further projects which satisfy the Facility’s criteria and meet the priorities for </w:t>
      </w:r>
      <w:r w:rsidR="00BF15A0">
        <w:t>Defra</w:t>
      </w:r>
      <w:r w:rsidRPr="004C5667">
        <w:t xml:space="preserve"> ICF funding. Investment proposals will be reviewed by four independent experts for viability before a final decision is taken by the Facility Investment Committee. A </w:t>
      </w:r>
      <w:r w:rsidR="00BF15A0">
        <w:t>Defra</w:t>
      </w:r>
      <w:r w:rsidRPr="004C5667">
        <w:t xml:space="preserve"> official would sit on this committee, with a veto right over any proposed project.</w:t>
      </w:r>
    </w:p>
    <w:p w14:paraId="0BDFFB21" w14:textId="7C1A748D" w:rsidR="00956A1A" w:rsidRPr="004C5667" w:rsidRDefault="00956A1A" w:rsidP="00EF36DF">
      <w:r w:rsidRPr="004C5667">
        <w:t xml:space="preserve">The managers would aim to leverage additional finance into the Facility through other investors at a 1:1 ratio – the European Investment Bank and </w:t>
      </w:r>
      <w:proofErr w:type="spellStart"/>
      <w:r w:rsidRPr="004C5667">
        <w:t>KfW</w:t>
      </w:r>
      <w:proofErr w:type="spellEnd"/>
      <w:r w:rsidRPr="004C5667">
        <w:t xml:space="preserve"> have been proposed as potential match-funding investors. Leveraging these funding sources, and potentially others from the private sector, would increase the impact of any </w:t>
      </w:r>
      <w:r w:rsidR="00BF15A0">
        <w:t>Defra</w:t>
      </w:r>
      <w:r w:rsidRPr="004C5667">
        <w:t xml:space="preserve"> investment. However, further confir</w:t>
      </w:r>
      <w:r w:rsidR="001D30D6" w:rsidRPr="004C5667">
        <w:t>mation of potential investors w</w:t>
      </w:r>
      <w:r w:rsidRPr="004C5667">
        <w:t xml:space="preserve">ould be requested before any </w:t>
      </w:r>
      <w:r w:rsidR="00BF15A0">
        <w:t>Defra</w:t>
      </w:r>
      <w:r w:rsidRPr="004C5667">
        <w:t xml:space="preserve"> investment in the SMF </w:t>
      </w:r>
      <w:r w:rsidR="001D30D6" w:rsidRPr="004C5667">
        <w:t xml:space="preserve">was </w:t>
      </w:r>
      <w:r w:rsidRPr="004C5667">
        <w:t xml:space="preserve">finalised. The Facility would also look to leverage additional private-sector investment into any projects in which SMF chooses to invest. </w:t>
      </w:r>
    </w:p>
    <w:p w14:paraId="2AB1E22D" w14:textId="0D1FA959" w:rsidR="00956A1A" w:rsidRPr="004C5667" w:rsidRDefault="00956A1A" w:rsidP="00EF36DF">
      <w:r w:rsidRPr="004C5667">
        <w:t xml:space="preserve">The Facility would target financial returns of 6% per annum overall on capital invested. This could be re-invested in new projects or funnelled towards the SMF’s technical assistance facility, which would work to amplify the impact of SMF-funded projects. The Facility would be open-ended, meaning that </w:t>
      </w:r>
      <w:r w:rsidR="00BF15A0">
        <w:t>Defra</w:t>
      </w:r>
      <w:r w:rsidRPr="004C5667">
        <w:t>’s investment could be recycled for multiple projects –this has the potential to substantially increase the impact of funds invested.</w:t>
      </w:r>
    </w:p>
    <w:p w14:paraId="053EB33D" w14:textId="77777777" w:rsidR="00956A1A" w:rsidRPr="004C5667" w:rsidRDefault="00956A1A" w:rsidP="00EF36DF">
      <w:r w:rsidRPr="004C5667">
        <w:t xml:space="preserve">The facility managers have proposed setup costs of 1% of committed capital, within annual management costs of 3% on assets under management. Given that the variable management cost is higher than the cost structure proposed by </w:t>
      </w:r>
      <w:proofErr w:type="spellStart"/>
      <w:r w:rsidRPr="004C5667">
        <w:t>Mirova-Althelia</w:t>
      </w:r>
      <w:proofErr w:type="spellEnd"/>
      <w:r w:rsidRPr="004C5667">
        <w:t xml:space="preserve"> for other funds in which ICF is engaged, there is scope for this percentage cost to be reduced.</w:t>
      </w:r>
    </w:p>
    <w:p w14:paraId="516EEB4C" w14:textId="77777777" w:rsidR="00956A1A" w:rsidRPr="004C5667" w:rsidRDefault="00956A1A" w:rsidP="00EF36DF">
      <w:pPr>
        <w:pStyle w:val="Heading4"/>
      </w:pPr>
      <w:r w:rsidRPr="004C5667">
        <w:t>Project Monitoring and Evaluation</w:t>
      </w:r>
    </w:p>
    <w:p w14:paraId="2745AF08" w14:textId="73AD3C62" w:rsidR="00956A1A" w:rsidRPr="004C5667" w:rsidRDefault="00956A1A" w:rsidP="00EF36DF">
      <w:proofErr w:type="spellStart"/>
      <w:r w:rsidRPr="004C5667">
        <w:t>Althelia</w:t>
      </w:r>
      <w:proofErr w:type="spellEnd"/>
      <w:r w:rsidRPr="004C5667">
        <w:t xml:space="preserve"> have developed a theory of change for the Facility in collaboration with ICF analysts which sets out the expected activities-outputs-outcomes-impacts of the program of work – this is detailed in Annex</w:t>
      </w:r>
      <w:r w:rsidR="003C78C8">
        <w:t xml:space="preserve"> 3. </w:t>
      </w:r>
      <w:r w:rsidRPr="004C5667">
        <w:t xml:space="preserve">This enables </w:t>
      </w:r>
      <w:r w:rsidR="0054674F">
        <w:t xml:space="preserve">the </w:t>
      </w:r>
      <w:r w:rsidRPr="004C5667">
        <w:t xml:space="preserve">ICF </w:t>
      </w:r>
      <w:r w:rsidR="0054674F">
        <w:t xml:space="preserve">team </w:t>
      </w:r>
      <w:r w:rsidRPr="004C5667">
        <w:t xml:space="preserve">and </w:t>
      </w:r>
      <w:proofErr w:type="spellStart"/>
      <w:r w:rsidRPr="004C5667">
        <w:t>Althelia</w:t>
      </w:r>
      <w:proofErr w:type="spellEnd"/>
      <w:r w:rsidRPr="004C5667">
        <w:t xml:space="preserve"> to assess and consider the mechanisms, theory and assumptions through which the Facility would deliver on its objectives, covering the strategic picture of the expected path towards a project’s intended impact. </w:t>
      </w:r>
    </w:p>
    <w:p w14:paraId="37589961" w14:textId="05719BF5" w:rsidR="00956A1A" w:rsidRPr="004C5667" w:rsidRDefault="00956A1A" w:rsidP="00EF36DF">
      <w:r w:rsidRPr="004C5667">
        <w:t xml:space="preserve">The Facility has proposed a strong framework for monitoring projects, with requirements for annual reporting of up to 22 Key Performance Indicators (KPIs). These would include indicators concerning ecosystem integrity, species protection, local livelihoods and sustainable enterprises. Projects receiving investment would be required to achieve, maintain and report quantifiable net gains in indicators on an annual basis. A similar impact framework is currently in use with the </w:t>
      </w:r>
      <w:proofErr w:type="spellStart"/>
      <w:r w:rsidRPr="004C5667">
        <w:t>A</w:t>
      </w:r>
      <w:r w:rsidR="0054674F">
        <w:t>lthelia</w:t>
      </w:r>
      <w:proofErr w:type="spellEnd"/>
      <w:r w:rsidR="0054674F">
        <w:t xml:space="preserve"> Climate Fund, on</w:t>
      </w:r>
      <w:r w:rsidRPr="004C5667">
        <w:t>e of the management team’s existing conservation investment funds.</w:t>
      </w:r>
    </w:p>
    <w:p w14:paraId="5D00DF0D" w14:textId="77777777" w:rsidR="00956A1A" w:rsidRPr="004C5667" w:rsidRDefault="00956A1A" w:rsidP="00EF36DF">
      <w:pPr>
        <w:pStyle w:val="Heading4"/>
      </w:pPr>
      <w:r w:rsidRPr="004C5667">
        <w:lastRenderedPageBreak/>
        <w:t>Economic Appraisal</w:t>
      </w:r>
    </w:p>
    <w:p w14:paraId="0579D423" w14:textId="14748790" w:rsidR="00956A1A" w:rsidRPr="004C5667" w:rsidRDefault="00956A1A" w:rsidP="00EF36DF">
      <w:pPr>
        <w:pStyle w:val="Heading5"/>
      </w:pPr>
      <w:r w:rsidRPr="004C5667">
        <w:t>Approach</w:t>
      </w:r>
    </w:p>
    <w:tbl>
      <w:tblPr>
        <w:tblStyle w:val="TableGrid"/>
        <w:tblW w:w="5000" w:type="pct"/>
        <w:tblLook w:val="04A0" w:firstRow="1" w:lastRow="0" w:firstColumn="1" w:lastColumn="0" w:noHBand="0" w:noVBand="1"/>
      </w:tblPr>
      <w:tblGrid>
        <w:gridCol w:w="4701"/>
        <w:gridCol w:w="4701"/>
      </w:tblGrid>
      <w:tr w:rsidR="00956A1A" w:rsidRPr="004C5667" w14:paraId="699D04C4" w14:textId="77777777" w:rsidTr="00745200">
        <w:tc>
          <w:tcPr>
            <w:tcW w:w="2500" w:type="pct"/>
            <w:shd w:val="clear" w:color="auto" w:fill="BDD6EE" w:themeFill="accent1" w:themeFillTint="66"/>
          </w:tcPr>
          <w:p w14:paraId="03ED1045" w14:textId="77777777" w:rsidR="00956A1A" w:rsidRPr="004C5667" w:rsidRDefault="00956A1A" w:rsidP="00EF36DF">
            <w:pPr>
              <w:spacing w:after="0"/>
              <w:rPr>
                <w:b/>
              </w:rPr>
            </w:pPr>
            <w:r w:rsidRPr="004C5667">
              <w:rPr>
                <w:b/>
              </w:rPr>
              <w:t>Costs</w:t>
            </w:r>
          </w:p>
        </w:tc>
        <w:tc>
          <w:tcPr>
            <w:tcW w:w="2500" w:type="pct"/>
            <w:shd w:val="clear" w:color="auto" w:fill="BDD6EE" w:themeFill="accent1" w:themeFillTint="66"/>
          </w:tcPr>
          <w:p w14:paraId="3895E5C8" w14:textId="22B97CED" w:rsidR="00956A1A" w:rsidRPr="004C5667" w:rsidRDefault="00956A1A" w:rsidP="00EF36DF">
            <w:pPr>
              <w:spacing w:after="0"/>
              <w:rPr>
                <w:b/>
              </w:rPr>
            </w:pPr>
            <w:r w:rsidRPr="004C5667">
              <w:rPr>
                <w:b/>
              </w:rPr>
              <w:t>Present Value (20 years), 2018</w:t>
            </w:r>
            <w:r w:rsidR="00455517">
              <w:rPr>
                <w:b/>
              </w:rPr>
              <w:t xml:space="preserve"> pounds sterling</w:t>
            </w:r>
          </w:p>
        </w:tc>
      </w:tr>
      <w:tr w:rsidR="00956A1A" w:rsidRPr="004C5667" w14:paraId="1EB7D888" w14:textId="77777777" w:rsidTr="00745200">
        <w:trPr>
          <w:trHeight w:val="312"/>
        </w:trPr>
        <w:tc>
          <w:tcPr>
            <w:tcW w:w="2500" w:type="pct"/>
          </w:tcPr>
          <w:p w14:paraId="47CCCE9C" w14:textId="77777777" w:rsidR="00956A1A" w:rsidRPr="004C5667" w:rsidRDefault="00956A1A" w:rsidP="00EF36DF">
            <w:pPr>
              <w:spacing w:after="0"/>
            </w:pPr>
            <w:r w:rsidRPr="004C5667">
              <w:t xml:space="preserve">ICF Funding </w:t>
            </w:r>
          </w:p>
        </w:tc>
        <w:tc>
          <w:tcPr>
            <w:tcW w:w="2500" w:type="pct"/>
          </w:tcPr>
          <w:p w14:paraId="171F16BC" w14:textId="05129C35" w:rsidR="00956A1A" w:rsidRPr="004C5667" w:rsidRDefault="0019373C" w:rsidP="00EF36DF">
            <w:pPr>
              <w:spacing w:after="0"/>
            </w:pPr>
            <w:r>
              <w:t>£12,75</w:t>
            </w:r>
            <w:r w:rsidR="00956A1A" w:rsidRPr="004C5667">
              <w:t>0,000</w:t>
            </w:r>
          </w:p>
        </w:tc>
      </w:tr>
      <w:tr w:rsidR="00956A1A" w:rsidRPr="004C5667" w14:paraId="405B5246" w14:textId="77777777" w:rsidTr="00745200">
        <w:tc>
          <w:tcPr>
            <w:tcW w:w="2500" w:type="pct"/>
          </w:tcPr>
          <w:p w14:paraId="0DFA8FA8" w14:textId="77777777" w:rsidR="00956A1A" w:rsidRPr="004C5667" w:rsidRDefault="00956A1A" w:rsidP="00EF36DF">
            <w:pPr>
              <w:spacing w:after="0"/>
            </w:pPr>
            <w:r w:rsidRPr="004C5667">
              <w:t xml:space="preserve">Leveraged funds </w:t>
            </w:r>
          </w:p>
        </w:tc>
        <w:tc>
          <w:tcPr>
            <w:tcW w:w="2500" w:type="pct"/>
          </w:tcPr>
          <w:p w14:paraId="6065E6FD" w14:textId="33FF1569" w:rsidR="00956A1A" w:rsidRPr="004C5667" w:rsidRDefault="00735069">
            <w:pPr>
              <w:spacing w:after="0"/>
            </w:pPr>
            <w:r>
              <w:t>£</w:t>
            </w:r>
            <w:r w:rsidR="00BD15AB">
              <w:t>15,937,500</w:t>
            </w:r>
          </w:p>
        </w:tc>
      </w:tr>
      <w:tr w:rsidR="00956A1A" w:rsidRPr="004C5667" w14:paraId="682A05C4" w14:textId="77777777" w:rsidTr="00745200">
        <w:tc>
          <w:tcPr>
            <w:tcW w:w="2500" w:type="pct"/>
          </w:tcPr>
          <w:p w14:paraId="0A702385" w14:textId="77777777" w:rsidR="00956A1A" w:rsidRPr="004C5667" w:rsidRDefault="00956A1A" w:rsidP="00EF36DF">
            <w:pPr>
              <w:spacing w:after="0"/>
            </w:pPr>
            <w:r w:rsidRPr="004C5667">
              <w:t>Fund Management costs</w:t>
            </w:r>
          </w:p>
        </w:tc>
        <w:tc>
          <w:tcPr>
            <w:tcW w:w="2500" w:type="pct"/>
          </w:tcPr>
          <w:p w14:paraId="0B0F61DD" w14:textId="04B48520" w:rsidR="00956A1A" w:rsidRPr="004C5667" w:rsidRDefault="00735069">
            <w:pPr>
              <w:spacing w:after="0"/>
            </w:pPr>
            <w:r>
              <w:t>£</w:t>
            </w:r>
            <w:r w:rsidR="00BD15AB">
              <w:t>4,797,600</w:t>
            </w:r>
          </w:p>
        </w:tc>
      </w:tr>
      <w:tr w:rsidR="00956A1A" w:rsidRPr="004C5667" w14:paraId="7D7B4513" w14:textId="77777777" w:rsidTr="00745200">
        <w:trPr>
          <w:trHeight w:val="301"/>
        </w:trPr>
        <w:tc>
          <w:tcPr>
            <w:tcW w:w="2500" w:type="pct"/>
          </w:tcPr>
          <w:p w14:paraId="2F2C3008" w14:textId="77777777" w:rsidR="00956A1A" w:rsidRPr="004C5667" w:rsidRDefault="00956A1A" w:rsidP="00EF36DF">
            <w:pPr>
              <w:spacing w:after="0"/>
            </w:pPr>
            <w:r w:rsidRPr="004C5667">
              <w:t>ICF staff costs</w:t>
            </w:r>
          </w:p>
        </w:tc>
        <w:tc>
          <w:tcPr>
            <w:tcW w:w="2500" w:type="pct"/>
          </w:tcPr>
          <w:p w14:paraId="4D3B7819" w14:textId="3DCE54A0" w:rsidR="00956A1A" w:rsidRPr="004C5667" w:rsidRDefault="00956A1A">
            <w:pPr>
              <w:spacing w:after="0"/>
            </w:pPr>
            <w:r w:rsidRPr="004C5667">
              <w:t>£</w:t>
            </w:r>
            <w:r w:rsidR="00BD15AB">
              <w:t>944,200</w:t>
            </w:r>
          </w:p>
        </w:tc>
      </w:tr>
      <w:tr w:rsidR="00956A1A" w:rsidRPr="004C5667" w14:paraId="6184B6B3" w14:textId="77777777" w:rsidTr="00745200">
        <w:tc>
          <w:tcPr>
            <w:tcW w:w="2500" w:type="pct"/>
          </w:tcPr>
          <w:p w14:paraId="7D15DC9D" w14:textId="77777777" w:rsidR="00956A1A" w:rsidRPr="004C5667" w:rsidRDefault="00956A1A" w:rsidP="00EF36DF">
            <w:pPr>
              <w:spacing w:after="0"/>
            </w:pPr>
            <w:r w:rsidRPr="004C5667">
              <w:t>Opportunity cost of foregone investments by funders (private and public)</w:t>
            </w:r>
          </w:p>
        </w:tc>
        <w:tc>
          <w:tcPr>
            <w:tcW w:w="2500" w:type="pct"/>
          </w:tcPr>
          <w:p w14:paraId="4ABD76D5" w14:textId="73C3691A" w:rsidR="00956A1A" w:rsidRPr="004C5667" w:rsidRDefault="00735069">
            <w:pPr>
              <w:spacing w:after="0"/>
            </w:pPr>
            <w:r>
              <w:t>£</w:t>
            </w:r>
            <w:r w:rsidR="00BD15AB">
              <w:t xml:space="preserve">4,669,900 </w:t>
            </w:r>
          </w:p>
        </w:tc>
      </w:tr>
      <w:tr w:rsidR="00956A1A" w:rsidRPr="004C5667" w14:paraId="5DF1A069" w14:textId="77777777" w:rsidTr="00745200">
        <w:tc>
          <w:tcPr>
            <w:tcW w:w="2500" w:type="pct"/>
          </w:tcPr>
          <w:p w14:paraId="3B61CB64" w14:textId="77777777" w:rsidR="00956A1A" w:rsidRPr="004C5667" w:rsidRDefault="00956A1A" w:rsidP="00EF36DF">
            <w:pPr>
              <w:spacing w:after="0"/>
              <w:rPr>
                <w:b/>
              </w:rPr>
            </w:pPr>
            <w:r w:rsidRPr="004C5667">
              <w:rPr>
                <w:b/>
              </w:rPr>
              <w:t>Present Value Total Costs</w:t>
            </w:r>
          </w:p>
        </w:tc>
        <w:tc>
          <w:tcPr>
            <w:tcW w:w="2500" w:type="pct"/>
          </w:tcPr>
          <w:p w14:paraId="31C4976B" w14:textId="303D1B17" w:rsidR="00956A1A" w:rsidRPr="004C5667" w:rsidRDefault="00956A1A">
            <w:pPr>
              <w:spacing w:after="0"/>
            </w:pPr>
            <w:r w:rsidRPr="004C5667">
              <w:rPr>
                <w:b/>
              </w:rPr>
              <w:t>£</w:t>
            </w:r>
            <w:r w:rsidR="00223F8B">
              <w:rPr>
                <w:b/>
              </w:rPr>
              <w:t>39,099</w:t>
            </w:r>
            <w:r w:rsidR="00BD15AB">
              <w:rPr>
                <w:b/>
              </w:rPr>
              <w:t>,200</w:t>
            </w:r>
          </w:p>
        </w:tc>
      </w:tr>
      <w:tr w:rsidR="00956A1A" w:rsidRPr="004C5667" w14:paraId="638FA0DF" w14:textId="77777777" w:rsidTr="00745200">
        <w:tc>
          <w:tcPr>
            <w:tcW w:w="2500" w:type="pct"/>
          </w:tcPr>
          <w:p w14:paraId="19A3D35C" w14:textId="77777777" w:rsidR="00956A1A" w:rsidRPr="004C5667" w:rsidRDefault="00956A1A" w:rsidP="00EF36DF">
            <w:pPr>
              <w:spacing w:after="0"/>
            </w:pPr>
          </w:p>
        </w:tc>
        <w:tc>
          <w:tcPr>
            <w:tcW w:w="2500" w:type="pct"/>
          </w:tcPr>
          <w:p w14:paraId="3CF02386" w14:textId="77777777" w:rsidR="00956A1A" w:rsidRPr="004C5667" w:rsidRDefault="00956A1A" w:rsidP="00EF36DF">
            <w:pPr>
              <w:spacing w:after="0"/>
            </w:pPr>
          </w:p>
        </w:tc>
      </w:tr>
      <w:tr w:rsidR="00956A1A" w:rsidRPr="004C5667" w14:paraId="5D6EF2A0" w14:textId="77777777" w:rsidTr="00745200">
        <w:tc>
          <w:tcPr>
            <w:tcW w:w="2500" w:type="pct"/>
          </w:tcPr>
          <w:p w14:paraId="181B7902" w14:textId="77777777" w:rsidR="00956A1A" w:rsidRPr="004C5667" w:rsidRDefault="00956A1A" w:rsidP="00EF36DF">
            <w:pPr>
              <w:spacing w:after="0"/>
              <w:rPr>
                <w:b/>
              </w:rPr>
            </w:pPr>
            <w:r w:rsidRPr="004C5667">
              <w:rPr>
                <w:b/>
              </w:rPr>
              <w:t>Benefits</w:t>
            </w:r>
          </w:p>
        </w:tc>
        <w:tc>
          <w:tcPr>
            <w:tcW w:w="2500" w:type="pct"/>
          </w:tcPr>
          <w:p w14:paraId="70FE0E13" w14:textId="77777777" w:rsidR="00956A1A" w:rsidRPr="004C5667" w:rsidRDefault="00956A1A" w:rsidP="00EF36DF">
            <w:pPr>
              <w:spacing w:after="0"/>
            </w:pPr>
          </w:p>
        </w:tc>
      </w:tr>
      <w:tr w:rsidR="00956A1A" w:rsidRPr="004C5667" w14:paraId="22F58C71" w14:textId="77777777" w:rsidTr="00745200">
        <w:tc>
          <w:tcPr>
            <w:tcW w:w="2500" w:type="pct"/>
          </w:tcPr>
          <w:p w14:paraId="045ECA8E" w14:textId="77777777" w:rsidR="00956A1A" w:rsidRPr="004C5667" w:rsidRDefault="00956A1A" w:rsidP="00EF36DF">
            <w:pPr>
              <w:spacing w:after="0"/>
            </w:pPr>
            <w:r w:rsidRPr="004C5667">
              <w:t>Carbon savings</w:t>
            </w:r>
          </w:p>
        </w:tc>
        <w:tc>
          <w:tcPr>
            <w:tcW w:w="2500" w:type="pct"/>
          </w:tcPr>
          <w:p w14:paraId="438D68AD" w14:textId="0E5429F0" w:rsidR="00956A1A" w:rsidRPr="004C5667" w:rsidRDefault="00D10CC9" w:rsidP="00223F8B">
            <w:pPr>
              <w:spacing w:after="0"/>
            </w:pPr>
            <w:r>
              <w:t>£</w:t>
            </w:r>
            <w:r w:rsidR="00223F8B">
              <w:t>91,439,400</w:t>
            </w:r>
          </w:p>
        </w:tc>
      </w:tr>
      <w:tr w:rsidR="00D10CC9" w:rsidRPr="004C5667" w14:paraId="39BC7378" w14:textId="77777777" w:rsidTr="00745200">
        <w:tc>
          <w:tcPr>
            <w:tcW w:w="2500" w:type="pct"/>
          </w:tcPr>
          <w:p w14:paraId="5FCA069E" w14:textId="0475B019" w:rsidR="00D10CC9" w:rsidRPr="004C5667" w:rsidRDefault="00D10CC9" w:rsidP="00EF36DF">
            <w:pPr>
              <w:spacing w:after="0"/>
            </w:pPr>
            <w:r>
              <w:t>Productivity benefits</w:t>
            </w:r>
          </w:p>
        </w:tc>
        <w:tc>
          <w:tcPr>
            <w:tcW w:w="2500" w:type="pct"/>
          </w:tcPr>
          <w:p w14:paraId="646CB72F" w14:textId="1217FE19" w:rsidR="00D10CC9" w:rsidRPr="004C5667" w:rsidRDefault="00735069">
            <w:pPr>
              <w:spacing w:after="0"/>
            </w:pPr>
            <w:r>
              <w:t>£</w:t>
            </w:r>
            <w:r w:rsidR="00BD15AB">
              <w:t>6,556,600</w:t>
            </w:r>
          </w:p>
        </w:tc>
      </w:tr>
      <w:tr w:rsidR="00956A1A" w:rsidRPr="004C5667" w14:paraId="54911EF4" w14:textId="77777777" w:rsidTr="00745200">
        <w:tc>
          <w:tcPr>
            <w:tcW w:w="2500" w:type="pct"/>
          </w:tcPr>
          <w:p w14:paraId="41198B7D" w14:textId="77777777" w:rsidR="00956A1A" w:rsidRPr="004C5667" w:rsidRDefault="00956A1A" w:rsidP="00EF36DF">
            <w:pPr>
              <w:spacing w:after="0"/>
            </w:pPr>
            <w:r w:rsidRPr="004C5667">
              <w:t>Ecosystem services</w:t>
            </w:r>
          </w:p>
        </w:tc>
        <w:tc>
          <w:tcPr>
            <w:tcW w:w="2500" w:type="pct"/>
          </w:tcPr>
          <w:p w14:paraId="0C091C58" w14:textId="41FAE251" w:rsidR="00956A1A" w:rsidRPr="004C5667" w:rsidRDefault="00735069" w:rsidP="00223F8B">
            <w:pPr>
              <w:spacing w:after="0"/>
            </w:pPr>
            <w:r>
              <w:t>£</w:t>
            </w:r>
            <w:r w:rsidDel="00BD15AB">
              <w:t>2</w:t>
            </w:r>
            <w:r w:rsidR="00223F8B">
              <w:t>4,292,300</w:t>
            </w:r>
          </w:p>
        </w:tc>
      </w:tr>
      <w:tr w:rsidR="00956A1A" w:rsidRPr="004C5667" w14:paraId="0EBE72CD" w14:textId="77777777" w:rsidTr="00745200">
        <w:tc>
          <w:tcPr>
            <w:tcW w:w="2500" w:type="pct"/>
          </w:tcPr>
          <w:p w14:paraId="5E5D5F50" w14:textId="77777777" w:rsidR="00956A1A" w:rsidRPr="004C5667" w:rsidRDefault="00956A1A" w:rsidP="00EF36DF">
            <w:pPr>
              <w:spacing w:after="0"/>
              <w:rPr>
                <w:b/>
              </w:rPr>
            </w:pPr>
            <w:r w:rsidRPr="004C5667">
              <w:rPr>
                <w:b/>
              </w:rPr>
              <w:t>Present Value Total Benefits</w:t>
            </w:r>
          </w:p>
        </w:tc>
        <w:tc>
          <w:tcPr>
            <w:tcW w:w="2500" w:type="pct"/>
          </w:tcPr>
          <w:p w14:paraId="3F1E76C0" w14:textId="728E5409" w:rsidR="00956A1A" w:rsidRPr="004C5667" w:rsidRDefault="00956A1A" w:rsidP="00223F8B">
            <w:pPr>
              <w:spacing w:after="0"/>
            </w:pPr>
            <w:r w:rsidRPr="004C5667">
              <w:rPr>
                <w:b/>
              </w:rPr>
              <w:t>£</w:t>
            </w:r>
            <w:r w:rsidR="00223F8B">
              <w:rPr>
                <w:b/>
              </w:rPr>
              <w:t>122,288,300</w:t>
            </w:r>
          </w:p>
        </w:tc>
      </w:tr>
      <w:tr w:rsidR="00956A1A" w:rsidRPr="004C5667" w14:paraId="2E8B8A5A" w14:textId="77777777" w:rsidTr="00745200">
        <w:tc>
          <w:tcPr>
            <w:tcW w:w="2500" w:type="pct"/>
          </w:tcPr>
          <w:p w14:paraId="3B46EE27" w14:textId="77777777" w:rsidR="00956A1A" w:rsidRPr="004C5667" w:rsidRDefault="00956A1A" w:rsidP="00EF36DF">
            <w:pPr>
              <w:spacing w:after="0"/>
              <w:rPr>
                <w:b/>
              </w:rPr>
            </w:pPr>
            <w:r w:rsidRPr="004C5667">
              <w:rPr>
                <w:b/>
              </w:rPr>
              <w:t>NPV</w:t>
            </w:r>
          </w:p>
        </w:tc>
        <w:tc>
          <w:tcPr>
            <w:tcW w:w="2500" w:type="pct"/>
          </w:tcPr>
          <w:p w14:paraId="2B2B132E" w14:textId="567919C5" w:rsidR="00956A1A" w:rsidRPr="004C5667" w:rsidRDefault="00956A1A" w:rsidP="00223F8B">
            <w:pPr>
              <w:spacing w:after="0"/>
            </w:pPr>
            <w:r w:rsidRPr="004C5667">
              <w:rPr>
                <w:b/>
              </w:rPr>
              <w:t>£</w:t>
            </w:r>
            <w:r w:rsidR="00223F8B">
              <w:rPr>
                <w:b/>
              </w:rPr>
              <w:t>83,189,000</w:t>
            </w:r>
          </w:p>
        </w:tc>
      </w:tr>
      <w:tr w:rsidR="00956A1A" w:rsidRPr="004C5667" w14:paraId="3A3EE5C0" w14:textId="77777777" w:rsidTr="00745200">
        <w:tc>
          <w:tcPr>
            <w:tcW w:w="2500" w:type="pct"/>
          </w:tcPr>
          <w:p w14:paraId="3A4772D7" w14:textId="77777777" w:rsidR="00956A1A" w:rsidRPr="004C5667" w:rsidRDefault="00956A1A" w:rsidP="00EF36DF">
            <w:pPr>
              <w:spacing w:after="0"/>
              <w:rPr>
                <w:b/>
              </w:rPr>
            </w:pPr>
            <w:r w:rsidRPr="004C5667">
              <w:rPr>
                <w:b/>
              </w:rPr>
              <w:t>BCR</w:t>
            </w:r>
          </w:p>
        </w:tc>
        <w:tc>
          <w:tcPr>
            <w:tcW w:w="2500" w:type="pct"/>
          </w:tcPr>
          <w:p w14:paraId="620D7B45" w14:textId="351770D2" w:rsidR="00956A1A" w:rsidRPr="004C5667" w:rsidRDefault="00223F8B" w:rsidP="009070C2">
            <w:pPr>
              <w:keepNext/>
              <w:spacing w:after="0"/>
            </w:pPr>
            <w:r>
              <w:t>3.1</w:t>
            </w:r>
          </w:p>
        </w:tc>
      </w:tr>
    </w:tbl>
    <w:p w14:paraId="57365083" w14:textId="699CE02B" w:rsidR="009070C2" w:rsidRDefault="009070C2" w:rsidP="009070C2">
      <w:pPr>
        <w:pStyle w:val="Caption"/>
        <w:spacing w:before="240"/>
        <w:jc w:val="center"/>
        <w:rPr>
          <w:i w:val="0"/>
          <w:sz w:val="22"/>
        </w:rPr>
      </w:pPr>
      <w:bookmarkStart w:id="75" w:name="_Toc523990664"/>
      <w:r w:rsidRPr="00835728">
        <w:rPr>
          <w:sz w:val="22"/>
        </w:rPr>
        <w:t xml:space="preserve">Figure </w:t>
      </w:r>
      <w:r w:rsidRPr="00835728">
        <w:rPr>
          <w:sz w:val="22"/>
        </w:rPr>
        <w:fldChar w:fldCharType="begin"/>
      </w:r>
      <w:r w:rsidRPr="00835728">
        <w:rPr>
          <w:sz w:val="22"/>
        </w:rPr>
        <w:instrText xml:space="preserve"> SEQ Figure \* ARABIC </w:instrText>
      </w:r>
      <w:r w:rsidRPr="00835728">
        <w:rPr>
          <w:sz w:val="22"/>
        </w:rPr>
        <w:fldChar w:fldCharType="separate"/>
      </w:r>
      <w:r w:rsidR="009D672A">
        <w:rPr>
          <w:noProof/>
          <w:sz w:val="22"/>
        </w:rPr>
        <w:t>10</w:t>
      </w:r>
      <w:r w:rsidRPr="00835728">
        <w:rPr>
          <w:sz w:val="22"/>
        </w:rPr>
        <w:fldChar w:fldCharType="end"/>
      </w:r>
      <w:r w:rsidRPr="00835728">
        <w:rPr>
          <w:sz w:val="22"/>
        </w:rPr>
        <w:t xml:space="preserve">: </w:t>
      </w:r>
      <w:r w:rsidRPr="00835728">
        <w:rPr>
          <w:i w:val="0"/>
          <w:sz w:val="22"/>
        </w:rPr>
        <w:t>Cost and Benefit Summary for the Sustainable Mangroves Facility</w:t>
      </w:r>
      <w:bookmarkEnd w:id="75"/>
      <w:r w:rsidR="00735069">
        <w:rPr>
          <w:i w:val="0"/>
          <w:sz w:val="22"/>
        </w:rPr>
        <w:t>. All figures to nearest £100.</w:t>
      </w:r>
    </w:p>
    <w:p w14:paraId="670635AE" w14:textId="77777777" w:rsidR="00735069" w:rsidRPr="00735069" w:rsidRDefault="00735069" w:rsidP="00735069"/>
    <w:p w14:paraId="2C0CE581" w14:textId="40FA5256" w:rsidR="00956A1A" w:rsidRPr="004C5667" w:rsidRDefault="00956A1A" w:rsidP="00EF36DF">
      <w:r w:rsidRPr="004C5667">
        <w:t xml:space="preserve">This appraisal assumes that once ICF funding is committed to the Sustainable Mangroves Facility, funding </w:t>
      </w:r>
      <w:r w:rsidRPr="004C5667">
        <w:rPr>
          <w:b/>
        </w:rPr>
        <w:t xml:space="preserve">will not be repaid </w:t>
      </w:r>
      <w:r w:rsidRPr="004C5667">
        <w:t>to ICF in the future. This is due to</w:t>
      </w:r>
      <w:r w:rsidR="00455517">
        <w:t>:</w:t>
      </w:r>
      <w:r w:rsidRPr="004C5667">
        <w:t xml:space="preserve"> </w:t>
      </w:r>
    </w:p>
    <w:p w14:paraId="05CD4AF3" w14:textId="1CD0A5EE" w:rsidR="00956A1A" w:rsidRPr="004C5667" w:rsidRDefault="00CC18FA" w:rsidP="00F93F6C">
      <w:pPr>
        <w:pStyle w:val="ListParagraph"/>
        <w:numPr>
          <w:ilvl w:val="0"/>
          <w:numId w:val="18"/>
        </w:numPr>
        <w:spacing w:after="160"/>
      </w:pPr>
      <w:r w:rsidRPr="004C5667">
        <w:t>T</w:t>
      </w:r>
      <w:r w:rsidR="00956A1A" w:rsidRPr="004C5667">
        <w:t>he logistical and political challenges relating to the UK Government technically receiving</w:t>
      </w:r>
      <w:r w:rsidR="00956A1A" w:rsidRPr="004C5667">
        <w:rPr>
          <w:i/>
        </w:rPr>
        <w:t xml:space="preserve"> </w:t>
      </w:r>
      <w:r w:rsidR="00956A1A" w:rsidRPr="004C5667">
        <w:t xml:space="preserve">ODA funding, even as a repayment, in any given financial year. </w:t>
      </w:r>
    </w:p>
    <w:p w14:paraId="2FC111E3" w14:textId="13EB8025" w:rsidR="00956A1A" w:rsidRPr="004C5667" w:rsidRDefault="00956A1A" w:rsidP="00F93F6C">
      <w:pPr>
        <w:pStyle w:val="ListParagraph"/>
        <w:numPr>
          <w:ilvl w:val="0"/>
          <w:numId w:val="18"/>
        </w:numPr>
        <w:spacing w:after="160"/>
      </w:pPr>
      <w:r w:rsidRPr="004C5667">
        <w:t xml:space="preserve">Financial questions around whether mechanisms exists through which funding would be repaid to </w:t>
      </w:r>
      <w:r w:rsidR="00BF15A0">
        <w:t>Defra</w:t>
      </w:r>
      <w:r w:rsidRPr="004C5667">
        <w:t xml:space="preserve"> – this has been flagged by the Finance team</w:t>
      </w:r>
    </w:p>
    <w:p w14:paraId="1CD8017E" w14:textId="77777777" w:rsidR="00956A1A" w:rsidRPr="004C5667" w:rsidRDefault="00956A1A" w:rsidP="00EF36DF">
      <w:r w:rsidRPr="004C5667">
        <w:t xml:space="preserve">As such, it is assumed that ICF funding will be exhausted through the provision of non-repaying finance to SMF recipients, either through technical assistance or grant funding. However, as we assume that these actions would take place after the 20-year appraisal period, these actions are considered </w:t>
      </w:r>
      <w:r w:rsidRPr="004C5667">
        <w:rPr>
          <w:b/>
        </w:rPr>
        <w:t>out-of-scope</w:t>
      </w:r>
      <w:r w:rsidRPr="004C5667">
        <w:t>.</w:t>
      </w:r>
    </w:p>
    <w:p w14:paraId="25BDF1F4" w14:textId="399AA3C0" w:rsidR="00956A1A" w:rsidRPr="004C5667" w:rsidRDefault="00195262" w:rsidP="00EF36DF">
      <w:r>
        <w:t xml:space="preserve">The facility aims to operate as an ‘ever-green’ fund, meaning it would operate in perpetuity. However, in line with the operational framework in place for the </w:t>
      </w:r>
      <w:proofErr w:type="spellStart"/>
      <w:r>
        <w:t>Eco.business</w:t>
      </w:r>
      <w:proofErr w:type="spellEnd"/>
      <w:r>
        <w:t xml:space="preserve"> Fund - the evergreen finance fund in which Defra ICF currently holds a stake – the operational of the fund will be reviewed after 15 years, with Defra ICF having the option to withdraw its funds at that point. </w:t>
      </w:r>
      <w:r w:rsidRPr="00240011">
        <w:rPr>
          <w:u w:val="single"/>
        </w:rPr>
        <w:t>As such, the appraisal assumes a 15-year fund operation.</w:t>
      </w:r>
    </w:p>
    <w:p w14:paraId="02F7D371" w14:textId="77777777" w:rsidR="00956A1A" w:rsidRPr="004C5667" w:rsidRDefault="00956A1A" w:rsidP="00EF36DF">
      <w:pPr>
        <w:pStyle w:val="Heading5"/>
      </w:pPr>
      <w:r w:rsidRPr="004C5667">
        <w:t>Costs</w:t>
      </w:r>
    </w:p>
    <w:p w14:paraId="7877598F" w14:textId="77777777" w:rsidR="00956A1A" w:rsidRPr="004C5667" w:rsidRDefault="00956A1A" w:rsidP="00EF36DF">
      <w:r w:rsidRPr="004C5667">
        <w:t>The costs that were within scope to monetise as part of this analysis are:</w:t>
      </w:r>
    </w:p>
    <w:p w14:paraId="15B3B60B" w14:textId="776D8050" w:rsidR="00956A1A" w:rsidRPr="004C5667" w:rsidRDefault="00956A1A" w:rsidP="00EF36DF">
      <w:r w:rsidRPr="004C5667">
        <w:rPr>
          <w:b/>
        </w:rPr>
        <w:t>ICF funding costs</w:t>
      </w:r>
      <w:r w:rsidR="001A3397">
        <w:t>: The £12.75</w:t>
      </w:r>
      <w:r w:rsidRPr="004C5667">
        <w:t>m of ICF funding provided to the facility.</w:t>
      </w:r>
    </w:p>
    <w:p w14:paraId="2A5B8E8D" w14:textId="3C55982E" w:rsidR="00956A1A" w:rsidRPr="004C5667" w:rsidRDefault="00956A1A" w:rsidP="00EF36DF">
      <w:r w:rsidRPr="004C5667">
        <w:rPr>
          <w:b/>
        </w:rPr>
        <w:t xml:space="preserve">Finance leveraged through ICF funding: </w:t>
      </w:r>
      <w:r w:rsidRPr="004C5667">
        <w:t xml:space="preserve">Based on data provided in the terms sheet for the SMF, the fund managers project funding to be leveraged into the </w:t>
      </w:r>
      <w:r w:rsidR="001A3397">
        <w:t>SMF at a 1:</w:t>
      </w:r>
      <w:r w:rsidR="001A3397" w:rsidDel="00195262">
        <w:t>1</w:t>
      </w:r>
      <w:r w:rsidR="001A3397">
        <w:t xml:space="preserve"> ratio.</w:t>
      </w:r>
      <w:r w:rsidR="00195262">
        <w:t xml:space="preserve"> To account for optimism bias we </w:t>
      </w:r>
      <w:r w:rsidR="00195262">
        <w:lastRenderedPageBreak/>
        <w:t>have reduced this by 50% - as such, the central scenario assumes in-fund leveraging of 1:0.5.</w:t>
      </w:r>
      <w:r w:rsidR="001A3397">
        <w:t xml:space="preserve"> </w:t>
      </w:r>
      <w:r w:rsidR="00195262">
        <w:t>Hence</w:t>
      </w:r>
      <w:r w:rsidR="001A3397" w:rsidDel="00195262">
        <w:t xml:space="preserve"> </w:t>
      </w:r>
      <w:r w:rsidR="001A3397">
        <w:t>£</w:t>
      </w:r>
      <w:r w:rsidR="00195262">
        <w:t>6.37</w:t>
      </w:r>
      <w:r w:rsidRPr="004C5667">
        <w:t>m is expected to be leveraged. 100% of this funding is assumed to be public. Further, the fund managers are targeting external funding to be leveraged into projects which the Facility invests at a 1:1 r</w:t>
      </w:r>
      <w:r w:rsidR="00735069">
        <w:t>atio</w:t>
      </w:r>
      <w:r w:rsidR="00195262">
        <w:t xml:space="preserve">. Reducing this by 50% again, </w:t>
      </w:r>
      <w:r w:rsidR="00735069">
        <w:t>this totals a further £</w:t>
      </w:r>
      <w:r w:rsidR="00195262">
        <w:t>9.</w:t>
      </w:r>
      <w:r w:rsidR="00735069" w:rsidDel="00195262">
        <w:t>5</w:t>
      </w:r>
      <w:r w:rsidRPr="004C5667">
        <w:t>m, all of which is ass</w:t>
      </w:r>
      <w:r w:rsidR="00735069">
        <w:t xml:space="preserve">umed to be private. Overall, </w:t>
      </w:r>
      <w:r w:rsidR="00195262">
        <w:t>£15.9</w:t>
      </w:r>
      <w:r w:rsidRPr="004C5667">
        <w:t xml:space="preserve">m of funding is projected to be leveraged, </w:t>
      </w:r>
      <w:r w:rsidR="00195262">
        <w:t>40</w:t>
      </w:r>
      <w:r w:rsidRPr="004C5667">
        <w:t>% public funds and 6</w:t>
      </w:r>
      <w:r w:rsidR="00195262">
        <w:t>0</w:t>
      </w:r>
      <w:r w:rsidRPr="004C5667">
        <w:t xml:space="preserve">% private capital. </w:t>
      </w:r>
    </w:p>
    <w:p w14:paraId="157886CD" w14:textId="1D0BF684" w:rsidR="00956A1A" w:rsidRPr="004C5667" w:rsidRDefault="00956A1A" w:rsidP="00EF36DF">
      <w:r w:rsidRPr="004C5667">
        <w:rPr>
          <w:b/>
        </w:rPr>
        <w:t xml:space="preserve">Fund management costs: </w:t>
      </w:r>
      <w:r w:rsidRPr="004C5667">
        <w:t xml:space="preserve">The facility managers have proposed setup costs of 1% of committed capital, within annual management costs of 3% on assets under management. </w:t>
      </w:r>
      <w:r w:rsidR="00195262">
        <w:t>M&amp;E costs are assumed to be covered by these expenses.</w:t>
      </w:r>
    </w:p>
    <w:p w14:paraId="4BD81634" w14:textId="5B363C3E" w:rsidR="00956A1A" w:rsidRPr="004C5667" w:rsidRDefault="00956A1A" w:rsidP="00EF36DF">
      <w:r w:rsidRPr="004C5667">
        <w:rPr>
          <w:b/>
        </w:rPr>
        <w:t xml:space="preserve">The opportunity cost of foregone investments for private finance leveraged through ICF funding: </w:t>
      </w:r>
      <w:r w:rsidRPr="004C5667">
        <w:t xml:space="preserve">It is </w:t>
      </w:r>
      <w:r w:rsidR="00DE7C3D">
        <w:t>important</w:t>
      </w:r>
      <w:r w:rsidRPr="004C5667">
        <w:t xml:space="preserve"> to </w:t>
      </w:r>
      <w:r w:rsidR="00DE7C3D">
        <w:t xml:space="preserve">account for </w:t>
      </w:r>
      <w:r w:rsidRPr="004C5667">
        <w:t xml:space="preserve">the returns </w:t>
      </w:r>
      <w:r w:rsidR="00DE7C3D">
        <w:t>the private sector</w:t>
      </w:r>
      <w:r w:rsidRPr="004C5667">
        <w:t xml:space="preserve"> would have </w:t>
      </w:r>
      <w:r w:rsidR="00DE7C3D">
        <w:t>made</w:t>
      </w:r>
      <w:r w:rsidRPr="004C5667">
        <w:t xml:space="preserve"> had the money been utilised for a different investment throughout the lifespan of the program. This level of forgone return has been set at </w:t>
      </w:r>
      <w:r w:rsidR="00195262">
        <w:t>3.5</w:t>
      </w:r>
      <w:r w:rsidRPr="004C5667">
        <w:t>% annually on commitments</w:t>
      </w:r>
      <w:r w:rsidR="00195262">
        <w:t xml:space="preserve">, in line with guidance from </w:t>
      </w:r>
      <w:proofErr w:type="spellStart"/>
      <w:r w:rsidR="00195262">
        <w:t>DfID</w:t>
      </w:r>
      <w:proofErr w:type="spellEnd"/>
      <w:r w:rsidR="00195262">
        <w:t xml:space="preserve"> analysts.</w:t>
      </w:r>
    </w:p>
    <w:p w14:paraId="3BD8976B" w14:textId="1C1C35FD" w:rsidR="00956A1A" w:rsidRPr="004C5667" w:rsidRDefault="00956A1A" w:rsidP="00EF36DF">
      <w:r w:rsidRPr="004C5667">
        <w:t>Following advice from colleagues across HMG, it is assumed that there is no opportunity cost associated with public funding, whether provided by ICF other donors</w:t>
      </w:r>
      <w:r w:rsidR="00DE7C3D">
        <w:t>, since ODA budgets are already committed</w:t>
      </w:r>
      <w:r w:rsidRPr="004C5667">
        <w:t>.</w:t>
      </w:r>
    </w:p>
    <w:p w14:paraId="7F35A521" w14:textId="3AD06FF8" w:rsidR="00956A1A" w:rsidRPr="004C5667" w:rsidRDefault="00956A1A">
      <w:r w:rsidRPr="004C5667">
        <w:rPr>
          <w:b/>
        </w:rPr>
        <w:t xml:space="preserve">ICF staff costs: </w:t>
      </w:r>
      <w:r w:rsidRPr="004C5667">
        <w:t xml:space="preserve">FTE capacity </w:t>
      </w:r>
      <w:r w:rsidR="003E271E">
        <w:t>of different posts is as follows: EO (0.05); HEO (0.7); G7 (0.1); G6 (0.1); SCS (0.05).</w:t>
      </w:r>
      <w:r w:rsidRPr="004C5667">
        <w:t xml:space="preserve"> The costs associated with this capacity have been provided by </w:t>
      </w:r>
      <w:r w:rsidR="00BF15A0">
        <w:t>Defra</w:t>
      </w:r>
      <w:r w:rsidRPr="004C5667">
        <w:t xml:space="preserve"> Finance.</w:t>
      </w:r>
      <w:r w:rsidR="00FE4B30">
        <w:t xml:space="preserve"> </w:t>
      </w:r>
    </w:p>
    <w:p w14:paraId="480CEB35" w14:textId="77777777" w:rsidR="00956A1A" w:rsidRPr="004C5667" w:rsidRDefault="00956A1A" w:rsidP="00EF36DF">
      <w:pPr>
        <w:pStyle w:val="Heading5"/>
      </w:pPr>
      <w:r w:rsidRPr="004C5667">
        <w:t>Benefits</w:t>
      </w:r>
    </w:p>
    <w:p w14:paraId="32A832C9" w14:textId="76CEC78D" w:rsidR="00956A1A" w:rsidRPr="004C5667" w:rsidRDefault="00956A1A" w:rsidP="00EF36DF">
      <w:r w:rsidRPr="004C5667">
        <w:rPr>
          <w:b/>
        </w:rPr>
        <w:t xml:space="preserve">GHG emissions: </w:t>
      </w:r>
      <w:r w:rsidRPr="004C5667">
        <w:t>An indicative estimate for the tonnes of carbon sequestered or emissions avoided has been estimated based on mangrove area protected or restored from the three projects appraised. This has been extrapolated across the total funding provided under this investment t</w:t>
      </w:r>
      <w:r w:rsidR="00735069">
        <w:t xml:space="preserve">o reach an estimation of </w:t>
      </w:r>
      <w:r w:rsidR="00195262">
        <w:t>3</w:t>
      </w:r>
      <w:r w:rsidR="00DE7C3D">
        <w:t>,</w:t>
      </w:r>
      <w:r w:rsidR="00223F8B">
        <w:t>00</w:t>
      </w:r>
      <w:r w:rsidR="00D821B6">
        <w:t>0</w:t>
      </w:r>
      <w:r w:rsidR="00DE7C3D">
        <w:t xml:space="preserve"> </w:t>
      </w:r>
      <w:r w:rsidRPr="004C5667">
        <w:t>ha. It is assumed that half of this figure is mangroves protected, while the other half is mangroves restored.</w:t>
      </w:r>
    </w:p>
    <w:p w14:paraId="79B11D63" w14:textId="5A10D616" w:rsidR="00956A1A" w:rsidRPr="004C5667" w:rsidRDefault="00956A1A" w:rsidP="00EF36DF">
      <w:r w:rsidRPr="004C5667">
        <w:t xml:space="preserve">For mangroves protected, the area is multiplied by </w:t>
      </w:r>
      <w:r w:rsidR="00195262">
        <w:t>IPCC figures</w:t>
      </w:r>
      <w:r w:rsidRPr="004C5667">
        <w:t xml:space="preserve"> for the volume of carbon stocks on average for mangroves globally</w:t>
      </w:r>
      <w:r w:rsidRPr="004C5667">
        <w:rPr>
          <w:rStyle w:val="FootnoteReference"/>
        </w:rPr>
        <w:footnoteReference w:id="38"/>
      </w:r>
      <w:r w:rsidRPr="004C5667">
        <w:t xml:space="preserve"> - </w:t>
      </w:r>
      <w:r w:rsidR="00195262">
        <w:t>1</w:t>
      </w:r>
      <w:r w:rsidR="00455517">
        <w:t>,</w:t>
      </w:r>
      <w:r w:rsidR="00195262">
        <w:t>874</w:t>
      </w:r>
      <w:r w:rsidR="00455517" w:rsidRPr="00455517">
        <w:t>tCO</w:t>
      </w:r>
      <w:r w:rsidR="00455517" w:rsidRPr="00455517">
        <w:rPr>
          <w:vertAlign w:val="subscript"/>
        </w:rPr>
        <w:t>2</w:t>
      </w:r>
      <w:r w:rsidR="00455517" w:rsidRPr="00455517">
        <w:t>e</w:t>
      </w:r>
      <w:r w:rsidR="00455517" w:rsidRPr="004C5667">
        <w:t xml:space="preserve"> </w:t>
      </w:r>
      <w:r w:rsidRPr="004C5667">
        <w:t xml:space="preserve">/ha. </w:t>
      </w:r>
      <w:r w:rsidR="00CE7198">
        <w:t>We assume that deforestation of a hectare of mangr</w:t>
      </w:r>
      <w:r w:rsidR="00223F8B">
        <w:t>oves will lead to the loss of 50</w:t>
      </w:r>
      <w:r w:rsidR="00CE7198">
        <w:t xml:space="preserve">% of the carbon stock, </w:t>
      </w:r>
      <w:r w:rsidR="00223F8B">
        <w:t xml:space="preserve">a conservative estimate </w:t>
      </w:r>
      <w:r w:rsidR="00CE7198">
        <w:t xml:space="preserve">based on </w:t>
      </w:r>
      <w:r w:rsidR="00223F8B">
        <w:t xml:space="preserve">the ranges offered by </w:t>
      </w:r>
      <w:r w:rsidR="00CE7198">
        <w:t>relevant literature</w:t>
      </w:r>
      <w:r w:rsidR="00CE7198">
        <w:rPr>
          <w:rStyle w:val="FootnoteReference"/>
        </w:rPr>
        <w:footnoteReference w:id="39"/>
      </w:r>
      <w:r w:rsidR="00223F8B">
        <w:t xml:space="preserve"> (25%-100%)</w:t>
      </w:r>
      <w:r w:rsidR="00CE7198">
        <w:t>.</w:t>
      </w:r>
      <w:r w:rsidRPr="004C5667">
        <w:t xml:space="preserve">The </w:t>
      </w:r>
      <w:r w:rsidR="00CE7198">
        <w:t xml:space="preserve">volume of stock protected has been shared equally from year 4 to year 20. </w:t>
      </w:r>
    </w:p>
    <w:p w14:paraId="1AC14D09" w14:textId="3DDDEFB0" w:rsidR="00956A1A" w:rsidRPr="004C5667" w:rsidRDefault="00956A1A" w:rsidP="00EF36DF">
      <w:r w:rsidRPr="004C5667">
        <w:t>For mangroves restored, it is assumed that each hectare will sequester 6.</w:t>
      </w:r>
      <w:r w:rsidR="00455517">
        <w:t>4</w:t>
      </w:r>
      <w:r w:rsidR="00455517" w:rsidRPr="00455517">
        <w:t>tCO</w:t>
      </w:r>
      <w:r w:rsidR="00455517" w:rsidRPr="00455517">
        <w:rPr>
          <w:vertAlign w:val="subscript"/>
        </w:rPr>
        <w:t>2</w:t>
      </w:r>
      <w:r w:rsidR="00455517" w:rsidRPr="00455517">
        <w:t>e</w:t>
      </w:r>
      <w:r w:rsidR="00455517" w:rsidRPr="004C5667">
        <w:rPr>
          <w:rStyle w:val="FootnoteReference"/>
        </w:rPr>
        <w:t xml:space="preserve"> </w:t>
      </w:r>
      <w:r w:rsidRPr="004C5667">
        <w:rPr>
          <w:rStyle w:val="FootnoteReference"/>
        </w:rPr>
        <w:footnoteReference w:id="40"/>
      </w:r>
      <w:r w:rsidRPr="004C5667">
        <w:t xml:space="preserve"> per year from year 4 to year 20.</w:t>
      </w:r>
    </w:p>
    <w:p w14:paraId="04B525AB" w14:textId="18B660C7" w:rsidR="00956A1A" w:rsidRPr="004C5667" w:rsidRDefault="00956A1A" w:rsidP="00EF36DF">
      <w:r w:rsidRPr="004C5667">
        <w:t>The value of each tonne has been derived from the BEIS International Carbon Price Series, which assumes that the value of every tonne sequestered or avoided will rise throughout the appraisal period from £61/</w:t>
      </w:r>
      <w:r w:rsidR="00455517">
        <w:t>t</w:t>
      </w:r>
      <w:r w:rsidRPr="004C5667">
        <w:t xml:space="preserve"> in year 4 to £140/</w:t>
      </w:r>
      <w:r w:rsidR="00455517">
        <w:t>t</w:t>
      </w:r>
      <w:r w:rsidRPr="004C5667">
        <w:t xml:space="preserve"> in year 20</w:t>
      </w:r>
      <w:r w:rsidR="00455517">
        <w:t xml:space="preserve"> following the international carbon price series agreed by ICF analysts across HMG</w:t>
      </w:r>
      <w:r w:rsidRPr="004C5667">
        <w:t>.</w:t>
      </w:r>
    </w:p>
    <w:p w14:paraId="3472CAF7" w14:textId="77777777" w:rsidR="00956A1A" w:rsidRDefault="00956A1A" w:rsidP="00EF36DF">
      <w:r w:rsidRPr="004C5667">
        <w:t xml:space="preserve">In the central scenario, it is assumed that the programs will provide no GHG benefits until year 4 of operation. The carbon savings are assumed to be constant from year 4 onwards to the end of the 20 year appraisal period. </w:t>
      </w:r>
    </w:p>
    <w:p w14:paraId="2469FCB4" w14:textId="254AB975" w:rsidR="00D10CC9" w:rsidRPr="004C5667" w:rsidRDefault="00D10CC9" w:rsidP="00EF36DF">
      <w:r>
        <w:rPr>
          <w:b/>
        </w:rPr>
        <w:lastRenderedPageBreak/>
        <w:t>Productivity benefits:</w:t>
      </w:r>
      <w:r w:rsidR="00C744C9">
        <w:t xml:space="preserve"> Increases in</w:t>
      </w:r>
      <w:r w:rsidR="00A7703F">
        <w:t xml:space="preserve"> productivity and </w:t>
      </w:r>
      <w:r w:rsidR="00C744C9">
        <w:t xml:space="preserve">the </w:t>
      </w:r>
      <w:r w:rsidR="00A7703F">
        <w:t xml:space="preserve">more efficient allocation of economic resources resulting from an investment have been modelled through the </w:t>
      </w:r>
      <w:r w:rsidR="00C744C9">
        <w:t xml:space="preserve">rates of return targeted by the SMF on any investment. In theory, if recipients are able to repay an investment at the target rate of </w:t>
      </w:r>
      <w:r w:rsidR="00CF712C">
        <w:t>3</w:t>
      </w:r>
      <w:r w:rsidR="00C744C9">
        <w:t xml:space="preserve">% annually, then productivity must be increased by </w:t>
      </w:r>
      <w:r w:rsidR="00C744C9">
        <w:rPr>
          <w:i/>
        </w:rPr>
        <w:t>at least</w:t>
      </w:r>
      <w:r w:rsidR="00C744C9">
        <w:t xml:space="preserve"> </w:t>
      </w:r>
      <w:r w:rsidR="00CF712C">
        <w:t>3</w:t>
      </w:r>
      <w:r w:rsidR="00C744C9">
        <w:t>% on an annual basis to meet these repayments. Productivity increases are modelled to start in year 4 and accumulate up to year 20.</w:t>
      </w:r>
    </w:p>
    <w:p w14:paraId="32E14843" w14:textId="3C197849" w:rsidR="00956A1A" w:rsidRPr="004C5667" w:rsidRDefault="00956A1A" w:rsidP="00EF36DF">
      <w:r w:rsidRPr="004C5667">
        <w:rPr>
          <w:b/>
        </w:rPr>
        <w:t xml:space="preserve">Ecosystem services: </w:t>
      </w:r>
      <w:r w:rsidRPr="004C5667">
        <w:t xml:space="preserve">The services of coastal protection and food provision provided on an annual basis by a hectare of mangrove forests was drawn from the TEEB Ecosystem Service Values database, a synthesis of academic studies on the value of services provided by different biomes. </w:t>
      </w:r>
      <w:r w:rsidR="00DE7C3D">
        <w:t>The two services combined were valued at £1452/ha.</w:t>
      </w:r>
      <w:r w:rsidRPr="004C5667">
        <w:t xml:space="preserve"> These values were multiplied by the expected area of mangroves protected </w:t>
      </w:r>
      <w:r w:rsidR="00735069">
        <w:t xml:space="preserve">or restored by the program – </w:t>
      </w:r>
      <w:r w:rsidR="00CF712C">
        <w:t>3</w:t>
      </w:r>
      <w:r w:rsidR="00DE7C3D">
        <w:t>,</w:t>
      </w:r>
      <w:r w:rsidR="00CA68CB">
        <w:t>00</w:t>
      </w:r>
      <w:r w:rsidR="00D821B6">
        <w:t>0</w:t>
      </w:r>
      <w:r w:rsidR="00455517">
        <w:t xml:space="preserve"> </w:t>
      </w:r>
      <w:r w:rsidRPr="004C5667">
        <w:t xml:space="preserve">ha.  </w:t>
      </w:r>
    </w:p>
    <w:p w14:paraId="079E06B6" w14:textId="77777777" w:rsidR="00956A1A" w:rsidRPr="004C5667" w:rsidRDefault="00956A1A" w:rsidP="00EF36DF">
      <w:pPr>
        <w:pStyle w:val="Heading5"/>
      </w:pPr>
      <w:r w:rsidRPr="004C5667">
        <w:t>Discounting and Adjustment for Uncertainty</w:t>
      </w:r>
    </w:p>
    <w:p w14:paraId="54743BD3" w14:textId="77777777" w:rsidR="00956A1A" w:rsidRPr="004C5667" w:rsidRDefault="00956A1A" w:rsidP="00EF36DF">
      <w:r w:rsidRPr="004C5667">
        <w:t>To account for the tendency of individuals to value benefits in the present over benefits in the future – and vice versa for costs – social discount rates have been applied to future impacts of the program, as per HMG appraisal guidance. The SMF expects to spread the value of its project funding at a close-to-equal proportion between LDCs (10%), LMICs (8.5%) and UMICs (7%). As such, values have been discounted at an annual rate of 8.5% for costs and benefits other than GHG emissions.</w:t>
      </w:r>
    </w:p>
    <w:p w14:paraId="0A27E0FA" w14:textId="0F0A7226" w:rsidR="00956A1A" w:rsidRPr="004C5667" w:rsidRDefault="00956A1A" w:rsidP="00EF36DF">
      <w:r w:rsidRPr="004C5667">
        <w:t>Annual benefits from avoided GHG emissions are discounted at 3.5% annually, in accordance with ICF analytical guidance on discounting of global goods</w:t>
      </w:r>
      <w:r w:rsidRPr="004C5667">
        <w:rPr>
          <w:rStyle w:val="FootnoteReference"/>
        </w:rPr>
        <w:footnoteReference w:id="41"/>
      </w:r>
      <w:r w:rsidRPr="004C5667">
        <w:t>.</w:t>
      </w:r>
      <w:r w:rsidR="00CF712C">
        <w:t xml:space="preserve"> The opportunity cost faced by private capital is also discounted at 3.5%, as it is assumed to be sourced from developed country capital funds.</w:t>
      </w:r>
    </w:p>
    <w:p w14:paraId="36EE89B3" w14:textId="77777777" w:rsidR="00956A1A" w:rsidRPr="004C5667" w:rsidRDefault="00956A1A" w:rsidP="00EF36DF">
      <w:r w:rsidRPr="004C5667">
        <w:t>The uncertainty related to this option is derived from four main sources:</w:t>
      </w:r>
    </w:p>
    <w:p w14:paraId="78255850" w14:textId="77777777" w:rsidR="00956A1A" w:rsidRPr="004C5667" w:rsidRDefault="00956A1A" w:rsidP="00F93F6C">
      <w:pPr>
        <w:pStyle w:val="ListParagraph"/>
        <w:numPr>
          <w:ilvl w:val="0"/>
          <w:numId w:val="14"/>
        </w:numPr>
        <w:spacing w:after="160"/>
      </w:pPr>
      <w:r w:rsidRPr="004C5667">
        <w:t xml:space="preserve">The level of additionality delivered by ICF funding of projects under the program, and the benefits which are delivered </w:t>
      </w:r>
      <w:r w:rsidRPr="004C5667">
        <w:rPr>
          <w:i/>
        </w:rPr>
        <w:t>over and above</w:t>
      </w:r>
      <w:r w:rsidRPr="004C5667">
        <w:t xml:space="preserve"> those delivered by actions which recipients would have taken in the absence of funding</w:t>
      </w:r>
    </w:p>
    <w:p w14:paraId="4BB9EF6C" w14:textId="77777777" w:rsidR="00956A1A" w:rsidRPr="004C5667" w:rsidRDefault="00956A1A" w:rsidP="00F93F6C">
      <w:pPr>
        <w:pStyle w:val="ListParagraph"/>
        <w:numPr>
          <w:ilvl w:val="0"/>
          <w:numId w:val="14"/>
        </w:numPr>
        <w:spacing w:after="160"/>
      </w:pPr>
      <w:r w:rsidRPr="004C5667">
        <w:t>Uncertainty around the source of data for benefits, for example the application of generic biome ecosystem service values to specific areas of mangrove forests</w:t>
      </w:r>
    </w:p>
    <w:p w14:paraId="5E29DE2D" w14:textId="405685E5" w:rsidR="00CF712C" w:rsidRDefault="00956A1A">
      <w:pPr>
        <w:pStyle w:val="ListParagraph"/>
        <w:numPr>
          <w:ilvl w:val="0"/>
          <w:numId w:val="14"/>
        </w:numPr>
        <w:spacing w:after="160"/>
      </w:pPr>
      <w:r w:rsidRPr="004C5667">
        <w:t>The lack of project data supplied by the fund management team, which made assessing the impacts of an investment in the SMF challengin</w:t>
      </w:r>
      <w:r w:rsidR="00CF712C">
        <w:t>g</w:t>
      </w:r>
    </w:p>
    <w:p w14:paraId="07095649" w14:textId="77777777" w:rsidR="00CF712C" w:rsidRDefault="00CF712C" w:rsidP="00F93F6C">
      <w:pPr>
        <w:pStyle w:val="ListParagraph"/>
        <w:numPr>
          <w:ilvl w:val="0"/>
          <w:numId w:val="14"/>
        </w:numPr>
        <w:spacing w:after="160"/>
      </w:pPr>
    </w:p>
    <w:p w14:paraId="5C7E2000" w14:textId="77777777" w:rsidR="00956A1A" w:rsidRPr="004C5667" w:rsidRDefault="00956A1A" w:rsidP="00F93F6C">
      <w:pPr>
        <w:pStyle w:val="ListParagraph"/>
        <w:numPr>
          <w:ilvl w:val="0"/>
          <w:numId w:val="14"/>
        </w:numPr>
        <w:spacing w:after="160"/>
      </w:pPr>
      <w:r w:rsidRPr="004C5667">
        <w:t>The significant degree of risk attached to setting up a new investment fund, especially in an untested sector</w:t>
      </w:r>
    </w:p>
    <w:p w14:paraId="2EEB5E24" w14:textId="77777777" w:rsidR="00CF712C" w:rsidRDefault="00CF712C" w:rsidP="00240011">
      <w:pPr>
        <w:spacing w:after="160"/>
      </w:pPr>
      <w:r>
        <w:t xml:space="preserve">To account for additionality considerations, a 50% discount has been applied to the project impacts of the program. </w:t>
      </w:r>
    </w:p>
    <w:p w14:paraId="1EC9E277" w14:textId="0C56E4E9" w:rsidR="00CF712C" w:rsidRDefault="00CF712C" w:rsidP="00240011">
      <w:pPr>
        <w:tabs>
          <w:tab w:val="left" w:pos="1574"/>
        </w:tabs>
        <w:spacing w:after="160"/>
      </w:pPr>
      <w:r>
        <w:t>Further:</w:t>
      </w:r>
      <w:r>
        <w:tab/>
      </w:r>
    </w:p>
    <w:p w14:paraId="23BE9734" w14:textId="061F0A39" w:rsidR="00CF712C" w:rsidRPr="00240011" w:rsidRDefault="00CF712C" w:rsidP="00240011">
      <w:pPr>
        <w:pStyle w:val="ListParagraph"/>
        <w:numPr>
          <w:ilvl w:val="0"/>
          <w:numId w:val="42"/>
        </w:numPr>
        <w:spacing w:after="160"/>
        <w:rPr>
          <w:u w:val="single"/>
        </w:rPr>
      </w:pPr>
      <w:r>
        <w:t xml:space="preserve">To account for the possibility of leakage of deforestation to areas adjacent to the program area, a </w:t>
      </w:r>
      <w:r w:rsidR="00DE7C3D">
        <w:t>further 25% discount</w:t>
      </w:r>
      <w:r>
        <w:t xml:space="preserve"> is applied</w:t>
      </w:r>
    </w:p>
    <w:p w14:paraId="33EC68A7" w14:textId="5ABA7C91" w:rsidR="00CF712C" w:rsidRPr="00240011" w:rsidRDefault="00CF712C" w:rsidP="00240011">
      <w:pPr>
        <w:pStyle w:val="ListParagraph"/>
        <w:numPr>
          <w:ilvl w:val="0"/>
          <w:numId w:val="42"/>
        </w:numPr>
        <w:rPr>
          <w:u w:val="single"/>
        </w:rPr>
      </w:pPr>
      <w:r>
        <w:t xml:space="preserve">To account for </w:t>
      </w:r>
      <w:proofErr w:type="spellStart"/>
      <w:r>
        <w:t>i</w:t>
      </w:r>
      <w:proofErr w:type="spellEnd"/>
      <w:r>
        <w:t>) t</w:t>
      </w:r>
      <w:r w:rsidR="00956A1A" w:rsidRPr="004C5667">
        <w:t xml:space="preserve">he risks (as raised by the project partners) of a lack of investable proposals being identified for funding through the Facility – only 2 proposals totalling $2m of SMF funding are </w:t>
      </w:r>
      <w:r w:rsidR="00956A1A" w:rsidRPr="004C5667">
        <w:lastRenderedPageBreak/>
        <w:t>considered as suitable for investment to date</w:t>
      </w:r>
      <w:r>
        <w:t xml:space="preserve">, and ii) the lack of experience of the fund managers in mangrove conservation to date, a </w:t>
      </w:r>
      <w:r w:rsidR="00DE7C3D">
        <w:t>further 25</w:t>
      </w:r>
      <w:r>
        <w:t xml:space="preserve">% risk </w:t>
      </w:r>
      <w:r w:rsidR="00DE7C3D">
        <w:t>discount</w:t>
      </w:r>
      <w:r>
        <w:t xml:space="preserve"> has been applied.</w:t>
      </w:r>
    </w:p>
    <w:p w14:paraId="7852699F" w14:textId="70474566" w:rsidR="00956A1A" w:rsidRPr="00240011" w:rsidRDefault="00CF712C" w:rsidP="00EF36DF">
      <w:pPr>
        <w:rPr>
          <w:u w:val="single"/>
        </w:rPr>
      </w:pPr>
      <w:r w:rsidRPr="00240011">
        <w:rPr>
          <w:u w:val="single"/>
        </w:rPr>
        <w:t xml:space="preserve">In all, a </w:t>
      </w:r>
      <w:r w:rsidR="00075A4E">
        <w:rPr>
          <w:u w:val="single"/>
        </w:rPr>
        <w:t>28.1</w:t>
      </w:r>
      <w:r w:rsidRPr="00240011">
        <w:rPr>
          <w:u w:val="single"/>
        </w:rPr>
        <w:t xml:space="preserve">% rating </w:t>
      </w:r>
      <w:r>
        <w:rPr>
          <w:u w:val="single"/>
        </w:rPr>
        <w:t>(50%*75%*</w:t>
      </w:r>
      <w:r w:rsidR="00075A4E">
        <w:rPr>
          <w:u w:val="single"/>
        </w:rPr>
        <w:t>75</w:t>
      </w:r>
      <w:r>
        <w:rPr>
          <w:u w:val="single"/>
        </w:rPr>
        <w:t xml:space="preserve">%) </w:t>
      </w:r>
      <w:r w:rsidRPr="00240011">
        <w:rPr>
          <w:u w:val="single"/>
        </w:rPr>
        <w:t>has been applied to the gross expected impacts of the program</w:t>
      </w:r>
      <w:r w:rsidR="00D821B6">
        <w:rPr>
          <w:u w:val="single"/>
        </w:rPr>
        <w:t xml:space="preserve"> before any impacts are monetised</w:t>
      </w:r>
      <w:r w:rsidRPr="00240011">
        <w:rPr>
          <w:u w:val="single"/>
        </w:rPr>
        <w:t>.</w:t>
      </w:r>
    </w:p>
    <w:p w14:paraId="0CAAF2D3" w14:textId="77777777" w:rsidR="00956A1A" w:rsidRPr="004C5667" w:rsidRDefault="00956A1A" w:rsidP="00EF36DF">
      <w:pPr>
        <w:rPr>
          <w:u w:val="single"/>
        </w:rPr>
      </w:pPr>
      <w:r w:rsidRPr="004C5667">
        <w:t>These delivery risks may be mitigated through further scoping of the investment field by the project partners – this would increase the likelihood that benefits are realised and create a situation where an ICF investment in SMF represents strong value-for-money. However, given the strict timeline attached to a 2018 ICF investment, we recommend that this option is not considered for investment in 2018.</w:t>
      </w:r>
    </w:p>
    <w:p w14:paraId="4C6BF2F6" w14:textId="0C0F4D2A" w:rsidR="00E25A0E" w:rsidRPr="004C5667" w:rsidRDefault="00956A1A" w:rsidP="00EF36DF">
      <w:r w:rsidRPr="004C5667">
        <w:t xml:space="preserve">Low and high scenarios were developed for the purposes of sensitivity analysis, using the lower and upper bounds for each input variable. This produced a range </w:t>
      </w:r>
      <w:r w:rsidR="00033F9D">
        <w:t xml:space="preserve">of the benefit-cost ratio of </w:t>
      </w:r>
      <w:r w:rsidR="00AA417E">
        <w:t>0.7</w:t>
      </w:r>
      <w:r w:rsidR="00033F9D">
        <w:t>-</w:t>
      </w:r>
      <w:r w:rsidR="00CF712C">
        <w:t>7</w:t>
      </w:r>
      <w:r w:rsidR="00033F9D">
        <w:t>.</w:t>
      </w:r>
      <w:r w:rsidR="00AA417E">
        <w:t>5</w:t>
      </w:r>
      <w:r w:rsidRPr="004C5667">
        <w:t>. Detailed results for this analy</w:t>
      </w:r>
      <w:r w:rsidR="00E25A0E" w:rsidRPr="004C5667">
        <w:t>sis are available in the Annex.</w:t>
      </w:r>
    </w:p>
    <w:p w14:paraId="429E56A5" w14:textId="6454B583" w:rsidR="00956A1A" w:rsidRPr="004C5667" w:rsidRDefault="00956A1A" w:rsidP="00EF36DF">
      <w:pPr>
        <w:pStyle w:val="Heading4"/>
      </w:pPr>
      <w:r w:rsidRPr="004C5667">
        <w:t>Results</w:t>
      </w:r>
    </w:p>
    <w:p w14:paraId="4F6EC9B0" w14:textId="77777777" w:rsidR="00956A1A" w:rsidRPr="004C5667" w:rsidRDefault="00956A1A" w:rsidP="00EF36DF">
      <w:pPr>
        <w:pStyle w:val="Heading5"/>
      </w:pPr>
      <w:r w:rsidRPr="004C5667">
        <w:t>Costs</w:t>
      </w:r>
    </w:p>
    <w:p w14:paraId="683C454B" w14:textId="0AAC5782" w:rsidR="00956A1A" w:rsidRPr="004C5667" w:rsidRDefault="00956A1A" w:rsidP="00EF36DF">
      <w:r w:rsidRPr="004C5667">
        <w:t>ICF funding costs are assume</w:t>
      </w:r>
      <w:r w:rsidR="001A3397">
        <w:t>d to be a one-off payment of £12.75</w:t>
      </w:r>
      <w:r w:rsidRPr="004C5667">
        <w:t>m at the start of year 1.</w:t>
      </w:r>
    </w:p>
    <w:p w14:paraId="6B3B3EB6" w14:textId="17FE37CE" w:rsidR="00956A1A" w:rsidRPr="004C5667" w:rsidRDefault="00956A1A" w:rsidP="00EF36DF">
      <w:r w:rsidRPr="004C5667">
        <w:t xml:space="preserve">The costs of leveraged funding are also assumed to be taken in Year 1 when ICF funding is committed. Funding is projected to be leveraged at a ratio </w:t>
      </w:r>
      <w:r w:rsidR="001A3397">
        <w:t>of 1:</w:t>
      </w:r>
      <w:r w:rsidR="00CF712C">
        <w:t>1.25</w:t>
      </w:r>
      <w:r w:rsidR="001A3397">
        <w:t>. £12.75</w:t>
      </w:r>
      <w:r w:rsidRPr="004C5667">
        <w:t>m of ICF funding will be expected to leverage £</w:t>
      </w:r>
      <w:r w:rsidR="00CF712C">
        <w:t>15.9</w:t>
      </w:r>
      <w:r w:rsidRPr="004C5667">
        <w:t xml:space="preserve">m of funding. It is </w:t>
      </w:r>
      <w:r w:rsidR="00CF712C">
        <w:t>projected</w:t>
      </w:r>
      <w:r w:rsidR="00CF712C" w:rsidRPr="004C5667">
        <w:t xml:space="preserve"> </w:t>
      </w:r>
      <w:r w:rsidRPr="004C5667">
        <w:t xml:space="preserve">that </w:t>
      </w:r>
      <w:r w:rsidR="00CF712C">
        <w:t>40</w:t>
      </w:r>
      <w:r w:rsidRPr="004C5667">
        <w:t>% of funding leveraged by ICF’s investment will be public funds, with the remaining 6</w:t>
      </w:r>
      <w:r w:rsidR="00CF712C">
        <w:t>0</w:t>
      </w:r>
      <w:r w:rsidRPr="004C5667">
        <w:t xml:space="preserve">% in the form of private capital. </w:t>
      </w:r>
    </w:p>
    <w:p w14:paraId="5AE1BE9B" w14:textId="761A478C" w:rsidR="00956A1A" w:rsidRPr="004C5667" w:rsidRDefault="00956A1A" w:rsidP="00EF36DF">
      <w:r w:rsidRPr="004C5667">
        <w:t>Fund manag</w:t>
      </w:r>
      <w:r w:rsidR="00735069">
        <w:t>ement costs on the projected £</w:t>
      </w:r>
      <w:r w:rsidR="00D821B6">
        <w:t>19</w:t>
      </w:r>
      <w:r w:rsidR="00735069">
        <w:t>.</w:t>
      </w:r>
      <w:r w:rsidR="00D821B6">
        <w:t>1</w:t>
      </w:r>
      <w:r w:rsidRPr="004C5667">
        <w:t>m of assets within the Facility compose of a 1% setup,</w:t>
      </w:r>
      <w:r w:rsidR="00735069">
        <w:t xml:space="preserve"> faced before operation, of £</w:t>
      </w:r>
      <w:r w:rsidR="00CF712C">
        <w:t>191</w:t>
      </w:r>
      <w:r w:rsidRPr="004C5667">
        <w:t>k. In addition, 3% is faced annually on assets under management. Thi</w:t>
      </w:r>
      <w:r w:rsidR="00735069">
        <w:t xml:space="preserve">s is projected </w:t>
      </w:r>
      <w:r w:rsidR="00735069" w:rsidDel="00CF712C">
        <w:t xml:space="preserve">to </w:t>
      </w:r>
      <w:r w:rsidR="00CF712C">
        <w:t>fall</w:t>
      </w:r>
      <w:r w:rsidR="00735069">
        <w:t xml:space="preserve"> from £</w:t>
      </w:r>
      <w:r w:rsidR="00CF712C">
        <w:t>566</w:t>
      </w:r>
      <w:r w:rsidRPr="004C5667">
        <w:t>k in year 1 to £</w:t>
      </w:r>
      <w:r w:rsidR="00CF712C">
        <w:t>554k</w:t>
      </w:r>
      <w:r w:rsidRPr="004C5667">
        <w:t xml:space="preserve"> in year </w:t>
      </w:r>
      <w:r w:rsidR="00CF712C">
        <w:t>15, the final year of fund operation</w:t>
      </w:r>
      <w:r w:rsidRPr="004C5667">
        <w:t xml:space="preserve">. The overall present </w:t>
      </w:r>
      <w:r w:rsidR="00FE4B30">
        <w:t>value cost is projected to be £</w:t>
      </w:r>
      <w:r w:rsidR="00D44998">
        <w:t>4</w:t>
      </w:r>
      <w:r w:rsidR="00CF712C">
        <w:t>.</w:t>
      </w:r>
      <w:r w:rsidR="00D821B6">
        <w:t>8</w:t>
      </w:r>
      <w:r w:rsidRPr="004C5667">
        <w:t>m.</w:t>
      </w:r>
    </w:p>
    <w:p w14:paraId="215A2F21" w14:textId="1C6B3D7D" w:rsidR="00956A1A" w:rsidRPr="004C5667" w:rsidRDefault="00956A1A" w:rsidP="00EF36DF">
      <w:r w:rsidRPr="004C5667">
        <w:t>ICF staffing costs, including overheads, are estimated at £</w:t>
      </w:r>
      <w:r w:rsidR="003E271E">
        <w:t>10</w:t>
      </w:r>
      <w:r w:rsidRPr="004C5667">
        <w:t>6,000 a year. This is assumed to be constant through the</w:t>
      </w:r>
      <w:r w:rsidR="00CF712C">
        <w:t xml:space="preserve"> 15-year</w:t>
      </w:r>
      <w:r w:rsidRPr="004C5667">
        <w:t xml:space="preserve"> lifespan of the facility. This produces a present value overall of £</w:t>
      </w:r>
      <w:r w:rsidR="00CF712C">
        <w:t>944k</w:t>
      </w:r>
      <w:r w:rsidRPr="004C5667">
        <w:t>.</w:t>
      </w:r>
    </w:p>
    <w:p w14:paraId="1BCED145" w14:textId="6C5F37BC" w:rsidR="00956A1A" w:rsidRPr="004C5667" w:rsidRDefault="00FE4B30" w:rsidP="00EF36DF">
      <w:r>
        <w:t>Private capital, totalling £</w:t>
      </w:r>
      <w:r w:rsidR="0042204B">
        <w:t>9.</w:t>
      </w:r>
      <w:r w:rsidDel="00CF712C">
        <w:t>5</w:t>
      </w:r>
      <w:r w:rsidR="00956A1A" w:rsidRPr="004C5667">
        <w:t xml:space="preserve">m, is subject to opportunity costs. Opportunity costs of private capital are considered as cumulative over the </w:t>
      </w:r>
      <w:r w:rsidR="00CF712C">
        <w:t>15 year lifespan of the program</w:t>
      </w:r>
      <w:r w:rsidR="00956A1A" w:rsidRPr="004C5667">
        <w:t>. Costs</w:t>
      </w:r>
      <w:r>
        <w:t xml:space="preserve"> are projected to </w:t>
      </w:r>
      <w:r w:rsidDel="0042204B">
        <w:t xml:space="preserve">rise </w:t>
      </w:r>
      <w:r>
        <w:t>from £</w:t>
      </w:r>
      <w:r w:rsidR="0042204B">
        <w:t>334k</w:t>
      </w:r>
      <w:r>
        <w:t xml:space="preserve"> in Year 1 to £</w:t>
      </w:r>
      <w:r w:rsidR="0042204B">
        <w:t>488k</w:t>
      </w:r>
      <w:r w:rsidR="00956A1A" w:rsidRPr="004C5667">
        <w:t xml:space="preserve"> in Year </w:t>
      </w:r>
      <w:r w:rsidR="0042204B">
        <w:t>15</w:t>
      </w:r>
      <w:r w:rsidR="00956A1A" w:rsidRPr="004C5667">
        <w:t>. This produces</w:t>
      </w:r>
      <w:r>
        <w:t xml:space="preserve"> an overall present value of £</w:t>
      </w:r>
      <w:r w:rsidR="0042204B">
        <w:t>4.7m</w:t>
      </w:r>
      <w:r w:rsidR="00956A1A" w:rsidRPr="004C5667">
        <w:t>.</w:t>
      </w:r>
    </w:p>
    <w:p w14:paraId="683EF418" w14:textId="1BEA18AA" w:rsidR="00956A1A" w:rsidRPr="004C5667" w:rsidRDefault="00956A1A" w:rsidP="00EF36DF">
      <w:r w:rsidRPr="004C5667">
        <w:t>Overall, present value of project costs over the 20 year appraisal period comes to £</w:t>
      </w:r>
      <w:r w:rsidR="0042204B">
        <w:t>39.1</w:t>
      </w:r>
      <w:r w:rsidRPr="004C5667">
        <w:t>m.</w:t>
      </w:r>
    </w:p>
    <w:p w14:paraId="5227271E" w14:textId="77777777" w:rsidR="00956A1A" w:rsidRPr="004C5667" w:rsidRDefault="00956A1A" w:rsidP="00EF36DF">
      <w:pPr>
        <w:pStyle w:val="Heading5"/>
      </w:pPr>
      <w:r w:rsidRPr="004C5667">
        <w:t>Benefits</w:t>
      </w:r>
    </w:p>
    <w:p w14:paraId="4314810A" w14:textId="23DA0041" w:rsidR="00956A1A" w:rsidRPr="004C5667" w:rsidRDefault="00956A1A" w:rsidP="00EF36DF">
      <w:r w:rsidRPr="004C5667">
        <w:t>Carbon savings benefits are not projected to begin until Year 4 of the facility. The GHG emissions sequestered or avoided are expected to stay constant betwe</w:t>
      </w:r>
      <w:r w:rsidR="00FE4B30">
        <w:t xml:space="preserve">en year 4 and year 20 at </w:t>
      </w:r>
      <w:r w:rsidR="00223F8B">
        <w:t>92,25</w:t>
      </w:r>
      <w:r w:rsidR="00D44998">
        <w:t>0</w:t>
      </w:r>
      <w:r w:rsidR="00455517">
        <w:t>tCO</w:t>
      </w:r>
      <w:r w:rsidR="00455517" w:rsidRPr="00455517">
        <w:rPr>
          <w:vertAlign w:val="subscript"/>
        </w:rPr>
        <w:t>2</w:t>
      </w:r>
      <w:r w:rsidRPr="004C5667">
        <w:t>e.As such, the GHG emissions benef</w:t>
      </w:r>
      <w:r w:rsidR="00FE4B30">
        <w:t>its of the program rise from £</w:t>
      </w:r>
      <w:r w:rsidR="00223F8B">
        <w:t>5</w:t>
      </w:r>
      <w:r w:rsidR="0042204B">
        <w:t>.</w:t>
      </w:r>
      <w:r w:rsidR="00223F8B">
        <w:t>6</w:t>
      </w:r>
      <w:r w:rsidRPr="004C5667">
        <w:t>m in year 4 to £</w:t>
      </w:r>
      <w:r w:rsidR="0042204B">
        <w:t>1</w:t>
      </w:r>
      <w:r w:rsidR="00223F8B">
        <w:t>2</w:t>
      </w:r>
      <w:r w:rsidR="00FE4B30">
        <w:t>.</w:t>
      </w:r>
      <w:r w:rsidR="00223F8B">
        <w:t>9</w:t>
      </w:r>
      <w:r w:rsidRPr="004C5667">
        <w:t xml:space="preserve">m in year 20. This produces </w:t>
      </w:r>
      <w:r w:rsidR="00FE4B30">
        <w:t>an overall present value of £</w:t>
      </w:r>
      <w:r w:rsidR="00223F8B">
        <w:t>91.4m.</w:t>
      </w:r>
    </w:p>
    <w:p w14:paraId="030E5211" w14:textId="56945D29" w:rsidR="00C744C9" w:rsidRDefault="00C744C9" w:rsidP="00EF36DF">
      <w:r>
        <w:t>Productivity benefits are expected to begin in year</w:t>
      </w:r>
      <w:r w:rsidR="00715196">
        <w:t xml:space="preserve"> 4</w:t>
      </w:r>
      <w:r w:rsidR="00FE4B30">
        <w:t xml:space="preserve"> at a value of £</w:t>
      </w:r>
      <w:r w:rsidR="0042204B">
        <w:t>860k</w:t>
      </w:r>
      <w:r w:rsidR="00FE4B30">
        <w:t>, rising to £</w:t>
      </w:r>
      <w:r w:rsidR="0042204B">
        <w:t>1</w:t>
      </w:r>
      <w:r w:rsidR="00715196">
        <w:t>m in year 20. This produce</w:t>
      </w:r>
      <w:r w:rsidR="00FE4B30">
        <w:t>s an overall present value of £</w:t>
      </w:r>
      <w:r w:rsidR="0042204B">
        <w:t>6.6</w:t>
      </w:r>
      <w:r w:rsidR="00715196">
        <w:t>m.</w:t>
      </w:r>
    </w:p>
    <w:p w14:paraId="04A73FFE" w14:textId="46126B54" w:rsidR="00956A1A" w:rsidRPr="004C5667" w:rsidRDefault="00956A1A" w:rsidP="00EF36DF">
      <w:r w:rsidRPr="004C5667">
        <w:lastRenderedPageBreak/>
        <w:t>Ecosystem service benefits are not projected to begin until year 4</w:t>
      </w:r>
      <w:r w:rsidR="00223F8B">
        <w:t xml:space="preserve"> at £872k</w:t>
      </w:r>
      <w:r w:rsidRPr="004C5667">
        <w:t>. These are then expected to rise to 100% over 5 years at a linear rate of increase. Benefits are then projected to stay const</w:t>
      </w:r>
      <w:r w:rsidR="00FE4B30">
        <w:t>ant from year 8 to year 20 at £</w:t>
      </w:r>
      <w:r w:rsidR="0042204B">
        <w:t>4</w:t>
      </w:r>
      <w:r w:rsidR="00FE4B30">
        <w:t>.</w:t>
      </w:r>
      <w:r w:rsidR="00223F8B">
        <w:t>4</w:t>
      </w:r>
      <w:r w:rsidRPr="004C5667">
        <w:t>m. This produces a</w:t>
      </w:r>
      <w:r w:rsidR="00FE4B30">
        <w:t>n overall present value of £2</w:t>
      </w:r>
      <w:r w:rsidR="00223F8B">
        <w:t>4</w:t>
      </w:r>
      <w:r w:rsidR="0042204B">
        <w:t>.</w:t>
      </w:r>
      <w:r w:rsidR="00223F8B">
        <w:t>3</w:t>
      </w:r>
      <w:r w:rsidRPr="004C5667">
        <w:t>m.</w:t>
      </w:r>
    </w:p>
    <w:p w14:paraId="1F4EA135" w14:textId="00917AF5" w:rsidR="00956A1A" w:rsidRPr="004C5667" w:rsidRDefault="00956A1A" w:rsidP="00EF36DF">
      <w:r w:rsidRPr="004C5667">
        <w:t xml:space="preserve">Overall, present value of project benefits over the 20 year </w:t>
      </w:r>
      <w:r w:rsidR="00FE4B30">
        <w:t>appraisal period comes to £1</w:t>
      </w:r>
      <w:r w:rsidR="00223F8B">
        <w:t>22.3</w:t>
      </w:r>
      <w:r w:rsidRPr="004C5667">
        <w:t xml:space="preserve">m. </w:t>
      </w:r>
    </w:p>
    <w:p w14:paraId="268B2EFE" w14:textId="3D06D7BE" w:rsidR="00956A1A" w:rsidRPr="004C5667" w:rsidRDefault="00956A1A" w:rsidP="00EF36DF">
      <w:r w:rsidRPr="004C5667">
        <w:t>The net present value of an investment in the Sustainable Mangroves</w:t>
      </w:r>
      <w:r w:rsidR="00FE4B30">
        <w:t xml:space="preserve"> Facility is projected to be £</w:t>
      </w:r>
      <w:r w:rsidR="00223F8B">
        <w:t>83</w:t>
      </w:r>
      <w:r w:rsidR="0042204B">
        <w:t>.</w:t>
      </w:r>
      <w:r w:rsidR="00223F8B">
        <w:t>2</w:t>
      </w:r>
      <w:r w:rsidRPr="004C5667">
        <w:t>m.</w:t>
      </w:r>
    </w:p>
    <w:p w14:paraId="44969DB7" w14:textId="02BE867C" w:rsidR="00956A1A" w:rsidRPr="004C5667" w:rsidRDefault="00956A1A" w:rsidP="00EF36DF">
      <w:pPr>
        <w:pStyle w:val="Heading4"/>
        <w:rPr>
          <w:b/>
        </w:rPr>
      </w:pPr>
      <w:r w:rsidRPr="004C5667">
        <w:t>Discussion</w:t>
      </w:r>
    </w:p>
    <w:p w14:paraId="17BF0B29" w14:textId="7553600B" w:rsidR="00E25A0E" w:rsidRPr="004C5667" w:rsidRDefault="00956A1A" w:rsidP="00EF36DF">
      <w:r w:rsidRPr="004C5667">
        <w:t>A number of potentially significant benefits of the Facility remain un</w:t>
      </w:r>
      <w:r w:rsidR="007A6DEA" w:rsidRPr="004C5667">
        <w:t>-</w:t>
      </w:r>
      <w:r w:rsidRPr="004C5667">
        <w:t xml:space="preserve">monetised, such as: </w:t>
      </w:r>
    </w:p>
    <w:p w14:paraId="22237025" w14:textId="2EF766C3" w:rsidR="00956A1A" w:rsidRPr="004C5667" w:rsidRDefault="00E25A0E" w:rsidP="00F93F6C">
      <w:pPr>
        <w:pStyle w:val="ListParagraph"/>
        <w:numPr>
          <w:ilvl w:val="0"/>
          <w:numId w:val="16"/>
        </w:numPr>
      </w:pPr>
      <w:r w:rsidRPr="004C5667">
        <w:rPr>
          <w:b/>
        </w:rPr>
        <w:t>O</w:t>
      </w:r>
      <w:r w:rsidR="00956A1A" w:rsidRPr="004C5667">
        <w:rPr>
          <w:b/>
        </w:rPr>
        <w:t xml:space="preserve">ther ecosystem services beyond coastal protection and food provision. </w:t>
      </w:r>
    </w:p>
    <w:p w14:paraId="4491FDAE" w14:textId="1C2B81CF" w:rsidR="00956A1A" w:rsidRPr="004C5667" w:rsidRDefault="00956A1A" w:rsidP="00F93F6C">
      <w:pPr>
        <w:pStyle w:val="ListParagraph"/>
        <w:numPr>
          <w:ilvl w:val="0"/>
          <w:numId w:val="16"/>
        </w:numPr>
        <w:spacing w:after="160"/>
      </w:pPr>
      <w:r w:rsidRPr="004C5667">
        <w:rPr>
          <w:b/>
        </w:rPr>
        <w:t>the impact of additional jobs on the local economy</w:t>
      </w:r>
      <w:r w:rsidRPr="004C5667">
        <w:t xml:space="preserve"> – the capacity required to quantitatively assess the impacts of jobs across a wide range of locations, circumstances and sectors, as well as the proportion of jobs newly created as opposed to displaced from elsewhere in the economy, was not considered proportionate to the level of impact.</w:t>
      </w:r>
    </w:p>
    <w:p w14:paraId="1E511ED9" w14:textId="1FEEF462" w:rsidR="00956A1A" w:rsidRPr="004C5667" w:rsidRDefault="00956A1A" w:rsidP="00EF36DF">
      <w:r w:rsidRPr="004C5667">
        <w:t>Given these issues, we estimate</w:t>
      </w:r>
      <w:r w:rsidR="00715196">
        <w:t xml:space="preserve"> the cost-benefit ratio of 1:</w:t>
      </w:r>
      <w:r w:rsidR="00D44998">
        <w:t>3</w:t>
      </w:r>
      <w:r w:rsidR="00715196" w:rsidDel="0042204B">
        <w:t>.</w:t>
      </w:r>
      <w:r w:rsidR="00AA417E">
        <w:t>1</w:t>
      </w:r>
      <w:r w:rsidR="00715196">
        <w:t xml:space="preserve"> (i.e. £1 cost delivers £</w:t>
      </w:r>
      <w:r w:rsidR="00D44998">
        <w:t>3</w:t>
      </w:r>
      <w:r w:rsidR="00AA417E">
        <w:t>.1</w:t>
      </w:r>
      <w:r w:rsidRPr="004C5667">
        <w:t>0 in societal benefit) as a conservative estimate of an ICF investment in the Sustainable Mangroves Facility.</w:t>
      </w:r>
    </w:p>
    <w:p w14:paraId="29193623" w14:textId="070DB9F1" w:rsidR="00956A1A" w:rsidRPr="004C5667" w:rsidRDefault="001A3397" w:rsidP="00EF36DF">
      <w:r>
        <w:t>£12.75</w:t>
      </w:r>
      <w:r w:rsidR="00956A1A" w:rsidRPr="004C5667">
        <w:t>m of ICF Investmen</w:t>
      </w:r>
      <w:r>
        <w:t>t in this option, along with £</w:t>
      </w:r>
      <w:r w:rsidR="0042204B">
        <w:t>6.4</w:t>
      </w:r>
      <w:r w:rsidR="00956A1A" w:rsidRPr="004C5667">
        <w:t>m of funding leveraged into the Facility as a result of ICF investment, would aim to deliver target impacts of:</w:t>
      </w:r>
    </w:p>
    <w:p w14:paraId="473EA53F" w14:textId="36624D5F" w:rsidR="00956A1A" w:rsidRPr="004C5667" w:rsidRDefault="00AA417E" w:rsidP="00F93F6C">
      <w:pPr>
        <w:pStyle w:val="ListParagraph"/>
        <w:numPr>
          <w:ilvl w:val="0"/>
          <w:numId w:val="15"/>
        </w:numPr>
        <w:spacing w:after="160"/>
      </w:pPr>
      <w:r>
        <w:t>1,568</w:t>
      </w:r>
      <w:r w:rsidR="0042204B">
        <w:t>,</w:t>
      </w:r>
      <w:r>
        <w:t>2</w:t>
      </w:r>
      <w:r w:rsidR="0042204B">
        <w:t>0</w:t>
      </w:r>
      <w:r w:rsidR="00956A1A" w:rsidRPr="004C5667">
        <w:t>0 tonnes of C02 emissions sequestered or mitigated</w:t>
      </w:r>
    </w:p>
    <w:p w14:paraId="0B412BA0" w14:textId="1A64DA7F" w:rsidR="00956A1A" w:rsidRPr="004C5667" w:rsidRDefault="00AA417E" w:rsidP="00F93F6C">
      <w:pPr>
        <w:pStyle w:val="ListParagraph"/>
        <w:numPr>
          <w:ilvl w:val="0"/>
          <w:numId w:val="15"/>
        </w:numPr>
        <w:spacing w:after="160"/>
      </w:pPr>
      <w:r>
        <w:t>300</w:t>
      </w:r>
      <w:r w:rsidR="0042204B">
        <w:t>0</w:t>
      </w:r>
      <w:r w:rsidR="00956A1A" w:rsidRPr="004C5667">
        <w:t>ha of mangroves restored or protected</w:t>
      </w:r>
    </w:p>
    <w:p w14:paraId="5E335D88" w14:textId="5C73AEE0" w:rsidR="00956A1A" w:rsidRPr="004C5667" w:rsidRDefault="00956A1A" w:rsidP="00EF36DF">
      <w:r w:rsidRPr="004C5667">
        <w:t xml:space="preserve">There are significant </w:t>
      </w:r>
      <w:r w:rsidR="00FF1D49" w:rsidRPr="004C5667">
        <w:t xml:space="preserve">economic </w:t>
      </w:r>
      <w:r w:rsidRPr="004C5667">
        <w:t xml:space="preserve">question marks attached to this program from an ICF perspective. </w:t>
      </w:r>
      <w:proofErr w:type="spellStart"/>
      <w:r w:rsidRPr="004C5667">
        <w:t>Althelia</w:t>
      </w:r>
      <w:proofErr w:type="spellEnd"/>
      <w:r w:rsidRPr="004C5667">
        <w:t xml:space="preserve"> have raised questions around the </w:t>
      </w:r>
      <w:r w:rsidR="00B23FE1" w:rsidRPr="004C5667">
        <w:t xml:space="preserve">availability, feasibility and </w:t>
      </w:r>
      <w:r w:rsidRPr="004C5667">
        <w:t xml:space="preserve">number of economic models which can both provide a return on investment and support mangroves. While the Facility managers do have a substantial amount of expertise in the sustainable investment sector, there is a significant degree of risk attached to establishing a new fund, </w:t>
      </w:r>
      <w:r w:rsidR="00B23FE1" w:rsidRPr="004C5667">
        <w:t xml:space="preserve">specific to mangroves </w:t>
      </w:r>
      <w:r w:rsidRPr="004C5667">
        <w:t xml:space="preserve">especially in such an untested sector. </w:t>
      </w:r>
    </w:p>
    <w:p w14:paraId="52B45A20" w14:textId="77777777" w:rsidR="00B759E9" w:rsidRDefault="00B759E9" w:rsidP="00EF36DF">
      <w:r>
        <w:t xml:space="preserve">[Redacted] </w:t>
      </w:r>
    </w:p>
    <w:p w14:paraId="60026877" w14:textId="6BF269F8" w:rsidR="00F35D40" w:rsidRPr="004C5667" w:rsidRDefault="00956A1A" w:rsidP="00EF36DF">
      <w:r w:rsidRPr="004C5667">
        <w:t xml:space="preserve">Overall, a decision not to invest in the Sustainable Mangroves Facility at this point is considered </w:t>
      </w:r>
      <w:r w:rsidR="00F35D40" w:rsidRPr="004C5667">
        <w:t>as justified by these concerns.</w:t>
      </w:r>
    </w:p>
    <w:p w14:paraId="45AF4A21" w14:textId="77777777" w:rsidR="00F35D40" w:rsidRPr="004C5667" w:rsidRDefault="00F35D40" w:rsidP="00EF36DF">
      <w:pPr>
        <w:spacing w:after="120"/>
        <w:jc w:val="center"/>
      </w:pPr>
      <w:r w:rsidRPr="004C5667">
        <w:br w:type="page"/>
      </w:r>
    </w:p>
    <w:p w14:paraId="70BBC02F" w14:textId="5207D942" w:rsidR="00F35D40" w:rsidRPr="004C5667" w:rsidRDefault="00F35D40" w:rsidP="0054674F">
      <w:pPr>
        <w:pStyle w:val="Heading1"/>
        <w:spacing w:after="240"/>
      </w:pPr>
      <w:bookmarkStart w:id="76" w:name="_Toc527027975"/>
      <w:r w:rsidRPr="004C5667">
        <w:lastRenderedPageBreak/>
        <w:t>Commercial Case</w:t>
      </w:r>
      <w:bookmarkEnd w:id="76"/>
    </w:p>
    <w:p w14:paraId="6CEC0EAF" w14:textId="2E54D69C" w:rsidR="008B7902" w:rsidRDefault="008B7902" w:rsidP="008B7902">
      <w:r w:rsidRPr="004C5667">
        <w:t>The Appraisal Case provides a high level justification for establishing a new regional programme with the IDB, including the associated costs and benefits. The following sections</w:t>
      </w:r>
      <w:r w:rsidR="001B1AFB">
        <w:t xml:space="preserve"> (Commercial and</w:t>
      </w:r>
      <w:r w:rsidR="0054674F">
        <w:t xml:space="preserve"> Financial)</w:t>
      </w:r>
      <w:r w:rsidRPr="004C5667">
        <w:t xml:space="preserve"> provide further information on the capabilities and capacity of the </w:t>
      </w:r>
      <w:r w:rsidR="0054674F">
        <w:t xml:space="preserve">IDB to deliver the programme </w:t>
      </w:r>
      <w:r w:rsidRPr="004C5667">
        <w:t>against the objectives</w:t>
      </w:r>
      <w:r w:rsidR="0054674F">
        <w:t xml:space="preserve">, in line with the delivery plan </w:t>
      </w:r>
      <w:r w:rsidR="000E648B">
        <w:t>while limiting</w:t>
      </w:r>
      <w:r w:rsidR="0054674F">
        <w:t xml:space="preserve"> risk</w:t>
      </w:r>
      <w:r w:rsidRPr="004C5667">
        <w:t>. Thorough due diligence assessments of the IDB</w:t>
      </w:r>
      <w:r w:rsidR="000E648B">
        <w:t xml:space="preserve"> have been carried out by </w:t>
      </w:r>
      <w:proofErr w:type="spellStart"/>
      <w:r w:rsidR="000E648B">
        <w:t>DfID</w:t>
      </w:r>
      <w:proofErr w:type="spellEnd"/>
      <w:r w:rsidR="000E648B">
        <w:t xml:space="preserve"> </w:t>
      </w:r>
      <w:r w:rsidRPr="004C5667">
        <w:t>and</w:t>
      </w:r>
      <w:r w:rsidR="000E648B">
        <w:t xml:space="preserve"> the </w:t>
      </w:r>
      <w:r w:rsidR="000E648B" w:rsidRPr="000E648B">
        <w:t>Multilateral Organisation Performance Assessment Network</w:t>
      </w:r>
      <w:r w:rsidRPr="004C5667">
        <w:t xml:space="preserve"> </w:t>
      </w:r>
      <w:r w:rsidR="000E648B">
        <w:t>(</w:t>
      </w:r>
      <w:r w:rsidRPr="004C5667">
        <w:t>MOPAN</w:t>
      </w:r>
      <w:r w:rsidR="000E648B">
        <w:t>)</w:t>
      </w:r>
      <w:r w:rsidRPr="004C5667">
        <w:t xml:space="preserve"> within the last three years and as such we will focus on summarising these to evaluate their track record, the strength of the systems and policies in pla</w:t>
      </w:r>
      <w:r w:rsidR="0076412E" w:rsidRPr="004C5667">
        <w:t>ce to ensure rigorous financial, social and environmental oversight</w:t>
      </w:r>
      <w:r w:rsidR="0054674F">
        <w:t>.</w:t>
      </w:r>
    </w:p>
    <w:p w14:paraId="4B2BEA16" w14:textId="326AD4D4" w:rsidR="00C8040C" w:rsidRPr="004C5667" w:rsidRDefault="00C8040C" w:rsidP="008B7902">
      <w:r>
        <w:t xml:space="preserve">Due to the comprehensiveness of assessments carried out by MOPAN </w:t>
      </w:r>
      <w:r w:rsidRPr="00C8040C">
        <w:t>the overall number of bilateral assessments of multilateral organisations is diminishing. MOPAN’s assessments – with their focus</w:t>
      </w:r>
      <w:r>
        <w:t xml:space="preserve"> on organisational performance – provide </w:t>
      </w:r>
      <w:r w:rsidRPr="00C8040C">
        <w:t>a solid evidence base that donors can draw upon on to minimise the multiplication of demands on the Multilateral Partners. Today most donors are drawing on MOPAN fo</w:t>
      </w:r>
      <w:r>
        <w:t>r performance-based information.</w:t>
      </w:r>
      <w:r w:rsidRPr="00C8040C">
        <w:t xml:space="preserve"> </w:t>
      </w:r>
      <w:r>
        <w:t>S</w:t>
      </w:r>
      <w:r w:rsidRPr="00C8040C">
        <w:t xml:space="preserve">ome </w:t>
      </w:r>
      <w:r>
        <w:t>donors complement</w:t>
      </w:r>
      <w:r w:rsidRPr="00C8040C">
        <w:t xml:space="preserve"> this wit</w:t>
      </w:r>
      <w:r>
        <w:t>h an assessment of the fit of the</w:t>
      </w:r>
      <w:r w:rsidRPr="00C8040C">
        <w:t xml:space="preserve"> </w:t>
      </w:r>
      <w:r>
        <w:t xml:space="preserve">multilateral organisation’s </w:t>
      </w:r>
      <w:r w:rsidRPr="00C8040C">
        <w:t>policies with their own national polic</w:t>
      </w:r>
      <w:r>
        <w:t xml:space="preserve">ies and strategies – as in </w:t>
      </w:r>
      <w:proofErr w:type="spellStart"/>
      <w:r>
        <w:t>DfID’s</w:t>
      </w:r>
      <w:proofErr w:type="spellEnd"/>
      <w:r>
        <w:t xml:space="preserve"> MDR.</w:t>
      </w:r>
    </w:p>
    <w:p w14:paraId="6DC8B000" w14:textId="34135A83" w:rsidR="00F35D40" w:rsidRPr="004C5667" w:rsidRDefault="00F35D40" w:rsidP="0076412E">
      <w:pPr>
        <w:pStyle w:val="Heading2"/>
      </w:pPr>
      <w:bookmarkStart w:id="77" w:name="_Toc527027976"/>
      <w:r w:rsidRPr="004C5667">
        <w:t>Competency of the Organisation to Deliver in Country</w:t>
      </w:r>
      <w:bookmarkEnd w:id="77"/>
    </w:p>
    <w:p w14:paraId="555A450A" w14:textId="42B54C76" w:rsidR="008B7902" w:rsidRPr="004C5667" w:rsidRDefault="008B7902" w:rsidP="00EF36DF">
      <w:r w:rsidRPr="004C5667">
        <w:t>IDB and the UK have an ongoing and expanding partnership with approximately £300 million in commitments and under administration</w:t>
      </w:r>
      <w:r w:rsidR="0054674F">
        <w:t>,</w:t>
      </w:r>
      <w:r w:rsidRPr="004C5667">
        <w:t xml:space="preserve"> and a partnership involving multiple different UK agencies (</w:t>
      </w:r>
      <w:proofErr w:type="spellStart"/>
      <w:r w:rsidRPr="004C5667">
        <w:t>DfID</w:t>
      </w:r>
      <w:proofErr w:type="spellEnd"/>
      <w:r w:rsidRPr="004C5667">
        <w:t xml:space="preserve">, </w:t>
      </w:r>
      <w:r w:rsidR="00BF15A0">
        <w:t>Defra</w:t>
      </w:r>
      <w:r w:rsidRPr="004C5667">
        <w:t>, BEIS, and UK Export Finance) in areas such as agriculture, blue carbon, climate, competitiveness and private sector development. The UK is a member country of the IDB and it is represented by an Executive Director in the IDB Board of Directors.</w:t>
      </w:r>
    </w:p>
    <w:p w14:paraId="4714E39D" w14:textId="7E0214D4" w:rsidR="00F35D40" w:rsidRPr="004C5667" w:rsidRDefault="00F35D40" w:rsidP="00EF36DF">
      <w:r w:rsidRPr="004C5667">
        <w:t>The IDB has 48 member countries: 26 borrowing and 22 non-borrowing countries. The UK is the sixth largest non-regional shareholder at just under 1%. The UK purchased shares valued at £10.5million in IDB’s most recent General Capital Increase (2011-15). The UK is also the sixth largest donor to the Fund for Special Operations, making a one-off payment of £5.3 million in 2011. The UK Representative is the Alternative Executive Director as part of a Board constituency led by Japan.</w:t>
      </w:r>
    </w:p>
    <w:p w14:paraId="01037DE9" w14:textId="64F40F63" w:rsidR="00680E20" w:rsidRPr="004C5667" w:rsidRDefault="00680E20" w:rsidP="00EF36DF">
      <w:r w:rsidRPr="004C5667">
        <w:t xml:space="preserve">BEIS reported that the IDB was rated as the largest and best regarded international organization in Latin America and the Caribbean in the 2006 </w:t>
      </w:r>
      <w:proofErr w:type="spellStart"/>
      <w:r w:rsidRPr="004C5667">
        <w:t>Latinobarometro</w:t>
      </w:r>
      <w:proofErr w:type="spellEnd"/>
      <w:r w:rsidRPr="004C5667">
        <w:t xml:space="preserve"> public opinion survey.  </w:t>
      </w:r>
      <w:proofErr w:type="spellStart"/>
      <w:r w:rsidRPr="004C5667">
        <w:t>Latinobarómetro</w:t>
      </w:r>
      <w:proofErr w:type="spellEnd"/>
      <w:r w:rsidRPr="004C5667">
        <w:t xml:space="preserve"> is an annual public opinion survey that involves some 20,000 interviews in 18 Latin American countries.</w:t>
      </w:r>
    </w:p>
    <w:p w14:paraId="1460E9BF" w14:textId="58BF79D6" w:rsidR="00992FC3" w:rsidRPr="004C5667" w:rsidRDefault="00465FF4" w:rsidP="00EF36DF">
      <w:proofErr w:type="spellStart"/>
      <w:r w:rsidRPr="004C5667">
        <w:t>DfID’s</w:t>
      </w:r>
      <w:proofErr w:type="spellEnd"/>
      <w:r w:rsidRPr="004C5667">
        <w:t xml:space="preserve"> Multilateral Development Review (MDR) in 2016 assessed the IDB</w:t>
      </w:r>
      <w:r w:rsidR="0054674F">
        <w:t>’</w:t>
      </w:r>
      <w:r w:rsidRPr="004C5667">
        <w:t xml:space="preserve">s ability to deliver in the </w:t>
      </w:r>
      <w:r w:rsidR="0054674F">
        <w:t>LAC region</w:t>
      </w:r>
      <w:r w:rsidRPr="004C5667">
        <w:t xml:space="preserve"> and how they align with UK objectives. Summary </w:t>
      </w:r>
      <w:r w:rsidR="003C78C8">
        <w:t>figure</w:t>
      </w:r>
      <w:r w:rsidRPr="004C5667">
        <w:t xml:space="preserve"> from </w:t>
      </w:r>
      <w:proofErr w:type="spellStart"/>
      <w:r w:rsidRPr="004C5667">
        <w:t>DfID</w:t>
      </w:r>
      <w:r w:rsidR="0054674F">
        <w:t>’</w:t>
      </w:r>
      <w:r w:rsidRPr="004C5667">
        <w:t>s</w:t>
      </w:r>
      <w:proofErr w:type="spellEnd"/>
      <w:r w:rsidRPr="004C5667">
        <w:t xml:space="preserve"> paper is below.</w:t>
      </w:r>
    </w:p>
    <w:p w14:paraId="15D591E2" w14:textId="3CA3A23A" w:rsidR="00465FF4" w:rsidRPr="004C5667" w:rsidRDefault="00992FC3" w:rsidP="00465FF4">
      <w:r w:rsidRPr="004C5667">
        <w:rPr>
          <w:noProof/>
        </w:rPr>
        <w:lastRenderedPageBreak/>
        <w:drawing>
          <wp:inline distT="0" distB="0" distL="0" distR="0" wp14:anchorId="44B1DD82" wp14:editId="34B12E33">
            <wp:extent cx="5977255" cy="3192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B Delivery Ability.jpg"/>
                    <pic:cNvPicPr/>
                  </pic:nvPicPr>
                  <pic:blipFill rotWithShape="1">
                    <a:blip r:embed="rId23">
                      <a:extLst>
                        <a:ext uri="{28A0092B-C50C-407E-A947-70E740481C1C}">
                          <a14:useLocalDpi xmlns:a14="http://schemas.microsoft.com/office/drawing/2010/main" val="0"/>
                        </a:ext>
                      </a:extLst>
                    </a:blip>
                    <a:srcRect l="-22102" r="-21040"/>
                    <a:stretch/>
                  </pic:blipFill>
                  <pic:spPr bwMode="auto">
                    <a:xfrm>
                      <a:off x="0" y="0"/>
                      <a:ext cx="5977255" cy="3192780"/>
                    </a:xfrm>
                    <a:prstGeom prst="rect">
                      <a:avLst/>
                    </a:prstGeom>
                    <a:ln>
                      <a:noFill/>
                    </a:ln>
                    <a:extLst>
                      <a:ext uri="{53640926-AAD7-44D8-BBD7-CCE9431645EC}">
                        <a14:shadowObscured xmlns:a14="http://schemas.microsoft.com/office/drawing/2010/main"/>
                      </a:ext>
                    </a:extLst>
                  </pic:spPr>
                </pic:pic>
              </a:graphicData>
            </a:graphic>
          </wp:inline>
        </w:drawing>
      </w:r>
    </w:p>
    <w:p w14:paraId="3F504F70" w14:textId="5628D8BA" w:rsidR="00F35D40" w:rsidRPr="004C5667" w:rsidRDefault="00992FC3" w:rsidP="00EF36DF">
      <w:r>
        <w:rPr>
          <w:noProof/>
        </w:rPr>
        <mc:AlternateContent>
          <mc:Choice Requires="wps">
            <w:drawing>
              <wp:inline distT="0" distB="0" distL="0" distR="0" wp14:anchorId="78114104" wp14:editId="11FED3AF">
                <wp:extent cx="5976620" cy="297783"/>
                <wp:effectExtent l="0" t="0" r="5080" b="6985"/>
                <wp:docPr id="14" name="Text Box 14"/>
                <wp:cNvGraphicFramePr/>
                <a:graphic xmlns:a="http://schemas.openxmlformats.org/drawingml/2006/main">
                  <a:graphicData uri="http://schemas.microsoft.com/office/word/2010/wordprocessingShape">
                    <wps:wsp>
                      <wps:cNvSpPr txBox="1"/>
                      <wps:spPr>
                        <a:xfrm>
                          <a:off x="0" y="0"/>
                          <a:ext cx="5976620" cy="297783"/>
                        </a:xfrm>
                        <a:prstGeom prst="rect">
                          <a:avLst/>
                        </a:prstGeom>
                        <a:solidFill>
                          <a:prstClr val="white"/>
                        </a:solidFill>
                        <a:ln>
                          <a:noFill/>
                        </a:ln>
                        <a:effectLst/>
                      </wps:spPr>
                      <wps:txbx>
                        <w:txbxContent>
                          <w:p w14:paraId="7F059FF9" w14:textId="77777777" w:rsidR="009D672A" w:rsidRPr="00835728" w:rsidRDefault="009D672A" w:rsidP="00992FC3">
                            <w:pPr>
                              <w:pStyle w:val="Caption"/>
                              <w:jc w:val="center"/>
                              <w:rPr>
                                <w:noProof/>
                                <w:sz w:val="22"/>
                              </w:rPr>
                            </w:pPr>
                            <w:bookmarkStart w:id="78" w:name="_Toc523990665"/>
                            <w:r w:rsidRPr="00835728">
                              <w:rPr>
                                <w:sz w:val="22"/>
                              </w:rPr>
                              <w:t xml:space="preserve">Figure </w:t>
                            </w:r>
                            <w:r w:rsidRPr="00835728">
                              <w:rPr>
                                <w:sz w:val="22"/>
                              </w:rPr>
                              <w:fldChar w:fldCharType="begin"/>
                            </w:r>
                            <w:r w:rsidRPr="00835728">
                              <w:rPr>
                                <w:sz w:val="22"/>
                              </w:rPr>
                              <w:instrText xml:space="preserve"> SEQ Figure \* ARABIC </w:instrText>
                            </w:r>
                            <w:r w:rsidRPr="00835728">
                              <w:rPr>
                                <w:sz w:val="22"/>
                              </w:rPr>
                              <w:fldChar w:fldCharType="separate"/>
                            </w:r>
                            <w:r>
                              <w:rPr>
                                <w:noProof/>
                                <w:sz w:val="22"/>
                              </w:rPr>
                              <w:t>11</w:t>
                            </w:r>
                            <w:r w:rsidRPr="00835728">
                              <w:rPr>
                                <w:sz w:val="22"/>
                              </w:rPr>
                              <w:fldChar w:fldCharType="end"/>
                            </w:r>
                            <w:r w:rsidRPr="00835728">
                              <w:rPr>
                                <w:sz w:val="22"/>
                              </w:rPr>
                              <w:t xml:space="preserve">: </w:t>
                            </w:r>
                            <w:r w:rsidRPr="00835728">
                              <w:rPr>
                                <w:i w:val="0"/>
                                <w:sz w:val="22"/>
                              </w:rPr>
                              <w:t xml:space="preserve">Alignment of IDB with UK priorities from </w:t>
                            </w:r>
                            <w:proofErr w:type="spellStart"/>
                            <w:r w:rsidRPr="00835728">
                              <w:rPr>
                                <w:i w:val="0"/>
                                <w:sz w:val="22"/>
                              </w:rPr>
                              <w:t>DfID’s</w:t>
                            </w:r>
                            <w:proofErr w:type="spellEnd"/>
                            <w:r w:rsidRPr="00835728">
                              <w:rPr>
                                <w:i w:val="0"/>
                                <w:sz w:val="22"/>
                              </w:rPr>
                              <w:t xml:space="preserve"> MDR</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8114104" id="Text Box 14" o:spid="_x0000_s1030" type="#_x0000_t202" style="width:470.6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" stroked="f">
                <v:textbox style="mso-fit-shape-to-text:t" inset="0,0,0,0">
                  <w:txbxContent>
                    <w:p w14:paraId="7F059FF9" w14:textId="77777777" w:rsidR="009D672A" w:rsidRPr="00835728" w:rsidRDefault="009D672A" w:rsidP="00992FC3">
                      <w:pPr>
                        <w:pStyle w:val="Caption"/>
                        <w:jc w:val="center"/>
                        <w:rPr>
                          <w:noProof/>
                          <w:sz w:val="22"/>
                        </w:rPr>
                      </w:pPr>
                      <w:bookmarkStart w:id="79" w:name="_Toc523990665"/>
                      <w:r w:rsidRPr="00835728">
                        <w:rPr>
                          <w:sz w:val="22"/>
                        </w:rPr>
                        <w:t xml:space="preserve">Figure </w:t>
                      </w:r>
                      <w:r w:rsidRPr="00835728">
                        <w:rPr>
                          <w:sz w:val="22"/>
                        </w:rPr>
                        <w:fldChar w:fldCharType="begin"/>
                      </w:r>
                      <w:r w:rsidRPr="00835728">
                        <w:rPr>
                          <w:sz w:val="22"/>
                        </w:rPr>
                        <w:instrText xml:space="preserve"> SEQ Figure \* ARABIC </w:instrText>
                      </w:r>
                      <w:r w:rsidRPr="00835728">
                        <w:rPr>
                          <w:sz w:val="22"/>
                        </w:rPr>
                        <w:fldChar w:fldCharType="separate"/>
                      </w:r>
                      <w:r>
                        <w:rPr>
                          <w:noProof/>
                          <w:sz w:val="22"/>
                        </w:rPr>
                        <w:t>11</w:t>
                      </w:r>
                      <w:r w:rsidRPr="00835728">
                        <w:rPr>
                          <w:sz w:val="22"/>
                        </w:rPr>
                        <w:fldChar w:fldCharType="end"/>
                      </w:r>
                      <w:r w:rsidRPr="00835728">
                        <w:rPr>
                          <w:sz w:val="22"/>
                        </w:rPr>
                        <w:t xml:space="preserve">: </w:t>
                      </w:r>
                      <w:r w:rsidRPr="00835728">
                        <w:rPr>
                          <w:i w:val="0"/>
                          <w:sz w:val="22"/>
                        </w:rPr>
                        <w:t xml:space="preserve">Alignment of IDB with UK priorities from </w:t>
                      </w:r>
                      <w:proofErr w:type="spellStart"/>
                      <w:r w:rsidRPr="00835728">
                        <w:rPr>
                          <w:i w:val="0"/>
                          <w:sz w:val="22"/>
                        </w:rPr>
                        <w:t>DfID’s</w:t>
                      </w:r>
                      <w:proofErr w:type="spellEnd"/>
                      <w:r w:rsidRPr="00835728">
                        <w:rPr>
                          <w:i w:val="0"/>
                          <w:sz w:val="22"/>
                        </w:rPr>
                        <w:t xml:space="preserve"> MDR</w:t>
                      </w:r>
                      <w:bookmarkEnd w:id="79"/>
                    </w:p>
                  </w:txbxContent>
                </v:textbox>
                <w10:anchorlock/>
              </v:shape>
            </w:pict>
          </mc:Fallback>
        </mc:AlternateContent>
      </w:r>
      <w:r w:rsidR="00F35D40" w:rsidRPr="004C5667">
        <w:t xml:space="preserve">As the largest development finance institution of </w:t>
      </w:r>
      <w:r w:rsidR="0054674F">
        <w:t>LAC</w:t>
      </w:r>
      <w:r w:rsidR="00F35D40" w:rsidRPr="004C5667">
        <w:t xml:space="preserve">, </w:t>
      </w:r>
      <w:r w:rsidR="0054674F">
        <w:t xml:space="preserve">the </w:t>
      </w:r>
      <w:r w:rsidR="00F35D40" w:rsidRPr="004C5667">
        <w:t>IDB has extensive experience, processes and system to manage donor-funded programs. The OECD DAC data, recognises that in recent years, IDB has been the individual largest channel of bilateral non-core ODA through the multilateral system for Latin America and the Caribbean.</w:t>
      </w:r>
      <w:r w:rsidR="00C02F9F">
        <w:t xml:space="preserve"> </w:t>
      </w:r>
      <w:r w:rsidR="00F35D40" w:rsidRPr="004C5667">
        <w:t xml:space="preserve">This programme falls within one of the five priority areas of the bank namely addressing climate change and environmental sustainability. </w:t>
      </w:r>
    </w:p>
    <w:p w14:paraId="0704541B" w14:textId="1F2062E2" w:rsidR="00F35D40" w:rsidRPr="004C5667" w:rsidRDefault="00F35D40" w:rsidP="00EF36DF">
      <w:proofErr w:type="spellStart"/>
      <w:r w:rsidRPr="004C5667">
        <w:t>DfID’s</w:t>
      </w:r>
      <w:proofErr w:type="spellEnd"/>
      <w:r w:rsidRPr="004C5667">
        <w:t xml:space="preserve"> </w:t>
      </w:r>
      <w:r w:rsidR="00C02F9F">
        <w:t>MDR</w:t>
      </w:r>
      <w:r w:rsidRPr="004C5667">
        <w:t xml:space="preserve"> noted that</w:t>
      </w:r>
      <w:r w:rsidR="00C02F9F">
        <w:t xml:space="preserve"> the</w:t>
      </w:r>
      <w:r w:rsidRPr="004C5667">
        <w:t xml:space="preserve"> IDB has the internal processes in place to ensure and enforce the transparency of their execution procedures, including the procurement of consulting goods and services, and cash transfers to producers.</w:t>
      </w:r>
    </w:p>
    <w:p w14:paraId="4C1B502C" w14:textId="77777777" w:rsidR="00F35D40" w:rsidRPr="004C5667" w:rsidRDefault="00F35D40" w:rsidP="00EF36DF">
      <w:r w:rsidRPr="004C5667">
        <w:t>In 2015, the bank also implemented a major reform programme to improve its strategic focus to provide a better results focus, and address value for money issues. A key element of these competencies is that IDB’s policies and procedures in areas such as fiduciary and financial management, procurement and transparency, social and environmental safeguards, all follow international standards and are monitored by a resident Board of Directors, comprised from representatives from the 48 member countries, including the UK.</w:t>
      </w:r>
    </w:p>
    <w:p w14:paraId="25768EF5" w14:textId="19FF5A32" w:rsidR="00680E20" w:rsidRPr="004C5667" w:rsidRDefault="00680E20" w:rsidP="00EF36DF">
      <w:r w:rsidRPr="004C5667">
        <w:t>In respect to partnerships, according to the latest cycle of assess</w:t>
      </w:r>
      <w:r w:rsidR="00C02F9F">
        <w:t>ment by</w:t>
      </w:r>
      <w:r w:rsidRPr="004C5667">
        <w:t xml:space="preserve"> the Multilateral Organisation Performance Assessment Network (MOPAN), which included organizations such as the World Bank, GAVI, the Global Fund, UNDP and UNICEF, amon</w:t>
      </w:r>
      <w:r w:rsidR="00C02F9F">
        <w:t>g donors and client governments; the</w:t>
      </w:r>
      <w:r w:rsidRPr="004C5667">
        <w:t xml:space="preserve"> IDB was the highest rated international organization in relationship management – partnerships and resources. </w:t>
      </w:r>
      <w:r w:rsidR="00C02F9F">
        <w:t xml:space="preserve">The </w:t>
      </w:r>
      <w:r w:rsidRPr="004C5667">
        <w:t>IDB’s operational performance and cost-efficiency was also rated highly satisfactory in the same report, the highest possible mark in the assessment.</w:t>
      </w:r>
    </w:p>
    <w:p w14:paraId="1474A1FC" w14:textId="7E115ADA" w:rsidR="00680E20" w:rsidRPr="004C5667" w:rsidRDefault="00680E20" w:rsidP="00EF36DF">
      <w:r w:rsidRPr="004C5667">
        <w:t xml:space="preserve">According to the 2016 Joint Report on Multilateral Development Bank Climate Finance, the IDB is second only to the </w:t>
      </w:r>
      <w:r w:rsidR="00C02F9F" w:rsidRPr="00C02F9F">
        <w:t xml:space="preserve">European Bank for Reconstruction and Development </w:t>
      </w:r>
      <w:r w:rsidR="00C02F9F">
        <w:t>(</w:t>
      </w:r>
      <w:r w:rsidRPr="004C5667">
        <w:t>EBRD</w:t>
      </w:r>
      <w:r w:rsidR="00C02F9F">
        <w:t>)</w:t>
      </w:r>
      <w:r w:rsidRPr="004C5667">
        <w:t xml:space="preserve"> in respect to climate finance as a percentage of total MDB operations.</w:t>
      </w:r>
    </w:p>
    <w:p w14:paraId="06E30F5E" w14:textId="3DC0D730" w:rsidR="0076412E" w:rsidRPr="004C5667" w:rsidRDefault="0076412E" w:rsidP="0076412E">
      <w:pPr>
        <w:pStyle w:val="Heading2"/>
      </w:pPr>
      <w:bookmarkStart w:id="80" w:name="_Toc527027977"/>
      <w:proofErr w:type="spellStart"/>
      <w:r w:rsidRPr="004C5667">
        <w:lastRenderedPageBreak/>
        <w:t>DfID</w:t>
      </w:r>
      <w:r w:rsidR="00551B36">
        <w:t>’</w:t>
      </w:r>
      <w:r w:rsidRPr="004C5667">
        <w:t>s</w:t>
      </w:r>
      <w:proofErr w:type="spellEnd"/>
      <w:r w:rsidRPr="004C5667">
        <w:t xml:space="preserve"> ‘Central </w:t>
      </w:r>
      <w:r w:rsidR="00551B36">
        <w:t>As</w:t>
      </w:r>
      <w:r w:rsidRPr="004C5667">
        <w:t>surance Assessment’ (CAA)</w:t>
      </w:r>
      <w:bookmarkEnd w:id="80"/>
    </w:p>
    <w:p w14:paraId="5CC4393E" w14:textId="594C8721" w:rsidR="0076412E" w:rsidRPr="004C5667" w:rsidRDefault="00C02F9F" w:rsidP="0076412E">
      <w:proofErr w:type="spellStart"/>
      <w:r>
        <w:t>Df</w:t>
      </w:r>
      <w:r w:rsidR="0076412E" w:rsidRPr="004C5667">
        <w:t>ID</w:t>
      </w:r>
      <w:proofErr w:type="spellEnd"/>
      <w:r w:rsidR="0076412E" w:rsidRPr="004C5667">
        <w:t xml:space="preserve"> has recently undertaken a ‘Central Assurance Assessment’ (CAA) of the IDB, a due diligence report on their performance and procedures. Overall it assessed the IDB</w:t>
      </w:r>
      <w:r>
        <w:t xml:space="preserve"> as “a minor risk partner for </w:t>
      </w:r>
      <w:proofErr w:type="spellStart"/>
      <w:r>
        <w:t>Df</w:t>
      </w:r>
      <w:r w:rsidR="0076412E" w:rsidRPr="004C5667">
        <w:t>ID</w:t>
      </w:r>
      <w:proofErr w:type="spellEnd"/>
      <w:r w:rsidR="0076412E" w:rsidRPr="004C5667">
        <w:t xml:space="preserve">, in terms of central systems and processes. It carries no unacceptable fiduciary or reputational risks” (CAA, 2017). It also reviewed the bank’s internal procedures and processes and made an assessment of acceptability, a summary of the reports finding are provided below: </w:t>
      </w:r>
    </w:p>
    <w:p w14:paraId="7C3FB7E4" w14:textId="6A8C146D" w:rsidR="0076412E" w:rsidRPr="004C5667" w:rsidRDefault="0076412E" w:rsidP="0076412E">
      <w:pPr>
        <w:pStyle w:val="ListParagraph"/>
        <w:numPr>
          <w:ilvl w:val="0"/>
          <w:numId w:val="31"/>
        </w:numPr>
      </w:pPr>
      <w:r w:rsidRPr="004C5667">
        <w:rPr>
          <w:b/>
        </w:rPr>
        <w:t>Governance and Control:</w:t>
      </w:r>
      <w:r w:rsidR="00C02F9F">
        <w:t xml:space="preserve"> The I</w:t>
      </w:r>
      <w:r w:rsidRPr="004C5667">
        <w:t>DB has a well-established system for corporate governance.  The Board oversees a well-developed system of internal control, which complies with international best practice and has been tested exhaustively.</w:t>
      </w:r>
    </w:p>
    <w:p w14:paraId="586C3CC1" w14:textId="2E4055CF" w:rsidR="0076412E" w:rsidRPr="004C5667" w:rsidRDefault="0076412E" w:rsidP="0076412E">
      <w:pPr>
        <w:pStyle w:val="ListParagraph"/>
        <w:numPr>
          <w:ilvl w:val="0"/>
          <w:numId w:val="31"/>
        </w:numPr>
      </w:pPr>
      <w:r w:rsidRPr="004C5667">
        <w:rPr>
          <w:b/>
        </w:rPr>
        <w:t>Financial Capacity:</w:t>
      </w:r>
      <w:r w:rsidRPr="004C5667">
        <w:t xml:space="preserve"> The Bank’s financial management is subject to a high degree of external and internal scrutiny, including credit rating agencies, internal and external audit, and periodic independent assessments such as the 2016 MOPAN review.  The </w:t>
      </w:r>
      <w:r w:rsidR="00392BCC">
        <w:t>I</w:t>
      </w:r>
      <w:r w:rsidRPr="004C5667">
        <w:t xml:space="preserve">DB is seen as posing no significant financial risks.  It manages donor funds well ensuring they can demonstrate that funds are being used as intended.  </w:t>
      </w:r>
    </w:p>
    <w:p w14:paraId="5E136FDF" w14:textId="77777777" w:rsidR="0076412E" w:rsidRPr="004C5667" w:rsidRDefault="0076412E" w:rsidP="0076412E">
      <w:pPr>
        <w:pStyle w:val="ListParagraph"/>
        <w:numPr>
          <w:ilvl w:val="0"/>
          <w:numId w:val="31"/>
        </w:numPr>
      </w:pPr>
      <w:r w:rsidRPr="004C5667">
        <w:rPr>
          <w:b/>
        </w:rPr>
        <w:t>Ability to Deliver:</w:t>
      </w:r>
      <w:r w:rsidRPr="004C5667">
        <w:t xml:space="preserve"> The bank’s organisational systems and financial management systems have a high degree of transparency and accountability, although the procedures for those implementing projects can seem quite cumbersome. The Bank has 26 local offices and the staff’s technical expertise, at a local level is a key asset.</w:t>
      </w:r>
    </w:p>
    <w:p w14:paraId="6F0DD731" w14:textId="77777777" w:rsidR="0076412E" w:rsidRPr="004C5667" w:rsidRDefault="0076412E" w:rsidP="0076412E">
      <w:pPr>
        <w:pStyle w:val="ListParagraph"/>
        <w:numPr>
          <w:ilvl w:val="0"/>
          <w:numId w:val="31"/>
        </w:numPr>
      </w:pPr>
      <w:r w:rsidRPr="004C5667">
        <w:rPr>
          <w:b/>
        </w:rPr>
        <w:t>Downstream Partners:</w:t>
      </w:r>
      <w:r w:rsidRPr="004C5667">
        <w:t xml:space="preserve"> The bank encourages the use of local systems, where possible putting the responsibility for implementation into the hands of client countries, but takes care to ensure that countries have the capacity and instruction for project/programme management.</w:t>
      </w:r>
    </w:p>
    <w:p w14:paraId="39923A57" w14:textId="0105721C" w:rsidR="0076412E" w:rsidRPr="004C5667" w:rsidRDefault="0076412E" w:rsidP="0076412E">
      <w:pPr>
        <w:pStyle w:val="ListParagraph"/>
        <w:numPr>
          <w:ilvl w:val="0"/>
          <w:numId w:val="31"/>
        </w:numPr>
      </w:pPr>
      <w:r w:rsidRPr="004C5667">
        <w:rPr>
          <w:b/>
        </w:rPr>
        <w:t>Fraud and Corruption:</w:t>
      </w:r>
      <w:r w:rsidRPr="004C5667">
        <w:t xml:space="preserve"> The IDB has a zero tolerance approach to fraud corruption and other </w:t>
      </w:r>
      <w:proofErr w:type="spellStart"/>
      <w:r w:rsidRPr="004C5667">
        <w:t>sanctionable</w:t>
      </w:r>
      <w:proofErr w:type="spellEnd"/>
      <w:r w:rsidRPr="004C5667">
        <w:t xml:space="preserve"> practices.  The IDB enforces policies and control mechanisms against corruption, fraud and abuses in all the projects it finances, as well as in the activities of its employees, who must abide by the highest standards of integrity.</w:t>
      </w:r>
    </w:p>
    <w:p w14:paraId="5F5729CA" w14:textId="10D3BE89" w:rsidR="001339D4" w:rsidRDefault="001339D4" w:rsidP="00EF36DF">
      <w:pPr>
        <w:pStyle w:val="Heading2"/>
      </w:pPr>
      <w:bookmarkStart w:id="81" w:name="_Toc527027978"/>
      <w:r>
        <w:t>Compliance with gender sections of 2002 International Development Act</w:t>
      </w:r>
      <w:bookmarkEnd w:id="81"/>
    </w:p>
    <w:p w14:paraId="0CA847E1" w14:textId="03A6B5EF" w:rsidR="003D6AAC" w:rsidRPr="001339D4" w:rsidRDefault="003D6AAC" w:rsidP="001339D4">
      <w:pPr>
        <w:rPr>
          <w:lang w:eastAsia="en-US"/>
        </w:rPr>
      </w:pPr>
      <w:r>
        <w:t>Under the Act, the ODA delivering partner should have a meaningful yet proportionate regard to the contribution its assistance is likely to make to reducing gender inequality before assistance is provided. The decision to approve funding should consider the impact on gender inequality – the impact of the intervention on the different genders (men and women) and the relationship between them. It is the responsibility of the SRO to ensure that the impact of this development assistance on gender equality receives ongoing consideration.</w:t>
      </w:r>
    </w:p>
    <w:p w14:paraId="3668E811" w14:textId="2DEB24AB" w:rsidR="007818C8" w:rsidRPr="004C5667" w:rsidRDefault="001339D4" w:rsidP="001339D4">
      <w:pPr>
        <w:pStyle w:val="Heading3"/>
      </w:pPr>
      <w:r>
        <w:t xml:space="preserve">The IDB’s </w:t>
      </w:r>
      <w:r w:rsidR="007818C8" w:rsidRPr="004C5667">
        <w:t>Environmental and Social Safeguards</w:t>
      </w:r>
      <w:r w:rsidR="00E02E4D" w:rsidRPr="004C5667">
        <w:t xml:space="preserve"> (ESG)</w:t>
      </w:r>
    </w:p>
    <w:p w14:paraId="7F74CB4E" w14:textId="3578682E" w:rsidR="00E02E4D" w:rsidRPr="004C5667" w:rsidRDefault="00E02E4D" w:rsidP="00EF36DF">
      <w:r w:rsidRPr="004C5667">
        <w:t xml:space="preserve">The IDB is committed to maximizing the positive environmental and social outcomes </w:t>
      </w:r>
      <w:r w:rsidR="0076412E" w:rsidRPr="004C5667">
        <w:t>of the Bank’s work while minimis</w:t>
      </w:r>
      <w:r w:rsidRPr="004C5667">
        <w:t xml:space="preserve">ing the risks and negative impacts to people and natural capital. In practice this means protecting and investing in natural and social resources, responding to the challenges of climate change, promoting sustainable infrastructure solutions, and ensuring social inclusion and accountability. </w:t>
      </w:r>
    </w:p>
    <w:p w14:paraId="5DD8389E" w14:textId="4CA040EE" w:rsidR="00E02E4D" w:rsidRDefault="0076412E" w:rsidP="00EF36DF">
      <w:pPr>
        <w:rPr>
          <w:rStyle w:val="Hyperlink"/>
          <w:rFonts w:asciiTheme="minorHAnsi" w:hAnsiTheme="minorHAnsi" w:cstheme="minorHAnsi"/>
          <w:u w:val="none"/>
        </w:rPr>
      </w:pPr>
      <w:r w:rsidRPr="004C5667">
        <w:rPr>
          <w:rStyle w:val="Hyperlink"/>
          <w:rFonts w:asciiTheme="minorHAnsi" w:hAnsiTheme="minorHAnsi" w:cstheme="minorHAnsi"/>
          <w:color w:val="auto"/>
          <w:u w:val="none"/>
        </w:rPr>
        <w:t xml:space="preserve">The IDB applies a set of environmental and social safeguard policies and guidelines to projects they finance to help protect against environmental and social harm and to enable borrowers to meet best international practices.  The safeguards and policies focus on; Environment, Natural Disaster Risk Management, </w:t>
      </w:r>
      <w:r w:rsidRPr="004C5667">
        <w:rPr>
          <w:rStyle w:val="Hyperlink"/>
          <w:rFonts w:asciiTheme="minorHAnsi" w:hAnsiTheme="minorHAnsi" w:cstheme="minorHAnsi"/>
          <w:color w:val="auto"/>
          <w:u w:val="none"/>
        </w:rPr>
        <w:lastRenderedPageBreak/>
        <w:t>Involuntary Resettlement, Indigenous Peoples and Gender Equality (DFID CAA, 2016).</w:t>
      </w:r>
      <w:r w:rsidR="00E02E4D" w:rsidRPr="004C5667">
        <w:rPr>
          <w:rStyle w:val="Hyperlink"/>
          <w:rFonts w:asciiTheme="minorHAnsi" w:hAnsiTheme="minorHAnsi" w:cstheme="minorHAnsi"/>
          <w:color w:val="auto"/>
          <w:u w:val="none"/>
        </w:rPr>
        <w:t xml:space="preserve">More information on IDBs policies and procedures on ESG can be found at the following </w:t>
      </w:r>
      <w:hyperlink r:id="rId24" w:history="1">
        <w:r w:rsidR="00E02E4D" w:rsidRPr="004C5667">
          <w:rPr>
            <w:rStyle w:val="Hyperlink"/>
            <w:rFonts w:asciiTheme="minorHAnsi" w:hAnsiTheme="minorHAnsi" w:cstheme="minorHAnsi"/>
            <w:u w:val="none"/>
          </w:rPr>
          <w:t>link</w:t>
        </w:r>
      </w:hyperlink>
      <w:r w:rsidR="00E02E4D" w:rsidRPr="004C5667">
        <w:rPr>
          <w:rStyle w:val="Hyperlink"/>
          <w:rFonts w:asciiTheme="minorHAnsi" w:hAnsiTheme="minorHAnsi" w:cstheme="minorHAnsi"/>
          <w:u w:val="none"/>
        </w:rPr>
        <w:t>.</w:t>
      </w:r>
    </w:p>
    <w:p w14:paraId="5C9E932B" w14:textId="33F82D79" w:rsidR="003D6AAC" w:rsidRDefault="003D6AAC" w:rsidP="00EF36DF">
      <w:pPr>
        <w:rPr>
          <w:lang w:eastAsia="en-US"/>
        </w:rPr>
      </w:pPr>
      <w:r>
        <w:rPr>
          <w:lang w:eastAsia="en-US"/>
        </w:rPr>
        <w:t>The IDB have also responded to HMGs request for further safeguarding assurances, providing confirmation that they have policies and processes in place to combat the four key points identified below</w:t>
      </w:r>
    </w:p>
    <w:p w14:paraId="1397E188" w14:textId="6FB63962" w:rsidR="003D6AAC" w:rsidRPr="003D6AAC" w:rsidRDefault="003D6AAC" w:rsidP="003D6AAC">
      <w:pPr>
        <w:pStyle w:val="ListParagraph"/>
        <w:numPr>
          <w:ilvl w:val="0"/>
          <w:numId w:val="44"/>
        </w:numPr>
        <w:rPr>
          <w:lang w:eastAsia="en-US"/>
        </w:rPr>
      </w:pPr>
      <w:r w:rsidRPr="003D6AAC">
        <w:rPr>
          <w:lang w:eastAsia="en-US"/>
        </w:rPr>
        <w:t xml:space="preserve">Provide a safe and trusted environment which safeguards anyone who your organisation has contact with, including beneficiaries, staff and volunteers; </w:t>
      </w:r>
    </w:p>
    <w:p w14:paraId="44B3C78B" w14:textId="548A2E19" w:rsidR="003D6AAC" w:rsidRPr="003D6AAC" w:rsidRDefault="003D6AAC" w:rsidP="003D6AAC">
      <w:pPr>
        <w:pStyle w:val="ListParagraph"/>
        <w:numPr>
          <w:ilvl w:val="0"/>
          <w:numId w:val="44"/>
        </w:numPr>
        <w:rPr>
          <w:lang w:eastAsia="en-US"/>
        </w:rPr>
      </w:pPr>
      <w:r w:rsidRPr="003D6AAC">
        <w:rPr>
          <w:lang w:eastAsia="en-US"/>
        </w:rPr>
        <w:t xml:space="preserve">Set an organisational culture that prioritises safeguarding, so that it is safe for people to report any incidents and concerns with the assurance they will be handled sensitively and properly; </w:t>
      </w:r>
    </w:p>
    <w:p w14:paraId="3FFAEE9F" w14:textId="1E58189B" w:rsidR="003D6AAC" w:rsidRPr="003D6AAC" w:rsidRDefault="003D6AAC" w:rsidP="003D6AAC">
      <w:pPr>
        <w:pStyle w:val="ListParagraph"/>
        <w:numPr>
          <w:ilvl w:val="0"/>
          <w:numId w:val="44"/>
        </w:numPr>
        <w:rPr>
          <w:lang w:eastAsia="en-US"/>
        </w:rPr>
      </w:pPr>
      <w:r w:rsidRPr="003D6AAC">
        <w:rPr>
          <w:lang w:eastAsia="en-US"/>
        </w:rPr>
        <w:t xml:space="preserve">Have adequate safeguarding policies, procedures and measures to protect people and these are shared and understood, and; </w:t>
      </w:r>
    </w:p>
    <w:p w14:paraId="2DC32F3E" w14:textId="7C062703" w:rsidR="003D6AAC" w:rsidRPr="004C5667" w:rsidRDefault="003D6AAC" w:rsidP="00EF36DF">
      <w:pPr>
        <w:pStyle w:val="ListParagraph"/>
        <w:numPr>
          <w:ilvl w:val="0"/>
          <w:numId w:val="44"/>
        </w:numPr>
        <w:rPr>
          <w:lang w:eastAsia="en-US"/>
        </w:rPr>
      </w:pPr>
      <w:r w:rsidRPr="003D6AAC">
        <w:rPr>
          <w:lang w:eastAsia="en-US"/>
        </w:rPr>
        <w:t xml:space="preserve">Be absolutely clear as to how incidents and allegations will be handled should they arise, including reporting to the relevant authorities. </w:t>
      </w:r>
    </w:p>
    <w:p w14:paraId="5AA64AD7" w14:textId="7CB30DD4" w:rsidR="001C3F40" w:rsidRPr="004C5667" w:rsidRDefault="001C3F40" w:rsidP="00EF36DF">
      <w:pPr>
        <w:pStyle w:val="Heading2"/>
      </w:pPr>
      <w:bookmarkStart w:id="82" w:name="_Toc527027979"/>
      <w:r w:rsidRPr="004C5667">
        <w:t>Procurement Policies</w:t>
      </w:r>
      <w:bookmarkEnd w:id="82"/>
    </w:p>
    <w:p w14:paraId="18BB76E4" w14:textId="0343203A" w:rsidR="001C3F40" w:rsidRPr="004C5667" w:rsidRDefault="001C3F40" w:rsidP="00EF36DF">
      <w:r w:rsidRPr="004C5667">
        <w:t xml:space="preserve">The </w:t>
      </w:r>
      <w:r w:rsidR="00C02F9F">
        <w:t xml:space="preserve">IDBs </w:t>
      </w:r>
      <w:r w:rsidRPr="004C5667">
        <w:t xml:space="preserve">procurement policies reflect the interest of the </w:t>
      </w:r>
      <w:r w:rsidR="00C02F9F">
        <w:t xml:space="preserve">bank </w:t>
      </w:r>
      <w:r w:rsidRPr="004C5667">
        <w:t>and its member countries to grant transparency, competition, equality of opportunities, and the principles of economy, efficiency and integrity in the procurement of IDB-financed operations.</w:t>
      </w:r>
      <w:r w:rsidR="00CD4519" w:rsidRPr="004C5667">
        <w:t xml:space="preserve"> </w:t>
      </w:r>
      <w:r w:rsidRPr="004C5667">
        <w:t>T</w:t>
      </w:r>
      <w:r w:rsidR="00C02F9F">
        <w:t>he IDB provides funding to its b</w:t>
      </w:r>
      <w:r w:rsidRPr="004C5667">
        <w:t>orrowing member countries with a broad range of loans and development programs. These operations involve procurement processes for goods, works, and services provided by firms and individuals.</w:t>
      </w:r>
      <w:r w:rsidR="00CD4519" w:rsidRPr="004C5667">
        <w:t xml:space="preserve"> </w:t>
      </w:r>
      <w:r w:rsidR="00C02F9F">
        <w:t>The IDB is supporting b</w:t>
      </w:r>
      <w:r w:rsidRPr="004C5667">
        <w:t xml:space="preserve">orrowing member countries in their effort to strengthen their procurement systems so that they meet international best practices. </w:t>
      </w:r>
    </w:p>
    <w:p w14:paraId="4FE45A05" w14:textId="68BCE268" w:rsidR="001C3F40" w:rsidRDefault="00CD4519" w:rsidP="00EF36DF">
      <w:pPr>
        <w:rPr>
          <w:rFonts w:eastAsia="Times New Roman"/>
          <w:noProof/>
          <w:color w:val="1F497D"/>
        </w:rPr>
      </w:pPr>
      <w:r w:rsidRPr="004C5667">
        <w:rPr>
          <w:rFonts w:eastAsia="Times New Roman"/>
        </w:rPr>
        <w:t>T</w:t>
      </w:r>
      <w:r w:rsidR="001C3F40" w:rsidRPr="004C5667">
        <w:rPr>
          <w:rFonts w:eastAsia="Times New Roman"/>
        </w:rPr>
        <w:t xml:space="preserve">he </w:t>
      </w:r>
      <w:r w:rsidR="001C3F40" w:rsidRPr="004C5667">
        <w:t xml:space="preserve">policies, bidding documents, informative material, and other resources for the Procurement of Goods and Works of the IDB in the following </w:t>
      </w:r>
      <w:hyperlink r:id="rId25" w:history="1">
        <w:r w:rsidR="001C3F40" w:rsidRPr="004C5667">
          <w:rPr>
            <w:rStyle w:val="Hyperlink"/>
          </w:rPr>
          <w:t>link</w:t>
        </w:r>
      </w:hyperlink>
      <w:r w:rsidRPr="004C5667">
        <w:t xml:space="preserve">. </w:t>
      </w:r>
      <w:r w:rsidR="001C3F40" w:rsidRPr="004C5667">
        <w:t xml:space="preserve">For additional information on independent evaluation regarding the IDB’s procurement processes, please refer to </w:t>
      </w:r>
      <w:hyperlink r:id="rId26" w:history="1">
        <w:r w:rsidR="001C3F40" w:rsidRPr="004C5667">
          <w:rPr>
            <w:rStyle w:val="Hyperlink"/>
            <w:rFonts w:eastAsia="Times New Roman"/>
            <w:noProof/>
          </w:rPr>
          <w:t>MOPAN</w:t>
        </w:r>
      </w:hyperlink>
      <w:r w:rsidR="001C3F40" w:rsidRPr="004C5667">
        <w:rPr>
          <w:rFonts w:eastAsia="Times New Roman"/>
          <w:noProof/>
          <w:color w:val="1F497D"/>
        </w:rPr>
        <w:t>.</w:t>
      </w:r>
    </w:p>
    <w:p w14:paraId="1702DDBC" w14:textId="70D52F90" w:rsidR="00C02F9F" w:rsidRDefault="00C02F9F" w:rsidP="00EF36DF">
      <w:r w:rsidRPr="004C5667">
        <w:t xml:space="preserve">The </w:t>
      </w:r>
      <w:proofErr w:type="spellStart"/>
      <w:r w:rsidRPr="004C5667">
        <w:t>D</w:t>
      </w:r>
      <w:r>
        <w:t>f</w:t>
      </w:r>
      <w:r w:rsidRPr="004C5667">
        <w:t>ID</w:t>
      </w:r>
      <w:proofErr w:type="spellEnd"/>
      <w:r w:rsidRPr="004C5667">
        <w:t xml:space="preserve"> 2017 CAA (their due diligence report on the IDB) reviewed the IDB procurement processes and found them to be “strong and transparent” with strong systems in place to ensure procurement is “fair and transparent”. This is echoed by the 2016 MOPAN report which also found that IDB had clear policies and guidelines for procurement, which are all publically available. The report states that “the IDB’s procurement policies reflect both the Bank’s and member countries’ interests in ensuring transparency, competition, equality of opportunities, and the principles of economy, efficiency and integrity in the procurement of IADB-financed operations”.</w:t>
      </w:r>
    </w:p>
    <w:p w14:paraId="798ED834" w14:textId="77777777" w:rsidR="00C02F9F" w:rsidRPr="004C5667" w:rsidRDefault="00C02F9F" w:rsidP="00C02F9F">
      <w:pPr>
        <w:rPr>
          <w:rFonts w:eastAsia="Times New Roman"/>
        </w:rPr>
      </w:pPr>
      <w:r w:rsidRPr="004C5667">
        <w:rPr>
          <w:rFonts w:eastAsia="Times New Roman"/>
          <w:noProof/>
        </w:rPr>
        <w:t xml:space="preserve">Two </w:t>
      </w:r>
      <w:r>
        <w:rPr>
          <w:rFonts w:eastAsia="Times New Roman"/>
          <w:noProof/>
        </w:rPr>
        <w:t>infographics</w:t>
      </w:r>
      <w:r w:rsidRPr="004C5667">
        <w:rPr>
          <w:rFonts w:eastAsia="Times New Roman"/>
          <w:noProof/>
        </w:rPr>
        <w:t xml:space="preserve"> below summarise the procurement milestones at the IDB.</w:t>
      </w:r>
    </w:p>
    <w:p w14:paraId="6BDF5ABB" w14:textId="77777777" w:rsidR="009070C2" w:rsidRDefault="001333E2" w:rsidP="009070C2">
      <w:pPr>
        <w:keepNext/>
        <w:spacing w:after="0"/>
        <w:jc w:val="left"/>
      </w:pPr>
      <w:r w:rsidRPr="004C5667">
        <w:rPr>
          <w:rFonts w:eastAsia="Times New Roman"/>
          <w:b/>
          <w:noProof/>
        </w:rPr>
        <w:lastRenderedPageBreak/>
        <mc:AlternateContent>
          <mc:Choice Requires="wpg">
            <w:drawing>
              <wp:inline distT="0" distB="0" distL="0" distR="0" wp14:anchorId="05938883" wp14:editId="3FC989E1">
                <wp:extent cx="5939790" cy="3585845"/>
                <wp:effectExtent l="0" t="0" r="3810" b="0"/>
                <wp:docPr id="11" name="Group 11"/>
                <wp:cNvGraphicFramePr/>
                <a:graphic xmlns:a="http://schemas.openxmlformats.org/drawingml/2006/main">
                  <a:graphicData uri="http://schemas.microsoft.com/office/word/2010/wordprocessingGroup">
                    <wpg:wgp>
                      <wpg:cNvGrpSpPr/>
                      <wpg:grpSpPr>
                        <a:xfrm>
                          <a:off x="0" y="0"/>
                          <a:ext cx="5939790" cy="3585845"/>
                          <a:chOff x="0" y="0"/>
                          <a:chExt cx="5939917" cy="3585845"/>
                        </a:xfrm>
                      </wpg:grpSpPr>
                      <pic:pic xmlns:pic="http://schemas.openxmlformats.org/drawingml/2006/picture">
                        <pic:nvPicPr>
                          <pic:cNvPr id="7" name="Picture 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8740" cy="3585845"/>
                          </a:xfrm>
                          <a:prstGeom prst="rect">
                            <a:avLst/>
                          </a:prstGeom>
                          <a:noFill/>
                          <a:ln>
                            <a:noFill/>
                          </a:ln>
                        </pic:spPr>
                      </pic:pic>
                      <pic:pic xmlns:pic="http://schemas.openxmlformats.org/drawingml/2006/picture">
                        <pic:nvPicPr>
                          <pic:cNvPr id="8" name="Picture 8"/>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182112" y="0"/>
                            <a:ext cx="2757805" cy="3563620"/>
                          </a:xfrm>
                          <a:prstGeom prst="rect">
                            <a:avLst/>
                          </a:prstGeom>
                          <a:noFill/>
                          <a:ln>
                            <a:noFill/>
                          </a:ln>
                        </pic:spPr>
                      </pic:pic>
                    </wpg:wgp>
                  </a:graphicData>
                </a:graphic>
              </wp:inline>
            </w:drawing>
          </mc:Choice>
          <mc:Fallback>
            <w:pict>
              <v:group w14:anchorId="0C93973E" id="Group 11" o:spid="_x0000_s1026" style="width:467.7pt;height:282.35pt;mso-position-horizontal-relative:char;mso-position-vertical-relative:line" coordsize="59399,35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6187;height:35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mMXHCAAAA2gAAAA8AAABkcnMvZG93bnJldi54bWxEj81qwzAQhO+FvIPYQm+N3FLa4EYxJU5I&#10;r05Ccl2stWVirYyl+ufto0Khx2FmvmHW2WRbMVDvG8cKXpYJCOLS6YZrBefT/nkFwgdkja1jUjCT&#10;h2yzeFhjqt3IBQ3HUIsIYZ+iAhNCl0rpS0MW/dJ1xNGrXG8xRNnXUvc4Rrht5WuSvEuLDccFgx1t&#10;DZW3449V0NhhNc8XpOo65W+X/LArKnNT6ulx+voEEWgK/+G/9rdW8AG/V+INkJ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pjFxwgAAANoAAAAPAAAAAAAAAAAAAAAAAJ8C&#10;AABkcnMvZG93bnJldi54bWxQSwUGAAAAAAQABAD3AAAAjgMAAAAA&#10;">
                  <v:imagedata r:id="rId31" o:title=""/>
                  <v:path arrowok="t"/>
                </v:shape>
                <v:shape id="Picture 8" o:spid="_x0000_s1028" type="#_x0000_t75" style="position:absolute;left:31821;width:27578;height:35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24DS/AAAA2gAAAA8AAABkcnMvZG93bnJldi54bWxET01rwkAQvQv9D8sUetNNRUSiq5SCIFYs&#10;xtbzkB2T0OxszK4a/fWdg+Dx8b5ni87V6kJtqDwbeB8koIhzbysuDPzsl/0JqBCRLdaeycCNAizm&#10;L70ZptZfeUeXLBZKQjikaKCMsUm1DnlJDsPAN8TCHX3rMApsC21bvEq4q/UwScbaYcXSUGJDnyXl&#10;f9nZSW/2u6Hj13ZyiuF7PbofqpHrbsa8vXYfU1CRuvgUP9wra0C2yhW5AXr+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duA0vwAAANoAAAAPAAAAAAAAAAAAAAAAAJ8CAABk&#10;cnMvZG93bnJldi54bWxQSwUGAAAAAAQABAD3AAAAiwMAAAAA&#10;">
                  <v:imagedata r:id="rId32" o:title=""/>
                  <v:path arrowok="t"/>
                </v:shape>
                <w10:anchorlock/>
              </v:group>
            </w:pict>
          </mc:Fallback>
        </mc:AlternateContent>
      </w:r>
    </w:p>
    <w:p w14:paraId="35EC89F5" w14:textId="3D48A832" w:rsidR="001C3F40" w:rsidRPr="00835728" w:rsidRDefault="009070C2" w:rsidP="009070C2">
      <w:pPr>
        <w:pStyle w:val="Caption"/>
        <w:spacing w:before="240"/>
        <w:jc w:val="center"/>
        <w:rPr>
          <w:rFonts w:eastAsia="Times New Roman"/>
          <w:b/>
          <w:i w:val="0"/>
          <w:sz w:val="22"/>
        </w:rPr>
      </w:pPr>
      <w:bookmarkStart w:id="83" w:name="_Toc523990666"/>
      <w:r w:rsidRPr="00835728">
        <w:rPr>
          <w:sz w:val="22"/>
        </w:rPr>
        <w:t xml:space="preserve">Figure </w:t>
      </w:r>
      <w:r w:rsidRPr="00835728">
        <w:rPr>
          <w:sz w:val="22"/>
        </w:rPr>
        <w:fldChar w:fldCharType="begin"/>
      </w:r>
      <w:r w:rsidRPr="00835728">
        <w:rPr>
          <w:sz w:val="22"/>
        </w:rPr>
        <w:instrText xml:space="preserve"> SEQ Figure \* ARABIC </w:instrText>
      </w:r>
      <w:r w:rsidRPr="00835728">
        <w:rPr>
          <w:sz w:val="22"/>
        </w:rPr>
        <w:fldChar w:fldCharType="separate"/>
      </w:r>
      <w:r w:rsidR="009D672A">
        <w:rPr>
          <w:noProof/>
          <w:sz w:val="22"/>
        </w:rPr>
        <w:t>12</w:t>
      </w:r>
      <w:r w:rsidRPr="00835728">
        <w:rPr>
          <w:sz w:val="22"/>
        </w:rPr>
        <w:fldChar w:fldCharType="end"/>
      </w:r>
      <w:r w:rsidRPr="00835728">
        <w:rPr>
          <w:sz w:val="22"/>
        </w:rPr>
        <w:t xml:space="preserve">: </w:t>
      </w:r>
      <w:r w:rsidRPr="00835728">
        <w:rPr>
          <w:i w:val="0"/>
          <w:sz w:val="22"/>
        </w:rPr>
        <w:t>a) Procurement Processes and b) the Selection of Consultancy Services</w:t>
      </w:r>
      <w:bookmarkEnd w:id="83"/>
    </w:p>
    <w:p w14:paraId="37B776E7" w14:textId="4DF3F49A" w:rsidR="00F35D40" w:rsidRPr="004C5667" w:rsidRDefault="00F35D40" w:rsidP="00EF36DF">
      <w:pPr>
        <w:pStyle w:val="Heading2"/>
      </w:pPr>
      <w:bookmarkStart w:id="84" w:name="_Toc527027980"/>
      <w:r w:rsidRPr="004C5667">
        <w:t>Ensuring results are delivered at agreed cost</w:t>
      </w:r>
      <w:bookmarkEnd w:id="84"/>
    </w:p>
    <w:p w14:paraId="0394D688" w14:textId="3478D245" w:rsidR="002A42BD" w:rsidRPr="004C5667" w:rsidRDefault="002A42BD" w:rsidP="00EF36DF">
      <w:r w:rsidRPr="004C5667">
        <w:t xml:space="preserve">In addition to the monitoring and evaluation processes in place that are detailed in </w:t>
      </w:r>
      <w:r w:rsidR="00C02F9F">
        <w:t>the Management Case</w:t>
      </w:r>
      <w:r w:rsidRPr="004C5667">
        <w:t xml:space="preserve"> the IDB ensures results are delivered at cost through their management fee.</w:t>
      </w:r>
    </w:p>
    <w:p w14:paraId="14594FC4" w14:textId="04A3EACE" w:rsidR="00F35D40" w:rsidRPr="004C5667" w:rsidRDefault="00281707" w:rsidP="00EF36DF">
      <w:r w:rsidRPr="004C5667">
        <w:t xml:space="preserve">The management fee charged by IDB (one off fee of 5%) is part of a cost-sharing initiative across the IDB group. This cost-sharing enables the general costs of administration to be equal and consistent throughout the bank’s portfolio regardless of programme/investment size. </w:t>
      </w:r>
    </w:p>
    <w:p w14:paraId="55A46C05" w14:textId="1E4C08F9" w:rsidR="00281707" w:rsidRPr="004C5667" w:rsidRDefault="00C02F9F" w:rsidP="00EF36DF">
      <w:r>
        <w:t>T</w:t>
      </w:r>
      <w:r w:rsidR="00281707" w:rsidRPr="004C5667">
        <w:t>he implementation of any programme and the portfolio of operations are often not covered by the administration fee amount</w:t>
      </w:r>
      <w:r>
        <w:t xml:space="preserve"> for each project</w:t>
      </w:r>
      <w:r w:rsidR="00281707" w:rsidRPr="004C5667">
        <w:t xml:space="preserve">, according to estimates by BEIS. </w:t>
      </w:r>
      <w:r>
        <w:t>Thus t</w:t>
      </w:r>
      <w:r w:rsidR="00281707" w:rsidRPr="004C5667">
        <w:t>he IDB group absorbs the additional cost associated with Fund at no extra cost to the Donor</w:t>
      </w:r>
      <w:r>
        <w:t xml:space="preserve"> by cost-sharing and t</w:t>
      </w:r>
      <w:r w:rsidR="00281707" w:rsidRPr="004C5667">
        <w:t>he standard of care is always guaranteed regardless of the actual cost of the programme.</w:t>
      </w:r>
    </w:p>
    <w:p w14:paraId="48DFCC40" w14:textId="36DB52D7" w:rsidR="00281707" w:rsidRPr="004C5667" w:rsidRDefault="00281707" w:rsidP="00EF36DF">
      <w:r w:rsidRPr="004C5667">
        <w:t>It is important to note that the fee is distributed to the departments of the IDB Group directly supporting the Fund for which any additional workload required in preparing, executing and monitoring projects and general programme management, implementation, supervision and compliance activities.</w:t>
      </w:r>
    </w:p>
    <w:p w14:paraId="432898F6" w14:textId="212E2D84" w:rsidR="00CD4519" w:rsidRPr="004C5667" w:rsidRDefault="00F35D40" w:rsidP="00EF36DF">
      <w:pPr>
        <w:pStyle w:val="Heading2"/>
      </w:pPr>
      <w:bookmarkStart w:id="85" w:name="_Toc527027981"/>
      <w:r w:rsidRPr="004C5667">
        <w:t>Commercial Risk</w:t>
      </w:r>
      <w:bookmarkEnd w:id="85"/>
    </w:p>
    <w:p w14:paraId="70D0C3B8" w14:textId="3B90DB10" w:rsidR="00E82DDE" w:rsidRPr="004C5667" w:rsidRDefault="00E82DDE" w:rsidP="00E82DDE">
      <w:pPr>
        <w:rPr>
          <w:lang w:eastAsia="en-US"/>
        </w:rPr>
      </w:pPr>
      <w:r w:rsidRPr="004C5667">
        <w:rPr>
          <w:lang w:eastAsia="en-US"/>
        </w:rPr>
        <w:t xml:space="preserve">Building on the lessons learned from the existing suite of </w:t>
      </w:r>
      <w:r w:rsidR="00DF2FAC" w:rsidRPr="004C5667">
        <w:rPr>
          <w:lang w:eastAsia="en-US"/>
        </w:rPr>
        <w:t xml:space="preserve">IDB implemented ICF investments, </w:t>
      </w:r>
      <w:r w:rsidRPr="004C5667">
        <w:rPr>
          <w:lang w:eastAsia="en-US"/>
        </w:rPr>
        <w:t xml:space="preserve">the </w:t>
      </w:r>
      <w:r w:rsidR="00DF2FAC" w:rsidRPr="004C5667">
        <w:rPr>
          <w:lang w:eastAsia="en-US"/>
        </w:rPr>
        <w:t xml:space="preserve">positive relationship the UK has with the IDB team and the extensive work carried out to assess and evaluate the capacity and capability of IDB to deliver successfully and efficiently in this landscape (internally by </w:t>
      </w:r>
      <w:proofErr w:type="spellStart"/>
      <w:r w:rsidR="00DF2FAC" w:rsidRPr="004C5667">
        <w:rPr>
          <w:lang w:eastAsia="en-US"/>
        </w:rPr>
        <w:t>DfID</w:t>
      </w:r>
      <w:proofErr w:type="spellEnd"/>
      <w:r w:rsidR="00DF2FAC" w:rsidRPr="004C5667">
        <w:rPr>
          <w:lang w:eastAsia="en-US"/>
        </w:rPr>
        <w:t xml:space="preserve"> in the MDR and in the MOPAN report) we expect the commercial risks to be minimal. Those foreseen and any mitigation strategies in place are summarised in the </w:t>
      </w:r>
      <w:r w:rsidR="003C78C8">
        <w:rPr>
          <w:lang w:eastAsia="en-US"/>
        </w:rPr>
        <w:t xml:space="preserve">figure 13 </w:t>
      </w:r>
      <w:r w:rsidR="00DF2FAC" w:rsidRPr="004C5667">
        <w:rPr>
          <w:lang w:eastAsia="en-US"/>
        </w:rPr>
        <w:t>below.</w:t>
      </w:r>
    </w:p>
    <w:p w14:paraId="194A7437" w14:textId="24EB6573" w:rsidR="00EF36DF" w:rsidRDefault="00EF36DF" w:rsidP="00C8040C">
      <w:pPr>
        <w:pStyle w:val="Heading3"/>
      </w:pPr>
      <w:r w:rsidRPr="004C5667">
        <w:t>Summary of perceived commercial risk</w:t>
      </w:r>
      <w:r w:rsidR="00336DB5" w:rsidRPr="004C5667">
        <w:t>s</w:t>
      </w:r>
    </w:p>
    <w:tbl>
      <w:tblPr>
        <w:tblpPr w:leftFromText="180" w:rightFromText="180" w:vertAnchor="text" w:horzAnchor="margin" w:tblpXSpec="center" w:tblpY="53"/>
        <w:tblW w:w="5277" w:type="pct"/>
        <w:tblLayout w:type="fixed"/>
        <w:tblCellMar>
          <w:left w:w="0" w:type="dxa"/>
          <w:right w:w="0" w:type="dxa"/>
        </w:tblCellMar>
        <w:tblLook w:val="04A0" w:firstRow="1" w:lastRow="0" w:firstColumn="1" w:lastColumn="0" w:noHBand="0" w:noVBand="1"/>
      </w:tblPr>
      <w:tblGrid>
        <w:gridCol w:w="4604"/>
        <w:gridCol w:w="439"/>
        <w:gridCol w:w="438"/>
        <w:gridCol w:w="438"/>
        <w:gridCol w:w="3993"/>
      </w:tblGrid>
      <w:tr w:rsidR="00BB0C57" w:rsidRPr="0076107F" w14:paraId="1D9B362F" w14:textId="77777777" w:rsidTr="00BB0C57">
        <w:trPr>
          <w:cantSplit/>
          <w:trHeight w:val="1265"/>
        </w:trPr>
        <w:tc>
          <w:tcPr>
            <w:tcW w:w="4604" w:type="dxa"/>
            <w:tcBorders>
              <w:top w:val="single" w:sz="4" w:space="0" w:color="auto"/>
              <w:left w:val="single" w:sz="8" w:space="0" w:color="auto"/>
              <w:bottom w:val="single" w:sz="4" w:space="0" w:color="auto"/>
              <w:right w:val="single" w:sz="8" w:space="0" w:color="auto"/>
            </w:tcBorders>
            <w:shd w:val="clear" w:color="auto" w:fill="BDD6EE" w:themeFill="accent1" w:themeFillTint="66"/>
            <w:noWrap/>
            <w:tcMar>
              <w:top w:w="0" w:type="dxa"/>
              <w:left w:w="108" w:type="dxa"/>
              <w:bottom w:w="0" w:type="dxa"/>
              <w:right w:w="108" w:type="dxa"/>
            </w:tcMar>
            <w:vAlign w:val="center"/>
            <w:hideMark/>
          </w:tcPr>
          <w:p w14:paraId="378FA874" w14:textId="77777777" w:rsidR="00BB0C57" w:rsidRPr="0076107F" w:rsidRDefault="00BB0C57" w:rsidP="00835728">
            <w:pPr>
              <w:widowControl w:val="0"/>
              <w:spacing w:after="0" w:line="240" w:lineRule="auto"/>
              <w:jc w:val="center"/>
              <w:rPr>
                <w:rFonts w:cs="Arial"/>
                <w:b/>
                <w:bCs/>
                <w:sz w:val="20"/>
                <w:szCs w:val="20"/>
              </w:rPr>
            </w:pPr>
            <w:r w:rsidRPr="0076107F">
              <w:rPr>
                <w:rFonts w:cs="Arial"/>
                <w:b/>
                <w:bCs/>
                <w:sz w:val="20"/>
                <w:szCs w:val="20"/>
              </w:rPr>
              <w:lastRenderedPageBreak/>
              <w:t>Risk Summary (Event and Effect)</w:t>
            </w:r>
          </w:p>
        </w:tc>
        <w:tc>
          <w:tcPr>
            <w:tcW w:w="439" w:type="dxa"/>
            <w:tcBorders>
              <w:top w:val="single" w:sz="4" w:space="0" w:color="auto"/>
              <w:left w:val="nil"/>
              <w:bottom w:val="single" w:sz="4" w:space="0" w:color="auto"/>
              <w:right w:val="single" w:sz="8" w:space="0" w:color="auto"/>
            </w:tcBorders>
            <w:shd w:val="clear" w:color="auto" w:fill="BDD6EE" w:themeFill="accent1" w:themeFillTint="66"/>
            <w:noWrap/>
            <w:tcMar>
              <w:top w:w="0" w:type="dxa"/>
              <w:left w:w="108" w:type="dxa"/>
              <w:bottom w:w="0" w:type="dxa"/>
              <w:right w:w="108" w:type="dxa"/>
            </w:tcMar>
            <w:textDirection w:val="btLr"/>
            <w:vAlign w:val="center"/>
            <w:hideMark/>
          </w:tcPr>
          <w:p w14:paraId="1D3E458E" w14:textId="77777777" w:rsidR="00BB0C57" w:rsidRPr="0076107F" w:rsidRDefault="00BB0C57" w:rsidP="00835728">
            <w:pPr>
              <w:widowControl w:val="0"/>
              <w:spacing w:after="0" w:line="240" w:lineRule="auto"/>
              <w:ind w:left="113" w:right="113"/>
              <w:jc w:val="center"/>
              <w:rPr>
                <w:rFonts w:eastAsiaTheme="minorHAnsi" w:cs="Arial"/>
                <w:b/>
                <w:bCs/>
                <w:sz w:val="20"/>
                <w:szCs w:val="20"/>
              </w:rPr>
            </w:pPr>
            <w:r w:rsidRPr="0076107F">
              <w:rPr>
                <w:rFonts w:cs="Arial"/>
                <w:b/>
                <w:bCs/>
                <w:sz w:val="20"/>
                <w:szCs w:val="20"/>
              </w:rPr>
              <w:t>Probability</w:t>
            </w:r>
          </w:p>
        </w:tc>
        <w:tc>
          <w:tcPr>
            <w:tcW w:w="438" w:type="dxa"/>
            <w:tcBorders>
              <w:top w:val="single" w:sz="4" w:space="0" w:color="auto"/>
              <w:left w:val="nil"/>
              <w:bottom w:val="single" w:sz="4" w:space="0" w:color="auto"/>
              <w:right w:val="single" w:sz="8" w:space="0" w:color="auto"/>
            </w:tcBorders>
            <w:shd w:val="clear" w:color="auto" w:fill="BDD6EE" w:themeFill="accent1" w:themeFillTint="66"/>
            <w:noWrap/>
            <w:tcMar>
              <w:top w:w="0" w:type="dxa"/>
              <w:left w:w="108" w:type="dxa"/>
              <w:bottom w:w="0" w:type="dxa"/>
              <w:right w:w="108" w:type="dxa"/>
            </w:tcMar>
            <w:textDirection w:val="btLr"/>
            <w:vAlign w:val="center"/>
            <w:hideMark/>
          </w:tcPr>
          <w:p w14:paraId="78FF2323" w14:textId="77777777" w:rsidR="00BB0C57" w:rsidRPr="0076107F" w:rsidRDefault="00BB0C57" w:rsidP="00835728">
            <w:pPr>
              <w:widowControl w:val="0"/>
              <w:spacing w:after="0" w:line="240" w:lineRule="auto"/>
              <w:ind w:left="113" w:right="113"/>
              <w:jc w:val="center"/>
              <w:rPr>
                <w:rFonts w:eastAsiaTheme="minorHAnsi" w:cs="Arial"/>
                <w:b/>
                <w:bCs/>
                <w:sz w:val="20"/>
                <w:szCs w:val="20"/>
              </w:rPr>
            </w:pPr>
            <w:r w:rsidRPr="0076107F">
              <w:rPr>
                <w:rFonts w:cs="Arial"/>
                <w:b/>
                <w:bCs/>
                <w:sz w:val="20"/>
                <w:szCs w:val="20"/>
              </w:rPr>
              <w:t>Impact</w:t>
            </w:r>
          </w:p>
        </w:tc>
        <w:tc>
          <w:tcPr>
            <w:tcW w:w="438" w:type="dxa"/>
            <w:tcBorders>
              <w:top w:val="single" w:sz="4" w:space="0" w:color="auto"/>
              <w:left w:val="nil"/>
              <w:bottom w:val="single" w:sz="4" w:space="0" w:color="auto"/>
              <w:right w:val="single" w:sz="8" w:space="0" w:color="auto"/>
            </w:tcBorders>
            <w:shd w:val="clear" w:color="auto" w:fill="BDD6EE" w:themeFill="accent1" w:themeFillTint="66"/>
            <w:noWrap/>
            <w:tcMar>
              <w:top w:w="0" w:type="dxa"/>
              <w:left w:w="108" w:type="dxa"/>
              <w:bottom w:w="0" w:type="dxa"/>
              <w:right w:w="108" w:type="dxa"/>
            </w:tcMar>
            <w:textDirection w:val="btLr"/>
            <w:vAlign w:val="center"/>
            <w:hideMark/>
          </w:tcPr>
          <w:p w14:paraId="6EF3EBA6" w14:textId="77777777" w:rsidR="00BB0C57" w:rsidRPr="0076107F" w:rsidRDefault="00BB0C57" w:rsidP="00835728">
            <w:pPr>
              <w:widowControl w:val="0"/>
              <w:spacing w:after="0" w:line="240" w:lineRule="auto"/>
              <w:ind w:left="113" w:right="113"/>
              <w:jc w:val="center"/>
              <w:rPr>
                <w:rFonts w:eastAsiaTheme="minorHAnsi" w:cs="Arial"/>
                <w:b/>
                <w:bCs/>
                <w:sz w:val="20"/>
                <w:szCs w:val="20"/>
              </w:rPr>
            </w:pPr>
            <w:r w:rsidRPr="0076107F">
              <w:rPr>
                <w:rFonts w:cs="Arial"/>
                <w:b/>
                <w:bCs/>
                <w:sz w:val="20"/>
                <w:szCs w:val="20"/>
              </w:rPr>
              <w:t>Level</w:t>
            </w:r>
          </w:p>
        </w:tc>
        <w:tc>
          <w:tcPr>
            <w:tcW w:w="3993" w:type="dxa"/>
            <w:tcBorders>
              <w:top w:val="single" w:sz="4" w:space="0" w:color="auto"/>
              <w:left w:val="single" w:sz="8" w:space="0" w:color="auto"/>
              <w:bottom w:val="single" w:sz="4" w:space="0" w:color="auto"/>
              <w:right w:val="single" w:sz="8" w:space="0" w:color="000000"/>
            </w:tcBorders>
            <w:shd w:val="clear" w:color="auto" w:fill="BDD6EE" w:themeFill="accent1" w:themeFillTint="66"/>
            <w:noWrap/>
            <w:tcMar>
              <w:top w:w="0" w:type="dxa"/>
              <w:left w:w="108" w:type="dxa"/>
              <w:bottom w:w="0" w:type="dxa"/>
              <w:right w:w="108" w:type="dxa"/>
            </w:tcMar>
            <w:vAlign w:val="center"/>
            <w:hideMark/>
          </w:tcPr>
          <w:p w14:paraId="1EA43BEA" w14:textId="77777777" w:rsidR="00BB0C57" w:rsidRPr="0076107F" w:rsidRDefault="00BB0C57" w:rsidP="00835728">
            <w:pPr>
              <w:widowControl w:val="0"/>
              <w:spacing w:after="0" w:line="240" w:lineRule="auto"/>
              <w:jc w:val="center"/>
              <w:rPr>
                <w:rFonts w:eastAsiaTheme="minorHAnsi" w:cs="Arial"/>
                <w:b/>
                <w:bCs/>
                <w:sz w:val="20"/>
                <w:szCs w:val="20"/>
              </w:rPr>
            </w:pPr>
            <w:r w:rsidRPr="0076107F">
              <w:rPr>
                <w:rFonts w:cs="Arial"/>
                <w:b/>
                <w:bCs/>
                <w:sz w:val="20"/>
                <w:szCs w:val="20"/>
              </w:rPr>
              <w:t>Current Mitigation Plan</w:t>
            </w:r>
          </w:p>
        </w:tc>
      </w:tr>
      <w:tr w:rsidR="00BB0C57" w:rsidRPr="0076107F" w14:paraId="33B1423C" w14:textId="77777777" w:rsidTr="00BB0C57">
        <w:trPr>
          <w:cantSplit/>
          <w:trHeight w:val="1265"/>
        </w:trPr>
        <w:tc>
          <w:tcPr>
            <w:tcW w:w="4820" w:type="dxa"/>
            <w:tcBorders>
              <w:top w:val="single" w:sz="4" w:space="0" w:color="auto"/>
              <w:left w:val="single" w:sz="8" w:space="0" w:color="auto"/>
              <w:bottom w:val="single" w:sz="4" w:space="0" w:color="auto"/>
              <w:right w:val="single" w:sz="8" w:space="0" w:color="auto"/>
            </w:tcBorders>
            <w:shd w:val="clear" w:color="auto" w:fill="auto"/>
            <w:noWrap/>
            <w:tcMar>
              <w:top w:w="0" w:type="dxa"/>
              <w:left w:w="108" w:type="dxa"/>
              <w:bottom w:w="0" w:type="dxa"/>
              <w:right w:w="108" w:type="dxa"/>
            </w:tcMar>
            <w:vAlign w:val="center"/>
          </w:tcPr>
          <w:p w14:paraId="09DEA135" w14:textId="5F448A26" w:rsidR="00BB0C57" w:rsidRDefault="00BB0C57" w:rsidP="00BB0C57">
            <w:pPr>
              <w:widowControl w:val="0"/>
              <w:spacing w:after="0" w:line="240" w:lineRule="auto"/>
              <w:jc w:val="center"/>
            </w:pPr>
            <w:r w:rsidRPr="004C5667">
              <w:rPr>
                <w:b/>
                <w:bCs/>
              </w:rPr>
              <w:t xml:space="preserve">Exchange rate risk: </w:t>
            </w:r>
            <w:r w:rsidRPr="004C5667">
              <w:rPr>
                <w:bCs/>
              </w:rPr>
              <w:t>Given current exchange rate trends between the USD and GBP, further depreciation of the Pound Sterling could translate into execution limitations for the program, as all costs are calculated by the IDB taking into consideration the local currency/USD exchange rate</w:t>
            </w:r>
            <w:r w:rsidRPr="004C5667">
              <w:rPr>
                <w:b/>
                <w:bCs/>
              </w:rPr>
              <w:t>.</w:t>
            </w:r>
          </w:p>
        </w:tc>
        <w:tc>
          <w:tcPr>
            <w:tcW w:w="449" w:type="dxa"/>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textDirection w:val="btLr"/>
            <w:vAlign w:val="center"/>
          </w:tcPr>
          <w:p w14:paraId="3CDB24F4" w14:textId="66B47800" w:rsidR="00BB0C57" w:rsidRPr="00BB0C57" w:rsidRDefault="00BB0C57" w:rsidP="00BB0C57">
            <w:pPr>
              <w:widowControl w:val="0"/>
              <w:spacing w:after="0" w:line="240" w:lineRule="auto"/>
              <w:ind w:left="113" w:right="113"/>
              <w:jc w:val="center"/>
              <w:rPr>
                <w:rFonts w:cs="Arial"/>
                <w:bCs/>
                <w:sz w:val="20"/>
                <w:szCs w:val="20"/>
              </w:rPr>
            </w:pPr>
            <w:r w:rsidRPr="00BB0C57">
              <w:rPr>
                <w:rFonts w:cs="Arial"/>
                <w:bCs/>
                <w:sz w:val="20"/>
                <w:szCs w:val="20"/>
              </w:rPr>
              <w:t>Unlikely</w:t>
            </w:r>
          </w:p>
        </w:tc>
        <w:tc>
          <w:tcPr>
            <w:tcW w:w="448" w:type="dxa"/>
            <w:tcBorders>
              <w:top w:val="single" w:sz="4" w:space="0" w:color="auto"/>
              <w:left w:val="nil"/>
              <w:bottom w:val="single" w:sz="4" w:space="0" w:color="auto"/>
              <w:right w:val="single" w:sz="8" w:space="0" w:color="auto"/>
            </w:tcBorders>
            <w:shd w:val="clear" w:color="auto" w:fill="auto"/>
            <w:noWrap/>
            <w:tcMar>
              <w:top w:w="0" w:type="dxa"/>
              <w:left w:w="108" w:type="dxa"/>
              <w:bottom w:w="0" w:type="dxa"/>
              <w:right w:w="108" w:type="dxa"/>
            </w:tcMar>
            <w:textDirection w:val="btLr"/>
            <w:vAlign w:val="center"/>
          </w:tcPr>
          <w:p w14:paraId="3E256F0B" w14:textId="346C810D" w:rsidR="00BB0C57" w:rsidRPr="00BB0C57" w:rsidRDefault="00BB0C57" w:rsidP="00BB0C57">
            <w:pPr>
              <w:widowControl w:val="0"/>
              <w:spacing w:after="0" w:line="240" w:lineRule="auto"/>
              <w:ind w:left="113" w:right="113"/>
              <w:jc w:val="center"/>
              <w:rPr>
                <w:rFonts w:cs="Arial"/>
                <w:bCs/>
                <w:sz w:val="20"/>
                <w:szCs w:val="20"/>
              </w:rPr>
            </w:pPr>
            <w:r w:rsidRPr="00BB0C57">
              <w:rPr>
                <w:rFonts w:cs="Arial"/>
                <w:bCs/>
                <w:sz w:val="20"/>
                <w:szCs w:val="20"/>
              </w:rPr>
              <w:t>Moderate</w:t>
            </w:r>
          </w:p>
        </w:tc>
        <w:tc>
          <w:tcPr>
            <w:tcW w:w="448" w:type="dxa"/>
            <w:tcBorders>
              <w:top w:val="single" w:sz="4" w:space="0" w:color="auto"/>
              <w:left w:val="nil"/>
              <w:bottom w:val="single" w:sz="4" w:space="0" w:color="auto"/>
              <w:right w:val="single" w:sz="8" w:space="0" w:color="auto"/>
            </w:tcBorders>
            <w:shd w:val="clear" w:color="auto" w:fill="FFFF00"/>
            <w:noWrap/>
            <w:tcMar>
              <w:top w:w="0" w:type="dxa"/>
              <w:left w:w="108" w:type="dxa"/>
              <w:bottom w:w="0" w:type="dxa"/>
              <w:right w:w="108" w:type="dxa"/>
            </w:tcMar>
            <w:textDirection w:val="btLr"/>
            <w:vAlign w:val="center"/>
          </w:tcPr>
          <w:p w14:paraId="3D21E0FF" w14:textId="77777777" w:rsidR="00BB0C57" w:rsidRPr="0076107F" w:rsidRDefault="00BB0C57" w:rsidP="00BB0C57">
            <w:pPr>
              <w:widowControl w:val="0"/>
              <w:spacing w:after="0" w:line="240" w:lineRule="auto"/>
              <w:ind w:left="113" w:right="113"/>
              <w:jc w:val="center"/>
              <w:rPr>
                <w:rFonts w:cs="Arial"/>
                <w:b/>
                <w:bCs/>
                <w:sz w:val="20"/>
                <w:szCs w:val="20"/>
              </w:rPr>
            </w:pPr>
          </w:p>
        </w:tc>
        <w:tc>
          <w:tcPr>
            <w:tcW w:w="4179" w:type="dxa"/>
            <w:tcBorders>
              <w:top w:val="single" w:sz="4" w:space="0" w:color="auto"/>
              <w:left w:val="single" w:sz="8" w:space="0" w:color="auto"/>
              <w:bottom w:val="single" w:sz="4" w:space="0" w:color="auto"/>
              <w:right w:val="single" w:sz="8" w:space="0" w:color="000000"/>
            </w:tcBorders>
            <w:shd w:val="clear" w:color="auto" w:fill="auto"/>
            <w:noWrap/>
            <w:tcMar>
              <w:top w:w="0" w:type="dxa"/>
              <w:left w:w="108" w:type="dxa"/>
              <w:bottom w:w="0" w:type="dxa"/>
              <w:right w:w="108" w:type="dxa"/>
            </w:tcMar>
          </w:tcPr>
          <w:p w14:paraId="6F7336FF" w14:textId="77777777" w:rsidR="00BB0C57" w:rsidRDefault="00BB0C57" w:rsidP="00BB0C57">
            <w:pPr>
              <w:widowControl w:val="0"/>
              <w:spacing w:after="0" w:line="240" w:lineRule="auto"/>
              <w:jc w:val="center"/>
            </w:pPr>
            <w:r w:rsidRPr="004C5667">
              <w:t xml:space="preserve">Components of programme can be scaled up or down to meet the effective budget availability. </w:t>
            </w:r>
          </w:p>
          <w:p w14:paraId="57C174F8" w14:textId="454FA098" w:rsidR="00B173A9" w:rsidRPr="0076107F" w:rsidRDefault="00B173A9" w:rsidP="00F76415">
            <w:pPr>
              <w:widowControl w:val="0"/>
              <w:spacing w:after="0" w:line="240" w:lineRule="auto"/>
              <w:jc w:val="center"/>
              <w:rPr>
                <w:rFonts w:cs="Arial"/>
                <w:b/>
                <w:bCs/>
                <w:sz w:val="20"/>
                <w:szCs w:val="20"/>
              </w:rPr>
            </w:pPr>
            <w:r>
              <w:t xml:space="preserve">The Promissory Note </w:t>
            </w:r>
            <w:r w:rsidR="00F76415">
              <w:t>commits funding in GBP and each draw down will be in GBP therefore the exchange rate risk is taken on by the IDB</w:t>
            </w:r>
          </w:p>
        </w:tc>
      </w:tr>
      <w:tr w:rsidR="00BB0C57" w:rsidRPr="0076107F" w14:paraId="22DF183F" w14:textId="77777777" w:rsidTr="00BB0C57">
        <w:trPr>
          <w:cantSplit/>
          <w:trHeight w:val="1265"/>
        </w:trPr>
        <w:tc>
          <w:tcPr>
            <w:tcW w:w="4820" w:type="dxa"/>
            <w:tcBorders>
              <w:top w:val="single" w:sz="4"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3CFC1E0" w14:textId="63B1DB63" w:rsidR="00BB0C57" w:rsidRPr="004C5667" w:rsidRDefault="00BB0C57" w:rsidP="00BB0C57">
            <w:pPr>
              <w:widowControl w:val="0"/>
              <w:spacing w:after="0" w:line="240" w:lineRule="auto"/>
              <w:jc w:val="center"/>
              <w:rPr>
                <w:b/>
                <w:bCs/>
              </w:rPr>
            </w:pPr>
            <w:r w:rsidRPr="004C5667">
              <w:rPr>
                <w:b/>
              </w:rPr>
              <w:t>Untested market</w:t>
            </w:r>
            <w:r w:rsidRPr="004C5667">
              <w:t xml:space="preserve"> for implementing mangrove/blue carbon blended finance mechanisms means the commercial impacts of these solutions are limited.</w:t>
            </w:r>
          </w:p>
        </w:tc>
        <w:tc>
          <w:tcPr>
            <w:tcW w:w="449" w:type="dxa"/>
            <w:tcBorders>
              <w:top w:val="single" w:sz="4" w:space="0" w:color="auto"/>
              <w:left w:val="nil"/>
              <w:bottom w:val="single" w:sz="8" w:space="0" w:color="auto"/>
              <w:right w:val="single" w:sz="8" w:space="0" w:color="auto"/>
            </w:tcBorders>
            <w:shd w:val="clear" w:color="auto" w:fill="auto"/>
            <w:noWrap/>
            <w:tcMar>
              <w:top w:w="0" w:type="dxa"/>
              <w:left w:w="108" w:type="dxa"/>
              <w:bottom w:w="0" w:type="dxa"/>
              <w:right w:w="108" w:type="dxa"/>
            </w:tcMar>
            <w:textDirection w:val="btLr"/>
            <w:vAlign w:val="center"/>
          </w:tcPr>
          <w:p w14:paraId="344DABE2" w14:textId="419F9C86" w:rsidR="00BB0C57" w:rsidRPr="00BB0C57" w:rsidRDefault="00BB0C57" w:rsidP="00BB0C57">
            <w:pPr>
              <w:widowControl w:val="0"/>
              <w:spacing w:after="0" w:line="240" w:lineRule="auto"/>
              <w:ind w:left="113" w:right="113"/>
              <w:jc w:val="center"/>
              <w:rPr>
                <w:rFonts w:cs="Arial"/>
                <w:bCs/>
                <w:sz w:val="20"/>
                <w:szCs w:val="20"/>
              </w:rPr>
            </w:pPr>
            <w:r w:rsidRPr="00BB0C57">
              <w:rPr>
                <w:rFonts w:cs="Arial"/>
                <w:bCs/>
                <w:sz w:val="20"/>
                <w:szCs w:val="20"/>
              </w:rPr>
              <w:t>Possible</w:t>
            </w:r>
          </w:p>
        </w:tc>
        <w:tc>
          <w:tcPr>
            <w:tcW w:w="448" w:type="dxa"/>
            <w:tcBorders>
              <w:top w:val="single" w:sz="4" w:space="0" w:color="auto"/>
              <w:left w:val="nil"/>
              <w:bottom w:val="single" w:sz="8" w:space="0" w:color="auto"/>
              <w:right w:val="single" w:sz="8" w:space="0" w:color="auto"/>
            </w:tcBorders>
            <w:shd w:val="clear" w:color="auto" w:fill="auto"/>
            <w:noWrap/>
            <w:tcMar>
              <w:top w:w="0" w:type="dxa"/>
              <w:left w:w="108" w:type="dxa"/>
              <w:bottom w:w="0" w:type="dxa"/>
              <w:right w:w="108" w:type="dxa"/>
            </w:tcMar>
            <w:textDirection w:val="btLr"/>
            <w:vAlign w:val="center"/>
          </w:tcPr>
          <w:p w14:paraId="22C7BA18" w14:textId="2344A17D" w:rsidR="00BB0C57" w:rsidRPr="00BB0C57" w:rsidRDefault="00BB0C57" w:rsidP="00BB0C57">
            <w:pPr>
              <w:widowControl w:val="0"/>
              <w:spacing w:after="0" w:line="240" w:lineRule="auto"/>
              <w:ind w:left="113" w:right="113"/>
              <w:jc w:val="center"/>
              <w:rPr>
                <w:rFonts w:cs="Arial"/>
                <w:bCs/>
                <w:sz w:val="20"/>
                <w:szCs w:val="20"/>
              </w:rPr>
            </w:pPr>
            <w:r w:rsidRPr="00BB0C57">
              <w:rPr>
                <w:rFonts w:cs="Arial"/>
                <w:bCs/>
                <w:sz w:val="20"/>
                <w:szCs w:val="20"/>
              </w:rPr>
              <w:t>Major</w:t>
            </w:r>
          </w:p>
        </w:tc>
        <w:tc>
          <w:tcPr>
            <w:tcW w:w="448" w:type="dxa"/>
            <w:tcBorders>
              <w:top w:val="single" w:sz="4" w:space="0" w:color="auto"/>
              <w:left w:val="nil"/>
              <w:bottom w:val="single" w:sz="8" w:space="0" w:color="auto"/>
              <w:right w:val="single" w:sz="8" w:space="0" w:color="auto"/>
            </w:tcBorders>
            <w:shd w:val="clear" w:color="auto" w:fill="FFC000" w:themeFill="accent4"/>
            <w:noWrap/>
            <w:tcMar>
              <w:top w:w="0" w:type="dxa"/>
              <w:left w:w="108" w:type="dxa"/>
              <w:bottom w:w="0" w:type="dxa"/>
              <w:right w:w="108" w:type="dxa"/>
            </w:tcMar>
            <w:textDirection w:val="btLr"/>
            <w:vAlign w:val="center"/>
          </w:tcPr>
          <w:p w14:paraId="633AFF03" w14:textId="77777777" w:rsidR="00BB0C57" w:rsidRPr="0076107F" w:rsidRDefault="00BB0C57" w:rsidP="00BB0C57">
            <w:pPr>
              <w:widowControl w:val="0"/>
              <w:spacing w:after="0" w:line="240" w:lineRule="auto"/>
              <w:ind w:left="113" w:right="113"/>
              <w:jc w:val="center"/>
              <w:rPr>
                <w:rFonts w:cs="Arial"/>
                <w:b/>
                <w:bCs/>
                <w:sz w:val="20"/>
                <w:szCs w:val="20"/>
              </w:rPr>
            </w:pPr>
          </w:p>
        </w:tc>
        <w:tc>
          <w:tcPr>
            <w:tcW w:w="4179" w:type="dxa"/>
            <w:tcBorders>
              <w:top w:val="single" w:sz="4" w:space="0" w:color="auto"/>
              <w:left w:val="single" w:sz="8" w:space="0" w:color="auto"/>
              <w:bottom w:val="single" w:sz="8" w:space="0" w:color="auto"/>
              <w:right w:val="single" w:sz="8" w:space="0" w:color="000000"/>
            </w:tcBorders>
            <w:shd w:val="clear" w:color="auto" w:fill="auto"/>
            <w:noWrap/>
            <w:tcMar>
              <w:top w:w="0" w:type="dxa"/>
              <w:left w:w="108" w:type="dxa"/>
              <w:bottom w:w="0" w:type="dxa"/>
              <w:right w:w="108" w:type="dxa"/>
            </w:tcMar>
          </w:tcPr>
          <w:p w14:paraId="6955FD30" w14:textId="0E961EC9" w:rsidR="00BB0C57" w:rsidRPr="004C5667" w:rsidRDefault="00BB0C57" w:rsidP="009070C2">
            <w:pPr>
              <w:keepNext/>
              <w:widowControl w:val="0"/>
              <w:spacing w:after="0" w:line="240" w:lineRule="auto"/>
              <w:jc w:val="center"/>
            </w:pPr>
            <w:r w:rsidRPr="004C5667">
              <w:t>The blended finance aspect of the programme is limited and funds will eventually be redeployed in full as grants.</w:t>
            </w:r>
          </w:p>
        </w:tc>
      </w:tr>
    </w:tbl>
    <w:p w14:paraId="36377DFD" w14:textId="1F03256E" w:rsidR="009070C2" w:rsidRPr="00835728" w:rsidRDefault="009070C2" w:rsidP="009070C2">
      <w:pPr>
        <w:pStyle w:val="Caption"/>
        <w:framePr w:w="9897" w:hSpace="180" w:wrap="around" w:vAnchor="text" w:hAnchor="page" w:x="990" w:y="4511"/>
        <w:spacing w:before="240"/>
        <w:jc w:val="center"/>
        <w:rPr>
          <w:sz w:val="22"/>
        </w:rPr>
      </w:pPr>
      <w:bookmarkStart w:id="86" w:name="_Toc523990667"/>
      <w:r w:rsidRPr="00835728">
        <w:rPr>
          <w:sz w:val="22"/>
        </w:rPr>
        <w:t xml:space="preserve">Figure </w:t>
      </w:r>
      <w:r w:rsidRPr="00835728">
        <w:rPr>
          <w:sz w:val="22"/>
        </w:rPr>
        <w:fldChar w:fldCharType="begin"/>
      </w:r>
      <w:r w:rsidRPr="00835728">
        <w:rPr>
          <w:sz w:val="22"/>
        </w:rPr>
        <w:instrText xml:space="preserve"> SEQ Figure \* ARABIC </w:instrText>
      </w:r>
      <w:r w:rsidRPr="00835728">
        <w:rPr>
          <w:sz w:val="22"/>
        </w:rPr>
        <w:fldChar w:fldCharType="separate"/>
      </w:r>
      <w:r w:rsidR="009D672A">
        <w:rPr>
          <w:noProof/>
          <w:sz w:val="22"/>
        </w:rPr>
        <w:t>13</w:t>
      </w:r>
      <w:r w:rsidRPr="00835728">
        <w:rPr>
          <w:sz w:val="22"/>
        </w:rPr>
        <w:fldChar w:fldCharType="end"/>
      </w:r>
      <w:r w:rsidRPr="00835728">
        <w:rPr>
          <w:sz w:val="22"/>
        </w:rPr>
        <w:t xml:space="preserve">: </w:t>
      </w:r>
      <w:r w:rsidRPr="00835728">
        <w:rPr>
          <w:i w:val="0"/>
          <w:sz w:val="22"/>
        </w:rPr>
        <w:t>Summary of perceived commercial risks</w:t>
      </w:r>
      <w:bookmarkEnd w:id="86"/>
    </w:p>
    <w:p w14:paraId="6A2102AB" w14:textId="77777777" w:rsidR="00C02F9F" w:rsidRPr="004C5667" w:rsidRDefault="00C02F9F" w:rsidP="00C02F9F">
      <w:pPr>
        <w:pStyle w:val="Heading3"/>
        <w:numPr>
          <w:ilvl w:val="2"/>
          <w:numId w:val="34"/>
        </w:numPr>
      </w:pPr>
      <w:r w:rsidRPr="004C5667">
        <w:t>IDB’s Risk Management Policy</w:t>
      </w:r>
    </w:p>
    <w:p w14:paraId="0BFC5D5C" w14:textId="2A775E82" w:rsidR="00C02F9F" w:rsidRPr="004C5667" w:rsidRDefault="00C02F9F" w:rsidP="00C02F9F">
      <w:r w:rsidRPr="004C5667">
        <w:t xml:space="preserve">The IDB has an independent </w:t>
      </w:r>
      <w:hyperlink r:id="rId33" w:history="1">
        <w:r w:rsidRPr="004C5667">
          <w:rPr>
            <w:rStyle w:val="Hyperlink"/>
          </w:rPr>
          <w:t>risk management department</w:t>
        </w:r>
      </w:hyperlink>
      <w:r w:rsidRPr="004C5667">
        <w:rPr>
          <w:b/>
        </w:rPr>
        <w:t xml:space="preserve"> </w:t>
      </w:r>
      <w:r w:rsidRPr="004C5667">
        <w:t xml:space="preserve">in charge of managing risk within the organization, including the assessment of credit, operational and market risks. For more information please refer to the following </w:t>
      </w:r>
      <w:hyperlink r:id="rId34" w:history="1">
        <w:r w:rsidRPr="004C5667">
          <w:rPr>
            <w:rStyle w:val="Hyperlink"/>
          </w:rPr>
          <w:t>link</w:t>
        </w:r>
      </w:hyperlink>
      <w:r w:rsidRPr="004C5667">
        <w:t xml:space="preserve">. </w:t>
      </w:r>
    </w:p>
    <w:p w14:paraId="75DBB121" w14:textId="28E63B2F" w:rsidR="0076412E" w:rsidRPr="004C5667" w:rsidRDefault="0076412E" w:rsidP="0076412E">
      <w:pPr>
        <w:pStyle w:val="Heading2"/>
        <w:rPr>
          <w:rFonts w:asciiTheme="majorHAnsi" w:eastAsiaTheme="majorEastAsia" w:hAnsiTheme="majorHAnsi" w:cstheme="majorBidi"/>
          <w:szCs w:val="32"/>
        </w:rPr>
      </w:pPr>
      <w:bookmarkStart w:id="87" w:name="_Toc527027982"/>
      <w:r w:rsidRPr="004C5667">
        <w:rPr>
          <w:rFonts w:asciiTheme="majorHAnsi" w:eastAsiaTheme="majorEastAsia" w:hAnsiTheme="majorHAnsi" w:cstheme="majorBidi"/>
          <w:szCs w:val="32"/>
        </w:rPr>
        <w:t>State Aid</w:t>
      </w:r>
      <w:bookmarkEnd w:id="87"/>
    </w:p>
    <w:p w14:paraId="1C3F0456" w14:textId="6CE3FAC6" w:rsidR="0076412E" w:rsidRPr="004C5667" w:rsidRDefault="00887B1A" w:rsidP="00887B1A">
      <w:pPr>
        <w:rPr>
          <w:lang w:eastAsia="en-US"/>
        </w:rPr>
      </w:pPr>
      <w:r w:rsidRPr="00887B1A">
        <w:rPr>
          <w:lang w:eastAsia="en-US"/>
        </w:rPr>
        <w:t>This intervention is not expected to have the potential to distort competition and trade in the European Union, and is therefore not deemed to amount to State aid</w:t>
      </w:r>
      <w:r>
        <w:rPr>
          <w:lang w:eastAsia="en-US"/>
        </w:rPr>
        <w:t>.</w:t>
      </w:r>
      <w:r w:rsidR="0076412E" w:rsidRPr="004C5667">
        <w:rPr>
          <w:lang w:eastAsia="en-US"/>
        </w:rPr>
        <w:br w:type="page"/>
      </w:r>
    </w:p>
    <w:p w14:paraId="039E90EA" w14:textId="2F242920" w:rsidR="006F46AC" w:rsidRPr="004C5667" w:rsidRDefault="007818C8" w:rsidP="00EF36DF">
      <w:pPr>
        <w:pStyle w:val="Heading1"/>
      </w:pPr>
      <w:bookmarkStart w:id="88" w:name="_Toc527027983"/>
      <w:r w:rsidRPr="004C5667">
        <w:lastRenderedPageBreak/>
        <w:t>Financial</w:t>
      </w:r>
      <w:r w:rsidR="006F46AC" w:rsidRPr="004C5667">
        <w:t xml:space="preserve"> Case</w:t>
      </w:r>
      <w:bookmarkEnd w:id="88"/>
    </w:p>
    <w:p w14:paraId="752A0CD7" w14:textId="32FB7FD8" w:rsidR="006F46AC" w:rsidRPr="004C5667" w:rsidRDefault="006F46AC" w:rsidP="00EF36DF">
      <w:pPr>
        <w:spacing w:before="240"/>
      </w:pPr>
      <w:r w:rsidRPr="004C5667">
        <w:t xml:space="preserve">The following Financial case establishes that the preferred option outlined previous is affordable, is the best use of </w:t>
      </w:r>
      <w:r w:rsidR="00BF15A0">
        <w:t>Defra</w:t>
      </w:r>
      <w:r w:rsidR="00BE26CF" w:rsidRPr="004C5667">
        <w:t xml:space="preserve"> ICF</w:t>
      </w:r>
      <w:r w:rsidRPr="004C5667">
        <w:t xml:space="preserve"> funds, and that the principles of sound financial management for public funds are followed. To do so it covers </w:t>
      </w:r>
      <w:r w:rsidR="00BE26CF" w:rsidRPr="004C5667">
        <w:t>a brief</w:t>
      </w:r>
      <w:r w:rsidR="00C02F9F">
        <w:t xml:space="preserve"> financial</w:t>
      </w:r>
      <w:r w:rsidR="00BE26CF" w:rsidRPr="004C5667">
        <w:t xml:space="preserve"> </w:t>
      </w:r>
      <w:r w:rsidR="00C02F9F">
        <w:t>a</w:t>
      </w:r>
      <w:r w:rsidRPr="004C5667">
        <w:t>ssessment of the flow of funds, governance, financial control and accountability for resources.</w:t>
      </w:r>
      <w:r w:rsidR="00BE26CF" w:rsidRPr="004C5667">
        <w:t xml:space="preserve"> As IDB is a tested partner</w:t>
      </w:r>
      <w:r w:rsidR="00C02F9F">
        <w:t xml:space="preserve"> with a positive reputation and robust commercial processes in place the financial risks are expected to be minimal financial management is expected to be of a high standard. </w:t>
      </w:r>
    </w:p>
    <w:p w14:paraId="693B77E8" w14:textId="6DB39ED7" w:rsidR="006F46AC" w:rsidRPr="004C5667" w:rsidRDefault="006F46AC" w:rsidP="00EF36DF">
      <w:pPr>
        <w:pStyle w:val="Heading2"/>
      </w:pPr>
      <w:bookmarkStart w:id="89" w:name="_Toc527027984"/>
      <w:r w:rsidRPr="004C5667">
        <w:t>Expected Costs</w:t>
      </w:r>
      <w:bookmarkEnd w:id="89"/>
    </w:p>
    <w:p w14:paraId="2973FD63" w14:textId="4CA263A0" w:rsidR="006F46AC" w:rsidRPr="004C5667" w:rsidRDefault="006F46AC" w:rsidP="00EF36DF">
      <w:r w:rsidRPr="004C5667">
        <w:t xml:space="preserve">As part of the approved </w:t>
      </w:r>
      <w:r w:rsidR="00BF15A0">
        <w:t>Defra</w:t>
      </w:r>
      <w:r w:rsidRPr="004C5667">
        <w:t xml:space="preserve"> ICF implement</w:t>
      </w:r>
      <w:r w:rsidR="00BE26CF" w:rsidRPr="004C5667">
        <w:t>ation</w:t>
      </w:r>
      <w:r w:rsidRPr="004C5667">
        <w:t xml:space="preserve"> plan for projects t</w:t>
      </w:r>
      <w:r w:rsidR="001A3397">
        <w:t>o the end of SR15, £12.75</w:t>
      </w:r>
      <w:r w:rsidRPr="004C5667">
        <w:t xml:space="preserve"> million</w:t>
      </w:r>
      <w:r w:rsidR="001A3397">
        <w:t xml:space="preserve"> </w:t>
      </w:r>
      <w:r w:rsidRPr="004C5667">
        <w:t xml:space="preserve">has been allocated to a mangrove investment for the financial year 2018/2019. This </w:t>
      </w:r>
      <w:r w:rsidR="00BE26CF" w:rsidRPr="004C5667">
        <w:t xml:space="preserve">implementation plan </w:t>
      </w:r>
      <w:r w:rsidRPr="004C5667">
        <w:t>received ministerial approval in June 2018.</w:t>
      </w:r>
    </w:p>
    <w:p w14:paraId="61CC8D57" w14:textId="0CAE50F4" w:rsidR="006F46AC" w:rsidRPr="004C5667" w:rsidRDefault="006F46AC" w:rsidP="00EF36DF">
      <w:r w:rsidRPr="004C5667">
        <w:t xml:space="preserve">In order to </w:t>
      </w:r>
      <w:r w:rsidR="00C3547F">
        <w:t xml:space="preserve">ensure timely implementation and give assurances to our delivery partner </w:t>
      </w:r>
      <w:r w:rsidRPr="004C5667">
        <w:t xml:space="preserve">we are looking to </w:t>
      </w:r>
      <w:r w:rsidR="00C3547F">
        <w:t xml:space="preserve">lodge a promissory note with a </w:t>
      </w:r>
      <w:r w:rsidRPr="004C5667">
        <w:t>finalise</w:t>
      </w:r>
      <w:r w:rsidR="00C3547F">
        <w:t>d</w:t>
      </w:r>
      <w:r w:rsidRPr="004C5667">
        <w:t xml:space="preserve"> draw down schedule for this investment by 15</w:t>
      </w:r>
      <w:r w:rsidRPr="004C5667">
        <w:rPr>
          <w:vertAlign w:val="superscript"/>
        </w:rPr>
        <w:t>th</w:t>
      </w:r>
      <w:r w:rsidRPr="004C5667">
        <w:t xml:space="preserve"> December 2018. </w:t>
      </w:r>
      <w:r w:rsidR="00BF15A0">
        <w:t>Defra</w:t>
      </w:r>
      <w:r w:rsidRPr="004C5667">
        <w:t xml:space="preserve"> will be contributing 100% of costs. Th</w:t>
      </w:r>
      <w:r w:rsidR="008F7C43">
        <w:t>e budget breakdown by component activities</w:t>
      </w:r>
      <w:r w:rsidRPr="004C5667">
        <w:t xml:space="preserve"> </w:t>
      </w:r>
      <w:r w:rsidR="00115D4A">
        <w:t xml:space="preserve">and a drawdown schedule </w:t>
      </w:r>
      <w:r w:rsidRPr="004C5667">
        <w:t>follows:</w:t>
      </w:r>
    </w:p>
    <w:p w14:paraId="7F571C4B" w14:textId="27F03AC3" w:rsidR="006F46AC" w:rsidRDefault="00115D4A" w:rsidP="002C0CA7">
      <w:pPr>
        <w:pStyle w:val="Heading3"/>
      </w:pPr>
      <w:r>
        <w:t>Proposed Budget</w:t>
      </w:r>
      <w:r w:rsidR="002C0CA7" w:rsidRPr="002C0CA7">
        <w:t xml:space="preserve"> </w:t>
      </w:r>
    </w:p>
    <w:tbl>
      <w:tblPr>
        <w:tblW w:w="5062" w:type="pct"/>
        <w:jc w:val="center"/>
        <w:tblLayout w:type="fixed"/>
        <w:tblLook w:val="04A0" w:firstRow="1" w:lastRow="0" w:firstColumn="1" w:lastColumn="0" w:noHBand="0" w:noVBand="1"/>
      </w:tblPr>
      <w:tblGrid>
        <w:gridCol w:w="1797"/>
        <w:gridCol w:w="5625"/>
        <w:gridCol w:w="2076"/>
      </w:tblGrid>
      <w:tr w:rsidR="00E429A4" w:rsidRPr="00E429A4" w14:paraId="7E7A0B45" w14:textId="77777777" w:rsidTr="00337B84">
        <w:trPr>
          <w:trHeight w:val="315"/>
          <w:jc w:val="center"/>
        </w:trPr>
        <w:tc>
          <w:tcPr>
            <w:tcW w:w="946" w:type="pct"/>
            <w:tcBorders>
              <w:top w:val="single" w:sz="12" w:space="0" w:color="auto"/>
              <w:left w:val="single" w:sz="12" w:space="0" w:color="auto"/>
              <w:bottom w:val="single" w:sz="8" w:space="0" w:color="auto"/>
              <w:right w:val="single" w:sz="8" w:space="0" w:color="auto"/>
            </w:tcBorders>
            <w:shd w:val="clear" w:color="000000" w:fill="B4C6E7"/>
            <w:noWrap/>
            <w:vAlign w:val="bottom"/>
            <w:hideMark/>
          </w:tcPr>
          <w:p w14:paraId="7DBC01B6" w14:textId="77777777" w:rsidR="00E429A4" w:rsidRPr="00E429A4" w:rsidRDefault="00E429A4" w:rsidP="00115D4A">
            <w:pPr>
              <w:spacing w:after="0" w:line="240" w:lineRule="auto"/>
              <w:jc w:val="center"/>
              <w:rPr>
                <w:rFonts w:eastAsia="Times New Roman"/>
                <w:b/>
                <w:bCs/>
                <w:color w:val="000000"/>
              </w:rPr>
            </w:pPr>
            <w:r w:rsidRPr="00E429A4">
              <w:rPr>
                <w:rFonts w:eastAsia="Times New Roman"/>
                <w:b/>
                <w:bCs/>
                <w:color w:val="000000"/>
              </w:rPr>
              <w:t>Finance Type</w:t>
            </w:r>
          </w:p>
        </w:tc>
        <w:tc>
          <w:tcPr>
            <w:tcW w:w="2961" w:type="pct"/>
            <w:tcBorders>
              <w:top w:val="single" w:sz="12" w:space="0" w:color="auto"/>
              <w:left w:val="single" w:sz="8" w:space="0" w:color="auto"/>
              <w:bottom w:val="single" w:sz="8" w:space="0" w:color="auto"/>
              <w:right w:val="single" w:sz="8" w:space="0" w:color="auto"/>
            </w:tcBorders>
            <w:shd w:val="clear" w:color="000000" w:fill="B4C6E7"/>
            <w:noWrap/>
            <w:vAlign w:val="bottom"/>
            <w:hideMark/>
          </w:tcPr>
          <w:p w14:paraId="309AA3FF" w14:textId="77777777" w:rsidR="00E429A4" w:rsidRPr="00E429A4" w:rsidRDefault="00E429A4" w:rsidP="00E429A4">
            <w:pPr>
              <w:spacing w:after="0" w:line="240" w:lineRule="auto"/>
              <w:jc w:val="center"/>
              <w:rPr>
                <w:rFonts w:eastAsia="Times New Roman"/>
                <w:b/>
                <w:bCs/>
                <w:color w:val="000000"/>
              </w:rPr>
            </w:pPr>
            <w:r w:rsidRPr="00E429A4">
              <w:rPr>
                <w:rFonts w:eastAsia="Times New Roman"/>
                <w:b/>
                <w:bCs/>
                <w:color w:val="000000"/>
              </w:rPr>
              <w:t>Activity</w:t>
            </w:r>
          </w:p>
        </w:tc>
        <w:tc>
          <w:tcPr>
            <w:tcW w:w="1093" w:type="pct"/>
            <w:tcBorders>
              <w:top w:val="single" w:sz="12" w:space="0" w:color="auto"/>
              <w:left w:val="single" w:sz="8" w:space="0" w:color="auto"/>
              <w:bottom w:val="single" w:sz="8" w:space="0" w:color="auto"/>
              <w:right w:val="single" w:sz="12" w:space="0" w:color="auto"/>
            </w:tcBorders>
            <w:shd w:val="clear" w:color="000000" w:fill="B4C6E7"/>
            <w:noWrap/>
            <w:vAlign w:val="bottom"/>
            <w:hideMark/>
          </w:tcPr>
          <w:p w14:paraId="3792314C" w14:textId="77777777" w:rsidR="00E429A4" w:rsidRPr="00E429A4" w:rsidRDefault="00E429A4" w:rsidP="00E429A4">
            <w:pPr>
              <w:spacing w:after="0" w:line="240" w:lineRule="auto"/>
              <w:jc w:val="center"/>
              <w:rPr>
                <w:rFonts w:eastAsia="Times New Roman"/>
                <w:b/>
                <w:bCs/>
                <w:color w:val="000000"/>
              </w:rPr>
            </w:pPr>
            <w:r w:rsidRPr="00E429A4">
              <w:rPr>
                <w:rFonts w:eastAsia="Times New Roman"/>
                <w:b/>
                <w:bCs/>
                <w:color w:val="000000"/>
              </w:rPr>
              <w:t>Value</w:t>
            </w:r>
          </w:p>
        </w:tc>
      </w:tr>
      <w:tr w:rsidR="00E429A4" w:rsidRPr="00E429A4" w14:paraId="033AC68A" w14:textId="77777777" w:rsidTr="00337B84">
        <w:trPr>
          <w:trHeight w:val="300"/>
          <w:jc w:val="center"/>
        </w:trPr>
        <w:tc>
          <w:tcPr>
            <w:tcW w:w="946" w:type="pct"/>
            <w:tcBorders>
              <w:top w:val="single" w:sz="8" w:space="0" w:color="auto"/>
              <w:left w:val="single" w:sz="12" w:space="0" w:color="auto"/>
              <w:bottom w:val="single" w:sz="8" w:space="0" w:color="auto"/>
              <w:right w:val="single" w:sz="8" w:space="0" w:color="auto"/>
            </w:tcBorders>
            <w:shd w:val="clear" w:color="000000" w:fill="D9E1F2"/>
            <w:noWrap/>
            <w:vAlign w:val="bottom"/>
            <w:hideMark/>
          </w:tcPr>
          <w:p w14:paraId="2B0F4E07" w14:textId="77777777" w:rsidR="00E429A4" w:rsidRPr="00E429A4" w:rsidRDefault="00E429A4" w:rsidP="00115D4A">
            <w:pPr>
              <w:spacing w:after="0" w:line="240" w:lineRule="auto"/>
              <w:jc w:val="center"/>
              <w:rPr>
                <w:rFonts w:eastAsia="Times New Roman"/>
                <w:color w:val="000000"/>
              </w:rPr>
            </w:pPr>
            <w:r w:rsidRPr="00E429A4">
              <w:rPr>
                <w:rFonts w:eastAsia="Times New Roman"/>
                <w:color w:val="000000"/>
              </w:rPr>
              <w:t>Blended finance</w:t>
            </w:r>
          </w:p>
        </w:tc>
        <w:tc>
          <w:tcPr>
            <w:tcW w:w="296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31350B" w14:textId="77777777" w:rsidR="00E429A4" w:rsidRPr="00E429A4" w:rsidRDefault="00E429A4" w:rsidP="00E429A4">
            <w:pPr>
              <w:spacing w:after="0" w:line="240" w:lineRule="auto"/>
              <w:jc w:val="left"/>
              <w:rPr>
                <w:rFonts w:eastAsia="Times New Roman"/>
                <w:b/>
                <w:bCs/>
                <w:color w:val="000000"/>
              </w:rPr>
            </w:pPr>
            <w:r w:rsidRPr="00E429A4">
              <w:rPr>
                <w:rFonts w:eastAsia="Times New Roman"/>
                <w:b/>
                <w:bCs/>
                <w:color w:val="000000"/>
              </w:rPr>
              <w:t>Blended finance investments</w:t>
            </w:r>
          </w:p>
        </w:tc>
        <w:tc>
          <w:tcPr>
            <w:tcW w:w="1093" w:type="pct"/>
            <w:tcBorders>
              <w:top w:val="single" w:sz="8" w:space="0" w:color="auto"/>
              <w:left w:val="single" w:sz="8" w:space="0" w:color="auto"/>
              <w:bottom w:val="single" w:sz="8" w:space="0" w:color="auto"/>
              <w:right w:val="single" w:sz="12" w:space="0" w:color="auto"/>
            </w:tcBorders>
            <w:shd w:val="clear" w:color="auto" w:fill="auto"/>
            <w:noWrap/>
            <w:vAlign w:val="bottom"/>
            <w:hideMark/>
          </w:tcPr>
          <w:p w14:paraId="4BCC99F2" w14:textId="61678B64" w:rsidR="00E429A4" w:rsidRPr="00E429A4" w:rsidRDefault="0086422F" w:rsidP="00E429A4">
            <w:pPr>
              <w:spacing w:after="0" w:line="240" w:lineRule="auto"/>
              <w:jc w:val="left"/>
              <w:rPr>
                <w:rFonts w:eastAsia="Times New Roman"/>
                <w:b/>
                <w:color w:val="000000"/>
              </w:rPr>
            </w:pPr>
            <w:r>
              <w:rPr>
                <w:rFonts w:eastAsia="Times New Roman"/>
                <w:b/>
                <w:color w:val="000000"/>
              </w:rPr>
              <w:t xml:space="preserve"> $          6,32</w:t>
            </w:r>
            <w:r w:rsidR="00E429A4" w:rsidRPr="00E429A4">
              <w:rPr>
                <w:rFonts w:eastAsia="Times New Roman"/>
                <w:b/>
                <w:color w:val="000000"/>
              </w:rPr>
              <w:t xml:space="preserve">0,000 </w:t>
            </w:r>
          </w:p>
        </w:tc>
      </w:tr>
      <w:tr w:rsidR="00E429A4" w:rsidRPr="00E429A4" w14:paraId="0B1C3D7E" w14:textId="77777777" w:rsidTr="00337B84">
        <w:trPr>
          <w:trHeight w:val="300"/>
          <w:jc w:val="center"/>
        </w:trPr>
        <w:tc>
          <w:tcPr>
            <w:tcW w:w="946" w:type="pct"/>
            <w:tcBorders>
              <w:top w:val="single" w:sz="8" w:space="0" w:color="auto"/>
              <w:left w:val="single" w:sz="12" w:space="0" w:color="auto"/>
              <w:bottom w:val="single" w:sz="8" w:space="0" w:color="auto"/>
              <w:right w:val="single" w:sz="8" w:space="0" w:color="auto"/>
            </w:tcBorders>
            <w:shd w:val="clear" w:color="000000" w:fill="D9E1F2"/>
            <w:noWrap/>
            <w:vAlign w:val="bottom"/>
            <w:hideMark/>
          </w:tcPr>
          <w:p w14:paraId="00DF45A6" w14:textId="77777777" w:rsidR="00E429A4" w:rsidRPr="00E429A4" w:rsidRDefault="00E429A4" w:rsidP="00115D4A">
            <w:pPr>
              <w:spacing w:after="0" w:line="240" w:lineRule="auto"/>
              <w:jc w:val="center"/>
              <w:rPr>
                <w:rFonts w:eastAsia="Times New Roman"/>
                <w:color w:val="000000"/>
              </w:rPr>
            </w:pPr>
            <w:r w:rsidRPr="00E429A4">
              <w:rPr>
                <w:rFonts w:eastAsia="Times New Roman"/>
                <w:color w:val="000000"/>
              </w:rPr>
              <w:t>Grant funding</w:t>
            </w:r>
          </w:p>
        </w:tc>
        <w:tc>
          <w:tcPr>
            <w:tcW w:w="296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07F968D" w14:textId="77777777" w:rsidR="00E429A4" w:rsidRPr="00E429A4" w:rsidRDefault="00E429A4" w:rsidP="00E429A4">
            <w:pPr>
              <w:spacing w:after="0" w:line="240" w:lineRule="auto"/>
              <w:jc w:val="left"/>
              <w:rPr>
                <w:rFonts w:eastAsia="Times New Roman"/>
                <w:b/>
                <w:bCs/>
                <w:color w:val="000000"/>
              </w:rPr>
            </w:pPr>
            <w:r w:rsidRPr="00E429A4">
              <w:rPr>
                <w:rFonts w:eastAsia="Times New Roman"/>
                <w:b/>
                <w:bCs/>
                <w:color w:val="000000"/>
              </w:rPr>
              <w:t>Total investment grants (and technical assistance)</w:t>
            </w:r>
          </w:p>
        </w:tc>
        <w:tc>
          <w:tcPr>
            <w:tcW w:w="1093" w:type="pct"/>
            <w:tcBorders>
              <w:top w:val="single" w:sz="8" w:space="0" w:color="auto"/>
              <w:left w:val="single" w:sz="8" w:space="0" w:color="auto"/>
              <w:bottom w:val="single" w:sz="8" w:space="0" w:color="auto"/>
              <w:right w:val="single" w:sz="12" w:space="0" w:color="auto"/>
            </w:tcBorders>
            <w:shd w:val="clear" w:color="auto" w:fill="auto"/>
            <w:noWrap/>
            <w:vAlign w:val="bottom"/>
            <w:hideMark/>
          </w:tcPr>
          <w:p w14:paraId="09BF4DE7" w14:textId="3A741B0A" w:rsidR="00E429A4" w:rsidRPr="00E429A4" w:rsidRDefault="0086422F" w:rsidP="00E429A4">
            <w:pPr>
              <w:spacing w:after="0" w:line="240" w:lineRule="auto"/>
              <w:jc w:val="left"/>
              <w:rPr>
                <w:rFonts w:eastAsia="Times New Roman"/>
                <w:b/>
                <w:color w:val="000000"/>
              </w:rPr>
            </w:pPr>
            <w:r>
              <w:rPr>
                <w:rFonts w:eastAsia="Times New Roman"/>
                <w:b/>
                <w:color w:val="000000"/>
              </w:rPr>
              <w:t xml:space="preserve"> $          8,22</w:t>
            </w:r>
            <w:r w:rsidR="00E429A4" w:rsidRPr="00E429A4">
              <w:rPr>
                <w:rFonts w:eastAsia="Times New Roman"/>
                <w:b/>
                <w:color w:val="000000"/>
              </w:rPr>
              <w:t xml:space="preserve">0,000 </w:t>
            </w:r>
          </w:p>
        </w:tc>
      </w:tr>
      <w:tr w:rsidR="00E429A4" w:rsidRPr="00E429A4" w14:paraId="55C37CD0" w14:textId="77777777" w:rsidTr="00337B84">
        <w:trPr>
          <w:trHeight w:val="300"/>
          <w:jc w:val="center"/>
        </w:trPr>
        <w:tc>
          <w:tcPr>
            <w:tcW w:w="946" w:type="pct"/>
            <w:vMerge w:val="restart"/>
            <w:tcBorders>
              <w:top w:val="single" w:sz="8" w:space="0" w:color="auto"/>
              <w:left w:val="single" w:sz="12" w:space="0" w:color="auto"/>
              <w:bottom w:val="single" w:sz="8" w:space="0" w:color="auto"/>
              <w:right w:val="single" w:sz="8" w:space="0" w:color="auto"/>
            </w:tcBorders>
            <w:shd w:val="clear" w:color="000000" w:fill="D9E1F2"/>
            <w:noWrap/>
            <w:vAlign w:val="center"/>
            <w:hideMark/>
          </w:tcPr>
          <w:p w14:paraId="556FB4A3" w14:textId="77777777" w:rsidR="00E429A4" w:rsidRPr="00E429A4" w:rsidRDefault="00E429A4" w:rsidP="00115D4A">
            <w:pPr>
              <w:spacing w:after="0" w:line="240" w:lineRule="auto"/>
              <w:jc w:val="center"/>
              <w:rPr>
                <w:rFonts w:eastAsia="Times New Roman"/>
                <w:color w:val="000000"/>
              </w:rPr>
            </w:pPr>
            <w:r w:rsidRPr="00E429A4">
              <w:rPr>
                <w:rFonts w:eastAsia="Times New Roman"/>
                <w:color w:val="000000"/>
              </w:rPr>
              <w:t>Evaluation and audits</w:t>
            </w:r>
          </w:p>
        </w:tc>
        <w:tc>
          <w:tcPr>
            <w:tcW w:w="296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971C782" w14:textId="77777777" w:rsidR="00E429A4" w:rsidRPr="00E429A4" w:rsidRDefault="00E429A4" w:rsidP="00E429A4">
            <w:pPr>
              <w:spacing w:after="0" w:line="240" w:lineRule="auto"/>
              <w:jc w:val="left"/>
              <w:rPr>
                <w:rFonts w:eastAsia="Times New Roman"/>
                <w:color w:val="000000"/>
              </w:rPr>
            </w:pPr>
            <w:r w:rsidRPr="00E429A4">
              <w:rPr>
                <w:rFonts w:eastAsia="Times New Roman"/>
                <w:color w:val="000000"/>
              </w:rPr>
              <w:t>Independent mid-term assessment</w:t>
            </w:r>
          </w:p>
        </w:tc>
        <w:tc>
          <w:tcPr>
            <w:tcW w:w="1093" w:type="pct"/>
            <w:tcBorders>
              <w:top w:val="single" w:sz="8" w:space="0" w:color="auto"/>
              <w:left w:val="single" w:sz="8" w:space="0" w:color="auto"/>
              <w:bottom w:val="single" w:sz="8" w:space="0" w:color="auto"/>
              <w:right w:val="single" w:sz="12" w:space="0" w:color="auto"/>
            </w:tcBorders>
            <w:shd w:val="clear" w:color="auto" w:fill="auto"/>
            <w:noWrap/>
            <w:vAlign w:val="bottom"/>
            <w:hideMark/>
          </w:tcPr>
          <w:p w14:paraId="5CFFA0AA" w14:textId="77777777" w:rsidR="00E429A4" w:rsidRPr="00E429A4" w:rsidRDefault="00E429A4" w:rsidP="00E429A4">
            <w:pPr>
              <w:spacing w:after="0" w:line="240" w:lineRule="auto"/>
              <w:jc w:val="left"/>
              <w:rPr>
                <w:rFonts w:eastAsia="Times New Roman"/>
                <w:color w:val="000000"/>
              </w:rPr>
            </w:pPr>
            <w:r w:rsidRPr="00E429A4">
              <w:rPr>
                <w:rFonts w:eastAsia="Times New Roman"/>
                <w:color w:val="000000"/>
              </w:rPr>
              <w:t xml:space="preserve"> $              120,000 </w:t>
            </w:r>
          </w:p>
        </w:tc>
      </w:tr>
      <w:tr w:rsidR="00E429A4" w:rsidRPr="00E429A4" w14:paraId="0F4FB7FF" w14:textId="77777777" w:rsidTr="00337B84">
        <w:trPr>
          <w:trHeight w:val="300"/>
          <w:jc w:val="center"/>
        </w:trPr>
        <w:tc>
          <w:tcPr>
            <w:tcW w:w="946" w:type="pct"/>
            <w:vMerge/>
            <w:tcBorders>
              <w:top w:val="single" w:sz="8" w:space="0" w:color="auto"/>
              <w:left w:val="single" w:sz="12" w:space="0" w:color="auto"/>
              <w:bottom w:val="single" w:sz="8" w:space="0" w:color="auto"/>
              <w:right w:val="single" w:sz="8" w:space="0" w:color="auto"/>
            </w:tcBorders>
            <w:vAlign w:val="center"/>
            <w:hideMark/>
          </w:tcPr>
          <w:p w14:paraId="47981659" w14:textId="77777777" w:rsidR="00E429A4" w:rsidRPr="00E429A4" w:rsidRDefault="00E429A4" w:rsidP="00115D4A">
            <w:pPr>
              <w:spacing w:after="0" w:line="240" w:lineRule="auto"/>
              <w:jc w:val="center"/>
              <w:rPr>
                <w:rFonts w:eastAsia="Times New Roman"/>
                <w:color w:val="000000"/>
              </w:rPr>
            </w:pPr>
          </w:p>
        </w:tc>
        <w:tc>
          <w:tcPr>
            <w:tcW w:w="296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9E258E" w14:textId="77777777" w:rsidR="00E429A4" w:rsidRPr="00E429A4" w:rsidRDefault="00E429A4" w:rsidP="00E429A4">
            <w:pPr>
              <w:spacing w:after="0" w:line="240" w:lineRule="auto"/>
              <w:jc w:val="left"/>
              <w:rPr>
                <w:rFonts w:eastAsia="Times New Roman"/>
                <w:color w:val="000000"/>
              </w:rPr>
            </w:pPr>
            <w:r w:rsidRPr="00E429A4">
              <w:rPr>
                <w:rFonts w:eastAsia="Times New Roman"/>
                <w:color w:val="000000"/>
              </w:rPr>
              <w:t>Impact evaluation (baseline,  final)</w:t>
            </w:r>
          </w:p>
        </w:tc>
        <w:tc>
          <w:tcPr>
            <w:tcW w:w="1093" w:type="pct"/>
            <w:tcBorders>
              <w:top w:val="single" w:sz="8" w:space="0" w:color="auto"/>
              <w:left w:val="single" w:sz="8" w:space="0" w:color="auto"/>
              <w:bottom w:val="single" w:sz="8" w:space="0" w:color="auto"/>
              <w:right w:val="single" w:sz="12" w:space="0" w:color="auto"/>
            </w:tcBorders>
            <w:shd w:val="clear" w:color="auto" w:fill="auto"/>
            <w:noWrap/>
            <w:vAlign w:val="bottom"/>
            <w:hideMark/>
          </w:tcPr>
          <w:p w14:paraId="3E138E87" w14:textId="77777777" w:rsidR="00E429A4" w:rsidRPr="00E429A4" w:rsidRDefault="00E429A4" w:rsidP="00E429A4">
            <w:pPr>
              <w:spacing w:after="0" w:line="240" w:lineRule="auto"/>
              <w:jc w:val="left"/>
              <w:rPr>
                <w:rFonts w:eastAsia="Times New Roman"/>
                <w:color w:val="000000"/>
              </w:rPr>
            </w:pPr>
            <w:r w:rsidRPr="00E429A4">
              <w:rPr>
                <w:rFonts w:eastAsia="Times New Roman"/>
                <w:color w:val="000000"/>
              </w:rPr>
              <w:t xml:space="preserve"> $              600,000 </w:t>
            </w:r>
          </w:p>
        </w:tc>
      </w:tr>
      <w:tr w:rsidR="00E429A4" w:rsidRPr="00E429A4" w14:paraId="3353073E" w14:textId="77777777" w:rsidTr="00337B84">
        <w:trPr>
          <w:trHeight w:val="300"/>
          <w:jc w:val="center"/>
        </w:trPr>
        <w:tc>
          <w:tcPr>
            <w:tcW w:w="946" w:type="pct"/>
            <w:vMerge/>
            <w:tcBorders>
              <w:top w:val="single" w:sz="8" w:space="0" w:color="auto"/>
              <w:left w:val="single" w:sz="12" w:space="0" w:color="auto"/>
              <w:bottom w:val="single" w:sz="8" w:space="0" w:color="auto"/>
              <w:right w:val="single" w:sz="8" w:space="0" w:color="auto"/>
            </w:tcBorders>
            <w:vAlign w:val="center"/>
            <w:hideMark/>
          </w:tcPr>
          <w:p w14:paraId="00527B25" w14:textId="77777777" w:rsidR="00E429A4" w:rsidRPr="00E429A4" w:rsidRDefault="00E429A4" w:rsidP="00115D4A">
            <w:pPr>
              <w:spacing w:after="0" w:line="240" w:lineRule="auto"/>
              <w:jc w:val="center"/>
              <w:rPr>
                <w:rFonts w:eastAsia="Times New Roman"/>
                <w:color w:val="000000"/>
              </w:rPr>
            </w:pPr>
          </w:p>
        </w:tc>
        <w:tc>
          <w:tcPr>
            <w:tcW w:w="296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74AF52F" w14:textId="77777777" w:rsidR="00E429A4" w:rsidRPr="00E429A4" w:rsidRDefault="00E429A4" w:rsidP="00E429A4">
            <w:pPr>
              <w:spacing w:after="0" w:line="240" w:lineRule="auto"/>
              <w:jc w:val="left"/>
              <w:rPr>
                <w:rFonts w:eastAsia="Times New Roman"/>
                <w:color w:val="000000"/>
              </w:rPr>
            </w:pPr>
            <w:r w:rsidRPr="00E429A4">
              <w:rPr>
                <w:rFonts w:eastAsia="Times New Roman"/>
                <w:color w:val="000000"/>
              </w:rPr>
              <w:t>Financial audits</w:t>
            </w:r>
          </w:p>
        </w:tc>
        <w:tc>
          <w:tcPr>
            <w:tcW w:w="1093" w:type="pct"/>
            <w:tcBorders>
              <w:top w:val="single" w:sz="8" w:space="0" w:color="auto"/>
              <w:left w:val="single" w:sz="8" w:space="0" w:color="auto"/>
              <w:bottom w:val="single" w:sz="8" w:space="0" w:color="auto"/>
              <w:right w:val="single" w:sz="12" w:space="0" w:color="auto"/>
            </w:tcBorders>
            <w:shd w:val="clear" w:color="auto" w:fill="auto"/>
            <w:noWrap/>
            <w:vAlign w:val="bottom"/>
            <w:hideMark/>
          </w:tcPr>
          <w:p w14:paraId="11ACF581" w14:textId="77777777" w:rsidR="00E429A4" w:rsidRPr="00E429A4" w:rsidRDefault="00E429A4" w:rsidP="00E429A4">
            <w:pPr>
              <w:spacing w:after="0" w:line="240" w:lineRule="auto"/>
              <w:jc w:val="left"/>
              <w:rPr>
                <w:rFonts w:eastAsia="Times New Roman"/>
                <w:color w:val="000000"/>
              </w:rPr>
            </w:pPr>
            <w:r w:rsidRPr="00E429A4">
              <w:rPr>
                <w:rFonts w:eastAsia="Times New Roman"/>
                <w:color w:val="000000"/>
              </w:rPr>
              <w:t xml:space="preserve"> $                90,000 </w:t>
            </w:r>
          </w:p>
        </w:tc>
      </w:tr>
      <w:tr w:rsidR="00E429A4" w:rsidRPr="00E429A4" w14:paraId="34A96165" w14:textId="77777777" w:rsidTr="00337B84">
        <w:trPr>
          <w:trHeight w:val="300"/>
          <w:jc w:val="center"/>
        </w:trPr>
        <w:tc>
          <w:tcPr>
            <w:tcW w:w="946" w:type="pct"/>
            <w:vMerge/>
            <w:tcBorders>
              <w:top w:val="single" w:sz="8" w:space="0" w:color="auto"/>
              <w:left w:val="single" w:sz="12" w:space="0" w:color="auto"/>
              <w:bottom w:val="single" w:sz="8" w:space="0" w:color="auto"/>
              <w:right w:val="single" w:sz="8" w:space="0" w:color="auto"/>
            </w:tcBorders>
            <w:vAlign w:val="center"/>
            <w:hideMark/>
          </w:tcPr>
          <w:p w14:paraId="1349A3E7" w14:textId="77777777" w:rsidR="00E429A4" w:rsidRPr="00E429A4" w:rsidRDefault="00E429A4" w:rsidP="00115D4A">
            <w:pPr>
              <w:spacing w:after="0" w:line="240" w:lineRule="auto"/>
              <w:jc w:val="center"/>
              <w:rPr>
                <w:rFonts w:eastAsia="Times New Roman"/>
                <w:color w:val="000000"/>
              </w:rPr>
            </w:pPr>
          </w:p>
        </w:tc>
        <w:tc>
          <w:tcPr>
            <w:tcW w:w="296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21883F" w14:textId="257A419E" w:rsidR="00E429A4" w:rsidRPr="00E429A4" w:rsidRDefault="00E429A4" w:rsidP="00115D4A">
            <w:pPr>
              <w:spacing w:after="0" w:line="240" w:lineRule="auto"/>
              <w:jc w:val="left"/>
              <w:rPr>
                <w:rFonts w:eastAsia="Times New Roman"/>
                <w:color w:val="000000"/>
              </w:rPr>
            </w:pPr>
            <w:r w:rsidRPr="00E429A4">
              <w:rPr>
                <w:rFonts w:eastAsia="Times New Roman"/>
                <w:color w:val="000000"/>
              </w:rPr>
              <w:t>Communications of results (starting in year 4)</w:t>
            </w:r>
          </w:p>
        </w:tc>
        <w:tc>
          <w:tcPr>
            <w:tcW w:w="1093" w:type="pct"/>
            <w:tcBorders>
              <w:top w:val="single" w:sz="8" w:space="0" w:color="auto"/>
              <w:left w:val="single" w:sz="8" w:space="0" w:color="auto"/>
              <w:bottom w:val="single" w:sz="8" w:space="0" w:color="auto"/>
              <w:right w:val="single" w:sz="12" w:space="0" w:color="auto"/>
            </w:tcBorders>
            <w:shd w:val="clear" w:color="auto" w:fill="auto"/>
            <w:noWrap/>
            <w:vAlign w:val="bottom"/>
            <w:hideMark/>
          </w:tcPr>
          <w:p w14:paraId="20749CA0" w14:textId="77777777" w:rsidR="00E429A4" w:rsidRPr="00E429A4" w:rsidRDefault="00E429A4" w:rsidP="00E429A4">
            <w:pPr>
              <w:spacing w:after="0" w:line="240" w:lineRule="auto"/>
              <w:jc w:val="left"/>
              <w:rPr>
                <w:rFonts w:eastAsia="Times New Roman"/>
                <w:color w:val="000000"/>
              </w:rPr>
            </w:pPr>
            <w:r w:rsidRPr="00E429A4">
              <w:rPr>
                <w:rFonts w:eastAsia="Times New Roman"/>
                <w:color w:val="000000"/>
              </w:rPr>
              <w:t xml:space="preserve"> $              300,000 </w:t>
            </w:r>
          </w:p>
        </w:tc>
      </w:tr>
      <w:tr w:rsidR="00E429A4" w:rsidRPr="00E429A4" w14:paraId="633AE9CC" w14:textId="77777777" w:rsidTr="00337B84">
        <w:trPr>
          <w:trHeight w:val="300"/>
          <w:jc w:val="center"/>
        </w:trPr>
        <w:tc>
          <w:tcPr>
            <w:tcW w:w="946" w:type="pct"/>
            <w:vMerge/>
            <w:tcBorders>
              <w:top w:val="single" w:sz="8" w:space="0" w:color="auto"/>
              <w:left w:val="single" w:sz="12" w:space="0" w:color="auto"/>
              <w:bottom w:val="single" w:sz="8" w:space="0" w:color="auto"/>
              <w:right w:val="single" w:sz="8" w:space="0" w:color="auto"/>
            </w:tcBorders>
            <w:vAlign w:val="center"/>
            <w:hideMark/>
          </w:tcPr>
          <w:p w14:paraId="610A2D2A" w14:textId="77777777" w:rsidR="00E429A4" w:rsidRPr="00E429A4" w:rsidRDefault="00E429A4" w:rsidP="00115D4A">
            <w:pPr>
              <w:spacing w:after="0" w:line="240" w:lineRule="auto"/>
              <w:jc w:val="center"/>
              <w:rPr>
                <w:rFonts w:eastAsia="Times New Roman"/>
                <w:color w:val="000000"/>
              </w:rPr>
            </w:pPr>
          </w:p>
        </w:tc>
        <w:tc>
          <w:tcPr>
            <w:tcW w:w="296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E739D6A" w14:textId="77777777" w:rsidR="00E429A4" w:rsidRPr="00E429A4" w:rsidRDefault="00E429A4" w:rsidP="00E429A4">
            <w:pPr>
              <w:spacing w:after="0" w:line="240" w:lineRule="auto"/>
              <w:jc w:val="left"/>
              <w:rPr>
                <w:rFonts w:eastAsia="Times New Roman"/>
                <w:b/>
                <w:bCs/>
                <w:color w:val="000000"/>
              </w:rPr>
            </w:pPr>
            <w:r w:rsidRPr="00E429A4">
              <w:rPr>
                <w:rFonts w:eastAsia="Times New Roman"/>
                <w:b/>
                <w:bCs/>
                <w:color w:val="000000"/>
              </w:rPr>
              <w:t>Total evaluations and audits</w:t>
            </w:r>
          </w:p>
        </w:tc>
        <w:tc>
          <w:tcPr>
            <w:tcW w:w="1093" w:type="pct"/>
            <w:tcBorders>
              <w:top w:val="single" w:sz="8" w:space="0" w:color="auto"/>
              <w:left w:val="single" w:sz="8" w:space="0" w:color="auto"/>
              <w:bottom w:val="single" w:sz="8" w:space="0" w:color="auto"/>
              <w:right w:val="single" w:sz="12" w:space="0" w:color="auto"/>
            </w:tcBorders>
            <w:shd w:val="clear" w:color="auto" w:fill="auto"/>
            <w:noWrap/>
            <w:vAlign w:val="bottom"/>
            <w:hideMark/>
          </w:tcPr>
          <w:p w14:paraId="146AE0B3" w14:textId="77777777" w:rsidR="00E429A4" w:rsidRPr="00E429A4" w:rsidRDefault="00E429A4" w:rsidP="00E429A4">
            <w:pPr>
              <w:spacing w:after="0" w:line="240" w:lineRule="auto"/>
              <w:jc w:val="left"/>
              <w:rPr>
                <w:rFonts w:eastAsia="Times New Roman"/>
                <w:b/>
                <w:bCs/>
                <w:color w:val="000000"/>
              </w:rPr>
            </w:pPr>
            <w:r w:rsidRPr="00E429A4">
              <w:rPr>
                <w:rFonts w:eastAsia="Times New Roman"/>
                <w:b/>
                <w:bCs/>
                <w:color w:val="000000"/>
              </w:rPr>
              <w:t xml:space="preserve"> $          1,110,000 </w:t>
            </w:r>
          </w:p>
        </w:tc>
      </w:tr>
      <w:tr w:rsidR="00E429A4" w:rsidRPr="00E429A4" w14:paraId="226D6941" w14:textId="77777777" w:rsidTr="00337B84">
        <w:trPr>
          <w:trHeight w:val="315"/>
          <w:jc w:val="center"/>
        </w:trPr>
        <w:tc>
          <w:tcPr>
            <w:tcW w:w="946" w:type="pct"/>
            <w:tcBorders>
              <w:top w:val="single" w:sz="8" w:space="0" w:color="auto"/>
              <w:left w:val="single" w:sz="12" w:space="0" w:color="auto"/>
              <w:bottom w:val="single" w:sz="8" w:space="0" w:color="auto"/>
              <w:right w:val="single" w:sz="8" w:space="0" w:color="auto"/>
            </w:tcBorders>
            <w:shd w:val="clear" w:color="000000" w:fill="D9E1F2"/>
            <w:noWrap/>
            <w:vAlign w:val="center"/>
            <w:hideMark/>
          </w:tcPr>
          <w:p w14:paraId="66282ED8" w14:textId="77777777" w:rsidR="00E429A4" w:rsidRPr="00E429A4" w:rsidRDefault="00E429A4" w:rsidP="00115D4A">
            <w:pPr>
              <w:spacing w:after="0" w:line="240" w:lineRule="auto"/>
              <w:jc w:val="center"/>
              <w:rPr>
                <w:rFonts w:eastAsia="Times New Roman"/>
                <w:color w:val="000000"/>
              </w:rPr>
            </w:pPr>
            <w:r w:rsidRPr="00E429A4">
              <w:rPr>
                <w:rFonts w:eastAsia="Times New Roman"/>
                <w:color w:val="000000"/>
              </w:rPr>
              <w:t>Sub Total</w:t>
            </w:r>
          </w:p>
        </w:tc>
        <w:tc>
          <w:tcPr>
            <w:tcW w:w="296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E99F859" w14:textId="77777777" w:rsidR="00E429A4" w:rsidRPr="00E429A4" w:rsidRDefault="00E429A4" w:rsidP="00E429A4">
            <w:pPr>
              <w:spacing w:after="0" w:line="240" w:lineRule="auto"/>
              <w:jc w:val="left"/>
              <w:rPr>
                <w:rFonts w:eastAsia="Times New Roman"/>
                <w:color w:val="000000"/>
              </w:rPr>
            </w:pPr>
            <w:r w:rsidRPr="00E429A4">
              <w:rPr>
                <w:rFonts w:eastAsia="Times New Roman"/>
                <w:color w:val="000000"/>
              </w:rPr>
              <w:t>Total investment before administration</w:t>
            </w:r>
          </w:p>
        </w:tc>
        <w:tc>
          <w:tcPr>
            <w:tcW w:w="1093" w:type="pct"/>
            <w:tcBorders>
              <w:top w:val="single" w:sz="8" w:space="0" w:color="auto"/>
              <w:left w:val="single" w:sz="8" w:space="0" w:color="auto"/>
              <w:bottom w:val="single" w:sz="8" w:space="0" w:color="auto"/>
              <w:right w:val="single" w:sz="12" w:space="0" w:color="auto"/>
            </w:tcBorders>
            <w:shd w:val="clear" w:color="auto" w:fill="auto"/>
            <w:noWrap/>
            <w:vAlign w:val="bottom"/>
            <w:hideMark/>
          </w:tcPr>
          <w:p w14:paraId="63D94D0A" w14:textId="77777777" w:rsidR="00E429A4" w:rsidRPr="00E429A4" w:rsidRDefault="00E429A4" w:rsidP="00E429A4">
            <w:pPr>
              <w:spacing w:after="0" w:line="240" w:lineRule="auto"/>
              <w:jc w:val="left"/>
              <w:rPr>
                <w:rFonts w:eastAsia="Times New Roman"/>
                <w:color w:val="000000"/>
              </w:rPr>
            </w:pPr>
            <w:r w:rsidRPr="00E429A4">
              <w:rPr>
                <w:rFonts w:eastAsia="Times New Roman"/>
                <w:color w:val="000000"/>
              </w:rPr>
              <w:t xml:space="preserve"> $        15,710,000 </w:t>
            </w:r>
          </w:p>
        </w:tc>
      </w:tr>
      <w:tr w:rsidR="00E429A4" w:rsidRPr="00E429A4" w14:paraId="7A6312A8" w14:textId="77777777" w:rsidTr="00337B84">
        <w:trPr>
          <w:trHeight w:val="300"/>
          <w:jc w:val="center"/>
        </w:trPr>
        <w:tc>
          <w:tcPr>
            <w:tcW w:w="946" w:type="pct"/>
            <w:vMerge w:val="restart"/>
            <w:tcBorders>
              <w:top w:val="single" w:sz="8" w:space="0" w:color="auto"/>
              <w:left w:val="single" w:sz="12" w:space="0" w:color="auto"/>
              <w:bottom w:val="single" w:sz="8" w:space="0" w:color="auto"/>
              <w:right w:val="single" w:sz="8" w:space="0" w:color="auto"/>
            </w:tcBorders>
            <w:shd w:val="clear" w:color="000000" w:fill="D9E1F2"/>
            <w:noWrap/>
            <w:vAlign w:val="center"/>
            <w:hideMark/>
          </w:tcPr>
          <w:p w14:paraId="5A6B9650" w14:textId="77777777" w:rsidR="00E429A4" w:rsidRPr="00E429A4" w:rsidRDefault="00E429A4" w:rsidP="00115D4A">
            <w:pPr>
              <w:spacing w:after="0" w:line="240" w:lineRule="auto"/>
              <w:jc w:val="center"/>
              <w:rPr>
                <w:rFonts w:eastAsia="Times New Roman"/>
                <w:color w:val="000000"/>
              </w:rPr>
            </w:pPr>
            <w:r w:rsidRPr="00E429A4">
              <w:rPr>
                <w:rFonts w:eastAsia="Times New Roman"/>
                <w:color w:val="000000"/>
              </w:rPr>
              <w:t>Administration  costs</w:t>
            </w:r>
          </w:p>
        </w:tc>
        <w:tc>
          <w:tcPr>
            <w:tcW w:w="296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C7261A3" w14:textId="77777777" w:rsidR="00E429A4" w:rsidRPr="00E429A4" w:rsidRDefault="00E429A4" w:rsidP="00E429A4">
            <w:pPr>
              <w:spacing w:after="0" w:line="240" w:lineRule="auto"/>
              <w:jc w:val="left"/>
              <w:rPr>
                <w:rFonts w:eastAsia="Times New Roman"/>
                <w:color w:val="000000"/>
              </w:rPr>
            </w:pPr>
            <w:r w:rsidRPr="00E429A4">
              <w:rPr>
                <w:rFonts w:eastAsia="Times New Roman"/>
                <w:color w:val="000000"/>
              </w:rPr>
              <w:t>Blended finance fees (2.5%)</w:t>
            </w:r>
          </w:p>
        </w:tc>
        <w:tc>
          <w:tcPr>
            <w:tcW w:w="1093" w:type="pct"/>
            <w:tcBorders>
              <w:top w:val="single" w:sz="8" w:space="0" w:color="auto"/>
              <w:left w:val="single" w:sz="8" w:space="0" w:color="auto"/>
              <w:bottom w:val="single" w:sz="8" w:space="0" w:color="auto"/>
              <w:right w:val="single" w:sz="12" w:space="0" w:color="auto"/>
            </w:tcBorders>
            <w:shd w:val="clear" w:color="auto" w:fill="auto"/>
            <w:noWrap/>
            <w:vAlign w:val="bottom"/>
            <w:hideMark/>
          </w:tcPr>
          <w:p w14:paraId="7B189D9A" w14:textId="77777777" w:rsidR="00E429A4" w:rsidRPr="00E429A4" w:rsidRDefault="00E429A4" w:rsidP="00E429A4">
            <w:pPr>
              <w:spacing w:after="0" w:line="240" w:lineRule="auto"/>
              <w:jc w:val="left"/>
              <w:rPr>
                <w:rFonts w:eastAsia="Times New Roman"/>
                <w:color w:val="000000"/>
              </w:rPr>
            </w:pPr>
            <w:r w:rsidRPr="00E429A4">
              <w:rPr>
                <w:rFonts w:eastAsia="Times New Roman"/>
                <w:color w:val="000000"/>
              </w:rPr>
              <w:t xml:space="preserve"> $              158,750 </w:t>
            </w:r>
          </w:p>
        </w:tc>
      </w:tr>
      <w:tr w:rsidR="00E429A4" w:rsidRPr="00E429A4" w14:paraId="05565729" w14:textId="77777777" w:rsidTr="00337B84">
        <w:trPr>
          <w:trHeight w:val="300"/>
          <w:jc w:val="center"/>
        </w:trPr>
        <w:tc>
          <w:tcPr>
            <w:tcW w:w="946" w:type="pct"/>
            <w:vMerge/>
            <w:tcBorders>
              <w:top w:val="single" w:sz="8" w:space="0" w:color="auto"/>
              <w:left w:val="single" w:sz="12" w:space="0" w:color="auto"/>
              <w:bottom w:val="single" w:sz="8" w:space="0" w:color="auto"/>
              <w:right w:val="single" w:sz="8" w:space="0" w:color="auto"/>
            </w:tcBorders>
            <w:vAlign w:val="center"/>
            <w:hideMark/>
          </w:tcPr>
          <w:p w14:paraId="45CF9EA8" w14:textId="77777777" w:rsidR="00E429A4" w:rsidRPr="00E429A4" w:rsidRDefault="00E429A4" w:rsidP="00115D4A">
            <w:pPr>
              <w:spacing w:after="0" w:line="240" w:lineRule="auto"/>
              <w:jc w:val="center"/>
              <w:rPr>
                <w:rFonts w:eastAsia="Times New Roman"/>
                <w:color w:val="000000"/>
              </w:rPr>
            </w:pPr>
          </w:p>
        </w:tc>
        <w:tc>
          <w:tcPr>
            <w:tcW w:w="296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90674F6" w14:textId="77777777" w:rsidR="00E429A4" w:rsidRPr="00E429A4" w:rsidRDefault="00E429A4" w:rsidP="00E429A4">
            <w:pPr>
              <w:spacing w:after="0" w:line="240" w:lineRule="auto"/>
              <w:jc w:val="left"/>
              <w:rPr>
                <w:rFonts w:eastAsia="Times New Roman"/>
                <w:color w:val="000000"/>
              </w:rPr>
            </w:pPr>
            <w:r w:rsidRPr="00E429A4">
              <w:rPr>
                <w:rFonts w:eastAsia="Times New Roman"/>
                <w:color w:val="000000"/>
              </w:rPr>
              <w:t>Trust fund set-up cost</w:t>
            </w:r>
          </w:p>
        </w:tc>
        <w:tc>
          <w:tcPr>
            <w:tcW w:w="1093" w:type="pct"/>
            <w:tcBorders>
              <w:top w:val="single" w:sz="8" w:space="0" w:color="auto"/>
              <w:left w:val="single" w:sz="8" w:space="0" w:color="auto"/>
              <w:bottom w:val="single" w:sz="8" w:space="0" w:color="auto"/>
              <w:right w:val="single" w:sz="12" w:space="0" w:color="auto"/>
            </w:tcBorders>
            <w:shd w:val="clear" w:color="auto" w:fill="auto"/>
            <w:noWrap/>
            <w:vAlign w:val="bottom"/>
            <w:hideMark/>
          </w:tcPr>
          <w:p w14:paraId="17C1EAB8" w14:textId="77777777" w:rsidR="00E429A4" w:rsidRPr="00E429A4" w:rsidRDefault="00E429A4" w:rsidP="00E429A4">
            <w:pPr>
              <w:spacing w:after="0" w:line="240" w:lineRule="auto"/>
              <w:jc w:val="left"/>
              <w:rPr>
                <w:rFonts w:eastAsia="Times New Roman"/>
                <w:color w:val="000000"/>
              </w:rPr>
            </w:pPr>
            <w:r w:rsidRPr="00E429A4">
              <w:rPr>
                <w:rFonts w:eastAsia="Times New Roman"/>
                <w:color w:val="000000"/>
              </w:rPr>
              <w:t xml:space="preserve"> $                35,000 </w:t>
            </w:r>
          </w:p>
        </w:tc>
      </w:tr>
      <w:tr w:rsidR="00E429A4" w:rsidRPr="00E429A4" w14:paraId="3684EAB5" w14:textId="77777777" w:rsidTr="00337B84">
        <w:trPr>
          <w:trHeight w:val="300"/>
          <w:jc w:val="center"/>
        </w:trPr>
        <w:tc>
          <w:tcPr>
            <w:tcW w:w="946" w:type="pct"/>
            <w:vMerge/>
            <w:tcBorders>
              <w:top w:val="single" w:sz="8" w:space="0" w:color="auto"/>
              <w:left w:val="single" w:sz="12" w:space="0" w:color="auto"/>
              <w:bottom w:val="single" w:sz="8" w:space="0" w:color="auto"/>
              <w:right w:val="single" w:sz="8" w:space="0" w:color="auto"/>
            </w:tcBorders>
            <w:vAlign w:val="center"/>
            <w:hideMark/>
          </w:tcPr>
          <w:p w14:paraId="5C5A69DA" w14:textId="77777777" w:rsidR="00E429A4" w:rsidRPr="00E429A4" w:rsidRDefault="00E429A4" w:rsidP="00115D4A">
            <w:pPr>
              <w:spacing w:after="0" w:line="240" w:lineRule="auto"/>
              <w:jc w:val="center"/>
              <w:rPr>
                <w:rFonts w:eastAsia="Times New Roman"/>
                <w:color w:val="000000"/>
              </w:rPr>
            </w:pPr>
          </w:p>
        </w:tc>
        <w:tc>
          <w:tcPr>
            <w:tcW w:w="296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9BC59C" w14:textId="77777777" w:rsidR="00E429A4" w:rsidRPr="00E429A4" w:rsidRDefault="00E429A4" w:rsidP="00E429A4">
            <w:pPr>
              <w:spacing w:after="0" w:line="240" w:lineRule="auto"/>
              <w:jc w:val="left"/>
              <w:rPr>
                <w:rFonts w:eastAsia="Times New Roman"/>
                <w:color w:val="000000"/>
              </w:rPr>
            </w:pPr>
            <w:r w:rsidRPr="00E429A4">
              <w:rPr>
                <w:rFonts w:eastAsia="Times New Roman"/>
                <w:color w:val="000000"/>
              </w:rPr>
              <w:t>Grant administration (5%)</w:t>
            </w:r>
          </w:p>
        </w:tc>
        <w:tc>
          <w:tcPr>
            <w:tcW w:w="1093" w:type="pct"/>
            <w:tcBorders>
              <w:top w:val="single" w:sz="8" w:space="0" w:color="auto"/>
              <w:left w:val="single" w:sz="8" w:space="0" w:color="auto"/>
              <w:bottom w:val="single" w:sz="8" w:space="0" w:color="auto"/>
              <w:right w:val="single" w:sz="12" w:space="0" w:color="auto"/>
            </w:tcBorders>
            <w:shd w:val="clear" w:color="auto" w:fill="auto"/>
            <w:noWrap/>
            <w:vAlign w:val="bottom"/>
            <w:hideMark/>
          </w:tcPr>
          <w:p w14:paraId="59F8BD59" w14:textId="77777777" w:rsidR="00E429A4" w:rsidRPr="00E429A4" w:rsidRDefault="00E429A4" w:rsidP="00E429A4">
            <w:pPr>
              <w:spacing w:after="0" w:line="240" w:lineRule="auto"/>
              <w:jc w:val="left"/>
              <w:rPr>
                <w:rFonts w:eastAsia="Times New Roman"/>
                <w:color w:val="000000"/>
              </w:rPr>
            </w:pPr>
            <w:r w:rsidRPr="00E429A4">
              <w:rPr>
                <w:rFonts w:eastAsia="Times New Roman"/>
                <w:color w:val="000000"/>
              </w:rPr>
              <w:t xml:space="preserve"> $              468,000 </w:t>
            </w:r>
          </w:p>
        </w:tc>
      </w:tr>
      <w:tr w:rsidR="00E429A4" w:rsidRPr="00E429A4" w14:paraId="00AF2BF8" w14:textId="77777777" w:rsidTr="00337B84">
        <w:trPr>
          <w:trHeight w:val="315"/>
          <w:jc w:val="center"/>
        </w:trPr>
        <w:tc>
          <w:tcPr>
            <w:tcW w:w="946" w:type="pct"/>
            <w:vMerge/>
            <w:tcBorders>
              <w:top w:val="single" w:sz="8" w:space="0" w:color="auto"/>
              <w:left w:val="single" w:sz="12" w:space="0" w:color="auto"/>
              <w:bottom w:val="single" w:sz="8" w:space="0" w:color="auto"/>
              <w:right w:val="single" w:sz="8" w:space="0" w:color="auto"/>
            </w:tcBorders>
            <w:vAlign w:val="center"/>
            <w:hideMark/>
          </w:tcPr>
          <w:p w14:paraId="242CE065" w14:textId="77777777" w:rsidR="00E429A4" w:rsidRPr="00E429A4" w:rsidRDefault="00E429A4" w:rsidP="00115D4A">
            <w:pPr>
              <w:spacing w:after="0" w:line="240" w:lineRule="auto"/>
              <w:jc w:val="center"/>
              <w:rPr>
                <w:rFonts w:eastAsia="Times New Roman"/>
                <w:color w:val="000000"/>
              </w:rPr>
            </w:pPr>
          </w:p>
        </w:tc>
        <w:tc>
          <w:tcPr>
            <w:tcW w:w="296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8A956D5" w14:textId="77777777" w:rsidR="00E429A4" w:rsidRPr="00E429A4" w:rsidRDefault="00E429A4" w:rsidP="00E429A4">
            <w:pPr>
              <w:spacing w:after="0" w:line="240" w:lineRule="auto"/>
              <w:jc w:val="left"/>
              <w:rPr>
                <w:rFonts w:eastAsia="Times New Roman"/>
                <w:b/>
                <w:bCs/>
                <w:color w:val="000000"/>
              </w:rPr>
            </w:pPr>
            <w:r w:rsidRPr="00E429A4">
              <w:rPr>
                <w:rFonts w:eastAsia="Times New Roman"/>
                <w:b/>
                <w:bCs/>
                <w:color w:val="000000"/>
              </w:rPr>
              <w:t>Total administration</w:t>
            </w:r>
          </w:p>
        </w:tc>
        <w:tc>
          <w:tcPr>
            <w:tcW w:w="1093" w:type="pct"/>
            <w:tcBorders>
              <w:top w:val="single" w:sz="8" w:space="0" w:color="auto"/>
              <w:left w:val="single" w:sz="8" w:space="0" w:color="auto"/>
              <w:bottom w:val="single" w:sz="8" w:space="0" w:color="auto"/>
              <w:right w:val="single" w:sz="12" w:space="0" w:color="auto"/>
            </w:tcBorders>
            <w:shd w:val="clear" w:color="auto" w:fill="auto"/>
            <w:noWrap/>
            <w:vAlign w:val="bottom"/>
            <w:hideMark/>
          </w:tcPr>
          <w:p w14:paraId="437528E8" w14:textId="77777777" w:rsidR="00E429A4" w:rsidRPr="00E429A4" w:rsidRDefault="00E429A4" w:rsidP="00E429A4">
            <w:pPr>
              <w:spacing w:after="0" w:line="240" w:lineRule="auto"/>
              <w:jc w:val="left"/>
              <w:rPr>
                <w:rFonts w:eastAsia="Times New Roman"/>
                <w:b/>
                <w:bCs/>
                <w:color w:val="000000"/>
              </w:rPr>
            </w:pPr>
            <w:r w:rsidRPr="00E429A4">
              <w:rPr>
                <w:rFonts w:eastAsia="Times New Roman"/>
                <w:b/>
                <w:bCs/>
                <w:color w:val="000000"/>
              </w:rPr>
              <w:t xml:space="preserve"> $              661,750 </w:t>
            </w:r>
          </w:p>
        </w:tc>
      </w:tr>
      <w:tr w:rsidR="00E429A4" w:rsidRPr="00E429A4" w14:paraId="69C25200" w14:textId="77777777" w:rsidTr="00337B84">
        <w:trPr>
          <w:trHeight w:val="300"/>
          <w:jc w:val="center"/>
        </w:trPr>
        <w:tc>
          <w:tcPr>
            <w:tcW w:w="946" w:type="pct"/>
            <w:vMerge w:val="restart"/>
            <w:tcBorders>
              <w:top w:val="single" w:sz="8" w:space="0" w:color="auto"/>
              <w:left w:val="single" w:sz="12" w:space="0" w:color="auto"/>
              <w:bottom w:val="single" w:sz="8" w:space="0" w:color="auto"/>
              <w:right w:val="single" w:sz="8" w:space="0" w:color="auto"/>
            </w:tcBorders>
            <w:shd w:val="clear" w:color="000000" w:fill="B4C6E7"/>
            <w:noWrap/>
            <w:vAlign w:val="center"/>
            <w:hideMark/>
          </w:tcPr>
          <w:p w14:paraId="5B367AD8" w14:textId="77777777" w:rsidR="00E429A4" w:rsidRPr="00E429A4" w:rsidRDefault="00E429A4" w:rsidP="00115D4A">
            <w:pPr>
              <w:spacing w:after="0" w:line="240" w:lineRule="auto"/>
              <w:jc w:val="center"/>
              <w:rPr>
                <w:rFonts w:eastAsia="Times New Roman"/>
                <w:b/>
                <w:bCs/>
              </w:rPr>
            </w:pPr>
            <w:r w:rsidRPr="00E429A4">
              <w:rPr>
                <w:rFonts w:eastAsia="Times New Roman"/>
                <w:b/>
                <w:bCs/>
              </w:rPr>
              <w:t>Total</w:t>
            </w:r>
          </w:p>
        </w:tc>
        <w:tc>
          <w:tcPr>
            <w:tcW w:w="2961" w:type="pct"/>
            <w:vMerge w:val="restart"/>
            <w:tcBorders>
              <w:top w:val="single" w:sz="8" w:space="0" w:color="auto"/>
              <w:left w:val="single" w:sz="8" w:space="0" w:color="auto"/>
              <w:bottom w:val="single" w:sz="8" w:space="0" w:color="auto"/>
              <w:right w:val="single" w:sz="8" w:space="0" w:color="auto"/>
            </w:tcBorders>
            <w:shd w:val="clear" w:color="000000" w:fill="B4C6E7"/>
            <w:noWrap/>
            <w:vAlign w:val="center"/>
            <w:hideMark/>
          </w:tcPr>
          <w:p w14:paraId="5413A1B0" w14:textId="77777777" w:rsidR="00E429A4" w:rsidRPr="00E429A4" w:rsidRDefault="00E429A4" w:rsidP="00115D4A">
            <w:pPr>
              <w:spacing w:after="0" w:line="240" w:lineRule="auto"/>
              <w:jc w:val="left"/>
              <w:rPr>
                <w:rFonts w:eastAsia="Times New Roman"/>
                <w:b/>
                <w:bCs/>
              </w:rPr>
            </w:pPr>
            <w:r w:rsidRPr="00E429A4">
              <w:rPr>
                <w:rFonts w:eastAsia="Times New Roman"/>
                <w:b/>
                <w:bCs/>
              </w:rPr>
              <w:t>Total investment (withdrawn schedule)</w:t>
            </w:r>
          </w:p>
        </w:tc>
        <w:tc>
          <w:tcPr>
            <w:tcW w:w="1093" w:type="pct"/>
            <w:tcBorders>
              <w:top w:val="single" w:sz="8" w:space="0" w:color="auto"/>
              <w:left w:val="single" w:sz="8" w:space="0" w:color="auto"/>
              <w:bottom w:val="single" w:sz="8" w:space="0" w:color="auto"/>
              <w:right w:val="single" w:sz="12" w:space="0" w:color="auto"/>
            </w:tcBorders>
            <w:shd w:val="clear" w:color="000000" w:fill="B4C6E7"/>
            <w:noWrap/>
            <w:vAlign w:val="bottom"/>
            <w:hideMark/>
          </w:tcPr>
          <w:p w14:paraId="102EAD7D" w14:textId="4823BAB7" w:rsidR="00E429A4" w:rsidRPr="00E429A4" w:rsidRDefault="0086422F" w:rsidP="00E429A4">
            <w:pPr>
              <w:spacing w:after="0" w:line="240" w:lineRule="auto"/>
              <w:jc w:val="left"/>
              <w:rPr>
                <w:rFonts w:eastAsia="Times New Roman"/>
                <w:b/>
                <w:bCs/>
              </w:rPr>
            </w:pPr>
            <w:r>
              <w:rPr>
                <w:rFonts w:eastAsia="Times New Roman"/>
                <w:b/>
                <w:bCs/>
              </w:rPr>
              <w:t xml:space="preserve"> $        16,31</w:t>
            </w:r>
            <w:r w:rsidR="00E429A4" w:rsidRPr="00E429A4">
              <w:rPr>
                <w:rFonts w:eastAsia="Times New Roman"/>
                <w:b/>
                <w:bCs/>
              </w:rPr>
              <w:t xml:space="preserve">1,750 </w:t>
            </w:r>
          </w:p>
        </w:tc>
      </w:tr>
      <w:tr w:rsidR="00E429A4" w:rsidRPr="00E429A4" w14:paraId="578EE6D6" w14:textId="77777777" w:rsidTr="00337B84">
        <w:trPr>
          <w:trHeight w:val="315"/>
          <w:jc w:val="center"/>
        </w:trPr>
        <w:tc>
          <w:tcPr>
            <w:tcW w:w="946" w:type="pct"/>
            <w:vMerge/>
            <w:tcBorders>
              <w:top w:val="single" w:sz="8" w:space="0" w:color="auto"/>
              <w:left w:val="single" w:sz="12" w:space="0" w:color="auto"/>
              <w:bottom w:val="single" w:sz="12" w:space="0" w:color="auto"/>
              <w:right w:val="single" w:sz="8" w:space="0" w:color="auto"/>
            </w:tcBorders>
            <w:vAlign w:val="center"/>
            <w:hideMark/>
          </w:tcPr>
          <w:p w14:paraId="5ED0AFAD" w14:textId="77777777" w:rsidR="00E429A4" w:rsidRPr="00E429A4" w:rsidRDefault="00E429A4" w:rsidP="00115D4A">
            <w:pPr>
              <w:spacing w:after="0" w:line="240" w:lineRule="auto"/>
              <w:jc w:val="center"/>
              <w:rPr>
                <w:rFonts w:eastAsia="Times New Roman"/>
                <w:b/>
                <w:bCs/>
              </w:rPr>
            </w:pPr>
          </w:p>
        </w:tc>
        <w:tc>
          <w:tcPr>
            <w:tcW w:w="2961" w:type="pct"/>
            <w:vMerge/>
            <w:tcBorders>
              <w:top w:val="single" w:sz="8" w:space="0" w:color="auto"/>
              <w:left w:val="single" w:sz="8" w:space="0" w:color="auto"/>
              <w:bottom w:val="single" w:sz="12" w:space="0" w:color="auto"/>
              <w:right w:val="single" w:sz="8" w:space="0" w:color="auto"/>
            </w:tcBorders>
            <w:vAlign w:val="center"/>
            <w:hideMark/>
          </w:tcPr>
          <w:p w14:paraId="06F06C59" w14:textId="77777777" w:rsidR="00E429A4" w:rsidRPr="00E429A4" w:rsidRDefault="00E429A4" w:rsidP="00E429A4">
            <w:pPr>
              <w:spacing w:after="0" w:line="240" w:lineRule="auto"/>
              <w:jc w:val="left"/>
              <w:rPr>
                <w:rFonts w:eastAsia="Times New Roman"/>
                <w:b/>
                <w:bCs/>
              </w:rPr>
            </w:pPr>
          </w:p>
        </w:tc>
        <w:tc>
          <w:tcPr>
            <w:tcW w:w="1093" w:type="pct"/>
            <w:tcBorders>
              <w:top w:val="single" w:sz="8" w:space="0" w:color="auto"/>
              <w:left w:val="single" w:sz="8" w:space="0" w:color="auto"/>
              <w:bottom w:val="single" w:sz="12" w:space="0" w:color="auto"/>
              <w:right w:val="single" w:sz="12" w:space="0" w:color="auto"/>
            </w:tcBorders>
            <w:shd w:val="clear" w:color="000000" w:fill="B4C6E7"/>
            <w:noWrap/>
            <w:vAlign w:val="bottom"/>
            <w:hideMark/>
          </w:tcPr>
          <w:p w14:paraId="50794668" w14:textId="1774F36F" w:rsidR="00E429A4" w:rsidRPr="00E429A4" w:rsidRDefault="00E429A4" w:rsidP="00E429A4">
            <w:pPr>
              <w:spacing w:after="0" w:line="240" w:lineRule="auto"/>
              <w:jc w:val="left"/>
              <w:rPr>
                <w:rFonts w:eastAsia="Times New Roman"/>
                <w:b/>
                <w:bCs/>
              </w:rPr>
            </w:pPr>
            <w:r w:rsidRPr="00E429A4">
              <w:rPr>
                <w:rFonts w:eastAsia="Times New Roman"/>
                <w:b/>
                <w:bCs/>
              </w:rPr>
              <w:t xml:space="preserve"> £        12,7</w:t>
            </w:r>
            <w:r w:rsidR="0086422F">
              <w:rPr>
                <w:rFonts w:eastAsia="Times New Roman"/>
                <w:b/>
                <w:bCs/>
              </w:rPr>
              <w:t>5</w:t>
            </w:r>
            <w:r w:rsidRPr="00E429A4">
              <w:rPr>
                <w:rFonts w:eastAsia="Times New Roman"/>
                <w:b/>
                <w:bCs/>
              </w:rPr>
              <w:t xml:space="preserve">0,430 </w:t>
            </w:r>
          </w:p>
        </w:tc>
      </w:tr>
      <w:tr w:rsidR="00E429A4" w:rsidRPr="00E429A4" w14:paraId="31C9B0F8" w14:textId="77777777" w:rsidTr="00337B84">
        <w:trPr>
          <w:trHeight w:val="315"/>
          <w:jc w:val="center"/>
        </w:trPr>
        <w:tc>
          <w:tcPr>
            <w:tcW w:w="946" w:type="pct"/>
            <w:tcBorders>
              <w:top w:val="single" w:sz="12" w:space="0" w:color="auto"/>
              <w:left w:val="nil"/>
              <w:bottom w:val="single" w:sz="12" w:space="0" w:color="auto"/>
              <w:right w:val="nil"/>
            </w:tcBorders>
            <w:shd w:val="clear" w:color="auto" w:fill="auto"/>
            <w:noWrap/>
            <w:vAlign w:val="center"/>
            <w:hideMark/>
          </w:tcPr>
          <w:p w14:paraId="203A7E87" w14:textId="77777777" w:rsidR="00E429A4" w:rsidRPr="00E429A4" w:rsidRDefault="00E429A4" w:rsidP="00115D4A">
            <w:pPr>
              <w:spacing w:after="0" w:line="240" w:lineRule="auto"/>
              <w:jc w:val="center"/>
              <w:rPr>
                <w:rFonts w:eastAsia="Times New Roman"/>
                <w:b/>
                <w:bCs/>
              </w:rPr>
            </w:pPr>
          </w:p>
        </w:tc>
        <w:tc>
          <w:tcPr>
            <w:tcW w:w="2961" w:type="pct"/>
            <w:tcBorders>
              <w:top w:val="single" w:sz="12" w:space="0" w:color="auto"/>
              <w:left w:val="nil"/>
              <w:bottom w:val="single" w:sz="12" w:space="0" w:color="auto"/>
              <w:right w:val="nil"/>
            </w:tcBorders>
            <w:shd w:val="clear" w:color="auto" w:fill="auto"/>
            <w:noWrap/>
            <w:vAlign w:val="center"/>
            <w:hideMark/>
          </w:tcPr>
          <w:p w14:paraId="7F14D243" w14:textId="77777777" w:rsidR="00E429A4" w:rsidRPr="00E429A4" w:rsidRDefault="00E429A4" w:rsidP="00E429A4">
            <w:pPr>
              <w:spacing w:after="0" w:line="240" w:lineRule="auto"/>
              <w:jc w:val="center"/>
              <w:rPr>
                <w:rFonts w:ascii="Times New Roman" w:eastAsia="Times New Roman" w:hAnsi="Times New Roman"/>
                <w:sz w:val="20"/>
                <w:szCs w:val="20"/>
              </w:rPr>
            </w:pPr>
          </w:p>
        </w:tc>
        <w:tc>
          <w:tcPr>
            <w:tcW w:w="1093" w:type="pct"/>
            <w:tcBorders>
              <w:top w:val="single" w:sz="12" w:space="0" w:color="auto"/>
              <w:left w:val="nil"/>
              <w:bottom w:val="single" w:sz="12" w:space="0" w:color="auto"/>
              <w:right w:val="nil"/>
            </w:tcBorders>
            <w:shd w:val="clear" w:color="auto" w:fill="auto"/>
            <w:noWrap/>
            <w:vAlign w:val="bottom"/>
            <w:hideMark/>
          </w:tcPr>
          <w:p w14:paraId="5CD350A5" w14:textId="77777777" w:rsidR="00E429A4" w:rsidRPr="00E429A4" w:rsidRDefault="00E429A4" w:rsidP="00E429A4">
            <w:pPr>
              <w:spacing w:after="0" w:line="240" w:lineRule="auto"/>
              <w:jc w:val="center"/>
              <w:rPr>
                <w:rFonts w:ascii="Times New Roman" w:eastAsia="Times New Roman" w:hAnsi="Times New Roman"/>
                <w:sz w:val="20"/>
                <w:szCs w:val="20"/>
              </w:rPr>
            </w:pPr>
          </w:p>
        </w:tc>
      </w:tr>
      <w:tr w:rsidR="00E429A4" w:rsidRPr="00E429A4" w14:paraId="126C8DED" w14:textId="77777777" w:rsidTr="00337B84">
        <w:trPr>
          <w:trHeight w:val="300"/>
          <w:jc w:val="center"/>
        </w:trPr>
        <w:tc>
          <w:tcPr>
            <w:tcW w:w="946" w:type="pct"/>
            <w:vMerge w:val="restart"/>
            <w:tcBorders>
              <w:top w:val="single" w:sz="12" w:space="0" w:color="auto"/>
              <w:left w:val="single" w:sz="12" w:space="0" w:color="auto"/>
              <w:bottom w:val="single" w:sz="8" w:space="0" w:color="000000"/>
              <w:right w:val="single" w:sz="4" w:space="0" w:color="auto"/>
            </w:tcBorders>
            <w:shd w:val="clear" w:color="000000" w:fill="D9E1F2"/>
            <w:vAlign w:val="center"/>
            <w:hideMark/>
          </w:tcPr>
          <w:p w14:paraId="2196EA92" w14:textId="77777777" w:rsidR="00E429A4" w:rsidRPr="00E429A4" w:rsidRDefault="00E429A4" w:rsidP="00115D4A">
            <w:pPr>
              <w:spacing w:after="0" w:line="240" w:lineRule="auto"/>
              <w:jc w:val="center"/>
              <w:rPr>
                <w:rFonts w:eastAsia="Times New Roman"/>
                <w:color w:val="000000"/>
              </w:rPr>
            </w:pPr>
            <w:r w:rsidRPr="00E429A4">
              <w:rPr>
                <w:rFonts w:eastAsia="Times New Roman"/>
                <w:color w:val="000000"/>
              </w:rPr>
              <w:t>Proportions of investment</w:t>
            </w:r>
          </w:p>
        </w:tc>
        <w:tc>
          <w:tcPr>
            <w:tcW w:w="2961" w:type="pct"/>
            <w:tcBorders>
              <w:top w:val="single" w:sz="12" w:space="0" w:color="auto"/>
              <w:left w:val="nil"/>
              <w:bottom w:val="single" w:sz="4" w:space="0" w:color="auto"/>
              <w:right w:val="single" w:sz="4" w:space="0" w:color="auto"/>
            </w:tcBorders>
            <w:shd w:val="clear" w:color="auto" w:fill="auto"/>
            <w:noWrap/>
            <w:vAlign w:val="bottom"/>
            <w:hideMark/>
          </w:tcPr>
          <w:p w14:paraId="35B199AA" w14:textId="77777777" w:rsidR="00E429A4" w:rsidRPr="00E429A4" w:rsidRDefault="00E429A4" w:rsidP="00E429A4">
            <w:pPr>
              <w:spacing w:after="0" w:line="240" w:lineRule="auto"/>
              <w:jc w:val="left"/>
              <w:rPr>
                <w:rFonts w:eastAsia="Times New Roman"/>
                <w:color w:val="000000"/>
              </w:rPr>
            </w:pPr>
            <w:r w:rsidRPr="00E429A4">
              <w:rPr>
                <w:rFonts w:eastAsia="Times New Roman"/>
                <w:color w:val="000000"/>
              </w:rPr>
              <w:t>% Blended finance (total)</w:t>
            </w:r>
          </w:p>
        </w:tc>
        <w:tc>
          <w:tcPr>
            <w:tcW w:w="1093" w:type="pct"/>
            <w:tcBorders>
              <w:top w:val="single" w:sz="12" w:space="0" w:color="auto"/>
              <w:left w:val="nil"/>
              <w:bottom w:val="single" w:sz="4" w:space="0" w:color="auto"/>
              <w:right w:val="single" w:sz="12" w:space="0" w:color="auto"/>
            </w:tcBorders>
            <w:shd w:val="clear" w:color="auto" w:fill="auto"/>
            <w:noWrap/>
            <w:vAlign w:val="bottom"/>
            <w:hideMark/>
          </w:tcPr>
          <w:p w14:paraId="7960D231" w14:textId="77777777" w:rsidR="00E429A4" w:rsidRPr="00E429A4" w:rsidRDefault="00E429A4" w:rsidP="00E429A4">
            <w:pPr>
              <w:spacing w:after="0" w:line="240" w:lineRule="auto"/>
              <w:jc w:val="right"/>
              <w:rPr>
                <w:rFonts w:eastAsia="Times New Roman"/>
                <w:color w:val="000000"/>
              </w:rPr>
            </w:pPr>
            <w:r w:rsidRPr="00E429A4">
              <w:rPr>
                <w:rFonts w:eastAsia="Times New Roman"/>
                <w:color w:val="000000"/>
              </w:rPr>
              <w:t>39%</w:t>
            </w:r>
          </w:p>
        </w:tc>
      </w:tr>
      <w:tr w:rsidR="00E429A4" w:rsidRPr="00E429A4" w14:paraId="4BBDD1E7" w14:textId="77777777" w:rsidTr="00337B84">
        <w:trPr>
          <w:trHeight w:val="300"/>
          <w:jc w:val="center"/>
        </w:trPr>
        <w:tc>
          <w:tcPr>
            <w:tcW w:w="946" w:type="pct"/>
            <w:vMerge/>
            <w:tcBorders>
              <w:top w:val="single" w:sz="8" w:space="0" w:color="auto"/>
              <w:left w:val="single" w:sz="12" w:space="0" w:color="auto"/>
              <w:bottom w:val="single" w:sz="8" w:space="0" w:color="000000"/>
              <w:right w:val="single" w:sz="4" w:space="0" w:color="auto"/>
            </w:tcBorders>
            <w:vAlign w:val="center"/>
            <w:hideMark/>
          </w:tcPr>
          <w:p w14:paraId="698D74C4" w14:textId="77777777" w:rsidR="00E429A4" w:rsidRPr="00E429A4" w:rsidRDefault="00E429A4" w:rsidP="00115D4A">
            <w:pPr>
              <w:spacing w:after="0" w:line="240" w:lineRule="auto"/>
              <w:jc w:val="center"/>
              <w:rPr>
                <w:rFonts w:eastAsia="Times New Roman"/>
                <w:color w:val="000000"/>
              </w:rPr>
            </w:pPr>
          </w:p>
        </w:tc>
        <w:tc>
          <w:tcPr>
            <w:tcW w:w="2961" w:type="pct"/>
            <w:tcBorders>
              <w:top w:val="nil"/>
              <w:left w:val="nil"/>
              <w:bottom w:val="single" w:sz="4" w:space="0" w:color="auto"/>
              <w:right w:val="single" w:sz="4" w:space="0" w:color="auto"/>
            </w:tcBorders>
            <w:shd w:val="clear" w:color="auto" w:fill="auto"/>
            <w:noWrap/>
            <w:vAlign w:val="bottom"/>
            <w:hideMark/>
          </w:tcPr>
          <w:p w14:paraId="72C581D4" w14:textId="77777777" w:rsidR="00E429A4" w:rsidRPr="00E429A4" w:rsidRDefault="00E429A4" w:rsidP="00E429A4">
            <w:pPr>
              <w:spacing w:after="0" w:line="240" w:lineRule="auto"/>
              <w:jc w:val="left"/>
              <w:rPr>
                <w:rFonts w:eastAsia="Times New Roman"/>
                <w:color w:val="000000"/>
              </w:rPr>
            </w:pPr>
            <w:r w:rsidRPr="00E429A4">
              <w:rPr>
                <w:rFonts w:eastAsia="Times New Roman"/>
                <w:color w:val="000000"/>
              </w:rPr>
              <w:t>% Technical assistance grants (total)</w:t>
            </w:r>
          </w:p>
        </w:tc>
        <w:tc>
          <w:tcPr>
            <w:tcW w:w="1093" w:type="pct"/>
            <w:tcBorders>
              <w:top w:val="nil"/>
              <w:left w:val="nil"/>
              <w:bottom w:val="single" w:sz="4" w:space="0" w:color="auto"/>
              <w:right w:val="single" w:sz="12" w:space="0" w:color="auto"/>
            </w:tcBorders>
            <w:shd w:val="clear" w:color="auto" w:fill="auto"/>
            <w:noWrap/>
            <w:vAlign w:val="bottom"/>
            <w:hideMark/>
          </w:tcPr>
          <w:p w14:paraId="1E12A12C" w14:textId="77777777" w:rsidR="00E429A4" w:rsidRPr="00E429A4" w:rsidRDefault="00E429A4" w:rsidP="00E429A4">
            <w:pPr>
              <w:spacing w:after="0" w:line="240" w:lineRule="auto"/>
              <w:jc w:val="right"/>
              <w:rPr>
                <w:rFonts w:eastAsia="Times New Roman"/>
                <w:color w:val="000000"/>
              </w:rPr>
            </w:pPr>
            <w:r w:rsidRPr="00E429A4">
              <w:rPr>
                <w:rFonts w:eastAsia="Times New Roman"/>
                <w:color w:val="000000"/>
              </w:rPr>
              <w:t>50%</w:t>
            </w:r>
          </w:p>
        </w:tc>
      </w:tr>
      <w:tr w:rsidR="00E429A4" w:rsidRPr="00E429A4" w14:paraId="6ED67186" w14:textId="77777777" w:rsidTr="00337B84">
        <w:trPr>
          <w:trHeight w:val="300"/>
          <w:jc w:val="center"/>
        </w:trPr>
        <w:tc>
          <w:tcPr>
            <w:tcW w:w="946" w:type="pct"/>
            <w:vMerge/>
            <w:tcBorders>
              <w:top w:val="single" w:sz="8" w:space="0" w:color="auto"/>
              <w:left w:val="single" w:sz="12" w:space="0" w:color="auto"/>
              <w:bottom w:val="single" w:sz="8" w:space="0" w:color="000000"/>
              <w:right w:val="single" w:sz="4" w:space="0" w:color="auto"/>
            </w:tcBorders>
            <w:vAlign w:val="center"/>
            <w:hideMark/>
          </w:tcPr>
          <w:p w14:paraId="4C2A583E" w14:textId="77777777" w:rsidR="00E429A4" w:rsidRPr="00E429A4" w:rsidRDefault="00E429A4" w:rsidP="00115D4A">
            <w:pPr>
              <w:spacing w:after="0" w:line="240" w:lineRule="auto"/>
              <w:jc w:val="center"/>
              <w:rPr>
                <w:rFonts w:eastAsia="Times New Roman"/>
                <w:color w:val="000000"/>
              </w:rPr>
            </w:pPr>
          </w:p>
        </w:tc>
        <w:tc>
          <w:tcPr>
            <w:tcW w:w="2961" w:type="pct"/>
            <w:tcBorders>
              <w:top w:val="nil"/>
              <w:left w:val="nil"/>
              <w:bottom w:val="single" w:sz="4" w:space="0" w:color="auto"/>
              <w:right w:val="single" w:sz="4" w:space="0" w:color="auto"/>
            </w:tcBorders>
            <w:shd w:val="clear" w:color="auto" w:fill="auto"/>
            <w:noWrap/>
            <w:vAlign w:val="bottom"/>
            <w:hideMark/>
          </w:tcPr>
          <w:p w14:paraId="0F882DC0" w14:textId="77777777" w:rsidR="00E429A4" w:rsidRPr="00E429A4" w:rsidRDefault="00E429A4" w:rsidP="00E429A4">
            <w:pPr>
              <w:spacing w:after="0" w:line="240" w:lineRule="auto"/>
              <w:jc w:val="left"/>
              <w:rPr>
                <w:rFonts w:eastAsia="Times New Roman"/>
                <w:color w:val="000000"/>
              </w:rPr>
            </w:pPr>
            <w:r w:rsidRPr="00E429A4">
              <w:rPr>
                <w:rFonts w:eastAsia="Times New Roman"/>
                <w:color w:val="000000"/>
              </w:rPr>
              <w:t>% Evaluation and audits (total)</w:t>
            </w:r>
          </w:p>
        </w:tc>
        <w:tc>
          <w:tcPr>
            <w:tcW w:w="1093" w:type="pct"/>
            <w:tcBorders>
              <w:top w:val="nil"/>
              <w:left w:val="nil"/>
              <w:bottom w:val="single" w:sz="4" w:space="0" w:color="auto"/>
              <w:right w:val="single" w:sz="12" w:space="0" w:color="auto"/>
            </w:tcBorders>
            <w:shd w:val="clear" w:color="auto" w:fill="auto"/>
            <w:noWrap/>
            <w:vAlign w:val="bottom"/>
            <w:hideMark/>
          </w:tcPr>
          <w:p w14:paraId="764FCF73" w14:textId="77777777" w:rsidR="00E429A4" w:rsidRPr="00E429A4" w:rsidRDefault="00E429A4" w:rsidP="00E429A4">
            <w:pPr>
              <w:spacing w:after="0" w:line="240" w:lineRule="auto"/>
              <w:jc w:val="right"/>
              <w:rPr>
                <w:rFonts w:eastAsia="Times New Roman"/>
                <w:color w:val="000000"/>
              </w:rPr>
            </w:pPr>
            <w:r w:rsidRPr="00E429A4">
              <w:rPr>
                <w:rFonts w:eastAsia="Times New Roman"/>
                <w:color w:val="000000"/>
              </w:rPr>
              <w:t>7%</w:t>
            </w:r>
          </w:p>
        </w:tc>
      </w:tr>
      <w:tr w:rsidR="00E429A4" w:rsidRPr="00E429A4" w14:paraId="1BDB3B42" w14:textId="77777777" w:rsidTr="00337B84">
        <w:trPr>
          <w:trHeight w:val="315"/>
          <w:jc w:val="center"/>
        </w:trPr>
        <w:tc>
          <w:tcPr>
            <w:tcW w:w="946" w:type="pct"/>
            <w:vMerge/>
            <w:tcBorders>
              <w:top w:val="single" w:sz="8" w:space="0" w:color="auto"/>
              <w:left w:val="single" w:sz="12" w:space="0" w:color="auto"/>
              <w:bottom w:val="single" w:sz="12" w:space="0" w:color="auto"/>
              <w:right w:val="single" w:sz="4" w:space="0" w:color="auto"/>
            </w:tcBorders>
            <w:vAlign w:val="center"/>
            <w:hideMark/>
          </w:tcPr>
          <w:p w14:paraId="33CE2089" w14:textId="77777777" w:rsidR="00E429A4" w:rsidRPr="00E429A4" w:rsidRDefault="00E429A4" w:rsidP="00115D4A">
            <w:pPr>
              <w:spacing w:after="0" w:line="240" w:lineRule="auto"/>
              <w:jc w:val="center"/>
              <w:rPr>
                <w:rFonts w:eastAsia="Times New Roman"/>
                <w:color w:val="000000"/>
              </w:rPr>
            </w:pPr>
          </w:p>
        </w:tc>
        <w:tc>
          <w:tcPr>
            <w:tcW w:w="2961" w:type="pct"/>
            <w:tcBorders>
              <w:top w:val="nil"/>
              <w:left w:val="nil"/>
              <w:bottom w:val="single" w:sz="12" w:space="0" w:color="auto"/>
              <w:right w:val="single" w:sz="4" w:space="0" w:color="auto"/>
            </w:tcBorders>
            <w:shd w:val="clear" w:color="auto" w:fill="auto"/>
            <w:noWrap/>
            <w:vAlign w:val="bottom"/>
            <w:hideMark/>
          </w:tcPr>
          <w:p w14:paraId="05C2EF2E" w14:textId="58BECC1F" w:rsidR="00E429A4" w:rsidRPr="00E429A4" w:rsidRDefault="00E429A4" w:rsidP="00E429A4">
            <w:pPr>
              <w:spacing w:after="0" w:line="240" w:lineRule="auto"/>
              <w:jc w:val="left"/>
              <w:rPr>
                <w:rFonts w:eastAsia="Times New Roman"/>
                <w:color w:val="000000"/>
              </w:rPr>
            </w:pPr>
            <w:r w:rsidRPr="00E429A4">
              <w:rPr>
                <w:rFonts w:eastAsia="Times New Roman"/>
                <w:color w:val="000000"/>
              </w:rPr>
              <w:t>% Administration costs (total)</w:t>
            </w:r>
          </w:p>
        </w:tc>
        <w:tc>
          <w:tcPr>
            <w:tcW w:w="1093" w:type="pct"/>
            <w:tcBorders>
              <w:top w:val="nil"/>
              <w:left w:val="nil"/>
              <w:bottom w:val="single" w:sz="12" w:space="0" w:color="auto"/>
              <w:right w:val="single" w:sz="12" w:space="0" w:color="auto"/>
            </w:tcBorders>
            <w:shd w:val="clear" w:color="auto" w:fill="auto"/>
            <w:noWrap/>
            <w:vAlign w:val="bottom"/>
            <w:hideMark/>
          </w:tcPr>
          <w:p w14:paraId="225E6F29" w14:textId="77777777" w:rsidR="00E429A4" w:rsidRPr="00E429A4" w:rsidRDefault="00E429A4" w:rsidP="00E429A4">
            <w:pPr>
              <w:spacing w:after="0" w:line="240" w:lineRule="auto"/>
              <w:jc w:val="right"/>
              <w:rPr>
                <w:rFonts w:eastAsia="Times New Roman"/>
                <w:color w:val="000000"/>
              </w:rPr>
            </w:pPr>
            <w:r w:rsidRPr="00E429A4">
              <w:rPr>
                <w:rFonts w:eastAsia="Times New Roman"/>
                <w:color w:val="000000"/>
              </w:rPr>
              <w:t>4%</w:t>
            </w:r>
          </w:p>
        </w:tc>
      </w:tr>
    </w:tbl>
    <w:p w14:paraId="01BDD152" w14:textId="77777777" w:rsidR="00B759E9" w:rsidRDefault="00B759E9" w:rsidP="00B759E9">
      <w:pPr>
        <w:pStyle w:val="Heading3"/>
        <w:numPr>
          <w:ilvl w:val="0"/>
          <w:numId w:val="0"/>
        </w:numPr>
        <w:spacing w:before="240"/>
        <w:ind w:left="1080"/>
      </w:pPr>
    </w:p>
    <w:p w14:paraId="17FB10CC" w14:textId="77777777" w:rsidR="00B759E9" w:rsidRDefault="00B759E9" w:rsidP="00B759E9">
      <w:pPr>
        <w:pStyle w:val="Heading3"/>
        <w:numPr>
          <w:ilvl w:val="0"/>
          <w:numId w:val="0"/>
        </w:numPr>
        <w:spacing w:before="240"/>
        <w:ind w:left="1080"/>
      </w:pPr>
    </w:p>
    <w:p w14:paraId="15C011C4" w14:textId="77777777" w:rsidR="00B759E9" w:rsidRDefault="00B759E9" w:rsidP="00B759E9">
      <w:pPr>
        <w:pStyle w:val="Heading3"/>
        <w:numPr>
          <w:ilvl w:val="0"/>
          <w:numId w:val="0"/>
        </w:numPr>
        <w:spacing w:before="240"/>
        <w:ind w:left="1080"/>
      </w:pPr>
    </w:p>
    <w:p w14:paraId="5E340451" w14:textId="6A13E312" w:rsidR="00115D4A" w:rsidRDefault="00115D4A" w:rsidP="00B759E9">
      <w:pPr>
        <w:pStyle w:val="Heading3"/>
        <w:spacing w:before="240"/>
      </w:pPr>
      <w:r>
        <w:lastRenderedPageBreak/>
        <w:t>Drawdown Schedule</w:t>
      </w:r>
    </w:p>
    <w:tbl>
      <w:tblPr>
        <w:tblW w:w="9488" w:type="dxa"/>
        <w:jc w:val="center"/>
        <w:tblLayout w:type="fixed"/>
        <w:tblLook w:val="04A0" w:firstRow="1" w:lastRow="0" w:firstColumn="1" w:lastColumn="0" w:noHBand="0" w:noVBand="1"/>
      </w:tblPr>
      <w:tblGrid>
        <w:gridCol w:w="1691"/>
        <w:gridCol w:w="1276"/>
        <w:gridCol w:w="1276"/>
        <w:gridCol w:w="1417"/>
        <w:gridCol w:w="1276"/>
        <w:gridCol w:w="1276"/>
        <w:gridCol w:w="1276"/>
      </w:tblGrid>
      <w:tr w:rsidR="004078DC" w:rsidRPr="004078DC" w14:paraId="0B1D4EB8" w14:textId="77777777" w:rsidTr="004078DC">
        <w:trPr>
          <w:trHeight w:val="300"/>
          <w:jc w:val="center"/>
        </w:trPr>
        <w:tc>
          <w:tcPr>
            <w:tcW w:w="1691" w:type="dxa"/>
            <w:tcBorders>
              <w:top w:val="single" w:sz="8" w:space="0" w:color="auto"/>
              <w:left w:val="single" w:sz="8" w:space="0" w:color="auto"/>
              <w:bottom w:val="single" w:sz="4" w:space="0" w:color="auto"/>
              <w:right w:val="single" w:sz="4" w:space="0" w:color="auto"/>
            </w:tcBorders>
            <w:shd w:val="clear" w:color="000000" w:fill="B4C6E7"/>
            <w:noWrap/>
            <w:vAlign w:val="bottom"/>
            <w:hideMark/>
          </w:tcPr>
          <w:p w14:paraId="0896872B" w14:textId="77777777" w:rsidR="004078DC" w:rsidRPr="004078DC" w:rsidRDefault="004078DC" w:rsidP="004078DC">
            <w:pPr>
              <w:spacing w:after="0" w:line="240" w:lineRule="auto"/>
              <w:jc w:val="left"/>
              <w:rPr>
                <w:rFonts w:eastAsia="Times New Roman"/>
                <w:b/>
                <w:bCs/>
                <w:color w:val="000000"/>
              </w:rPr>
            </w:pPr>
            <w:r w:rsidRPr="004078DC">
              <w:rPr>
                <w:rFonts w:eastAsia="Times New Roman"/>
                <w:b/>
                <w:bCs/>
                <w:color w:val="000000"/>
              </w:rPr>
              <w:t>Year</w:t>
            </w:r>
          </w:p>
        </w:tc>
        <w:tc>
          <w:tcPr>
            <w:tcW w:w="1276" w:type="dxa"/>
            <w:tcBorders>
              <w:top w:val="single" w:sz="8" w:space="0" w:color="auto"/>
              <w:left w:val="nil"/>
              <w:bottom w:val="single" w:sz="4" w:space="0" w:color="auto"/>
              <w:right w:val="single" w:sz="4" w:space="0" w:color="auto"/>
            </w:tcBorders>
            <w:shd w:val="clear" w:color="000000" w:fill="B4C6E7"/>
            <w:noWrap/>
            <w:vAlign w:val="bottom"/>
            <w:hideMark/>
          </w:tcPr>
          <w:p w14:paraId="11CC2875" w14:textId="77777777" w:rsidR="004078DC" w:rsidRPr="004078DC" w:rsidRDefault="004078DC" w:rsidP="004078DC">
            <w:pPr>
              <w:spacing w:after="0" w:line="240" w:lineRule="auto"/>
              <w:jc w:val="center"/>
              <w:rPr>
                <w:rFonts w:eastAsia="Times New Roman"/>
                <w:b/>
                <w:bCs/>
                <w:color w:val="000000"/>
              </w:rPr>
            </w:pPr>
            <w:r w:rsidRPr="004078DC">
              <w:rPr>
                <w:rFonts w:eastAsia="Times New Roman"/>
                <w:b/>
                <w:bCs/>
                <w:color w:val="000000"/>
              </w:rPr>
              <w:t>2019</w:t>
            </w:r>
          </w:p>
        </w:tc>
        <w:tc>
          <w:tcPr>
            <w:tcW w:w="1276" w:type="dxa"/>
            <w:tcBorders>
              <w:top w:val="single" w:sz="8" w:space="0" w:color="auto"/>
              <w:left w:val="nil"/>
              <w:bottom w:val="single" w:sz="4" w:space="0" w:color="auto"/>
              <w:right w:val="single" w:sz="4" w:space="0" w:color="auto"/>
            </w:tcBorders>
            <w:shd w:val="clear" w:color="000000" w:fill="B4C6E7"/>
            <w:noWrap/>
            <w:vAlign w:val="bottom"/>
            <w:hideMark/>
          </w:tcPr>
          <w:p w14:paraId="6038CDF2" w14:textId="77777777" w:rsidR="004078DC" w:rsidRPr="004078DC" w:rsidRDefault="004078DC" w:rsidP="004078DC">
            <w:pPr>
              <w:spacing w:after="0" w:line="240" w:lineRule="auto"/>
              <w:jc w:val="center"/>
              <w:rPr>
                <w:rFonts w:eastAsia="Times New Roman"/>
                <w:b/>
                <w:bCs/>
                <w:color w:val="000000"/>
              </w:rPr>
            </w:pPr>
            <w:r w:rsidRPr="004078DC">
              <w:rPr>
                <w:rFonts w:eastAsia="Times New Roman"/>
                <w:b/>
                <w:bCs/>
                <w:color w:val="000000"/>
              </w:rPr>
              <w:t>2020</w:t>
            </w:r>
          </w:p>
        </w:tc>
        <w:tc>
          <w:tcPr>
            <w:tcW w:w="1417" w:type="dxa"/>
            <w:tcBorders>
              <w:top w:val="single" w:sz="8" w:space="0" w:color="auto"/>
              <w:left w:val="nil"/>
              <w:bottom w:val="single" w:sz="4" w:space="0" w:color="auto"/>
              <w:right w:val="single" w:sz="4" w:space="0" w:color="auto"/>
            </w:tcBorders>
            <w:shd w:val="clear" w:color="000000" w:fill="B4C6E7"/>
            <w:noWrap/>
            <w:vAlign w:val="bottom"/>
            <w:hideMark/>
          </w:tcPr>
          <w:p w14:paraId="7E4194A7" w14:textId="77777777" w:rsidR="004078DC" w:rsidRPr="004078DC" w:rsidRDefault="004078DC" w:rsidP="004078DC">
            <w:pPr>
              <w:spacing w:after="0" w:line="240" w:lineRule="auto"/>
              <w:jc w:val="center"/>
              <w:rPr>
                <w:rFonts w:eastAsia="Times New Roman"/>
                <w:b/>
                <w:bCs/>
                <w:color w:val="000000"/>
              </w:rPr>
            </w:pPr>
            <w:r w:rsidRPr="004078DC">
              <w:rPr>
                <w:rFonts w:eastAsia="Times New Roman"/>
                <w:b/>
                <w:bCs/>
                <w:color w:val="000000"/>
              </w:rPr>
              <w:t>2021</w:t>
            </w:r>
          </w:p>
        </w:tc>
        <w:tc>
          <w:tcPr>
            <w:tcW w:w="1276" w:type="dxa"/>
            <w:tcBorders>
              <w:top w:val="single" w:sz="8" w:space="0" w:color="auto"/>
              <w:left w:val="nil"/>
              <w:bottom w:val="single" w:sz="4" w:space="0" w:color="auto"/>
              <w:right w:val="single" w:sz="4" w:space="0" w:color="auto"/>
            </w:tcBorders>
            <w:shd w:val="clear" w:color="000000" w:fill="B4C6E7"/>
            <w:noWrap/>
            <w:vAlign w:val="bottom"/>
            <w:hideMark/>
          </w:tcPr>
          <w:p w14:paraId="34F0BF68" w14:textId="77777777" w:rsidR="004078DC" w:rsidRPr="004078DC" w:rsidRDefault="004078DC" w:rsidP="004078DC">
            <w:pPr>
              <w:spacing w:after="0" w:line="240" w:lineRule="auto"/>
              <w:jc w:val="center"/>
              <w:rPr>
                <w:rFonts w:eastAsia="Times New Roman"/>
                <w:b/>
                <w:bCs/>
                <w:color w:val="000000"/>
              </w:rPr>
            </w:pPr>
            <w:r w:rsidRPr="004078DC">
              <w:rPr>
                <w:rFonts w:eastAsia="Times New Roman"/>
                <w:b/>
                <w:bCs/>
                <w:color w:val="000000"/>
              </w:rPr>
              <w:t>2022</w:t>
            </w:r>
          </w:p>
        </w:tc>
        <w:tc>
          <w:tcPr>
            <w:tcW w:w="1276" w:type="dxa"/>
            <w:tcBorders>
              <w:top w:val="single" w:sz="8" w:space="0" w:color="auto"/>
              <w:left w:val="nil"/>
              <w:bottom w:val="single" w:sz="4" w:space="0" w:color="auto"/>
              <w:right w:val="single" w:sz="4" w:space="0" w:color="auto"/>
            </w:tcBorders>
            <w:shd w:val="clear" w:color="000000" w:fill="B4C6E7"/>
            <w:noWrap/>
            <w:vAlign w:val="bottom"/>
            <w:hideMark/>
          </w:tcPr>
          <w:p w14:paraId="12EBD2A0" w14:textId="77777777" w:rsidR="004078DC" w:rsidRPr="004078DC" w:rsidRDefault="004078DC" w:rsidP="004078DC">
            <w:pPr>
              <w:spacing w:after="0" w:line="240" w:lineRule="auto"/>
              <w:jc w:val="center"/>
              <w:rPr>
                <w:rFonts w:eastAsia="Times New Roman"/>
                <w:b/>
                <w:bCs/>
                <w:color w:val="000000"/>
              </w:rPr>
            </w:pPr>
            <w:r w:rsidRPr="004078DC">
              <w:rPr>
                <w:rFonts w:eastAsia="Times New Roman"/>
                <w:b/>
                <w:bCs/>
                <w:color w:val="000000"/>
              </w:rPr>
              <w:t>2023</w:t>
            </w:r>
          </w:p>
        </w:tc>
        <w:tc>
          <w:tcPr>
            <w:tcW w:w="1276" w:type="dxa"/>
            <w:tcBorders>
              <w:top w:val="single" w:sz="8" w:space="0" w:color="auto"/>
              <w:left w:val="nil"/>
              <w:bottom w:val="single" w:sz="4" w:space="0" w:color="auto"/>
              <w:right w:val="single" w:sz="8" w:space="0" w:color="auto"/>
            </w:tcBorders>
            <w:shd w:val="clear" w:color="000000" w:fill="B4C6E7"/>
            <w:noWrap/>
            <w:vAlign w:val="bottom"/>
            <w:hideMark/>
          </w:tcPr>
          <w:p w14:paraId="7BFBEF6E" w14:textId="77777777" w:rsidR="004078DC" w:rsidRPr="004078DC" w:rsidRDefault="004078DC" w:rsidP="004078DC">
            <w:pPr>
              <w:spacing w:after="0" w:line="240" w:lineRule="auto"/>
              <w:jc w:val="center"/>
              <w:rPr>
                <w:rFonts w:eastAsia="Times New Roman"/>
                <w:b/>
                <w:bCs/>
                <w:color w:val="000000"/>
              </w:rPr>
            </w:pPr>
            <w:r w:rsidRPr="004078DC">
              <w:rPr>
                <w:rFonts w:eastAsia="Times New Roman"/>
                <w:b/>
                <w:bCs/>
                <w:color w:val="000000"/>
              </w:rPr>
              <w:t>2024</w:t>
            </w:r>
          </w:p>
        </w:tc>
      </w:tr>
      <w:tr w:rsidR="004078DC" w:rsidRPr="004078DC" w14:paraId="0164FF4B" w14:textId="77777777" w:rsidTr="004078DC">
        <w:trPr>
          <w:trHeight w:val="300"/>
          <w:jc w:val="center"/>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7E6190C7" w14:textId="77777777" w:rsidR="004078DC" w:rsidRPr="004078DC" w:rsidRDefault="004078DC" w:rsidP="006A3A1F">
            <w:pPr>
              <w:spacing w:after="0" w:line="240" w:lineRule="auto"/>
              <w:jc w:val="left"/>
              <w:rPr>
                <w:rFonts w:eastAsia="Times New Roman"/>
                <w:color w:val="000000"/>
              </w:rPr>
            </w:pPr>
            <w:r w:rsidRPr="004078DC">
              <w:rPr>
                <w:rFonts w:eastAsia="Times New Roman"/>
                <w:color w:val="000000"/>
              </w:rPr>
              <w:t>Blended finance</w:t>
            </w:r>
          </w:p>
        </w:tc>
        <w:tc>
          <w:tcPr>
            <w:tcW w:w="1276" w:type="dxa"/>
            <w:tcBorders>
              <w:top w:val="nil"/>
              <w:left w:val="nil"/>
              <w:bottom w:val="single" w:sz="4" w:space="0" w:color="auto"/>
              <w:right w:val="single" w:sz="4" w:space="0" w:color="auto"/>
            </w:tcBorders>
            <w:shd w:val="clear" w:color="auto" w:fill="auto"/>
            <w:noWrap/>
            <w:vAlign w:val="bottom"/>
            <w:hideMark/>
          </w:tcPr>
          <w:p w14:paraId="7FFC1B60" w14:textId="5BB577F4" w:rsidR="004078DC" w:rsidRPr="004078DC" w:rsidRDefault="004078DC" w:rsidP="006A3A1F">
            <w:pPr>
              <w:spacing w:after="0" w:line="240" w:lineRule="auto"/>
              <w:jc w:val="center"/>
              <w:rPr>
                <w:rFonts w:eastAsia="Times New Roman"/>
                <w:color w:val="000000"/>
              </w:rPr>
            </w:pPr>
            <w:r>
              <w:rPr>
                <w:rFonts w:eastAsia="Times New Roman"/>
                <w:color w:val="000000"/>
              </w:rPr>
              <w:t>$0</w:t>
            </w:r>
          </w:p>
        </w:tc>
        <w:tc>
          <w:tcPr>
            <w:tcW w:w="1276" w:type="dxa"/>
            <w:tcBorders>
              <w:top w:val="nil"/>
              <w:left w:val="nil"/>
              <w:bottom w:val="single" w:sz="4" w:space="0" w:color="auto"/>
              <w:right w:val="single" w:sz="4" w:space="0" w:color="auto"/>
            </w:tcBorders>
            <w:shd w:val="clear" w:color="auto" w:fill="auto"/>
            <w:noWrap/>
            <w:vAlign w:val="bottom"/>
            <w:hideMark/>
          </w:tcPr>
          <w:p w14:paraId="05B32019" w14:textId="0905CA05" w:rsidR="004078DC" w:rsidRPr="004078DC" w:rsidRDefault="004078DC" w:rsidP="006A3A1F">
            <w:pPr>
              <w:spacing w:after="0" w:line="240" w:lineRule="auto"/>
              <w:jc w:val="center"/>
              <w:rPr>
                <w:rFonts w:eastAsia="Times New Roman"/>
                <w:color w:val="000000"/>
              </w:rPr>
            </w:pPr>
            <w:r>
              <w:rPr>
                <w:rFonts w:eastAsia="Times New Roman"/>
                <w:color w:val="000000"/>
              </w:rPr>
              <w:t>$</w:t>
            </w:r>
            <w:r w:rsidRPr="004078DC">
              <w:rPr>
                <w:rFonts w:eastAsia="Times New Roman"/>
                <w:color w:val="000000"/>
              </w:rPr>
              <w:t>4,400,000</w:t>
            </w:r>
          </w:p>
        </w:tc>
        <w:tc>
          <w:tcPr>
            <w:tcW w:w="1417" w:type="dxa"/>
            <w:tcBorders>
              <w:top w:val="nil"/>
              <w:left w:val="nil"/>
              <w:bottom w:val="single" w:sz="4" w:space="0" w:color="auto"/>
              <w:right w:val="single" w:sz="4" w:space="0" w:color="auto"/>
            </w:tcBorders>
            <w:shd w:val="clear" w:color="auto" w:fill="auto"/>
            <w:noWrap/>
            <w:vAlign w:val="bottom"/>
            <w:hideMark/>
          </w:tcPr>
          <w:p w14:paraId="43E31A0D" w14:textId="3E23D8F7" w:rsidR="004078DC" w:rsidRPr="004078DC" w:rsidRDefault="004078DC" w:rsidP="006A3A1F">
            <w:pPr>
              <w:spacing w:after="0" w:line="240" w:lineRule="auto"/>
              <w:jc w:val="center"/>
              <w:rPr>
                <w:rFonts w:eastAsia="Times New Roman"/>
                <w:color w:val="000000"/>
              </w:rPr>
            </w:pPr>
            <w:r>
              <w:rPr>
                <w:rFonts w:eastAsia="Times New Roman"/>
                <w:color w:val="000000"/>
              </w:rPr>
              <w:t>$</w:t>
            </w:r>
            <w:r w:rsidRPr="004078DC">
              <w:rPr>
                <w:rFonts w:eastAsia="Times New Roman"/>
                <w:color w:val="000000"/>
              </w:rPr>
              <w:t>1,950,000</w:t>
            </w:r>
          </w:p>
        </w:tc>
        <w:tc>
          <w:tcPr>
            <w:tcW w:w="1276" w:type="dxa"/>
            <w:tcBorders>
              <w:top w:val="nil"/>
              <w:left w:val="nil"/>
              <w:bottom w:val="single" w:sz="4" w:space="0" w:color="auto"/>
              <w:right w:val="single" w:sz="4" w:space="0" w:color="auto"/>
            </w:tcBorders>
            <w:shd w:val="clear" w:color="auto" w:fill="auto"/>
            <w:noWrap/>
            <w:vAlign w:val="bottom"/>
            <w:hideMark/>
          </w:tcPr>
          <w:p w14:paraId="7A6B3CAF" w14:textId="150772A7" w:rsidR="004078DC" w:rsidRPr="004078DC" w:rsidRDefault="004078DC" w:rsidP="006A3A1F">
            <w:pPr>
              <w:spacing w:after="0" w:line="240" w:lineRule="auto"/>
              <w:jc w:val="center"/>
              <w:rPr>
                <w:rFonts w:eastAsia="Times New Roman"/>
                <w:color w:val="000000"/>
              </w:rPr>
            </w:pPr>
            <w:r>
              <w:rPr>
                <w:rFonts w:eastAsia="Times New Roman"/>
                <w:color w:val="000000"/>
              </w:rPr>
              <w:t>$0</w:t>
            </w:r>
          </w:p>
        </w:tc>
        <w:tc>
          <w:tcPr>
            <w:tcW w:w="1276" w:type="dxa"/>
            <w:tcBorders>
              <w:top w:val="nil"/>
              <w:left w:val="nil"/>
              <w:bottom w:val="single" w:sz="4" w:space="0" w:color="auto"/>
              <w:right w:val="single" w:sz="4" w:space="0" w:color="auto"/>
            </w:tcBorders>
            <w:shd w:val="clear" w:color="auto" w:fill="auto"/>
            <w:noWrap/>
            <w:vAlign w:val="bottom"/>
            <w:hideMark/>
          </w:tcPr>
          <w:p w14:paraId="7F040F37" w14:textId="21C16CFA" w:rsidR="004078DC" w:rsidRPr="004078DC" w:rsidRDefault="004078DC" w:rsidP="006A3A1F">
            <w:pPr>
              <w:spacing w:after="0" w:line="240" w:lineRule="auto"/>
              <w:jc w:val="center"/>
              <w:rPr>
                <w:rFonts w:eastAsia="Times New Roman"/>
                <w:color w:val="000000"/>
              </w:rPr>
            </w:pPr>
            <w:r>
              <w:rPr>
                <w:rFonts w:eastAsia="Times New Roman"/>
                <w:color w:val="000000"/>
              </w:rPr>
              <w:t>$0</w:t>
            </w:r>
          </w:p>
        </w:tc>
        <w:tc>
          <w:tcPr>
            <w:tcW w:w="1276" w:type="dxa"/>
            <w:tcBorders>
              <w:top w:val="nil"/>
              <w:left w:val="nil"/>
              <w:bottom w:val="single" w:sz="4" w:space="0" w:color="auto"/>
              <w:right w:val="single" w:sz="8" w:space="0" w:color="auto"/>
            </w:tcBorders>
            <w:shd w:val="clear" w:color="auto" w:fill="auto"/>
            <w:noWrap/>
            <w:vAlign w:val="bottom"/>
            <w:hideMark/>
          </w:tcPr>
          <w:p w14:paraId="59C8A4BE" w14:textId="5351DECF" w:rsidR="004078DC" w:rsidRPr="004078DC" w:rsidRDefault="004078DC" w:rsidP="006A3A1F">
            <w:pPr>
              <w:spacing w:after="0" w:line="240" w:lineRule="auto"/>
              <w:jc w:val="center"/>
              <w:rPr>
                <w:rFonts w:eastAsia="Times New Roman"/>
                <w:color w:val="000000"/>
              </w:rPr>
            </w:pPr>
            <w:r>
              <w:rPr>
                <w:rFonts w:eastAsia="Times New Roman"/>
                <w:color w:val="000000"/>
              </w:rPr>
              <w:t>$0</w:t>
            </w:r>
          </w:p>
        </w:tc>
      </w:tr>
      <w:tr w:rsidR="004078DC" w:rsidRPr="004078DC" w14:paraId="636CC1F5" w14:textId="77777777" w:rsidTr="004078DC">
        <w:trPr>
          <w:trHeight w:val="300"/>
          <w:jc w:val="center"/>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1AA293CD" w14:textId="02EFCF03" w:rsidR="004078DC" w:rsidRPr="004078DC" w:rsidRDefault="004078DC" w:rsidP="006A3A1F">
            <w:pPr>
              <w:spacing w:after="0" w:line="240" w:lineRule="auto"/>
              <w:jc w:val="left"/>
              <w:rPr>
                <w:rFonts w:eastAsia="Times New Roman"/>
                <w:color w:val="000000"/>
              </w:rPr>
            </w:pPr>
            <w:r>
              <w:rPr>
                <w:rFonts w:eastAsia="Times New Roman"/>
                <w:color w:val="000000"/>
              </w:rPr>
              <w:t>G</w:t>
            </w:r>
            <w:r w:rsidRPr="004078DC">
              <w:rPr>
                <w:rFonts w:eastAsia="Times New Roman"/>
                <w:color w:val="000000"/>
              </w:rPr>
              <w:t>rants and TA</w:t>
            </w:r>
          </w:p>
        </w:tc>
        <w:tc>
          <w:tcPr>
            <w:tcW w:w="1276" w:type="dxa"/>
            <w:tcBorders>
              <w:top w:val="nil"/>
              <w:left w:val="nil"/>
              <w:bottom w:val="single" w:sz="4" w:space="0" w:color="auto"/>
              <w:right w:val="single" w:sz="4" w:space="0" w:color="auto"/>
            </w:tcBorders>
            <w:shd w:val="clear" w:color="auto" w:fill="auto"/>
            <w:noWrap/>
            <w:vAlign w:val="bottom"/>
            <w:hideMark/>
          </w:tcPr>
          <w:p w14:paraId="6A0CD1C0" w14:textId="1D07B389" w:rsidR="004078DC" w:rsidRPr="004078DC" w:rsidRDefault="004078DC" w:rsidP="006A3A1F">
            <w:pPr>
              <w:spacing w:after="0" w:line="240" w:lineRule="auto"/>
              <w:jc w:val="center"/>
              <w:rPr>
                <w:rFonts w:eastAsia="Times New Roman"/>
                <w:color w:val="000000"/>
              </w:rPr>
            </w:pPr>
            <w:r>
              <w:rPr>
                <w:rFonts w:eastAsia="Times New Roman"/>
                <w:color w:val="000000"/>
              </w:rPr>
              <w:t>$</w:t>
            </w:r>
            <w:r w:rsidRPr="004078DC">
              <w:rPr>
                <w:rFonts w:eastAsia="Times New Roman"/>
                <w:color w:val="000000"/>
              </w:rPr>
              <w:t>2,050,000</w:t>
            </w:r>
          </w:p>
        </w:tc>
        <w:tc>
          <w:tcPr>
            <w:tcW w:w="1276" w:type="dxa"/>
            <w:tcBorders>
              <w:top w:val="nil"/>
              <w:left w:val="nil"/>
              <w:bottom w:val="single" w:sz="4" w:space="0" w:color="auto"/>
              <w:right w:val="single" w:sz="4" w:space="0" w:color="auto"/>
            </w:tcBorders>
            <w:shd w:val="clear" w:color="auto" w:fill="auto"/>
            <w:noWrap/>
            <w:vAlign w:val="bottom"/>
            <w:hideMark/>
          </w:tcPr>
          <w:p w14:paraId="08D79386" w14:textId="6EB82A0E" w:rsidR="004078DC" w:rsidRPr="004078DC" w:rsidRDefault="004078DC" w:rsidP="006A3A1F">
            <w:pPr>
              <w:spacing w:after="0" w:line="240" w:lineRule="auto"/>
              <w:jc w:val="center"/>
              <w:rPr>
                <w:rFonts w:eastAsia="Times New Roman"/>
                <w:color w:val="000000"/>
              </w:rPr>
            </w:pPr>
            <w:r>
              <w:rPr>
                <w:rFonts w:eastAsia="Times New Roman"/>
                <w:color w:val="000000"/>
              </w:rPr>
              <w:t>$</w:t>
            </w:r>
            <w:r w:rsidRPr="004078DC">
              <w:rPr>
                <w:rFonts w:eastAsia="Times New Roman"/>
                <w:color w:val="000000"/>
              </w:rPr>
              <w:t>1,500,000</w:t>
            </w:r>
          </w:p>
        </w:tc>
        <w:tc>
          <w:tcPr>
            <w:tcW w:w="1417" w:type="dxa"/>
            <w:tcBorders>
              <w:top w:val="nil"/>
              <w:left w:val="nil"/>
              <w:bottom w:val="single" w:sz="4" w:space="0" w:color="auto"/>
              <w:right w:val="single" w:sz="4" w:space="0" w:color="auto"/>
            </w:tcBorders>
            <w:shd w:val="clear" w:color="auto" w:fill="auto"/>
            <w:noWrap/>
            <w:vAlign w:val="bottom"/>
            <w:hideMark/>
          </w:tcPr>
          <w:p w14:paraId="51433287" w14:textId="65B77C27" w:rsidR="004078DC" w:rsidRPr="004078DC" w:rsidRDefault="004078DC" w:rsidP="006A3A1F">
            <w:pPr>
              <w:spacing w:after="0" w:line="240" w:lineRule="auto"/>
              <w:jc w:val="center"/>
              <w:rPr>
                <w:rFonts w:eastAsia="Times New Roman"/>
                <w:color w:val="000000"/>
              </w:rPr>
            </w:pPr>
            <w:r>
              <w:rPr>
                <w:rFonts w:eastAsia="Times New Roman"/>
                <w:color w:val="000000"/>
              </w:rPr>
              <w:t>$</w:t>
            </w:r>
            <w:r w:rsidRPr="004078DC">
              <w:rPr>
                <w:rFonts w:eastAsia="Times New Roman"/>
                <w:color w:val="000000"/>
              </w:rPr>
              <w:t>2,100,000</w:t>
            </w:r>
          </w:p>
        </w:tc>
        <w:tc>
          <w:tcPr>
            <w:tcW w:w="1276" w:type="dxa"/>
            <w:tcBorders>
              <w:top w:val="nil"/>
              <w:left w:val="nil"/>
              <w:bottom w:val="single" w:sz="4" w:space="0" w:color="auto"/>
              <w:right w:val="single" w:sz="4" w:space="0" w:color="auto"/>
            </w:tcBorders>
            <w:shd w:val="clear" w:color="auto" w:fill="auto"/>
            <w:noWrap/>
            <w:vAlign w:val="bottom"/>
            <w:hideMark/>
          </w:tcPr>
          <w:p w14:paraId="19F63D63" w14:textId="111C2AAA" w:rsidR="004078DC" w:rsidRPr="004078DC" w:rsidRDefault="004078DC" w:rsidP="006A3A1F">
            <w:pPr>
              <w:spacing w:after="0" w:line="240" w:lineRule="auto"/>
              <w:jc w:val="center"/>
              <w:rPr>
                <w:rFonts w:eastAsia="Times New Roman"/>
                <w:color w:val="000000"/>
              </w:rPr>
            </w:pPr>
            <w:r w:rsidRPr="004078DC">
              <w:rPr>
                <w:rFonts w:eastAsia="Times New Roman"/>
                <w:color w:val="000000"/>
              </w:rPr>
              <w:t>1,600,000</w:t>
            </w:r>
          </w:p>
        </w:tc>
        <w:tc>
          <w:tcPr>
            <w:tcW w:w="1276" w:type="dxa"/>
            <w:tcBorders>
              <w:top w:val="nil"/>
              <w:left w:val="nil"/>
              <w:bottom w:val="single" w:sz="4" w:space="0" w:color="auto"/>
              <w:right w:val="single" w:sz="4" w:space="0" w:color="auto"/>
            </w:tcBorders>
            <w:shd w:val="clear" w:color="auto" w:fill="auto"/>
            <w:noWrap/>
            <w:vAlign w:val="bottom"/>
            <w:hideMark/>
          </w:tcPr>
          <w:p w14:paraId="169DB85D" w14:textId="3644D9FE" w:rsidR="004078DC" w:rsidRPr="004078DC" w:rsidRDefault="004078DC" w:rsidP="006A3A1F">
            <w:pPr>
              <w:spacing w:after="0" w:line="240" w:lineRule="auto"/>
              <w:jc w:val="center"/>
              <w:rPr>
                <w:rFonts w:eastAsia="Times New Roman"/>
                <w:color w:val="000000"/>
              </w:rPr>
            </w:pPr>
            <w:r>
              <w:rPr>
                <w:rFonts w:eastAsia="Times New Roman"/>
                <w:color w:val="000000"/>
              </w:rPr>
              <w:t>$</w:t>
            </w:r>
            <w:r w:rsidRPr="004078DC">
              <w:rPr>
                <w:rFonts w:eastAsia="Times New Roman"/>
                <w:color w:val="000000"/>
              </w:rPr>
              <w:t>1,000,000</w:t>
            </w:r>
          </w:p>
        </w:tc>
        <w:tc>
          <w:tcPr>
            <w:tcW w:w="1276" w:type="dxa"/>
            <w:tcBorders>
              <w:top w:val="nil"/>
              <w:left w:val="nil"/>
              <w:bottom w:val="single" w:sz="4" w:space="0" w:color="auto"/>
              <w:right w:val="single" w:sz="8" w:space="0" w:color="auto"/>
            </w:tcBorders>
            <w:shd w:val="clear" w:color="auto" w:fill="auto"/>
            <w:noWrap/>
            <w:vAlign w:val="bottom"/>
            <w:hideMark/>
          </w:tcPr>
          <w:p w14:paraId="3BB68082" w14:textId="5C70AC6C" w:rsidR="004078DC" w:rsidRPr="004078DC" w:rsidRDefault="004078DC" w:rsidP="006A3A1F">
            <w:pPr>
              <w:spacing w:after="0" w:line="240" w:lineRule="auto"/>
              <w:jc w:val="center"/>
              <w:rPr>
                <w:rFonts w:eastAsia="Times New Roman"/>
                <w:color w:val="000000"/>
              </w:rPr>
            </w:pPr>
            <w:r>
              <w:rPr>
                <w:rFonts w:eastAsia="Times New Roman"/>
                <w:color w:val="000000"/>
              </w:rPr>
              <w:t>$0</w:t>
            </w:r>
          </w:p>
        </w:tc>
      </w:tr>
      <w:tr w:rsidR="004078DC" w:rsidRPr="004078DC" w14:paraId="26A335BF" w14:textId="77777777" w:rsidTr="004078DC">
        <w:trPr>
          <w:trHeight w:val="300"/>
          <w:jc w:val="center"/>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5E59BFD3" w14:textId="7C87FBBC" w:rsidR="004078DC" w:rsidRPr="004078DC" w:rsidRDefault="004078DC" w:rsidP="006A3A1F">
            <w:pPr>
              <w:spacing w:after="0" w:line="240" w:lineRule="auto"/>
              <w:jc w:val="left"/>
              <w:rPr>
                <w:rFonts w:eastAsia="Times New Roman"/>
                <w:color w:val="000000"/>
              </w:rPr>
            </w:pPr>
            <w:r>
              <w:rPr>
                <w:rFonts w:eastAsia="Times New Roman"/>
                <w:color w:val="000000"/>
              </w:rPr>
              <w:t>M&amp;E</w:t>
            </w:r>
            <w:r w:rsidRPr="004078DC">
              <w:rPr>
                <w:rFonts w:eastAsia="Times New Roman"/>
                <w:color w:val="000000"/>
              </w:rPr>
              <w:t xml:space="preserve"> and audits</w:t>
            </w:r>
          </w:p>
        </w:tc>
        <w:tc>
          <w:tcPr>
            <w:tcW w:w="1276" w:type="dxa"/>
            <w:tcBorders>
              <w:top w:val="nil"/>
              <w:left w:val="nil"/>
              <w:bottom w:val="single" w:sz="4" w:space="0" w:color="auto"/>
              <w:right w:val="single" w:sz="4" w:space="0" w:color="auto"/>
            </w:tcBorders>
            <w:shd w:val="clear" w:color="auto" w:fill="auto"/>
            <w:noWrap/>
            <w:vAlign w:val="bottom"/>
            <w:hideMark/>
          </w:tcPr>
          <w:p w14:paraId="3420EA1A" w14:textId="5EE962B3" w:rsidR="004078DC" w:rsidRPr="004078DC" w:rsidRDefault="004078DC" w:rsidP="006A3A1F">
            <w:pPr>
              <w:spacing w:after="0" w:line="240" w:lineRule="auto"/>
              <w:jc w:val="center"/>
              <w:rPr>
                <w:rFonts w:eastAsia="Times New Roman"/>
                <w:color w:val="000000"/>
              </w:rPr>
            </w:pPr>
            <w:r>
              <w:rPr>
                <w:rFonts w:eastAsia="Times New Roman"/>
                <w:color w:val="000000"/>
              </w:rPr>
              <w:t>$330,000</w:t>
            </w:r>
          </w:p>
        </w:tc>
        <w:tc>
          <w:tcPr>
            <w:tcW w:w="1276" w:type="dxa"/>
            <w:tcBorders>
              <w:top w:val="nil"/>
              <w:left w:val="nil"/>
              <w:bottom w:val="single" w:sz="4" w:space="0" w:color="auto"/>
              <w:right w:val="single" w:sz="4" w:space="0" w:color="auto"/>
            </w:tcBorders>
            <w:shd w:val="clear" w:color="auto" w:fill="auto"/>
            <w:noWrap/>
            <w:vAlign w:val="bottom"/>
            <w:hideMark/>
          </w:tcPr>
          <w:p w14:paraId="6DC1C939" w14:textId="4FD7BE14" w:rsidR="004078DC" w:rsidRPr="004078DC" w:rsidRDefault="004078DC" w:rsidP="006A3A1F">
            <w:pPr>
              <w:spacing w:after="0" w:line="240" w:lineRule="auto"/>
              <w:jc w:val="center"/>
              <w:rPr>
                <w:rFonts w:eastAsia="Times New Roman"/>
                <w:color w:val="000000"/>
              </w:rPr>
            </w:pPr>
            <w:r>
              <w:rPr>
                <w:rFonts w:eastAsia="Times New Roman"/>
                <w:color w:val="000000"/>
              </w:rPr>
              <w:t>$</w:t>
            </w:r>
            <w:r w:rsidRPr="004078DC">
              <w:rPr>
                <w:rFonts w:eastAsia="Times New Roman"/>
                <w:color w:val="000000"/>
              </w:rPr>
              <w:t>10,000</w:t>
            </w:r>
          </w:p>
        </w:tc>
        <w:tc>
          <w:tcPr>
            <w:tcW w:w="1417" w:type="dxa"/>
            <w:tcBorders>
              <w:top w:val="nil"/>
              <w:left w:val="nil"/>
              <w:bottom w:val="single" w:sz="4" w:space="0" w:color="auto"/>
              <w:right w:val="single" w:sz="4" w:space="0" w:color="auto"/>
            </w:tcBorders>
            <w:shd w:val="clear" w:color="auto" w:fill="auto"/>
            <w:noWrap/>
            <w:vAlign w:val="bottom"/>
            <w:hideMark/>
          </w:tcPr>
          <w:p w14:paraId="3E51917C" w14:textId="6A96F17D" w:rsidR="004078DC" w:rsidRPr="004078DC" w:rsidRDefault="004078DC" w:rsidP="006A3A1F">
            <w:pPr>
              <w:spacing w:after="0" w:line="240" w:lineRule="auto"/>
              <w:jc w:val="center"/>
              <w:rPr>
                <w:rFonts w:eastAsia="Times New Roman"/>
                <w:color w:val="000000"/>
              </w:rPr>
            </w:pPr>
            <w:r>
              <w:rPr>
                <w:rFonts w:eastAsia="Times New Roman"/>
                <w:color w:val="000000"/>
              </w:rPr>
              <w:t>$</w:t>
            </w:r>
            <w:r w:rsidRPr="004078DC">
              <w:rPr>
                <w:rFonts w:eastAsia="Times New Roman"/>
                <w:color w:val="000000"/>
              </w:rPr>
              <w:t>40,000</w:t>
            </w:r>
          </w:p>
        </w:tc>
        <w:tc>
          <w:tcPr>
            <w:tcW w:w="1276" w:type="dxa"/>
            <w:tcBorders>
              <w:top w:val="nil"/>
              <w:left w:val="nil"/>
              <w:bottom w:val="single" w:sz="4" w:space="0" w:color="auto"/>
              <w:right w:val="single" w:sz="4" w:space="0" w:color="auto"/>
            </w:tcBorders>
            <w:shd w:val="clear" w:color="auto" w:fill="auto"/>
            <w:noWrap/>
            <w:vAlign w:val="bottom"/>
            <w:hideMark/>
          </w:tcPr>
          <w:p w14:paraId="5A470C99" w14:textId="054E3766" w:rsidR="004078DC" w:rsidRPr="004078DC" w:rsidRDefault="004078DC" w:rsidP="006A3A1F">
            <w:pPr>
              <w:spacing w:after="0" w:line="240" w:lineRule="auto"/>
              <w:jc w:val="center"/>
              <w:rPr>
                <w:rFonts w:eastAsia="Times New Roman"/>
                <w:color w:val="000000"/>
              </w:rPr>
            </w:pPr>
            <w:r>
              <w:rPr>
                <w:rFonts w:eastAsia="Times New Roman"/>
                <w:color w:val="000000"/>
              </w:rPr>
              <w:t>$</w:t>
            </w:r>
            <w:r w:rsidRPr="004078DC">
              <w:rPr>
                <w:rFonts w:eastAsia="Times New Roman"/>
                <w:color w:val="000000"/>
              </w:rPr>
              <w:t>170,000</w:t>
            </w:r>
          </w:p>
        </w:tc>
        <w:tc>
          <w:tcPr>
            <w:tcW w:w="1276" w:type="dxa"/>
            <w:tcBorders>
              <w:top w:val="nil"/>
              <w:left w:val="nil"/>
              <w:bottom w:val="single" w:sz="4" w:space="0" w:color="auto"/>
              <w:right w:val="single" w:sz="4" w:space="0" w:color="auto"/>
            </w:tcBorders>
            <w:shd w:val="clear" w:color="auto" w:fill="auto"/>
            <w:noWrap/>
            <w:vAlign w:val="bottom"/>
            <w:hideMark/>
          </w:tcPr>
          <w:p w14:paraId="72BB3F84" w14:textId="4F001937" w:rsidR="004078DC" w:rsidRPr="004078DC" w:rsidRDefault="004078DC" w:rsidP="006A3A1F">
            <w:pPr>
              <w:spacing w:after="0" w:line="240" w:lineRule="auto"/>
              <w:jc w:val="center"/>
              <w:rPr>
                <w:rFonts w:eastAsia="Times New Roman"/>
                <w:color w:val="000000"/>
              </w:rPr>
            </w:pPr>
            <w:r>
              <w:rPr>
                <w:rFonts w:eastAsia="Times New Roman"/>
                <w:color w:val="000000"/>
              </w:rPr>
              <w:t>$</w:t>
            </w:r>
            <w:r w:rsidRPr="004078DC">
              <w:rPr>
                <w:rFonts w:eastAsia="Times New Roman"/>
                <w:color w:val="000000"/>
              </w:rPr>
              <w:t>130,000</w:t>
            </w:r>
          </w:p>
        </w:tc>
        <w:tc>
          <w:tcPr>
            <w:tcW w:w="1276" w:type="dxa"/>
            <w:tcBorders>
              <w:top w:val="nil"/>
              <w:left w:val="nil"/>
              <w:bottom w:val="single" w:sz="4" w:space="0" w:color="auto"/>
              <w:right w:val="single" w:sz="8" w:space="0" w:color="auto"/>
            </w:tcBorders>
            <w:shd w:val="clear" w:color="auto" w:fill="auto"/>
            <w:noWrap/>
            <w:vAlign w:val="bottom"/>
            <w:hideMark/>
          </w:tcPr>
          <w:p w14:paraId="1480A769" w14:textId="437C56BD" w:rsidR="004078DC" w:rsidRPr="004078DC" w:rsidRDefault="004078DC" w:rsidP="006A3A1F">
            <w:pPr>
              <w:spacing w:after="0" w:line="240" w:lineRule="auto"/>
              <w:jc w:val="center"/>
              <w:rPr>
                <w:rFonts w:eastAsia="Times New Roman"/>
                <w:color w:val="000000"/>
              </w:rPr>
            </w:pPr>
            <w:r>
              <w:rPr>
                <w:rFonts w:eastAsia="Times New Roman"/>
                <w:color w:val="000000"/>
              </w:rPr>
              <w:t>$</w:t>
            </w:r>
            <w:r w:rsidRPr="004078DC">
              <w:rPr>
                <w:rFonts w:eastAsia="Times New Roman"/>
                <w:color w:val="000000"/>
              </w:rPr>
              <w:t>430,000</w:t>
            </w:r>
          </w:p>
        </w:tc>
      </w:tr>
      <w:tr w:rsidR="004078DC" w:rsidRPr="004078DC" w14:paraId="5BFA4BF9" w14:textId="77777777" w:rsidTr="004078DC">
        <w:trPr>
          <w:trHeight w:val="300"/>
          <w:jc w:val="center"/>
        </w:trPr>
        <w:tc>
          <w:tcPr>
            <w:tcW w:w="1691" w:type="dxa"/>
            <w:tcBorders>
              <w:top w:val="nil"/>
              <w:left w:val="single" w:sz="8" w:space="0" w:color="auto"/>
              <w:bottom w:val="single" w:sz="4" w:space="0" w:color="auto"/>
              <w:right w:val="single" w:sz="4" w:space="0" w:color="auto"/>
            </w:tcBorders>
            <w:shd w:val="clear" w:color="auto" w:fill="auto"/>
            <w:noWrap/>
            <w:vAlign w:val="bottom"/>
            <w:hideMark/>
          </w:tcPr>
          <w:p w14:paraId="5E51A89E" w14:textId="77777777" w:rsidR="004078DC" w:rsidRPr="004078DC" w:rsidRDefault="004078DC" w:rsidP="006A3A1F">
            <w:pPr>
              <w:spacing w:after="0" w:line="240" w:lineRule="auto"/>
              <w:jc w:val="left"/>
              <w:rPr>
                <w:rFonts w:eastAsia="Times New Roman"/>
                <w:color w:val="000000"/>
              </w:rPr>
            </w:pPr>
            <w:r w:rsidRPr="004078DC">
              <w:rPr>
                <w:rFonts w:eastAsia="Times New Roman"/>
                <w:color w:val="000000"/>
              </w:rPr>
              <w:t>Administration</w:t>
            </w:r>
          </w:p>
        </w:tc>
        <w:tc>
          <w:tcPr>
            <w:tcW w:w="1276" w:type="dxa"/>
            <w:tcBorders>
              <w:top w:val="nil"/>
              <w:left w:val="nil"/>
              <w:bottom w:val="single" w:sz="4" w:space="0" w:color="auto"/>
              <w:right w:val="single" w:sz="4" w:space="0" w:color="auto"/>
            </w:tcBorders>
            <w:shd w:val="clear" w:color="auto" w:fill="auto"/>
            <w:noWrap/>
            <w:vAlign w:val="bottom"/>
            <w:hideMark/>
          </w:tcPr>
          <w:p w14:paraId="7DBE9321" w14:textId="6BC76D73" w:rsidR="004078DC" w:rsidRPr="004078DC" w:rsidRDefault="004078DC" w:rsidP="006A3A1F">
            <w:pPr>
              <w:spacing w:after="0" w:line="240" w:lineRule="auto"/>
              <w:jc w:val="center"/>
              <w:rPr>
                <w:rFonts w:eastAsia="Times New Roman"/>
                <w:color w:val="000000"/>
              </w:rPr>
            </w:pPr>
            <w:r>
              <w:rPr>
                <w:rFonts w:eastAsia="Times New Roman"/>
                <w:color w:val="000000"/>
              </w:rPr>
              <w:t>$</w:t>
            </w:r>
            <w:r w:rsidRPr="004078DC">
              <w:rPr>
                <w:rFonts w:eastAsia="Times New Roman"/>
                <w:color w:val="000000"/>
              </w:rPr>
              <w:t>154,000</w:t>
            </w:r>
          </w:p>
        </w:tc>
        <w:tc>
          <w:tcPr>
            <w:tcW w:w="1276" w:type="dxa"/>
            <w:tcBorders>
              <w:top w:val="nil"/>
              <w:left w:val="nil"/>
              <w:bottom w:val="single" w:sz="4" w:space="0" w:color="auto"/>
              <w:right w:val="single" w:sz="4" w:space="0" w:color="auto"/>
            </w:tcBorders>
            <w:shd w:val="clear" w:color="auto" w:fill="auto"/>
            <w:noWrap/>
            <w:vAlign w:val="bottom"/>
            <w:hideMark/>
          </w:tcPr>
          <w:p w14:paraId="131F621C" w14:textId="796AEBD8" w:rsidR="004078DC" w:rsidRPr="004078DC" w:rsidRDefault="004078DC" w:rsidP="006A3A1F">
            <w:pPr>
              <w:spacing w:after="0" w:line="240" w:lineRule="auto"/>
              <w:jc w:val="center"/>
              <w:rPr>
                <w:rFonts w:eastAsia="Times New Roman"/>
                <w:color w:val="000000"/>
              </w:rPr>
            </w:pPr>
            <w:r>
              <w:rPr>
                <w:rFonts w:eastAsia="Times New Roman"/>
                <w:color w:val="000000"/>
              </w:rPr>
              <w:t>$</w:t>
            </w:r>
            <w:r w:rsidRPr="004078DC">
              <w:rPr>
                <w:rFonts w:eastAsia="Times New Roman"/>
                <w:color w:val="000000"/>
              </w:rPr>
              <w:t>185,500</w:t>
            </w:r>
          </w:p>
        </w:tc>
        <w:tc>
          <w:tcPr>
            <w:tcW w:w="1417" w:type="dxa"/>
            <w:tcBorders>
              <w:top w:val="nil"/>
              <w:left w:val="nil"/>
              <w:bottom w:val="single" w:sz="4" w:space="0" w:color="auto"/>
              <w:right w:val="single" w:sz="4" w:space="0" w:color="auto"/>
            </w:tcBorders>
            <w:shd w:val="clear" w:color="auto" w:fill="auto"/>
            <w:noWrap/>
            <w:vAlign w:val="bottom"/>
            <w:hideMark/>
          </w:tcPr>
          <w:p w14:paraId="36038F3C" w14:textId="2721661F" w:rsidR="004078DC" w:rsidRPr="004078DC" w:rsidRDefault="004078DC" w:rsidP="006A3A1F">
            <w:pPr>
              <w:spacing w:after="0" w:line="240" w:lineRule="auto"/>
              <w:jc w:val="center"/>
              <w:rPr>
                <w:rFonts w:eastAsia="Times New Roman"/>
                <w:color w:val="000000"/>
              </w:rPr>
            </w:pPr>
            <w:r>
              <w:rPr>
                <w:rFonts w:eastAsia="Times New Roman"/>
                <w:color w:val="000000"/>
              </w:rPr>
              <w:t>$</w:t>
            </w:r>
            <w:r w:rsidRPr="004078DC">
              <w:rPr>
                <w:rFonts w:eastAsia="Times New Roman"/>
                <w:color w:val="000000"/>
              </w:rPr>
              <w:t>155,750</w:t>
            </w:r>
          </w:p>
        </w:tc>
        <w:tc>
          <w:tcPr>
            <w:tcW w:w="1276" w:type="dxa"/>
            <w:tcBorders>
              <w:top w:val="nil"/>
              <w:left w:val="nil"/>
              <w:bottom w:val="single" w:sz="4" w:space="0" w:color="auto"/>
              <w:right w:val="single" w:sz="4" w:space="0" w:color="auto"/>
            </w:tcBorders>
            <w:shd w:val="clear" w:color="auto" w:fill="auto"/>
            <w:noWrap/>
            <w:vAlign w:val="bottom"/>
            <w:hideMark/>
          </w:tcPr>
          <w:p w14:paraId="419ABA14" w14:textId="2B2E790A" w:rsidR="004078DC" w:rsidRPr="004078DC" w:rsidRDefault="004078DC" w:rsidP="006A3A1F">
            <w:pPr>
              <w:spacing w:after="0" w:line="240" w:lineRule="auto"/>
              <w:jc w:val="center"/>
              <w:rPr>
                <w:rFonts w:eastAsia="Times New Roman"/>
                <w:color w:val="000000"/>
              </w:rPr>
            </w:pPr>
            <w:r>
              <w:rPr>
                <w:rFonts w:eastAsia="Times New Roman"/>
                <w:color w:val="000000"/>
              </w:rPr>
              <w:t>$</w:t>
            </w:r>
            <w:r w:rsidRPr="004078DC">
              <w:rPr>
                <w:rFonts w:eastAsia="Times New Roman"/>
                <w:color w:val="000000"/>
              </w:rPr>
              <w:t>88,500</w:t>
            </w:r>
          </w:p>
        </w:tc>
        <w:tc>
          <w:tcPr>
            <w:tcW w:w="1276" w:type="dxa"/>
            <w:tcBorders>
              <w:top w:val="nil"/>
              <w:left w:val="nil"/>
              <w:bottom w:val="single" w:sz="4" w:space="0" w:color="auto"/>
              <w:right w:val="single" w:sz="4" w:space="0" w:color="auto"/>
            </w:tcBorders>
            <w:shd w:val="clear" w:color="auto" w:fill="auto"/>
            <w:noWrap/>
            <w:vAlign w:val="bottom"/>
            <w:hideMark/>
          </w:tcPr>
          <w:p w14:paraId="67E15D77" w14:textId="1AF2F15A" w:rsidR="004078DC" w:rsidRPr="004078DC" w:rsidRDefault="004078DC" w:rsidP="006A3A1F">
            <w:pPr>
              <w:spacing w:after="0" w:line="240" w:lineRule="auto"/>
              <w:jc w:val="center"/>
              <w:rPr>
                <w:rFonts w:eastAsia="Times New Roman"/>
                <w:color w:val="000000"/>
              </w:rPr>
            </w:pPr>
            <w:r>
              <w:rPr>
                <w:rFonts w:eastAsia="Times New Roman"/>
                <w:color w:val="000000"/>
              </w:rPr>
              <w:t>$</w:t>
            </w:r>
            <w:r w:rsidRPr="004078DC">
              <w:rPr>
                <w:rFonts w:eastAsia="Times New Roman"/>
                <w:color w:val="000000"/>
              </w:rPr>
              <w:t>56,500</w:t>
            </w:r>
          </w:p>
        </w:tc>
        <w:tc>
          <w:tcPr>
            <w:tcW w:w="1276" w:type="dxa"/>
            <w:tcBorders>
              <w:top w:val="nil"/>
              <w:left w:val="nil"/>
              <w:bottom w:val="single" w:sz="4" w:space="0" w:color="auto"/>
              <w:right w:val="single" w:sz="8" w:space="0" w:color="auto"/>
            </w:tcBorders>
            <w:shd w:val="clear" w:color="auto" w:fill="auto"/>
            <w:noWrap/>
            <w:vAlign w:val="bottom"/>
            <w:hideMark/>
          </w:tcPr>
          <w:p w14:paraId="4BCB9404" w14:textId="599D18A7" w:rsidR="004078DC" w:rsidRPr="004078DC" w:rsidRDefault="004078DC" w:rsidP="006A3A1F">
            <w:pPr>
              <w:spacing w:after="0" w:line="240" w:lineRule="auto"/>
              <w:jc w:val="center"/>
              <w:rPr>
                <w:rFonts w:eastAsia="Times New Roman"/>
                <w:color w:val="000000"/>
              </w:rPr>
            </w:pPr>
            <w:r>
              <w:rPr>
                <w:rFonts w:eastAsia="Times New Roman"/>
                <w:color w:val="000000"/>
              </w:rPr>
              <w:t>$</w:t>
            </w:r>
            <w:r w:rsidRPr="004078DC">
              <w:rPr>
                <w:rFonts w:eastAsia="Times New Roman"/>
                <w:color w:val="000000"/>
              </w:rPr>
              <w:t>21,500</w:t>
            </w:r>
          </w:p>
        </w:tc>
      </w:tr>
      <w:tr w:rsidR="004078DC" w:rsidRPr="004078DC" w14:paraId="774C72A9" w14:textId="77777777" w:rsidTr="004078DC">
        <w:trPr>
          <w:trHeight w:val="315"/>
          <w:jc w:val="center"/>
        </w:trPr>
        <w:tc>
          <w:tcPr>
            <w:tcW w:w="1691" w:type="dxa"/>
            <w:tcBorders>
              <w:top w:val="nil"/>
              <w:left w:val="single" w:sz="8" w:space="0" w:color="auto"/>
              <w:bottom w:val="single" w:sz="8" w:space="0" w:color="auto"/>
              <w:right w:val="single" w:sz="4" w:space="0" w:color="auto"/>
            </w:tcBorders>
            <w:shd w:val="clear" w:color="000000" w:fill="D9E1F2"/>
            <w:noWrap/>
            <w:vAlign w:val="bottom"/>
            <w:hideMark/>
          </w:tcPr>
          <w:p w14:paraId="2C41663A" w14:textId="07242ADB" w:rsidR="004078DC" w:rsidRPr="004078DC" w:rsidRDefault="006A3A1F" w:rsidP="006A3A1F">
            <w:pPr>
              <w:spacing w:after="0" w:line="240" w:lineRule="auto"/>
              <w:jc w:val="left"/>
              <w:rPr>
                <w:rFonts w:eastAsia="Times New Roman"/>
                <w:bCs/>
                <w:color w:val="000000"/>
              </w:rPr>
            </w:pPr>
            <w:r>
              <w:rPr>
                <w:rFonts w:eastAsia="Times New Roman"/>
                <w:bCs/>
                <w:color w:val="000000"/>
              </w:rPr>
              <w:t>Total</w:t>
            </w:r>
          </w:p>
        </w:tc>
        <w:tc>
          <w:tcPr>
            <w:tcW w:w="1276" w:type="dxa"/>
            <w:tcBorders>
              <w:top w:val="nil"/>
              <w:left w:val="nil"/>
              <w:bottom w:val="single" w:sz="8" w:space="0" w:color="auto"/>
              <w:right w:val="single" w:sz="4" w:space="0" w:color="auto"/>
            </w:tcBorders>
            <w:shd w:val="clear" w:color="000000" w:fill="D9E1F2"/>
            <w:noWrap/>
            <w:vAlign w:val="bottom"/>
            <w:hideMark/>
          </w:tcPr>
          <w:p w14:paraId="63FB7F95" w14:textId="3B90F6B8" w:rsidR="004078DC" w:rsidRPr="004078DC" w:rsidRDefault="006A3A1F" w:rsidP="006A3A1F">
            <w:pPr>
              <w:spacing w:after="0" w:line="240" w:lineRule="auto"/>
              <w:jc w:val="center"/>
              <w:rPr>
                <w:rFonts w:eastAsia="Times New Roman"/>
                <w:bCs/>
                <w:color w:val="000000"/>
              </w:rPr>
            </w:pPr>
            <w:r>
              <w:rPr>
                <w:rFonts w:eastAsia="Times New Roman"/>
                <w:bCs/>
                <w:color w:val="000000"/>
              </w:rPr>
              <w:t xml:space="preserve"> $</w:t>
            </w:r>
            <w:r w:rsidR="004078DC" w:rsidRPr="004078DC">
              <w:rPr>
                <w:rFonts w:eastAsia="Times New Roman"/>
                <w:bCs/>
                <w:color w:val="000000"/>
              </w:rPr>
              <w:t xml:space="preserve">2,534,000 </w:t>
            </w:r>
          </w:p>
        </w:tc>
        <w:tc>
          <w:tcPr>
            <w:tcW w:w="1276" w:type="dxa"/>
            <w:tcBorders>
              <w:top w:val="nil"/>
              <w:left w:val="nil"/>
              <w:bottom w:val="single" w:sz="8" w:space="0" w:color="auto"/>
              <w:right w:val="single" w:sz="4" w:space="0" w:color="auto"/>
            </w:tcBorders>
            <w:shd w:val="clear" w:color="000000" w:fill="D9E1F2"/>
            <w:noWrap/>
            <w:vAlign w:val="bottom"/>
            <w:hideMark/>
          </w:tcPr>
          <w:p w14:paraId="425A6007" w14:textId="734D27FC" w:rsidR="004078DC" w:rsidRPr="004078DC" w:rsidRDefault="006A3A1F" w:rsidP="006A3A1F">
            <w:pPr>
              <w:spacing w:after="0" w:line="240" w:lineRule="auto"/>
              <w:jc w:val="center"/>
              <w:rPr>
                <w:rFonts w:eastAsia="Times New Roman"/>
                <w:bCs/>
                <w:color w:val="000000"/>
              </w:rPr>
            </w:pPr>
            <w:r>
              <w:rPr>
                <w:rFonts w:eastAsia="Times New Roman"/>
                <w:bCs/>
                <w:color w:val="000000"/>
              </w:rPr>
              <w:t xml:space="preserve"> $</w:t>
            </w:r>
            <w:r w:rsidR="004078DC" w:rsidRPr="004078DC">
              <w:rPr>
                <w:rFonts w:eastAsia="Times New Roman"/>
                <w:bCs/>
                <w:color w:val="000000"/>
              </w:rPr>
              <w:t xml:space="preserve">6,095,500 </w:t>
            </w:r>
          </w:p>
        </w:tc>
        <w:tc>
          <w:tcPr>
            <w:tcW w:w="1417" w:type="dxa"/>
            <w:tcBorders>
              <w:top w:val="nil"/>
              <w:left w:val="nil"/>
              <w:bottom w:val="single" w:sz="8" w:space="0" w:color="auto"/>
              <w:right w:val="single" w:sz="4" w:space="0" w:color="auto"/>
            </w:tcBorders>
            <w:shd w:val="clear" w:color="000000" w:fill="D9E1F2"/>
            <w:noWrap/>
            <w:vAlign w:val="bottom"/>
            <w:hideMark/>
          </w:tcPr>
          <w:p w14:paraId="2022D1C6" w14:textId="6207FD1A" w:rsidR="004078DC" w:rsidRPr="004078DC" w:rsidRDefault="006A3A1F" w:rsidP="006A3A1F">
            <w:pPr>
              <w:spacing w:after="0" w:line="240" w:lineRule="auto"/>
              <w:jc w:val="center"/>
              <w:rPr>
                <w:rFonts w:eastAsia="Times New Roman"/>
                <w:bCs/>
                <w:color w:val="000000"/>
              </w:rPr>
            </w:pPr>
            <w:r>
              <w:rPr>
                <w:rFonts w:eastAsia="Times New Roman"/>
                <w:bCs/>
                <w:color w:val="000000"/>
              </w:rPr>
              <w:t xml:space="preserve"> $</w:t>
            </w:r>
            <w:r w:rsidR="004078DC" w:rsidRPr="004078DC">
              <w:rPr>
                <w:rFonts w:eastAsia="Times New Roman"/>
                <w:bCs/>
                <w:color w:val="000000"/>
              </w:rPr>
              <w:t xml:space="preserve">4,245,750 </w:t>
            </w:r>
          </w:p>
        </w:tc>
        <w:tc>
          <w:tcPr>
            <w:tcW w:w="1276" w:type="dxa"/>
            <w:tcBorders>
              <w:top w:val="nil"/>
              <w:left w:val="nil"/>
              <w:bottom w:val="single" w:sz="8" w:space="0" w:color="auto"/>
              <w:right w:val="single" w:sz="4" w:space="0" w:color="auto"/>
            </w:tcBorders>
            <w:shd w:val="clear" w:color="000000" w:fill="D9E1F2"/>
            <w:noWrap/>
            <w:vAlign w:val="bottom"/>
            <w:hideMark/>
          </w:tcPr>
          <w:p w14:paraId="72D65B9D" w14:textId="6FBAAEDB" w:rsidR="004078DC" w:rsidRPr="004078DC" w:rsidRDefault="006A3A1F" w:rsidP="006A3A1F">
            <w:pPr>
              <w:spacing w:after="0" w:line="240" w:lineRule="auto"/>
              <w:jc w:val="center"/>
              <w:rPr>
                <w:rFonts w:eastAsia="Times New Roman"/>
                <w:bCs/>
                <w:color w:val="000000"/>
              </w:rPr>
            </w:pPr>
            <w:r>
              <w:rPr>
                <w:rFonts w:eastAsia="Times New Roman"/>
                <w:bCs/>
                <w:color w:val="000000"/>
              </w:rPr>
              <w:t xml:space="preserve"> $</w:t>
            </w:r>
            <w:r w:rsidR="004078DC" w:rsidRPr="004078DC">
              <w:rPr>
                <w:rFonts w:eastAsia="Times New Roman"/>
                <w:bCs/>
                <w:color w:val="000000"/>
              </w:rPr>
              <w:t xml:space="preserve">1,858,500 </w:t>
            </w:r>
          </w:p>
        </w:tc>
        <w:tc>
          <w:tcPr>
            <w:tcW w:w="1276" w:type="dxa"/>
            <w:tcBorders>
              <w:top w:val="nil"/>
              <w:left w:val="nil"/>
              <w:bottom w:val="single" w:sz="8" w:space="0" w:color="auto"/>
              <w:right w:val="single" w:sz="4" w:space="0" w:color="auto"/>
            </w:tcBorders>
            <w:shd w:val="clear" w:color="000000" w:fill="D9E1F2"/>
            <w:noWrap/>
            <w:vAlign w:val="bottom"/>
            <w:hideMark/>
          </w:tcPr>
          <w:p w14:paraId="24858934" w14:textId="542E206B" w:rsidR="004078DC" w:rsidRPr="004078DC" w:rsidRDefault="006A3A1F" w:rsidP="006A3A1F">
            <w:pPr>
              <w:spacing w:after="0" w:line="240" w:lineRule="auto"/>
              <w:jc w:val="center"/>
              <w:rPr>
                <w:rFonts w:eastAsia="Times New Roman"/>
                <w:bCs/>
                <w:color w:val="000000"/>
              </w:rPr>
            </w:pPr>
            <w:r>
              <w:rPr>
                <w:rFonts w:eastAsia="Times New Roman"/>
                <w:bCs/>
                <w:color w:val="000000"/>
              </w:rPr>
              <w:t xml:space="preserve"> $</w:t>
            </w:r>
            <w:r w:rsidR="004078DC" w:rsidRPr="004078DC">
              <w:rPr>
                <w:rFonts w:eastAsia="Times New Roman"/>
                <w:bCs/>
                <w:color w:val="000000"/>
              </w:rPr>
              <w:t xml:space="preserve">1,186,500 </w:t>
            </w:r>
          </w:p>
        </w:tc>
        <w:tc>
          <w:tcPr>
            <w:tcW w:w="1276" w:type="dxa"/>
            <w:tcBorders>
              <w:top w:val="nil"/>
              <w:left w:val="nil"/>
              <w:bottom w:val="single" w:sz="8" w:space="0" w:color="auto"/>
              <w:right w:val="single" w:sz="8" w:space="0" w:color="auto"/>
            </w:tcBorders>
            <w:shd w:val="clear" w:color="000000" w:fill="D9E1F2"/>
            <w:noWrap/>
            <w:vAlign w:val="bottom"/>
            <w:hideMark/>
          </w:tcPr>
          <w:p w14:paraId="31ED4A69" w14:textId="34CE0D2D" w:rsidR="004078DC" w:rsidRPr="004078DC" w:rsidRDefault="006A3A1F" w:rsidP="006A3A1F">
            <w:pPr>
              <w:spacing w:after="0" w:line="240" w:lineRule="auto"/>
              <w:jc w:val="center"/>
              <w:rPr>
                <w:rFonts w:eastAsia="Times New Roman"/>
                <w:bCs/>
                <w:color w:val="000000"/>
              </w:rPr>
            </w:pPr>
            <w:r>
              <w:rPr>
                <w:rFonts w:eastAsia="Times New Roman"/>
                <w:bCs/>
                <w:color w:val="000000"/>
              </w:rPr>
              <w:t xml:space="preserve"> $</w:t>
            </w:r>
            <w:r w:rsidR="004078DC" w:rsidRPr="004078DC">
              <w:rPr>
                <w:rFonts w:eastAsia="Times New Roman"/>
                <w:bCs/>
                <w:color w:val="000000"/>
              </w:rPr>
              <w:t xml:space="preserve">451,500 </w:t>
            </w:r>
          </w:p>
        </w:tc>
      </w:tr>
    </w:tbl>
    <w:p w14:paraId="27AE4B52" w14:textId="755F70BB" w:rsidR="002C0CA7" w:rsidRDefault="002C0CA7" w:rsidP="006A3A1F">
      <w:pPr>
        <w:pStyle w:val="Heading3"/>
        <w:spacing w:before="240"/>
      </w:pPr>
      <w:r>
        <w:t>Disbursement Mechanisms</w:t>
      </w:r>
    </w:p>
    <w:p w14:paraId="77D77DC8" w14:textId="50744DF5" w:rsidR="002C0CA7" w:rsidRDefault="002C0CA7" w:rsidP="002C0CA7">
      <w:r>
        <w:t xml:space="preserve">The programme will disburse funding using a combination of grant finance and blended finance mechanisms, as outlined in the </w:t>
      </w:r>
      <w:r w:rsidR="0063713F">
        <w:t>Appraisal</w:t>
      </w:r>
      <w:r>
        <w:t xml:space="preserve"> Case.</w:t>
      </w:r>
    </w:p>
    <w:p w14:paraId="49DB191E" w14:textId="484758CB" w:rsidR="002C0CA7" w:rsidRPr="002C0CA7" w:rsidRDefault="002C0CA7" w:rsidP="002C0CA7">
      <w:r>
        <w:t>The assumptions around b</w:t>
      </w:r>
      <w:r w:rsidRPr="002C0CA7">
        <w:t xml:space="preserve">lended finance </w:t>
      </w:r>
      <w:r>
        <w:t>are that a</w:t>
      </w:r>
      <w:r w:rsidRPr="002C0CA7">
        <w:t xml:space="preserve"> competition will </w:t>
      </w:r>
      <w:r>
        <w:t xml:space="preserve">identify eight enterprises and </w:t>
      </w:r>
      <w:r w:rsidRPr="002C0CA7">
        <w:t>each will receive up to $500,000 of</w:t>
      </w:r>
      <w:r w:rsidR="006A0CA8">
        <w:t xml:space="preserve"> risk capital</w:t>
      </w:r>
      <w:r w:rsidRPr="002C0CA7">
        <w:t xml:space="preserve"> investment. Originally this will be booked as a grant, and it will convert to equity at the point that an enterprise offers </w:t>
      </w:r>
      <w:r w:rsidR="00D35D62">
        <w:t xml:space="preserve">return </w:t>
      </w:r>
      <w:r>
        <w:t>in a subsequent round</w:t>
      </w:r>
      <w:r>
        <w:rPr>
          <w:rStyle w:val="FootnoteReference"/>
        </w:rPr>
        <w:footnoteReference w:id="42"/>
      </w:r>
      <w:r>
        <w:t>.</w:t>
      </w:r>
      <w:r w:rsidRPr="002C0CA7">
        <w:t xml:space="preserve"> </w:t>
      </w:r>
      <w:r>
        <w:t xml:space="preserve">The model </w:t>
      </w:r>
      <w:r w:rsidRPr="002C0CA7">
        <w:t>assume</w:t>
      </w:r>
      <w:r w:rsidR="004033A7">
        <w:t>s</w:t>
      </w:r>
      <w:r w:rsidRPr="002C0CA7">
        <w:t xml:space="preserve"> that up to half will convert </w:t>
      </w:r>
      <w:r w:rsidR="004033A7">
        <w:t xml:space="preserve">to equity </w:t>
      </w:r>
      <w:r w:rsidRPr="002C0CA7">
        <w:t>and pay back</w:t>
      </w:r>
      <w:r w:rsidR="004033A7">
        <w:t xml:space="preserve"> the investment</w:t>
      </w:r>
      <w:r w:rsidRPr="002C0CA7">
        <w:t>.  In addition, the competition would cost $400,000 to structu</w:t>
      </w:r>
      <w:r w:rsidR="00D35D62">
        <w:t>re and run</w:t>
      </w:r>
      <w:r w:rsidR="004033A7">
        <w:t>.  This</w:t>
      </w:r>
      <w:r w:rsidRPr="002C0CA7">
        <w:t xml:space="preserve"> entrepreneur </w:t>
      </w:r>
      <w:r w:rsidR="004033A7">
        <w:t>competition will be counted as one operation of $4.4m</w:t>
      </w:r>
      <w:r w:rsidRPr="002C0CA7">
        <w:t>.  At the point of return, which may be below, at</w:t>
      </w:r>
      <w:r w:rsidR="004033A7">
        <w:t>, or</w:t>
      </w:r>
      <w:r w:rsidRPr="002C0CA7">
        <w:t xml:space="preserve"> above the value of the initial grant, the resources </w:t>
      </w:r>
      <w:r w:rsidR="004033A7">
        <w:t xml:space="preserve">should be re-used. </w:t>
      </w:r>
      <w:r w:rsidRPr="002C0CA7">
        <w:t xml:space="preserve">However, this </w:t>
      </w:r>
      <w:r w:rsidR="004033A7">
        <w:t>$</w:t>
      </w:r>
      <w:r w:rsidRPr="002C0CA7">
        <w:t>4</w:t>
      </w:r>
      <w:r w:rsidR="004033A7">
        <w:t>.4m</w:t>
      </w:r>
      <w:r w:rsidRPr="002C0CA7">
        <w:t xml:space="preserve"> </w:t>
      </w:r>
      <w:r w:rsidR="004033A7">
        <w:t>will be predominantly counted a</w:t>
      </w:r>
      <w:r w:rsidRPr="002C0CA7">
        <w:t xml:space="preserve">s grant </w:t>
      </w:r>
      <w:r w:rsidR="004033A7">
        <w:t xml:space="preserve">finance </w:t>
      </w:r>
      <w:r w:rsidRPr="002C0CA7">
        <w:t xml:space="preserve">due to the high-risk nature of the investment </w:t>
      </w:r>
      <w:r w:rsidR="004033A7">
        <w:t xml:space="preserve">and the </w:t>
      </w:r>
      <w:r w:rsidRPr="002C0CA7">
        <w:t xml:space="preserve">time frame of the review.  In addition, the model assumes </w:t>
      </w:r>
      <w:r w:rsidR="004033A7">
        <w:t>two</w:t>
      </w:r>
      <w:r w:rsidRPr="002C0CA7">
        <w:t xml:space="preserve"> reimbursable operations of </w:t>
      </w:r>
      <w:r w:rsidR="00D35D62">
        <w:t>$</w:t>
      </w:r>
      <w:r w:rsidR="006A0CA8">
        <w:t>1m each which are expected to be concessional loans.</w:t>
      </w:r>
    </w:p>
    <w:p w14:paraId="37BB389A" w14:textId="270AF325" w:rsidR="006F46AC" w:rsidRPr="004C5667" w:rsidRDefault="006F46AC" w:rsidP="00EF36DF">
      <w:pPr>
        <w:pStyle w:val="Heading3"/>
      </w:pPr>
      <w:r w:rsidRPr="004C5667">
        <w:t>Administrative Costs</w:t>
      </w:r>
    </w:p>
    <w:p w14:paraId="22B24178" w14:textId="49E9487C" w:rsidR="00BE26CF" w:rsidRPr="004C5667" w:rsidRDefault="00C02F9F" w:rsidP="00EF36DF">
      <w:r>
        <w:t>The table below indicates</w:t>
      </w:r>
      <w:r w:rsidR="00BE26CF" w:rsidRPr="004C5667">
        <w:t xml:space="preserve"> the expected staff resource implications of this programme. There are ongoing plans to increased resource within the ICF team to accommodate not only this programme</w:t>
      </w:r>
      <w:r>
        <w:t>s implementation</w:t>
      </w:r>
      <w:r w:rsidR="00BE26CF" w:rsidRPr="004C5667">
        <w:t xml:space="preserve"> but also </w:t>
      </w:r>
      <w:r>
        <w:t>any</w:t>
      </w:r>
      <w:r w:rsidR="00BE26CF" w:rsidRPr="004C5667">
        <w:t xml:space="preserve"> others </w:t>
      </w:r>
      <w:r>
        <w:t xml:space="preserve">defined </w:t>
      </w:r>
      <w:r w:rsidR="00BE26CF" w:rsidRPr="004C5667">
        <w:t>in the imple</w:t>
      </w:r>
      <w:r>
        <w:t>mentation plan to the end of this</w:t>
      </w:r>
      <w:r w:rsidR="00BE26CF" w:rsidRPr="004C5667">
        <w:t xml:space="preserve"> spending review. </w:t>
      </w:r>
    </w:p>
    <w:tbl>
      <w:tblPr>
        <w:tblStyle w:val="TableGridLigh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709"/>
        <w:gridCol w:w="1865"/>
        <w:gridCol w:w="823"/>
      </w:tblGrid>
      <w:tr w:rsidR="00BE26CF" w:rsidRPr="004C5667" w14:paraId="0CE2B709" w14:textId="77777777" w:rsidTr="00BB0C57">
        <w:trPr>
          <w:trHeight w:val="510"/>
          <w:jc w:val="center"/>
        </w:trPr>
        <w:tc>
          <w:tcPr>
            <w:tcW w:w="0" w:type="auto"/>
            <w:shd w:val="clear" w:color="auto" w:fill="5B9BD5" w:themeFill="accent1"/>
            <w:vAlign w:val="center"/>
          </w:tcPr>
          <w:p w14:paraId="0166BD29" w14:textId="77777777" w:rsidR="00BE26CF" w:rsidRPr="004C5667" w:rsidRDefault="00BE26CF" w:rsidP="00BB0C57">
            <w:pPr>
              <w:spacing w:after="0"/>
              <w:jc w:val="center"/>
              <w:rPr>
                <w:b/>
              </w:rPr>
            </w:pPr>
          </w:p>
        </w:tc>
        <w:tc>
          <w:tcPr>
            <w:tcW w:w="0" w:type="auto"/>
            <w:gridSpan w:val="3"/>
            <w:shd w:val="clear" w:color="auto" w:fill="5B9BD5" w:themeFill="accent1"/>
            <w:vAlign w:val="center"/>
          </w:tcPr>
          <w:p w14:paraId="2477396C" w14:textId="3FE7C891" w:rsidR="00BE26CF" w:rsidRPr="004C5667" w:rsidRDefault="00BE26CF" w:rsidP="00BB0C57">
            <w:pPr>
              <w:spacing w:after="0"/>
              <w:jc w:val="center"/>
              <w:rPr>
                <w:b/>
              </w:rPr>
            </w:pPr>
            <w:r w:rsidRPr="004C5667">
              <w:rPr>
                <w:b/>
              </w:rPr>
              <w:t xml:space="preserve">Internal </w:t>
            </w:r>
            <w:r w:rsidR="00BF15A0">
              <w:rPr>
                <w:b/>
              </w:rPr>
              <w:t>Defra</w:t>
            </w:r>
            <w:r w:rsidRPr="004C5667">
              <w:rPr>
                <w:b/>
              </w:rPr>
              <w:t xml:space="preserve"> Staff Dedication Required (FTE)</w:t>
            </w:r>
          </w:p>
        </w:tc>
      </w:tr>
      <w:tr w:rsidR="00BE26CF" w:rsidRPr="004C5667" w14:paraId="04BEEC66" w14:textId="77777777" w:rsidTr="00BB0C57">
        <w:trPr>
          <w:trHeight w:val="510"/>
          <w:jc w:val="center"/>
        </w:trPr>
        <w:tc>
          <w:tcPr>
            <w:tcW w:w="0" w:type="auto"/>
            <w:shd w:val="clear" w:color="auto" w:fill="BDD6EE" w:themeFill="accent1" w:themeFillTint="66"/>
            <w:vAlign w:val="center"/>
          </w:tcPr>
          <w:p w14:paraId="70947CBA" w14:textId="77777777" w:rsidR="00BE26CF" w:rsidRPr="004C5667" w:rsidRDefault="00BE26CF" w:rsidP="00BB0C57">
            <w:pPr>
              <w:spacing w:after="0"/>
              <w:jc w:val="center"/>
            </w:pPr>
            <w:r w:rsidRPr="004C5667">
              <w:t>Grade</w:t>
            </w:r>
          </w:p>
        </w:tc>
        <w:tc>
          <w:tcPr>
            <w:tcW w:w="0" w:type="auto"/>
            <w:shd w:val="clear" w:color="auto" w:fill="BDD6EE" w:themeFill="accent1" w:themeFillTint="66"/>
            <w:vAlign w:val="center"/>
          </w:tcPr>
          <w:p w14:paraId="289111F8" w14:textId="1C692456" w:rsidR="00BE26CF" w:rsidRPr="004C5667" w:rsidRDefault="00BF15A0" w:rsidP="00BB0C57">
            <w:pPr>
              <w:spacing w:after="0"/>
              <w:jc w:val="center"/>
            </w:pPr>
            <w:r>
              <w:t>Defra</w:t>
            </w:r>
            <w:r w:rsidR="00BE26CF" w:rsidRPr="004C5667">
              <w:t xml:space="preserve"> 2019</w:t>
            </w:r>
          </w:p>
        </w:tc>
        <w:tc>
          <w:tcPr>
            <w:tcW w:w="0" w:type="auto"/>
            <w:shd w:val="clear" w:color="auto" w:fill="BDD6EE" w:themeFill="accent1" w:themeFillTint="66"/>
            <w:vAlign w:val="center"/>
          </w:tcPr>
          <w:p w14:paraId="781CC3EB" w14:textId="095AAC36" w:rsidR="00BE26CF" w:rsidRPr="004C5667" w:rsidRDefault="00BF15A0" w:rsidP="00BB0C57">
            <w:pPr>
              <w:spacing w:after="0"/>
              <w:jc w:val="center"/>
            </w:pPr>
            <w:r>
              <w:t>Defra</w:t>
            </w:r>
            <w:r w:rsidR="00BE26CF" w:rsidRPr="004C5667">
              <w:t xml:space="preserve"> 2020+</w:t>
            </w:r>
          </w:p>
        </w:tc>
        <w:tc>
          <w:tcPr>
            <w:tcW w:w="0" w:type="auto"/>
            <w:shd w:val="clear" w:color="auto" w:fill="BDD6EE" w:themeFill="accent1" w:themeFillTint="66"/>
            <w:vAlign w:val="center"/>
          </w:tcPr>
          <w:p w14:paraId="12BD56FD" w14:textId="08AD36D2" w:rsidR="00BE26CF" w:rsidRPr="004C5667" w:rsidRDefault="00BE26CF" w:rsidP="00BB0C57">
            <w:pPr>
              <w:spacing w:after="0"/>
              <w:jc w:val="center"/>
            </w:pPr>
            <w:r w:rsidRPr="004C5667">
              <w:t>FCO</w:t>
            </w:r>
          </w:p>
        </w:tc>
      </w:tr>
      <w:tr w:rsidR="00BE26CF" w:rsidRPr="004C5667" w14:paraId="10E9384A" w14:textId="77777777" w:rsidTr="00BB0C57">
        <w:trPr>
          <w:trHeight w:val="510"/>
          <w:jc w:val="center"/>
        </w:trPr>
        <w:tc>
          <w:tcPr>
            <w:tcW w:w="0" w:type="auto"/>
            <w:vAlign w:val="center"/>
          </w:tcPr>
          <w:p w14:paraId="2B7FB948" w14:textId="77777777" w:rsidR="00BE26CF" w:rsidRPr="004C5667" w:rsidRDefault="00BE26CF" w:rsidP="00BB0C57">
            <w:pPr>
              <w:spacing w:after="0"/>
              <w:jc w:val="center"/>
            </w:pPr>
            <w:r w:rsidRPr="004C5667">
              <w:t>SCS</w:t>
            </w:r>
          </w:p>
        </w:tc>
        <w:tc>
          <w:tcPr>
            <w:tcW w:w="0" w:type="auto"/>
            <w:vAlign w:val="center"/>
          </w:tcPr>
          <w:p w14:paraId="5DF3C9C9" w14:textId="77777777" w:rsidR="00BE26CF" w:rsidRPr="004C5667" w:rsidRDefault="00BE26CF" w:rsidP="00BB0C57">
            <w:pPr>
              <w:spacing w:after="0"/>
              <w:jc w:val="center"/>
            </w:pPr>
            <w:r w:rsidRPr="004C5667">
              <w:t>0.05</w:t>
            </w:r>
          </w:p>
        </w:tc>
        <w:tc>
          <w:tcPr>
            <w:tcW w:w="0" w:type="auto"/>
            <w:vAlign w:val="center"/>
          </w:tcPr>
          <w:p w14:paraId="42DED4CD" w14:textId="45C9718B" w:rsidR="00BE26CF" w:rsidRPr="004C5667" w:rsidRDefault="00BE26CF" w:rsidP="00BB0C57">
            <w:pPr>
              <w:spacing w:after="0"/>
              <w:jc w:val="center"/>
            </w:pPr>
            <w:r w:rsidRPr="004C5667">
              <w:t>0.05</w:t>
            </w:r>
          </w:p>
        </w:tc>
        <w:tc>
          <w:tcPr>
            <w:tcW w:w="0" w:type="auto"/>
            <w:vAlign w:val="center"/>
          </w:tcPr>
          <w:p w14:paraId="6C90FA8F" w14:textId="0007B607" w:rsidR="00BE26CF" w:rsidRPr="004C5667" w:rsidRDefault="00BE26CF" w:rsidP="00BB0C57">
            <w:pPr>
              <w:spacing w:after="0"/>
              <w:jc w:val="center"/>
            </w:pPr>
            <w:r w:rsidRPr="004C5667">
              <w:t>0</w:t>
            </w:r>
          </w:p>
        </w:tc>
      </w:tr>
      <w:tr w:rsidR="00BE26CF" w:rsidRPr="004C5667" w14:paraId="5691AA33" w14:textId="77777777" w:rsidTr="00BB0C57">
        <w:trPr>
          <w:trHeight w:val="510"/>
          <w:jc w:val="center"/>
        </w:trPr>
        <w:tc>
          <w:tcPr>
            <w:tcW w:w="0" w:type="auto"/>
            <w:vAlign w:val="center"/>
          </w:tcPr>
          <w:p w14:paraId="5E211791" w14:textId="77777777" w:rsidR="00BE26CF" w:rsidRPr="004C5667" w:rsidRDefault="00BE26CF" w:rsidP="00BB0C57">
            <w:pPr>
              <w:spacing w:after="0"/>
              <w:jc w:val="center"/>
            </w:pPr>
            <w:r w:rsidRPr="004C5667">
              <w:t>G6</w:t>
            </w:r>
          </w:p>
        </w:tc>
        <w:tc>
          <w:tcPr>
            <w:tcW w:w="0" w:type="auto"/>
            <w:vAlign w:val="center"/>
          </w:tcPr>
          <w:p w14:paraId="369207B8" w14:textId="77777777" w:rsidR="00BE26CF" w:rsidRPr="004C5667" w:rsidRDefault="00BE26CF" w:rsidP="00BB0C57">
            <w:pPr>
              <w:spacing w:after="0"/>
              <w:jc w:val="center"/>
            </w:pPr>
            <w:r w:rsidRPr="004C5667">
              <w:t>0.1</w:t>
            </w:r>
          </w:p>
        </w:tc>
        <w:tc>
          <w:tcPr>
            <w:tcW w:w="0" w:type="auto"/>
            <w:vAlign w:val="center"/>
          </w:tcPr>
          <w:p w14:paraId="5583617E" w14:textId="488A065F" w:rsidR="00BE26CF" w:rsidRPr="004C5667" w:rsidRDefault="00BE26CF" w:rsidP="00BB0C57">
            <w:pPr>
              <w:spacing w:after="0"/>
              <w:jc w:val="center"/>
            </w:pPr>
            <w:r w:rsidRPr="004C5667">
              <w:t>0.1</w:t>
            </w:r>
          </w:p>
        </w:tc>
        <w:tc>
          <w:tcPr>
            <w:tcW w:w="0" w:type="auto"/>
            <w:vAlign w:val="center"/>
          </w:tcPr>
          <w:p w14:paraId="1B3EE2DB" w14:textId="687B1938" w:rsidR="00BE26CF" w:rsidRPr="004C5667" w:rsidRDefault="00BE26CF" w:rsidP="00BB0C57">
            <w:pPr>
              <w:spacing w:after="0"/>
              <w:jc w:val="center"/>
            </w:pPr>
            <w:r w:rsidRPr="004C5667">
              <w:t>0</w:t>
            </w:r>
          </w:p>
        </w:tc>
      </w:tr>
      <w:tr w:rsidR="00BE26CF" w:rsidRPr="004C5667" w14:paraId="7D711E06" w14:textId="77777777" w:rsidTr="00BB0C57">
        <w:trPr>
          <w:trHeight w:val="510"/>
          <w:jc w:val="center"/>
        </w:trPr>
        <w:tc>
          <w:tcPr>
            <w:tcW w:w="0" w:type="auto"/>
            <w:vAlign w:val="center"/>
          </w:tcPr>
          <w:p w14:paraId="2D3B3AAC" w14:textId="77777777" w:rsidR="00BE26CF" w:rsidRPr="004C5667" w:rsidRDefault="00BE26CF" w:rsidP="00BB0C57">
            <w:pPr>
              <w:spacing w:after="0"/>
              <w:jc w:val="center"/>
            </w:pPr>
            <w:r w:rsidRPr="004C5667">
              <w:t>G7</w:t>
            </w:r>
          </w:p>
        </w:tc>
        <w:tc>
          <w:tcPr>
            <w:tcW w:w="0" w:type="auto"/>
            <w:vAlign w:val="center"/>
          </w:tcPr>
          <w:p w14:paraId="5446B1A6" w14:textId="77777777" w:rsidR="00BE26CF" w:rsidRPr="004C5667" w:rsidRDefault="00BE26CF" w:rsidP="00BB0C57">
            <w:pPr>
              <w:spacing w:after="0"/>
              <w:jc w:val="center"/>
            </w:pPr>
            <w:r w:rsidRPr="004C5667">
              <w:t>0.1</w:t>
            </w:r>
          </w:p>
        </w:tc>
        <w:tc>
          <w:tcPr>
            <w:tcW w:w="0" w:type="auto"/>
            <w:vAlign w:val="center"/>
          </w:tcPr>
          <w:p w14:paraId="1E63D08D" w14:textId="4E2D206D" w:rsidR="00BE26CF" w:rsidRPr="004C5667" w:rsidRDefault="00BE26CF" w:rsidP="00BB0C57">
            <w:pPr>
              <w:spacing w:after="0"/>
              <w:jc w:val="center"/>
            </w:pPr>
            <w:r w:rsidRPr="004C5667">
              <w:t>0.1</w:t>
            </w:r>
          </w:p>
        </w:tc>
        <w:tc>
          <w:tcPr>
            <w:tcW w:w="0" w:type="auto"/>
            <w:vAlign w:val="center"/>
          </w:tcPr>
          <w:p w14:paraId="371A0CFD" w14:textId="54676A3F" w:rsidR="00BE26CF" w:rsidRPr="004C5667" w:rsidRDefault="00BE26CF" w:rsidP="00BB0C57">
            <w:pPr>
              <w:spacing w:after="0"/>
              <w:jc w:val="center"/>
            </w:pPr>
            <w:r w:rsidRPr="004C5667">
              <w:t>0</w:t>
            </w:r>
          </w:p>
        </w:tc>
      </w:tr>
      <w:tr w:rsidR="00BE26CF" w:rsidRPr="004C5667" w14:paraId="3B4B6AB9" w14:textId="77777777" w:rsidTr="00BB0C57">
        <w:trPr>
          <w:trHeight w:val="510"/>
          <w:jc w:val="center"/>
        </w:trPr>
        <w:tc>
          <w:tcPr>
            <w:tcW w:w="0" w:type="auto"/>
            <w:vAlign w:val="center"/>
          </w:tcPr>
          <w:p w14:paraId="7799BD65" w14:textId="77777777" w:rsidR="00BE26CF" w:rsidRPr="004C5667" w:rsidRDefault="00BE26CF" w:rsidP="00BB0C57">
            <w:pPr>
              <w:spacing w:after="0"/>
              <w:jc w:val="center"/>
            </w:pPr>
            <w:r w:rsidRPr="004C5667">
              <w:t>S/HEO</w:t>
            </w:r>
          </w:p>
        </w:tc>
        <w:tc>
          <w:tcPr>
            <w:tcW w:w="0" w:type="auto"/>
            <w:vAlign w:val="center"/>
          </w:tcPr>
          <w:p w14:paraId="6003B736" w14:textId="77777777" w:rsidR="00BE26CF" w:rsidRPr="004C5667" w:rsidRDefault="00BE26CF" w:rsidP="00BB0C57">
            <w:pPr>
              <w:spacing w:after="0"/>
              <w:jc w:val="center"/>
            </w:pPr>
            <w:r w:rsidRPr="004C5667">
              <w:t>0.7</w:t>
            </w:r>
          </w:p>
        </w:tc>
        <w:tc>
          <w:tcPr>
            <w:tcW w:w="0" w:type="auto"/>
            <w:vAlign w:val="center"/>
          </w:tcPr>
          <w:p w14:paraId="4D78305E" w14:textId="5756097A" w:rsidR="00BE26CF" w:rsidRPr="004C5667" w:rsidRDefault="00BE26CF" w:rsidP="00BB0C57">
            <w:pPr>
              <w:spacing w:after="0"/>
              <w:jc w:val="center"/>
            </w:pPr>
            <w:r w:rsidRPr="004C5667">
              <w:t>0.4</w:t>
            </w:r>
          </w:p>
        </w:tc>
        <w:tc>
          <w:tcPr>
            <w:tcW w:w="0" w:type="auto"/>
            <w:vAlign w:val="center"/>
          </w:tcPr>
          <w:p w14:paraId="099885A3" w14:textId="03938594" w:rsidR="00BE26CF" w:rsidRPr="004C5667" w:rsidRDefault="00BE26CF" w:rsidP="00BB0C57">
            <w:pPr>
              <w:spacing w:after="0"/>
              <w:jc w:val="center"/>
            </w:pPr>
            <w:r w:rsidRPr="004C5667">
              <w:t>0</w:t>
            </w:r>
          </w:p>
        </w:tc>
      </w:tr>
      <w:tr w:rsidR="00BE26CF" w:rsidRPr="004C5667" w14:paraId="21DC19E3" w14:textId="77777777" w:rsidTr="00BB0C57">
        <w:trPr>
          <w:trHeight w:val="510"/>
          <w:jc w:val="center"/>
        </w:trPr>
        <w:tc>
          <w:tcPr>
            <w:tcW w:w="0" w:type="auto"/>
            <w:vAlign w:val="center"/>
          </w:tcPr>
          <w:p w14:paraId="574A1100" w14:textId="77777777" w:rsidR="00BE26CF" w:rsidRPr="004C5667" w:rsidRDefault="00BE26CF" w:rsidP="00BB0C57">
            <w:pPr>
              <w:spacing w:after="0"/>
              <w:jc w:val="center"/>
            </w:pPr>
            <w:r w:rsidRPr="004C5667">
              <w:t>EO</w:t>
            </w:r>
          </w:p>
        </w:tc>
        <w:tc>
          <w:tcPr>
            <w:tcW w:w="0" w:type="auto"/>
            <w:vAlign w:val="center"/>
          </w:tcPr>
          <w:p w14:paraId="4F7B0604" w14:textId="77777777" w:rsidR="00BE26CF" w:rsidRPr="004C5667" w:rsidRDefault="00BE26CF" w:rsidP="00BB0C57">
            <w:pPr>
              <w:spacing w:after="0"/>
              <w:jc w:val="center"/>
            </w:pPr>
            <w:r w:rsidRPr="004C5667">
              <w:t>0.05</w:t>
            </w:r>
          </w:p>
        </w:tc>
        <w:tc>
          <w:tcPr>
            <w:tcW w:w="0" w:type="auto"/>
            <w:vAlign w:val="center"/>
          </w:tcPr>
          <w:p w14:paraId="4CB73D17" w14:textId="1AB66E5B" w:rsidR="00BE26CF" w:rsidRPr="004C5667" w:rsidRDefault="00BE26CF" w:rsidP="00BB0C57">
            <w:pPr>
              <w:spacing w:after="0"/>
              <w:jc w:val="center"/>
            </w:pPr>
            <w:r w:rsidRPr="004C5667">
              <w:t>0.05</w:t>
            </w:r>
          </w:p>
        </w:tc>
        <w:tc>
          <w:tcPr>
            <w:tcW w:w="0" w:type="auto"/>
            <w:vAlign w:val="center"/>
          </w:tcPr>
          <w:p w14:paraId="3DA29933" w14:textId="3F6CD1BE" w:rsidR="00BE26CF" w:rsidRPr="004C5667" w:rsidRDefault="00BE26CF" w:rsidP="00BB0C57">
            <w:pPr>
              <w:spacing w:after="0"/>
              <w:jc w:val="center"/>
            </w:pPr>
            <w:r w:rsidRPr="004C5667">
              <w:t>0</w:t>
            </w:r>
          </w:p>
        </w:tc>
      </w:tr>
      <w:tr w:rsidR="00BE26CF" w:rsidRPr="004C5667" w14:paraId="7C34218A" w14:textId="77777777" w:rsidTr="00BB0C57">
        <w:trPr>
          <w:trHeight w:val="510"/>
          <w:jc w:val="center"/>
        </w:trPr>
        <w:tc>
          <w:tcPr>
            <w:tcW w:w="0" w:type="auto"/>
            <w:shd w:val="clear" w:color="auto" w:fill="BDD6EE" w:themeFill="accent1" w:themeFillTint="66"/>
            <w:vAlign w:val="center"/>
          </w:tcPr>
          <w:p w14:paraId="13D9E392" w14:textId="77777777" w:rsidR="00BE26CF" w:rsidRPr="004C5667" w:rsidRDefault="00BE26CF" w:rsidP="00BB0C57">
            <w:pPr>
              <w:spacing w:after="0"/>
              <w:jc w:val="center"/>
              <w:rPr>
                <w:b/>
              </w:rPr>
            </w:pPr>
            <w:r w:rsidRPr="004C5667">
              <w:rPr>
                <w:b/>
              </w:rPr>
              <w:t>TOTAL</w:t>
            </w:r>
          </w:p>
        </w:tc>
        <w:tc>
          <w:tcPr>
            <w:tcW w:w="0" w:type="auto"/>
            <w:shd w:val="clear" w:color="auto" w:fill="BDD6EE" w:themeFill="accent1" w:themeFillTint="66"/>
            <w:vAlign w:val="center"/>
          </w:tcPr>
          <w:p w14:paraId="28FC242B" w14:textId="77777777" w:rsidR="00BE26CF" w:rsidRPr="004C5667" w:rsidRDefault="00BE26CF" w:rsidP="00BB0C57">
            <w:pPr>
              <w:spacing w:after="0"/>
              <w:jc w:val="center"/>
              <w:rPr>
                <w:b/>
              </w:rPr>
            </w:pPr>
            <w:r w:rsidRPr="004C5667">
              <w:rPr>
                <w:b/>
              </w:rPr>
              <w:t>1</w:t>
            </w:r>
          </w:p>
        </w:tc>
        <w:tc>
          <w:tcPr>
            <w:tcW w:w="0" w:type="auto"/>
            <w:shd w:val="clear" w:color="auto" w:fill="BDD6EE" w:themeFill="accent1" w:themeFillTint="66"/>
            <w:vAlign w:val="center"/>
          </w:tcPr>
          <w:p w14:paraId="29823C79" w14:textId="63B45526" w:rsidR="00BE26CF" w:rsidRPr="004C5667" w:rsidRDefault="00BE26CF" w:rsidP="00BB0C57">
            <w:pPr>
              <w:spacing w:after="0"/>
              <w:jc w:val="center"/>
              <w:rPr>
                <w:b/>
              </w:rPr>
            </w:pPr>
            <w:r w:rsidRPr="004C5667">
              <w:rPr>
                <w:b/>
              </w:rPr>
              <w:t>0.7</w:t>
            </w:r>
          </w:p>
        </w:tc>
        <w:tc>
          <w:tcPr>
            <w:tcW w:w="0" w:type="auto"/>
            <w:shd w:val="clear" w:color="auto" w:fill="BDD6EE" w:themeFill="accent1" w:themeFillTint="66"/>
            <w:vAlign w:val="center"/>
          </w:tcPr>
          <w:p w14:paraId="6C044E13" w14:textId="04C58B6B" w:rsidR="00BE26CF" w:rsidRPr="004C5667" w:rsidRDefault="00BE26CF" w:rsidP="009070C2">
            <w:pPr>
              <w:keepNext/>
              <w:spacing w:after="0"/>
              <w:jc w:val="center"/>
              <w:rPr>
                <w:b/>
              </w:rPr>
            </w:pPr>
            <w:r w:rsidRPr="004C5667">
              <w:rPr>
                <w:b/>
              </w:rPr>
              <w:t>0</w:t>
            </w:r>
          </w:p>
        </w:tc>
      </w:tr>
    </w:tbl>
    <w:p w14:paraId="06A9C2F6" w14:textId="3C1758CE" w:rsidR="009070C2" w:rsidRPr="00835728" w:rsidRDefault="009070C2" w:rsidP="009070C2">
      <w:pPr>
        <w:pStyle w:val="Caption"/>
        <w:spacing w:before="240"/>
        <w:jc w:val="center"/>
        <w:rPr>
          <w:sz w:val="22"/>
        </w:rPr>
      </w:pPr>
      <w:bookmarkStart w:id="90" w:name="_Toc523990668"/>
      <w:r w:rsidRPr="00835728">
        <w:rPr>
          <w:sz w:val="22"/>
        </w:rPr>
        <w:t xml:space="preserve">Figure </w:t>
      </w:r>
      <w:r w:rsidRPr="00835728">
        <w:rPr>
          <w:sz w:val="22"/>
        </w:rPr>
        <w:fldChar w:fldCharType="begin"/>
      </w:r>
      <w:r w:rsidRPr="00835728">
        <w:rPr>
          <w:sz w:val="22"/>
        </w:rPr>
        <w:instrText xml:space="preserve"> SEQ Figure \* ARABIC </w:instrText>
      </w:r>
      <w:r w:rsidRPr="00835728">
        <w:rPr>
          <w:sz w:val="22"/>
        </w:rPr>
        <w:fldChar w:fldCharType="separate"/>
      </w:r>
      <w:r w:rsidR="009D672A">
        <w:rPr>
          <w:noProof/>
          <w:sz w:val="22"/>
        </w:rPr>
        <w:t>14</w:t>
      </w:r>
      <w:r w:rsidRPr="00835728">
        <w:rPr>
          <w:sz w:val="22"/>
        </w:rPr>
        <w:fldChar w:fldCharType="end"/>
      </w:r>
      <w:r w:rsidRPr="00835728">
        <w:rPr>
          <w:sz w:val="22"/>
        </w:rPr>
        <w:t xml:space="preserve">: </w:t>
      </w:r>
      <w:r w:rsidRPr="00835728">
        <w:rPr>
          <w:i w:val="0"/>
          <w:sz w:val="22"/>
        </w:rPr>
        <w:t>Expected staff resource implications of this Defra ICF intervention</w:t>
      </w:r>
      <w:bookmarkEnd w:id="90"/>
    </w:p>
    <w:p w14:paraId="76F7A809" w14:textId="391ED68F" w:rsidR="006F46AC" w:rsidRPr="004C5667" w:rsidRDefault="006F46AC" w:rsidP="00EF36DF">
      <w:pPr>
        <w:pStyle w:val="Heading2"/>
      </w:pPr>
      <w:bookmarkStart w:id="91" w:name="_Toc527027985"/>
      <w:r w:rsidRPr="004C5667">
        <w:lastRenderedPageBreak/>
        <w:t>Affordability</w:t>
      </w:r>
      <w:bookmarkEnd w:id="91"/>
    </w:p>
    <w:p w14:paraId="15F659AF" w14:textId="7A32947E" w:rsidR="006F46AC" w:rsidRPr="004C5667" w:rsidRDefault="006F46AC" w:rsidP="00EF36DF">
      <w:r w:rsidRPr="004C5667">
        <w:t xml:space="preserve">The ICF budget has sufficient </w:t>
      </w:r>
      <w:r w:rsidR="00BE26CF" w:rsidRPr="004C5667">
        <w:t>Capital (</w:t>
      </w:r>
      <w:r w:rsidRPr="004C5667">
        <w:t>CDEL</w:t>
      </w:r>
      <w:r w:rsidR="00BE26CF" w:rsidRPr="004C5667">
        <w:t>)</w:t>
      </w:r>
      <w:r w:rsidR="001A3397">
        <w:t xml:space="preserve"> to fund this £12.75</w:t>
      </w:r>
      <w:r w:rsidRPr="004C5667">
        <w:t xml:space="preserve">m project in </w:t>
      </w:r>
      <w:r w:rsidR="00BE26CF" w:rsidRPr="004C5667">
        <w:t xml:space="preserve">the </w:t>
      </w:r>
      <w:r w:rsidRPr="004C5667">
        <w:t xml:space="preserve">2018/19 budget </w:t>
      </w:r>
      <w:r w:rsidR="00BE26CF" w:rsidRPr="004C5667">
        <w:t xml:space="preserve">allocation. </w:t>
      </w:r>
      <w:r w:rsidR="008F7C43">
        <w:t>Full c</w:t>
      </w:r>
      <w:r w:rsidR="00BE26CF" w:rsidRPr="004C5667">
        <w:t xml:space="preserve">ommittal of </w:t>
      </w:r>
      <w:r w:rsidRPr="004C5667">
        <w:t xml:space="preserve">funds are required this </w:t>
      </w:r>
      <w:r w:rsidR="00BE26CF" w:rsidRPr="004C5667">
        <w:t xml:space="preserve">calendar </w:t>
      </w:r>
      <w:r w:rsidRPr="004C5667">
        <w:t xml:space="preserve">year </w:t>
      </w:r>
      <w:r w:rsidR="00BE26CF" w:rsidRPr="004C5667">
        <w:t>(before 15</w:t>
      </w:r>
      <w:r w:rsidR="00BE26CF" w:rsidRPr="004C5667">
        <w:rPr>
          <w:vertAlign w:val="superscript"/>
        </w:rPr>
        <w:t>th</w:t>
      </w:r>
      <w:r w:rsidR="00BE26CF" w:rsidRPr="004C5667">
        <w:t xml:space="preserve"> December) </w:t>
      </w:r>
      <w:r w:rsidRPr="004C5667">
        <w:t xml:space="preserve">to </w:t>
      </w:r>
      <w:r w:rsidR="00D433D0">
        <w:t xml:space="preserve">provide assurances to the delivery partner and </w:t>
      </w:r>
      <w:r w:rsidRPr="004C5667">
        <w:t xml:space="preserve">allow the project to </w:t>
      </w:r>
      <w:r w:rsidR="00BE26CF" w:rsidRPr="004C5667">
        <w:t xml:space="preserve">launch across its entire pipeline </w:t>
      </w:r>
      <w:r w:rsidR="008F7C43">
        <w:t>as per the proposed budget and drawdown schedule</w:t>
      </w:r>
      <w:r w:rsidR="00BE26CF" w:rsidRPr="004C5667">
        <w:t>.</w:t>
      </w:r>
    </w:p>
    <w:p w14:paraId="343B7922" w14:textId="00AF0493" w:rsidR="00BE26CF" w:rsidRPr="004C5667" w:rsidRDefault="00BE26CF" w:rsidP="00EF36DF">
      <w:r w:rsidRPr="004C5667">
        <w:t xml:space="preserve">A promissory note is required to fund this </w:t>
      </w:r>
      <w:r w:rsidR="009B5436" w:rsidRPr="004C5667">
        <w:t>programme</w:t>
      </w:r>
      <w:r w:rsidRPr="004C5667">
        <w:t xml:space="preserve"> due to the requirements for full, irrevocable commitment of the funds </w:t>
      </w:r>
      <w:r w:rsidR="009B5436" w:rsidRPr="004C5667">
        <w:t xml:space="preserve">this year </w:t>
      </w:r>
      <w:r w:rsidRPr="004C5667">
        <w:t xml:space="preserve">which </w:t>
      </w:r>
      <w:r w:rsidR="00F049A9" w:rsidRPr="004C5667">
        <w:t xml:space="preserve">in turn </w:t>
      </w:r>
      <w:r w:rsidRPr="004C5667">
        <w:t xml:space="preserve">will allow </w:t>
      </w:r>
      <w:r w:rsidR="009B5436" w:rsidRPr="004C5667">
        <w:t xml:space="preserve">IDB to </w:t>
      </w:r>
      <w:r w:rsidRPr="004C5667">
        <w:t xml:space="preserve">launch and implement across the </w:t>
      </w:r>
      <w:r w:rsidR="00F049A9" w:rsidRPr="004C5667">
        <w:t xml:space="preserve">entire </w:t>
      </w:r>
      <w:r w:rsidRPr="004C5667">
        <w:t>portfolio of pipeline</w:t>
      </w:r>
      <w:r w:rsidR="00F049A9" w:rsidRPr="004C5667">
        <w:t>d</w:t>
      </w:r>
      <w:r w:rsidRPr="004C5667">
        <w:t xml:space="preserve"> projects. </w:t>
      </w:r>
      <w:r w:rsidR="008F7C43">
        <w:t>T</w:t>
      </w:r>
      <w:r w:rsidRPr="004C5667">
        <w:t xml:space="preserve">his is </w:t>
      </w:r>
      <w:r w:rsidR="009B5436" w:rsidRPr="004C5667">
        <w:t xml:space="preserve">therefore </w:t>
      </w:r>
      <w:r w:rsidRPr="004C5667">
        <w:t xml:space="preserve">the most appropriate funding mechanism to ensure the funds are not provided in advance of need but </w:t>
      </w:r>
      <w:r w:rsidR="008F7C43">
        <w:t xml:space="preserve">to </w:t>
      </w:r>
      <w:r w:rsidR="009B5436" w:rsidRPr="004C5667">
        <w:t xml:space="preserve">also allow the programme </w:t>
      </w:r>
      <w:r w:rsidR="008F7C43">
        <w:t>is incepted and begins delivery on schedule</w:t>
      </w:r>
      <w:r w:rsidR="009B5436" w:rsidRPr="004C5667">
        <w:t>.</w:t>
      </w:r>
    </w:p>
    <w:p w14:paraId="0FFBADC0" w14:textId="4978EEAC" w:rsidR="002F5537" w:rsidRPr="004C5667" w:rsidRDefault="002F5537" w:rsidP="002F5537">
      <w:pPr>
        <w:pStyle w:val="Heading3"/>
      </w:pPr>
      <w:r w:rsidRPr="004C5667">
        <w:t>Avoiding payment in advance of need</w:t>
      </w:r>
    </w:p>
    <w:p w14:paraId="7B464F0B" w14:textId="4186CBAD" w:rsidR="002F5537" w:rsidRPr="004C5667" w:rsidRDefault="002F5537" w:rsidP="00EF36DF">
      <w:r w:rsidRPr="004C5667">
        <w:t xml:space="preserve">In line with HMT’s guide on Managing Public Money, we will ensure that </w:t>
      </w:r>
      <w:r w:rsidR="00BF15A0">
        <w:t>Defra</w:t>
      </w:r>
      <w:r w:rsidRPr="004C5667">
        <w:t xml:space="preserve"> is not paying the IDB in advance of need. The ICF team at </w:t>
      </w:r>
      <w:r w:rsidR="00BF15A0">
        <w:t>Defra</w:t>
      </w:r>
      <w:r w:rsidRPr="004C5667">
        <w:t xml:space="preserve"> will monitor the disbursement schedule agreed with the IDB to </w:t>
      </w:r>
      <w:r w:rsidR="008F7C43">
        <w:t>assess</w:t>
      </w:r>
      <w:r w:rsidRPr="004C5667">
        <w:t xml:space="preserve"> if they are ahead or behind schedule</w:t>
      </w:r>
      <w:r w:rsidR="008F7C43">
        <w:t>,</w:t>
      </w:r>
      <w:r w:rsidRPr="004C5667">
        <w:t xml:space="preserve"> and revise the disbursement schedule for the Promissory note if necessary. In this way, </w:t>
      </w:r>
      <w:r w:rsidR="00BF15A0">
        <w:t>Defra</w:t>
      </w:r>
      <w:r w:rsidRPr="004C5667">
        <w:t xml:space="preserve"> can ensure that none of the funding is paid in advance of need.</w:t>
      </w:r>
    </w:p>
    <w:p w14:paraId="5F2CA367" w14:textId="6FE1982F" w:rsidR="00F049A9" w:rsidRPr="004C5667" w:rsidRDefault="00A71320" w:rsidP="008F7C43">
      <w:pPr>
        <w:pStyle w:val="Heading2"/>
      </w:pPr>
      <w:bookmarkStart w:id="92" w:name="_Toc527027986"/>
      <w:r w:rsidRPr="004C5667">
        <w:t>Expected Agents and Beneficiaries</w:t>
      </w:r>
      <w:bookmarkEnd w:id="92"/>
    </w:p>
    <w:p w14:paraId="2C858CAF" w14:textId="51119CC2" w:rsidR="00A71320" w:rsidRPr="004C5667" w:rsidRDefault="00A71320" w:rsidP="00EF36DF">
      <w:pPr>
        <w:rPr>
          <w:lang w:eastAsia="en-US"/>
        </w:rPr>
      </w:pPr>
      <w:r w:rsidRPr="004C5667">
        <w:t>The indicative organisations that the IDB will be working with include NGOs, local and national governments (including municipalities, ministries,) private sector entities such as fishermen associations, local alliances, and corporations, and universities. This list will be refined to specific agencies and beneficiaries during Log Frame development.</w:t>
      </w:r>
    </w:p>
    <w:p w14:paraId="385CB720" w14:textId="2F2518D2" w:rsidR="006F46AC" w:rsidRPr="004C5667" w:rsidRDefault="006F46AC" w:rsidP="00EF36DF">
      <w:pPr>
        <w:pStyle w:val="Heading2"/>
      </w:pPr>
      <w:bookmarkStart w:id="93" w:name="_Toc527027987"/>
      <w:r w:rsidRPr="004C5667">
        <w:t>Reporting and Accounting for Funds</w:t>
      </w:r>
      <w:bookmarkEnd w:id="93"/>
    </w:p>
    <w:p w14:paraId="79F94013" w14:textId="264417E1" w:rsidR="009B5436" w:rsidRPr="004C5667" w:rsidRDefault="009B5436" w:rsidP="00EF36DF">
      <w:r w:rsidRPr="004C5667">
        <w:t xml:space="preserve">Quarterly, internally produced reports on the spend progress against budget will be requested from IDB as well as an annual, externally audited financial report for the programme. </w:t>
      </w:r>
      <w:r w:rsidR="00CD2514" w:rsidRPr="004C5667">
        <w:t xml:space="preserve">These audited reports should separately identify </w:t>
      </w:r>
      <w:r w:rsidR="00BF15A0">
        <w:t>Defra</w:t>
      </w:r>
      <w:r w:rsidR="00CD2514" w:rsidRPr="004C5667">
        <w:t xml:space="preserve"> funding and spend, associated disbursements and show any unspent funds. </w:t>
      </w:r>
      <w:r w:rsidRPr="004C5667">
        <w:t xml:space="preserve">This is in line with the precedent set by our existing ICF portfolio and meets the expectations of </w:t>
      </w:r>
      <w:r w:rsidR="00CD2514" w:rsidRPr="004C5667">
        <w:t xml:space="preserve">our </w:t>
      </w:r>
      <w:r w:rsidRPr="004C5667">
        <w:t>Finance Business Partner.</w:t>
      </w:r>
    </w:p>
    <w:p w14:paraId="0D570AD1" w14:textId="13976D56" w:rsidR="009B5436" w:rsidRPr="004C5667" w:rsidRDefault="009B5436" w:rsidP="00EF36DF">
      <w:r w:rsidRPr="004C5667">
        <w:t xml:space="preserve">These reports are expected to disaggregate financial data by project and category of spend </w:t>
      </w:r>
      <w:r w:rsidR="00CD2514" w:rsidRPr="004C5667">
        <w:t xml:space="preserve">and </w:t>
      </w:r>
      <w:r w:rsidRPr="004C5667">
        <w:t>should also align with delivery plans for these projects.</w:t>
      </w:r>
    </w:p>
    <w:p w14:paraId="4971037C" w14:textId="6D15FD34" w:rsidR="006F46AC" w:rsidRPr="004C5667" w:rsidRDefault="006F46AC" w:rsidP="00EF36DF">
      <w:pPr>
        <w:pStyle w:val="Heading3"/>
      </w:pPr>
      <w:r w:rsidRPr="004C5667">
        <w:t>Monitoring and Evaluation</w:t>
      </w:r>
      <w:r w:rsidR="002D588A">
        <w:t xml:space="preserve"> (M&amp;E)</w:t>
      </w:r>
    </w:p>
    <w:p w14:paraId="7BC70EC9" w14:textId="36F8B598" w:rsidR="003143EB" w:rsidRPr="004C5667" w:rsidRDefault="003143EB" w:rsidP="00EF36DF">
      <w:pPr>
        <w:pStyle w:val="Heading4"/>
      </w:pPr>
      <w:r w:rsidRPr="004C5667">
        <w:t>Costs of M&amp;E</w:t>
      </w:r>
    </w:p>
    <w:p w14:paraId="7BE35265" w14:textId="55A2A423" w:rsidR="002D588A" w:rsidRDefault="002D588A" w:rsidP="00EF36DF">
      <w:r>
        <w:t>Ongoing M&amp;E at the project level is budgeted for a</w:t>
      </w:r>
      <w:r w:rsidR="00337B84">
        <w:t>nd</w:t>
      </w:r>
      <w:r>
        <w:t xml:space="preserve"> financed through the adminis</w:t>
      </w:r>
      <w:r w:rsidR="00337B84">
        <w:t xml:space="preserve">trative fees charged by the IDB (outlined above). Any additional </w:t>
      </w:r>
      <w:r>
        <w:t xml:space="preserve">costs </w:t>
      </w:r>
      <w:r w:rsidR="00337B84">
        <w:t xml:space="preserve">outside this </w:t>
      </w:r>
      <w:r>
        <w:t>will be absorbed by the Bank as part of their management cost-sharing initiatives outlined previous.</w:t>
      </w:r>
    </w:p>
    <w:p w14:paraId="277281CB" w14:textId="6DE04C36" w:rsidR="002D588A" w:rsidRDefault="00337B84" w:rsidP="00EF36DF">
      <w:r>
        <w:t>I</w:t>
      </w:r>
      <w:r w:rsidR="002D588A">
        <w:t xml:space="preserve">ndependent evaluations </w:t>
      </w:r>
      <w:r>
        <w:t xml:space="preserve">are scheduled </w:t>
      </w:r>
      <w:r w:rsidR="00005795">
        <w:t xml:space="preserve">in addition to the internal M&amp;E carried out by the IDB and in line with the paper approved by the ODA Board in July. These independent evaluations will be carried out in year 1 to provide baseline data, in </w:t>
      </w:r>
      <w:r w:rsidR="002D588A">
        <w:t>the midterm</w:t>
      </w:r>
      <w:r w:rsidR="00005795">
        <w:t xml:space="preserve"> </w:t>
      </w:r>
      <w:r w:rsidR="002E2B3C">
        <w:t xml:space="preserve">(approximately </w:t>
      </w:r>
      <w:r w:rsidR="00005795">
        <w:t>year 4</w:t>
      </w:r>
      <w:r w:rsidR="002E2B3C">
        <w:t>)</w:t>
      </w:r>
      <w:r w:rsidR="002D588A">
        <w:t xml:space="preserve"> and </w:t>
      </w:r>
      <w:r w:rsidR="00005795">
        <w:t xml:space="preserve">as an </w:t>
      </w:r>
      <w:r w:rsidR="002D588A">
        <w:t xml:space="preserve">end-term </w:t>
      </w:r>
      <w:r w:rsidR="00005795">
        <w:t xml:space="preserve">impact assessment </w:t>
      </w:r>
      <w:r w:rsidR="002D588A">
        <w:t>of the project</w:t>
      </w:r>
      <w:r w:rsidR="002E2B3C">
        <w:t>, likely at the end of year 6</w:t>
      </w:r>
      <w:r w:rsidR="002D588A">
        <w:t>.</w:t>
      </w:r>
      <w:r w:rsidR="00005795">
        <w:t xml:space="preserve"> </w:t>
      </w:r>
      <w:r w:rsidR="00B65DFC">
        <w:t xml:space="preserve">As discussed in section 5.6 the costs of the creating </w:t>
      </w:r>
      <w:r w:rsidR="00B65DFC">
        <w:lastRenderedPageBreak/>
        <w:t>and implementing of monitoring and evaluation systems can be classed as capital investments and have been budgeted for as such. These budgeted costs will be drawn down from the promissory note to be lodged at the end of 2018 but only for the years appropriate to the activities.</w:t>
      </w:r>
    </w:p>
    <w:p w14:paraId="3A95827F" w14:textId="2390004C" w:rsidR="00AC36B3" w:rsidRDefault="00AC36B3" w:rsidP="00EF36DF">
      <w:r>
        <w:t>Additionally to the financial justifications for this approach, external independent evaluations require significant resource (staff and financial), beyond the capacity of the current Defra ICF team. Contrastingly the IDB, as a trusted partner, have a database of independent M&amp;E consultants from which they can tender a contract for this work, QA the product and manage the selected organisation. Defra ICF team will be involved in the design of the evaluation plan (to include these independent assessments).</w:t>
      </w:r>
    </w:p>
    <w:p w14:paraId="3B22C528" w14:textId="21D6AF4D" w:rsidR="002E2B3C" w:rsidRDefault="002E2B3C" w:rsidP="00EF36DF">
      <w:r>
        <w:t>There is an understanding between both parties that although the project will “close” after 6 years, the risks associated with these blended finance mechanisms and the proceeding recycling of any returned risk capital as grants could mean that not all funding is redeployed at this stage. An end of term impact evaluation should take this into consideration.</w:t>
      </w:r>
    </w:p>
    <w:p w14:paraId="2AAE1C18" w14:textId="24CAA255" w:rsidR="006F46AC" w:rsidRPr="004C5667" w:rsidRDefault="002D588A" w:rsidP="00EF36DF">
      <w:pPr>
        <w:pStyle w:val="Heading2"/>
      </w:pPr>
      <w:bookmarkStart w:id="94" w:name="_Toc527027988"/>
      <w:r>
        <w:t xml:space="preserve">The IDBs Financial </w:t>
      </w:r>
      <w:r w:rsidR="006F46AC" w:rsidRPr="004C5667">
        <w:t>Strengths and Weaknesses</w:t>
      </w:r>
      <w:bookmarkEnd w:id="94"/>
    </w:p>
    <w:p w14:paraId="7478962A" w14:textId="5C3136C4" w:rsidR="006F46AC" w:rsidRDefault="006F46AC" w:rsidP="00EF36DF">
      <w:pPr>
        <w:rPr>
          <w:rFonts w:eastAsia="Arial" w:cs="Calibri"/>
          <w:color w:val="000000"/>
          <w:lang w:eastAsia="en-US"/>
        </w:rPr>
      </w:pPr>
      <w:proofErr w:type="spellStart"/>
      <w:r w:rsidRPr="004C5667">
        <w:t>DfID’s</w:t>
      </w:r>
      <w:proofErr w:type="spellEnd"/>
      <w:r w:rsidRPr="004C5667">
        <w:t xml:space="preserve"> </w:t>
      </w:r>
      <w:r w:rsidR="002D588A">
        <w:t xml:space="preserve">MDR </w:t>
      </w:r>
      <w:r w:rsidRPr="004C5667">
        <w:t xml:space="preserve">showed that </w:t>
      </w:r>
      <w:r w:rsidR="002D588A">
        <w:t xml:space="preserve">the </w:t>
      </w:r>
      <w:r w:rsidRPr="004C5667">
        <w:rPr>
          <w:rFonts w:eastAsia="Arial" w:cs="Calibri"/>
          <w:color w:val="000000"/>
          <w:lang w:eastAsia="en-US"/>
        </w:rPr>
        <w:t>IDB promotes prosperity and tackles inequality and pockets of extreme poverty in the Latin America and Caribbean region, where the UK has a limited development relationship. It provides loans, grants and technical assistance and has the most diversified sectorial portfolio among the regional development banks. Its borrowing countries regard it as highly influential.</w:t>
      </w:r>
    </w:p>
    <w:p w14:paraId="1647D132" w14:textId="79E18A65" w:rsidR="002D588A" w:rsidRDefault="002D588A" w:rsidP="00EF36DF">
      <w:pPr>
        <w:rPr>
          <w:rFonts w:eastAsia="Arial" w:cs="Calibri"/>
          <w:color w:val="000000"/>
          <w:lang w:eastAsia="en-US"/>
        </w:rPr>
      </w:pPr>
      <w:r w:rsidRPr="004C5667">
        <w:rPr>
          <w:rFonts w:eastAsia="Arial" w:cs="Calibri"/>
          <w:color w:val="000000"/>
          <w:lang w:eastAsia="en-US"/>
        </w:rPr>
        <w:t>The IDB’s debt rating is Triple-A, the highest available. By the end of 2017, the IDB had approved more than US$ 272 billion in loans and guarantees, including non-sovereign guaranteed lending through 2015, to finance projects with investments totalling over US$ 552 billion, as well</w:t>
      </w:r>
      <w:r>
        <w:rPr>
          <w:rFonts w:eastAsia="Arial" w:cs="Calibri"/>
          <w:color w:val="000000"/>
          <w:lang w:eastAsia="en-US"/>
        </w:rPr>
        <w:t xml:space="preserve"> as US$ 7.1 billion in grants. </w:t>
      </w:r>
    </w:p>
    <w:p w14:paraId="289869C5" w14:textId="77777777" w:rsidR="002D588A" w:rsidRPr="004C5667" w:rsidRDefault="002D588A" w:rsidP="002D588A">
      <w:pPr>
        <w:jc w:val="left"/>
        <w:rPr>
          <w:rFonts w:eastAsia="Arial" w:cs="Calibri"/>
          <w:color w:val="000000"/>
          <w:lang w:eastAsia="en-US"/>
        </w:rPr>
      </w:pPr>
      <w:r w:rsidRPr="004C5667">
        <w:rPr>
          <w:rFonts w:eastAsia="Arial" w:cs="Calibri"/>
          <w:color w:val="000000"/>
          <w:lang w:eastAsia="en-US"/>
        </w:rPr>
        <w:t xml:space="preserve">IDBs 2017 Annual Report can be found </w:t>
      </w:r>
      <w:hyperlink r:id="rId35" w:history="1">
        <w:r w:rsidRPr="004C5667">
          <w:rPr>
            <w:rStyle w:val="Hyperlink"/>
            <w:rFonts w:eastAsia="Arial" w:cs="Calibri"/>
            <w:lang w:eastAsia="en-US"/>
          </w:rPr>
          <w:t>here</w:t>
        </w:r>
      </w:hyperlink>
      <w:r w:rsidRPr="004C5667">
        <w:rPr>
          <w:rFonts w:eastAsia="Arial" w:cs="Calibri"/>
          <w:color w:val="000000"/>
          <w:lang w:eastAsia="en-US"/>
        </w:rPr>
        <w:t>.</w:t>
      </w:r>
    </w:p>
    <w:p w14:paraId="756EDC9F" w14:textId="77777777" w:rsidR="009070C2" w:rsidRDefault="006F46AC" w:rsidP="009070C2">
      <w:pPr>
        <w:keepNext/>
        <w:jc w:val="center"/>
      </w:pPr>
      <w:r w:rsidRPr="004C5667">
        <w:rPr>
          <w:noProof/>
        </w:rPr>
        <w:drawing>
          <wp:inline distT="0" distB="0" distL="0" distR="0" wp14:anchorId="21F71C02" wp14:editId="1FFA4FDF">
            <wp:extent cx="3935578" cy="3171628"/>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B Organisational Strengths.jpg"/>
                    <pic:cNvPicPr/>
                  </pic:nvPicPr>
                  <pic:blipFill>
                    <a:blip r:embed="rId36">
                      <a:extLst>
                        <a:ext uri="{28A0092B-C50C-407E-A947-70E740481C1C}">
                          <a14:useLocalDpi xmlns:a14="http://schemas.microsoft.com/office/drawing/2010/main" val="0"/>
                        </a:ext>
                      </a:extLst>
                    </a:blip>
                    <a:stretch>
                      <a:fillRect/>
                    </a:stretch>
                  </pic:blipFill>
                  <pic:spPr>
                    <a:xfrm>
                      <a:off x="0" y="0"/>
                      <a:ext cx="3938451" cy="3173943"/>
                    </a:xfrm>
                    <a:prstGeom prst="rect">
                      <a:avLst/>
                    </a:prstGeom>
                  </pic:spPr>
                </pic:pic>
              </a:graphicData>
            </a:graphic>
          </wp:inline>
        </w:drawing>
      </w:r>
    </w:p>
    <w:p w14:paraId="4AE7B56D" w14:textId="6954AEA3" w:rsidR="006F46AC" w:rsidRPr="00835728" w:rsidRDefault="009070C2" w:rsidP="009070C2">
      <w:pPr>
        <w:pStyle w:val="Caption"/>
        <w:jc w:val="center"/>
        <w:rPr>
          <w:i w:val="0"/>
          <w:sz w:val="22"/>
        </w:rPr>
      </w:pPr>
      <w:bookmarkStart w:id="95" w:name="_Toc523990669"/>
      <w:r w:rsidRPr="00835728">
        <w:rPr>
          <w:sz w:val="22"/>
        </w:rPr>
        <w:t xml:space="preserve">Figure </w:t>
      </w:r>
      <w:r w:rsidRPr="00835728">
        <w:rPr>
          <w:sz w:val="22"/>
        </w:rPr>
        <w:fldChar w:fldCharType="begin"/>
      </w:r>
      <w:r w:rsidRPr="00835728">
        <w:rPr>
          <w:sz w:val="22"/>
        </w:rPr>
        <w:instrText xml:space="preserve"> SEQ Figure \* ARABIC </w:instrText>
      </w:r>
      <w:r w:rsidRPr="00835728">
        <w:rPr>
          <w:sz w:val="22"/>
        </w:rPr>
        <w:fldChar w:fldCharType="separate"/>
      </w:r>
      <w:r w:rsidR="009D672A">
        <w:rPr>
          <w:noProof/>
          <w:sz w:val="22"/>
        </w:rPr>
        <w:t>15</w:t>
      </w:r>
      <w:r w:rsidRPr="00835728">
        <w:rPr>
          <w:sz w:val="22"/>
        </w:rPr>
        <w:fldChar w:fldCharType="end"/>
      </w:r>
      <w:r w:rsidRPr="00835728">
        <w:rPr>
          <w:sz w:val="22"/>
        </w:rPr>
        <w:t xml:space="preserve">: </w:t>
      </w:r>
      <w:r w:rsidRPr="00835728">
        <w:rPr>
          <w:i w:val="0"/>
          <w:sz w:val="22"/>
        </w:rPr>
        <w:t xml:space="preserve">IDBs Organisational Strength Index as part of </w:t>
      </w:r>
      <w:proofErr w:type="spellStart"/>
      <w:r w:rsidRPr="00835728">
        <w:rPr>
          <w:i w:val="0"/>
          <w:sz w:val="22"/>
        </w:rPr>
        <w:t>DfID’s</w:t>
      </w:r>
      <w:proofErr w:type="spellEnd"/>
      <w:r w:rsidRPr="00835728">
        <w:rPr>
          <w:i w:val="0"/>
          <w:sz w:val="22"/>
        </w:rPr>
        <w:t xml:space="preserve"> </w:t>
      </w:r>
      <w:r w:rsidR="00835728" w:rsidRPr="00835728">
        <w:rPr>
          <w:i w:val="0"/>
          <w:sz w:val="22"/>
        </w:rPr>
        <w:t>MDR</w:t>
      </w:r>
      <w:r w:rsidRPr="00835728">
        <w:rPr>
          <w:i w:val="0"/>
          <w:sz w:val="22"/>
        </w:rPr>
        <w:t xml:space="preserve"> in 2016</w:t>
      </w:r>
      <w:bookmarkEnd w:id="95"/>
      <w:r w:rsidRPr="00835728">
        <w:rPr>
          <w:rFonts w:eastAsia="Arial" w:cs="Calibri"/>
          <w:i w:val="0"/>
          <w:color w:val="000000"/>
          <w:sz w:val="20"/>
          <w:lang w:eastAsia="en-US"/>
        </w:rPr>
        <w:t xml:space="preserve"> </w:t>
      </w:r>
    </w:p>
    <w:p w14:paraId="3627E4E6" w14:textId="640BEF31" w:rsidR="006F46AC" w:rsidRPr="004C5667" w:rsidRDefault="006F46AC" w:rsidP="00EF36DF">
      <w:pPr>
        <w:pStyle w:val="Heading3"/>
      </w:pPr>
      <w:r w:rsidRPr="004C5667">
        <w:t>Transparency</w:t>
      </w:r>
    </w:p>
    <w:p w14:paraId="09342E91" w14:textId="5981F48C" w:rsidR="006F46AC" w:rsidRPr="002D588A" w:rsidRDefault="006F46AC" w:rsidP="00EF36DF">
      <w:proofErr w:type="spellStart"/>
      <w:r w:rsidRPr="002D588A">
        <w:lastRenderedPageBreak/>
        <w:t>DfID’s</w:t>
      </w:r>
      <w:proofErr w:type="spellEnd"/>
      <w:r w:rsidRPr="002D588A">
        <w:t xml:space="preserve"> </w:t>
      </w:r>
      <w:r w:rsidR="002D588A" w:rsidRPr="002D588A">
        <w:t xml:space="preserve">MDR </w:t>
      </w:r>
      <w:r w:rsidRPr="002D588A">
        <w:t xml:space="preserve">explains that generally agencies are taking </w:t>
      </w:r>
      <w:r w:rsidR="002D588A" w:rsidRPr="002D588A">
        <w:t xml:space="preserve">transparency </w:t>
      </w:r>
      <w:r w:rsidRPr="002D588A">
        <w:t xml:space="preserve">more seriously, with much more data now published in an accessible way, based on the standards of IATI, a foundation </w:t>
      </w:r>
      <w:r w:rsidR="002D588A" w:rsidRPr="002D588A">
        <w:t xml:space="preserve">that the UK helped to set up. </w:t>
      </w:r>
      <w:proofErr w:type="spellStart"/>
      <w:r w:rsidR="002D588A" w:rsidRPr="002D588A">
        <w:t>Df</w:t>
      </w:r>
      <w:r w:rsidRPr="002D588A">
        <w:t>ID</w:t>
      </w:r>
      <w:proofErr w:type="spellEnd"/>
      <w:r w:rsidRPr="002D588A">
        <w:t xml:space="preserve"> expects all its partners to meet IATI standards as a minimum. Most agencies are now following this standard including IDB.</w:t>
      </w:r>
      <w:r w:rsidR="00281707" w:rsidRPr="002D588A">
        <w:t xml:space="preserve"> The report concluded that t</w:t>
      </w:r>
      <w:r w:rsidRPr="002D588A">
        <w:rPr>
          <w:rFonts w:eastAsia="Arial" w:cs="Calibri"/>
          <w:color w:val="000000"/>
          <w:lang w:eastAsia="en-US"/>
        </w:rPr>
        <w:t xml:space="preserve">he IDB generally performs well in aid transparency but does fall short by allowing countries to object to disclosing certain information, however it scored a </w:t>
      </w:r>
      <w:r w:rsidRPr="002D588A">
        <w:rPr>
          <w:rFonts w:eastAsia="Arial" w:cs="Calibri"/>
          <w:i/>
          <w:color w:val="000000"/>
          <w:lang w:eastAsia="en-US"/>
        </w:rPr>
        <w:t xml:space="preserve">Good </w:t>
      </w:r>
      <w:r w:rsidRPr="002D588A">
        <w:rPr>
          <w:rFonts w:eastAsia="Arial" w:cs="Calibri"/>
          <w:color w:val="000000"/>
          <w:lang w:eastAsia="en-US"/>
        </w:rPr>
        <w:t xml:space="preserve">in the review. </w:t>
      </w:r>
    </w:p>
    <w:p w14:paraId="29D4C5B9" w14:textId="1F9E762A" w:rsidR="00281707" w:rsidRDefault="00281707" w:rsidP="00EF36DF">
      <w:r w:rsidRPr="004C5667">
        <w:t xml:space="preserve">The IDB was one of only 7 international organizations </w:t>
      </w:r>
      <w:r w:rsidR="002D588A">
        <w:t xml:space="preserve">that </w:t>
      </w:r>
      <w:r w:rsidRPr="004C5667">
        <w:t xml:space="preserve">qualified </w:t>
      </w:r>
      <w:r w:rsidR="002D588A">
        <w:t xml:space="preserve">for </w:t>
      </w:r>
      <w:r w:rsidRPr="004C5667">
        <w:t xml:space="preserve">the top ranking </w:t>
      </w:r>
      <w:r w:rsidR="002D588A">
        <w:t xml:space="preserve">of </w:t>
      </w:r>
      <w:r w:rsidRPr="004C5667">
        <w:t xml:space="preserve">“Very good” in transparency, in the 2018 Aid Transparency Index, an independent measure of aid transparency. The ranking includes 45 organizations worldwide. For more information and full report, please refer to the following </w:t>
      </w:r>
      <w:hyperlink r:id="rId37" w:history="1">
        <w:r w:rsidRPr="004C5667">
          <w:rPr>
            <w:rStyle w:val="Hyperlink"/>
            <w:rFonts w:asciiTheme="minorHAnsi" w:eastAsia="Times New Roman" w:hAnsiTheme="minorHAnsi" w:cstheme="minorHAnsi"/>
          </w:rPr>
          <w:t>link</w:t>
        </w:r>
      </w:hyperlink>
      <w:r w:rsidRPr="004C5667">
        <w:t>.</w:t>
      </w:r>
    </w:p>
    <w:p w14:paraId="5389AC8D" w14:textId="58B238BD" w:rsidR="002D588A" w:rsidRPr="002D588A" w:rsidRDefault="002D588A" w:rsidP="00EF36DF">
      <w:pPr>
        <w:rPr>
          <w:rFonts w:eastAsia="Arial" w:cs="Calibri"/>
          <w:color w:val="000000"/>
          <w:lang w:eastAsia="en-US"/>
        </w:rPr>
      </w:pPr>
      <w:r>
        <w:rPr>
          <w:rFonts w:eastAsia="Arial" w:cs="Calibri"/>
          <w:color w:val="000000"/>
          <w:lang w:eastAsia="en-US"/>
        </w:rPr>
        <w:t>The MDR noted that “b</w:t>
      </w:r>
      <w:r w:rsidRPr="004C5667">
        <w:rPr>
          <w:rFonts w:eastAsia="Arial" w:cs="Calibri"/>
          <w:color w:val="000000"/>
          <w:lang w:eastAsia="en-US"/>
        </w:rPr>
        <w:t xml:space="preserve">uilding on its stated focus on inequality, IDB could put greater emphasis on girls and women and demonstrate broader ambition on the </w:t>
      </w:r>
      <w:r w:rsidRPr="004C5667">
        <w:rPr>
          <w:rFonts w:eastAsia="Arial" w:cs="Calibri"/>
          <w:i/>
          <w:color w:val="000000"/>
          <w:lang w:eastAsia="en-US"/>
        </w:rPr>
        <w:t xml:space="preserve">Leave No-one </w:t>
      </w:r>
      <w:proofErr w:type="gramStart"/>
      <w:r w:rsidRPr="004C5667">
        <w:rPr>
          <w:rFonts w:eastAsia="Arial" w:cs="Calibri"/>
          <w:i/>
          <w:color w:val="000000"/>
          <w:lang w:eastAsia="en-US"/>
        </w:rPr>
        <w:t>Behind</w:t>
      </w:r>
      <w:proofErr w:type="gramEnd"/>
      <w:r w:rsidRPr="004C5667">
        <w:rPr>
          <w:rFonts w:eastAsia="Arial" w:cs="Calibri"/>
          <w:color w:val="000000"/>
          <w:lang w:eastAsia="en-US"/>
        </w:rPr>
        <w:t xml:space="preserve"> agenda. It needs to continue progr</w:t>
      </w:r>
      <w:r>
        <w:rPr>
          <w:rFonts w:eastAsia="Arial" w:cs="Calibri"/>
          <w:color w:val="000000"/>
          <w:lang w:eastAsia="en-US"/>
        </w:rPr>
        <w:t xml:space="preserve">ess with accountability reforms”. As such </w:t>
      </w:r>
      <w:r w:rsidR="00BF15A0">
        <w:rPr>
          <w:rFonts w:eastAsia="Arial" w:cs="Calibri"/>
          <w:color w:val="000000"/>
          <w:lang w:eastAsia="en-US"/>
        </w:rPr>
        <w:t>Defra</w:t>
      </w:r>
      <w:r>
        <w:rPr>
          <w:rFonts w:eastAsia="Arial" w:cs="Calibri"/>
          <w:color w:val="000000"/>
          <w:lang w:eastAsia="en-US"/>
        </w:rPr>
        <w:t xml:space="preserve"> ICF will ensure pressure is put on the Bank to report against these metrics.</w:t>
      </w:r>
    </w:p>
    <w:p w14:paraId="494421DF" w14:textId="2C39EC33" w:rsidR="006156C7" w:rsidRPr="004C5667" w:rsidRDefault="00866E69" w:rsidP="00EF36DF">
      <w:pPr>
        <w:pStyle w:val="Heading3"/>
      </w:pPr>
      <w:r w:rsidRPr="004C5667">
        <w:t>Projected Downstream Partners</w:t>
      </w:r>
    </w:p>
    <w:p w14:paraId="4C37BEEF" w14:textId="1736B590" w:rsidR="006156C7" w:rsidRPr="004C5667" w:rsidRDefault="006156C7" w:rsidP="00EF36DF">
      <w:pPr>
        <w:rPr>
          <w:lang w:eastAsia="en-US"/>
        </w:rPr>
      </w:pPr>
      <w:r w:rsidRPr="004C5667">
        <w:rPr>
          <w:lang w:eastAsia="en-US"/>
        </w:rPr>
        <w:t>The programme will be working across multiple sectors including with NGOs, local and national governments (including municipalities, ministries,) private s</w:t>
      </w:r>
      <w:r w:rsidR="002D588A">
        <w:rPr>
          <w:lang w:eastAsia="en-US"/>
        </w:rPr>
        <w:t>ector entities such as fisher</w:t>
      </w:r>
      <w:r w:rsidRPr="004C5667">
        <w:rPr>
          <w:lang w:eastAsia="en-US"/>
        </w:rPr>
        <w:t xml:space="preserve"> associations, local alliances, corporations, and universities. Specific organisations and businesses will be developed and finalised before the end of 2018 in time for implementation in 2019. </w:t>
      </w:r>
    </w:p>
    <w:p w14:paraId="08C8EB66" w14:textId="5B6B873A" w:rsidR="006F46AC" w:rsidRPr="004C5667" w:rsidRDefault="006F46AC" w:rsidP="00EF36DF">
      <w:pPr>
        <w:pStyle w:val="Heading2"/>
      </w:pPr>
      <w:bookmarkStart w:id="96" w:name="_Toc527027989"/>
      <w:r w:rsidRPr="004C5667">
        <w:t>Financial Accounting Considerations</w:t>
      </w:r>
      <w:bookmarkEnd w:id="96"/>
    </w:p>
    <w:p w14:paraId="6409047A" w14:textId="77777777" w:rsidR="00DC1317" w:rsidRPr="004C5667" w:rsidRDefault="00DC1317" w:rsidP="00EF36DF">
      <w:pPr>
        <w:pStyle w:val="Heading3"/>
      </w:pPr>
      <w:r w:rsidRPr="004C5667">
        <w:t xml:space="preserve">ODA Eligibility </w:t>
      </w:r>
    </w:p>
    <w:p w14:paraId="7825FA87" w14:textId="468FD0DF" w:rsidR="00DC1317" w:rsidRDefault="00DC1317" w:rsidP="00EF36DF">
      <w:r w:rsidRPr="004C5667">
        <w:t>Target countries for the programme include: Belize, Colombia, Dominican Republic, Ecuador, Guatemala, Guyana, Haiti, Honduras, Jamaica, Nicaragua, Panama and Suriname. The IDB have confirmed that all prospective delivery countries and activities within these countries will be ODA eligible.</w:t>
      </w:r>
    </w:p>
    <w:p w14:paraId="28E00904" w14:textId="21BA0198" w:rsidR="002D588A" w:rsidRPr="004C5667" w:rsidRDefault="002D588A" w:rsidP="002D588A">
      <w:pPr>
        <w:pStyle w:val="Heading3"/>
      </w:pPr>
      <w:r>
        <w:t>Capital (CDEL) Expenditure</w:t>
      </w:r>
    </w:p>
    <w:p w14:paraId="7F4FC139" w14:textId="453B7CA6" w:rsidR="005D2004" w:rsidRPr="004C5667" w:rsidRDefault="00594755" w:rsidP="00EF36DF">
      <w:r w:rsidRPr="004C5667">
        <w:t>Capital a</w:t>
      </w:r>
      <w:r w:rsidR="005D2004" w:rsidRPr="004C5667">
        <w:t>ssets can be financial (bank deposits, bonds, loans, shares, accounts receivable) or non</w:t>
      </w:r>
      <w:r w:rsidR="001402A1" w:rsidRPr="004C5667">
        <w:t>-</w:t>
      </w:r>
      <w:r w:rsidR="005D2004" w:rsidRPr="004C5667">
        <w:t>financial (land, buildings, vehicles, equipment, machines, rights to use physical structures or information, goodwill and other intangibles</w:t>
      </w:r>
      <w:r w:rsidR="002C3D1E" w:rsidRPr="004C5667">
        <w:t xml:space="preserve"> such </w:t>
      </w:r>
      <w:r w:rsidR="00A57AD5">
        <w:t xml:space="preserve">as knowledge products, </w:t>
      </w:r>
      <w:r w:rsidRPr="004C5667">
        <w:t xml:space="preserve">those </w:t>
      </w:r>
      <w:r w:rsidR="005D2004" w:rsidRPr="004C5667">
        <w:t>intended to be preserved for future generations because of their environmental associations</w:t>
      </w:r>
      <w:r w:rsidR="00A57AD5">
        <w:t>,</w:t>
      </w:r>
      <w:r w:rsidRPr="004C5667">
        <w:t xml:space="preserve"> and </w:t>
      </w:r>
      <w:r w:rsidR="002C3D1E" w:rsidRPr="004C5667">
        <w:t xml:space="preserve">those </w:t>
      </w:r>
      <w:r w:rsidR="005D2004" w:rsidRPr="004C5667">
        <w:t>taking steps to increase the value of natural assets by the productive activity of economic entities.</w:t>
      </w:r>
    </w:p>
    <w:p w14:paraId="1D358470" w14:textId="2012C952" w:rsidR="006D661C" w:rsidRDefault="006D661C" w:rsidP="00EF36DF">
      <w:r w:rsidRPr="004C5667">
        <w:t>Analysis undertaken by financial accountants at BEIS as part of a review of a World Bank paper on expenditure types showed that expenditure on projects of this sort could in almost all instances be counted as capital (CDEL).</w:t>
      </w:r>
    </w:p>
    <w:p w14:paraId="1EA14791" w14:textId="6C44ABF1" w:rsidR="006D661C" w:rsidRPr="004C5667" w:rsidRDefault="006D661C" w:rsidP="00EF36DF">
      <w:pPr>
        <w:pStyle w:val="Heading3"/>
      </w:pPr>
      <w:r w:rsidRPr="004C5667">
        <w:t xml:space="preserve">CDEL </w:t>
      </w:r>
      <w:r w:rsidR="002D588A">
        <w:t>C</w:t>
      </w:r>
      <w:r w:rsidRPr="004C5667">
        <w:t>ategories</w:t>
      </w:r>
    </w:p>
    <w:p w14:paraId="47E7BB8C" w14:textId="0450E4CE" w:rsidR="006D661C" w:rsidRPr="004C5667" w:rsidRDefault="006D661C" w:rsidP="00EF36DF">
      <w:r w:rsidRPr="004C5667">
        <w:t xml:space="preserve">In this instance, the capital purchases involved in this project can be grouped into </w:t>
      </w:r>
      <w:r w:rsidR="00B53AC2" w:rsidRPr="004C5667">
        <w:t xml:space="preserve">three </w:t>
      </w:r>
      <w:r w:rsidRPr="004C5667">
        <w:t>categories.</w:t>
      </w:r>
    </w:p>
    <w:p w14:paraId="0E6BB53B" w14:textId="5A2B0738" w:rsidR="00594755" w:rsidRPr="004C5667" w:rsidRDefault="00B53AC2" w:rsidP="00EF36DF">
      <w:pPr>
        <w:pStyle w:val="Heading4"/>
      </w:pPr>
      <w:r w:rsidRPr="004C5667">
        <w:t xml:space="preserve">CATEGORY 1: </w:t>
      </w:r>
      <w:r w:rsidR="00594755" w:rsidRPr="004C5667">
        <w:t>Investments</w:t>
      </w:r>
    </w:p>
    <w:p w14:paraId="513088C5" w14:textId="4D7CE534" w:rsidR="006D661C" w:rsidRPr="004C5667" w:rsidRDefault="00594755" w:rsidP="00EF36DF">
      <w:r w:rsidRPr="004C5667">
        <w:lastRenderedPageBreak/>
        <w:t>This expenditure category focuses on both</w:t>
      </w:r>
      <w:r w:rsidR="006D661C" w:rsidRPr="004C5667">
        <w:t xml:space="preserve"> tangible and intangible assets. Items included could be s</w:t>
      </w:r>
      <w:r w:rsidRPr="004C5667">
        <w:t>eeds</w:t>
      </w:r>
      <w:r w:rsidR="006D661C" w:rsidRPr="004C5667">
        <w:t>, seedlings, trees, irrigation systems, fertilisers, vehicles, computers, and the establishment of participatory forest management areas and plans.</w:t>
      </w:r>
    </w:p>
    <w:p w14:paraId="31D6BB41" w14:textId="0FB1C539" w:rsidR="00594755" w:rsidRPr="004C5667" w:rsidRDefault="006D661C" w:rsidP="00EF36DF">
      <w:r w:rsidRPr="004C5667">
        <w:t>The International Financial Reporting Standards (</w:t>
      </w:r>
      <w:r w:rsidR="00594755" w:rsidRPr="004C5667">
        <w:t>IFRS</w:t>
      </w:r>
      <w:r w:rsidRPr="004C5667">
        <w:t>) body publishes International Accounting Standards (IAS) pertinent to this categorisation.</w:t>
      </w:r>
      <w:r w:rsidR="00594755" w:rsidRPr="004C5667">
        <w:t xml:space="preserve"> IAS 16, 38 and 41 all state that an asset may be recognised when it is probable that future economic benefits will flow to the entity, and the cost of the as</w:t>
      </w:r>
      <w:r w:rsidR="00DD73CB" w:rsidRPr="004C5667">
        <w:t xml:space="preserve">set can be measured reliably.  </w:t>
      </w:r>
    </w:p>
    <w:p w14:paraId="78AA613C" w14:textId="118054BD" w:rsidR="00594755" w:rsidRPr="004C5667" w:rsidRDefault="00594755" w:rsidP="00EF36DF">
      <w:r w:rsidRPr="004C5667">
        <w:t>In this expenditure category the investments clearly meet the above criteria and can be classed as CDEL expenditure. The economic life, and benefits derived from holding the assets are expected to be greater than one year, and as such the investments would be cl</w:t>
      </w:r>
      <w:r w:rsidR="00DD73CB" w:rsidRPr="004C5667">
        <w:t xml:space="preserve">assed as non-current assets.   </w:t>
      </w:r>
    </w:p>
    <w:p w14:paraId="3B613E85" w14:textId="0D91B6F4" w:rsidR="00594755" w:rsidRPr="004C5667" w:rsidRDefault="00B53AC2" w:rsidP="00EF36DF">
      <w:pPr>
        <w:pStyle w:val="Heading4"/>
      </w:pPr>
      <w:r w:rsidRPr="004C5667">
        <w:t xml:space="preserve">CATEGORY 2: </w:t>
      </w:r>
      <w:r w:rsidR="00594755" w:rsidRPr="004C5667">
        <w:t>Monitoring, Reporting and Verification (MRV) Systems</w:t>
      </w:r>
    </w:p>
    <w:p w14:paraId="01AE107B" w14:textId="59F5DEDC" w:rsidR="00594755" w:rsidRPr="004C5667" w:rsidRDefault="00594755" w:rsidP="00EF36DF">
      <w:r w:rsidRPr="004C5667">
        <w:t>In order to receive payments</w:t>
      </w:r>
      <w:r w:rsidR="00513EF4">
        <w:t>, perform effectively and report issues</w:t>
      </w:r>
      <w:r w:rsidRPr="004C5667">
        <w:t>,</w:t>
      </w:r>
      <w:r w:rsidR="00513EF4">
        <w:t xml:space="preserve"> all programmes</w:t>
      </w:r>
      <w:r w:rsidRPr="004C5667">
        <w:t xml:space="preserve"> </w:t>
      </w:r>
      <w:r w:rsidR="00513EF4">
        <w:t>need to have monitoring</w:t>
      </w:r>
      <w:r w:rsidRPr="004C5667">
        <w:t xml:space="preserve"> </w:t>
      </w:r>
      <w:r w:rsidR="00BF15A0">
        <w:t>systems in place.  This could include</w:t>
      </w:r>
      <w:r w:rsidRPr="004C5667">
        <w:t xml:space="preserve"> </w:t>
      </w:r>
      <w:r w:rsidR="00513EF4">
        <w:t xml:space="preserve">evaluation plans for independent assessments and </w:t>
      </w:r>
      <w:r w:rsidRPr="004C5667">
        <w:t xml:space="preserve">large databases. These systems may also include management information systems for forests, land use or </w:t>
      </w:r>
      <w:r w:rsidR="00DD73CB" w:rsidRPr="004C5667">
        <w:t>registries.</w:t>
      </w:r>
    </w:p>
    <w:p w14:paraId="5792A473" w14:textId="73EB74CB" w:rsidR="00594755" w:rsidRPr="004C5667" w:rsidRDefault="00594755" w:rsidP="00EF36DF">
      <w:r w:rsidRPr="004C5667">
        <w:t>IFRS - IAS 16 states that an asset may be recognised when it is probable that future economic benefits will flow to the entity, and the cost of the asset can be measured reliably.  IAS 16 also states that costs incurred initially to acquire or construct an item of property, plant and equipment can be recognised as capital, and so thes</w:t>
      </w:r>
      <w:r w:rsidR="00DD73CB" w:rsidRPr="004C5667">
        <w:t>e costs may be capitalised too.</w:t>
      </w:r>
    </w:p>
    <w:p w14:paraId="77C0C2AA" w14:textId="6804D89C" w:rsidR="00D7197A" w:rsidRPr="004C5667" w:rsidRDefault="00594755" w:rsidP="00EF36DF">
      <w:r w:rsidRPr="004C5667">
        <w:t xml:space="preserve">It is reasonable to class the </w:t>
      </w:r>
      <w:r w:rsidR="00513EF4">
        <w:t>monitoring and evaluation</w:t>
      </w:r>
      <w:r w:rsidR="00BF15A0">
        <w:t xml:space="preserve"> systems as assets since they involve the g</w:t>
      </w:r>
      <w:r w:rsidR="00BF15A0" w:rsidRPr="00BF15A0">
        <w:t xml:space="preserve">eneration of a knowledge product which is an asset </w:t>
      </w:r>
      <w:r w:rsidR="00BF15A0">
        <w:t xml:space="preserve">in itself but also </w:t>
      </w:r>
      <w:r w:rsidR="00BF15A0" w:rsidRPr="00BF15A0">
        <w:t xml:space="preserve">adds value </w:t>
      </w:r>
      <w:r w:rsidR="00BF15A0">
        <w:t>to other assets within the programme. The</w:t>
      </w:r>
      <w:r w:rsidR="00BF15A0" w:rsidRPr="004C5667">
        <w:t xml:space="preserve"> economic life, and benefits</w:t>
      </w:r>
      <w:r w:rsidR="00BF15A0">
        <w:t xml:space="preserve"> derived from holding the asset</w:t>
      </w:r>
      <w:r w:rsidR="00BF15A0" w:rsidRPr="004C5667">
        <w:t xml:space="preserve"> are </w:t>
      </w:r>
      <w:r w:rsidR="00BF15A0">
        <w:t xml:space="preserve">also </w:t>
      </w:r>
      <w:r w:rsidR="00BF15A0" w:rsidRPr="004C5667">
        <w:t>expected to be greater than one year.</w:t>
      </w:r>
      <w:r w:rsidR="00BF15A0">
        <w:t xml:space="preserve"> </w:t>
      </w:r>
      <w:r w:rsidRPr="004C5667">
        <w:t xml:space="preserve">Furthermore, the costs incurred to acquire these assets </w:t>
      </w:r>
      <w:r w:rsidR="00513EF4">
        <w:t>can be recognised as assets.</w:t>
      </w:r>
    </w:p>
    <w:p w14:paraId="5FF81D0B" w14:textId="084EB3E5" w:rsidR="00594755" w:rsidRPr="004C5667" w:rsidRDefault="00B53AC2" w:rsidP="00EF36DF">
      <w:pPr>
        <w:pStyle w:val="Heading4"/>
      </w:pPr>
      <w:r w:rsidRPr="004C5667">
        <w:t xml:space="preserve">CATEGORY 3: </w:t>
      </w:r>
      <w:r w:rsidR="00DD73CB" w:rsidRPr="004C5667">
        <w:t>Other capital costs</w:t>
      </w:r>
    </w:p>
    <w:p w14:paraId="4C7F216A" w14:textId="0A12500E" w:rsidR="00594755" w:rsidRPr="004C5667" w:rsidRDefault="00594755" w:rsidP="00EF36DF">
      <w:pPr>
        <w:pStyle w:val="Heading5"/>
      </w:pPr>
      <w:r w:rsidRPr="004C5667">
        <w:t>Land Use &amp; Enforcement</w:t>
      </w:r>
    </w:p>
    <w:p w14:paraId="40B1F340" w14:textId="45DC0CFD" w:rsidR="00594755" w:rsidRPr="004C5667" w:rsidRDefault="00594755" w:rsidP="00EF36DF">
      <w:r w:rsidRPr="004C5667">
        <w:t>The activities in this expenditure category ensure that staff can utilise assets (</w:t>
      </w:r>
      <w:r w:rsidR="00BF15A0">
        <w:t xml:space="preserve">e.g. </w:t>
      </w:r>
      <w:r w:rsidRPr="004C5667">
        <w:t>trees, vehicles, fire prevention equipment) in order to intervene in deforestation activity</w:t>
      </w:r>
      <w:r w:rsidR="00DD73CB" w:rsidRPr="004C5667">
        <w:t xml:space="preserve"> supports and preserves assets.</w:t>
      </w:r>
    </w:p>
    <w:p w14:paraId="05CDA390" w14:textId="77777777" w:rsidR="00594755" w:rsidRPr="004C5667" w:rsidRDefault="00594755" w:rsidP="00EF36DF">
      <w:r w:rsidRPr="004C5667">
        <w:t xml:space="preserve">IFRS - IAS 16 states that asset costs include all costs necessary to bring the asset to working condition for its intended use.  </w:t>
      </w:r>
    </w:p>
    <w:p w14:paraId="0A0EBBE5" w14:textId="0E21E416" w:rsidR="00594755" w:rsidRPr="004C5667" w:rsidRDefault="00594755" w:rsidP="00EF36DF">
      <w:r w:rsidRPr="004C5667">
        <w:t>These activities are necessa</w:t>
      </w:r>
      <w:r w:rsidR="006D661C" w:rsidRPr="004C5667">
        <w:t>ry to allow assets to be fully u</w:t>
      </w:r>
      <w:r w:rsidRPr="004C5667">
        <w:t>tilised and are therefore directly attributable to the creation of an asset (in this case, a productive</w:t>
      </w:r>
      <w:r w:rsidR="00BF15A0">
        <w:t>, protected</w:t>
      </w:r>
      <w:r w:rsidR="00DD73CB" w:rsidRPr="004C5667">
        <w:t xml:space="preserve"> forest environment).</w:t>
      </w:r>
    </w:p>
    <w:p w14:paraId="724AF47D" w14:textId="16A0ACB5" w:rsidR="00594755" w:rsidRPr="004C5667" w:rsidRDefault="00594755" w:rsidP="00EF36DF">
      <w:pPr>
        <w:pStyle w:val="Heading5"/>
      </w:pPr>
      <w:r w:rsidRPr="004C5667">
        <w:t>Design &amp; Implementation Inputs</w:t>
      </w:r>
    </w:p>
    <w:p w14:paraId="492EAA02" w14:textId="2A556AD4" w:rsidR="00594755" w:rsidRPr="004C5667" w:rsidRDefault="00594755" w:rsidP="00EF36DF">
      <w:r w:rsidRPr="004C5667">
        <w:t>This is defined in the World Bank paper as analytical work, advisory services, and technical input to directly guide the design and impleme</w:t>
      </w:r>
      <w:r w:rsidR="00DD73CB" w:rsidRPr="004C5667">
        <w:t>ntation of individual projects.</w:t>
      </w:r>
    </w:p>
    <w:p w14:paraId="219EB541" w14:textId="12D009A7" w:rsidR="00594755" w:rsidRPr="004C5667" w:rsidRDefault="00594755" w:rsidP="00EF36DF">
      <w:r w:rsidRPr="004C5667">
        <w:t xml:space="preserve">IAS 16 states that asset costs include all costs necessary to bring the asset to working condition for its intended use, and that costs incurred initially to acquire or construct an item of property plant and equipment </w:t>
      </w:r>
      <w:r w:rsidR="00DD73CB" w:rsidRPr="004C5667">
        <w:t xml:space="preserve">can be recognised as capital.  </w:t>
      </w:r>
    </w:p>
    <w:p w14:paraId="677BDD03" w14:textId="050B0361" w:rsidR="00594755" w:rsidRPr="004C5667" w:rsidRDefault="00594755" w:rsidP="00EF36DF">
      <w:r w:rsidRPr="004C5667">
        <w:lastRenderedPageBreak/>
        <w:t>The analytical work, advisory services, and technical input are necessary building blocks to the creation of individual assets in working condition.  The associated costs s</w:t>
      </w:r>
      <w:r w:rsidR="00DD73CB" w:rsidRPr="004C5667">
        <w:t>hould therefore be capitalised.</w:t>
      </w:r>
    </w:p>
    <w:p w14:paraId="15DAA07F" w14:textId="695E0942" w:rsidR="00594755" w:rsidRPr="004C5667" w:rsidRDefault="00594755" w:rsidP="00EF36DF">
      <w:pPr>
        <w:pStyle w:val="Heading5"/>
      </w:pPr>
      <w:r w:rsidRPr="004C5667">
        <w:t>Advisory services and Investment Services</w:t>
      </w:r>
    </w:p>
    <w:p w14:paraId="45A982AC" w14:textId="1FB88920" w:rsidR="00594755" w:rsidRPr="004C5667" w:rsidRDefault="00BF15A0" w:rsidP="00EF36DF">
      <w:r>
        <w:t xml:space="preserve">Blended finance mechanisms </w:t>
      </w:r>
      <w:r w:rsidR="00594755" w:rsidRPr="004C5667">
        <w:t xml:space="preserve">will be established as part of </w:t>
      </w:r>
      <w:r>
        <w:t xml:space="preserve">several of </w:t>
      </w:r>
      <w:r w:rsidR="00594755" w:rsidRPr="004C5667">
        <w:t>the project</w:t>
      </w:r>
      <w:r>
        <w:t>s</w:t>
      </w:r>
      <w:r w:rsidR="00B53AC2" w:rsidRPr="004C5667">
        <w:t xml:space="preserve">. </w:t>
      </w:r>
      <w:r w:rsidR="00594755" w:rsidRPr="004C5667">
        <w:t xml:space="preserve">The </w:t>
      </w:r>
      <w:r>
        <w:t xml:space="preserve">costs of these </w:t>
      </w:r>
      <w:r w:rsidR="00594755" w:rsidRPr="004C5667">
        <w:t xml:space="preserve">advice and financing </w:t>
      </w:r>
      <w:r>
        <w:t xml:space="preserve">solutions </w:t>
      </w:r>
      <w:r w:rsidR="00594755" w:rsidRPr="004C5667">
        <w:t>are expected to s</w:t>
      </w:r>
      <w:r w:rsidR="00B53AC2" w:rsidRPr="004C5667">
        <w:t xml:space="preserve">upport and enhance assets, and </w:t>
      </w:r>
      <w:r w:rsidR="00594755" w:rsidRPr="004C5667">
        <w:t xml:space="preserve">where they are directly attributable to a specific </w:t>
      </w:r>
      <w:r>
        <w:t>asset, i.e. the forest,</w:t>
      </w:r>
      <w:r w:rsidR="00DD73CB" w:rsidRPr="004C5667">
        <w:t xml:space="preserve"> they can be capitalised.</w:t>
      </w:r>
    </w:p>
    <w:p w14:paraId="1306D8D4" w14:textId="6558DCB9" w:rsidR="00594755" w:rsidRPr="004C5667" w:rsidRDefault="00594755" w:rsidP="00EF36DF">
      <w:pPr>
        <w:pStyle w:val="Heading5"/>
      </w:pPr>
      <w:r w:rsidRPr="004C5667">
        <w:t>Delivery of carbon credits</w:t>
      </w:r>
    </w:p>
    <w:p w14:paraId="22131E15" w14:textId="172339B6" w:rsidR="00594755" w:rsidRPr="004C5667" w:rsidRDefault="00594755" w:rsidP="00EF36DF">
      <w:r w:rsidRPr="004C5667">
        <w:t xml:space="preserve">There is a wider point that the entire </w:t>
      </w:r>
      <w:r w:rsidR="00BF15A0">
        <w:t xml:space="preserve">programme </w:t>
      </w:r>
      <w:r w:rsidRPr="004C5667">
        <w:t xml:space="preserve">(investments, technical assistance, capacity building) </w:t>
      </w:r>
      <w:r w:rsidR="00BF15A0" w:rsidRPr="00BF15A0">
        <w:t xml:space="preserve">has a significant focus </w:t>
      </w:r>
      <w:r w:rsidR="00BF15A0">
        <w:t xml:space="preserve">to </w:t>
      </w:r>
      <w:r w:rsidRPr="004C5667">
        <w:t>contribute to the creation of carbon cred</w:t>
      </w:r>
      <w:r w:rsidR="00DD73CB" w:rsidRPr="004C5667">
        <w:t xml:space="preserve">its which are </w:t>
      </w:r>
      <w:r w:rsidR="00BF15A0">
        <w:t xml:space="preserve">themselves </w:t>
      </w:r>
      <w:r w:rsidR="00DD73CB" w:rsidRPr="004C5667">
        <w:t>financial assets.</w:t>
      </w:r>
      <w:r w:rsidR="00B53AC2" w:rsidRPr="004C5667">
        <w:t xml:space="preserve"> </w:t>
      </w:r>
      <w:r w:rsidRPr="004C5667">
        <w:t>The HMT document ‘</w:t>
      </w:r>
      <w:r w:rsidRPr="004C5667">
        <w:rPr>
          <w:i/>
        </w:rPr>
        <w:t>Capital and financial transactions</w:t>
      </w:r>
      <w:r w:rsidRPr="004C5667">
        <w:t>’ confirms that grants to acquire long term financial assets may be treated</w:t>
      </w:r>
      <w:r w:rsidR="00DD73CB" w:rsidRPr="004C5667">
        <w:t xml:space="preserve"> as capital.</w:t>
      </w:r>
      <w:r w:rsidR="00B53AC2" w:rsidRPr="004C5667">
        <w:t xml:space="preserve"> It is therefore reasonable to conclude that each activity within those projects creating carbon credits is essential to the creation of those credits, and therefore each of these projects should be classed as CDEL</w:t>
      </w:r>
      <w:r w:rsidR="00BF15A0">
        <w:t xml:space="preserve"> in their entirety</w:t>
      </w:r>
      <w:r w:rsidR="00B53AC2" w:rsidRPr="004C5667">
        <w:t>.</w:t>
      </w:r>
    </w:p>
    <w:p w14:paraId="67ADCE16" w14:textId="7E3E7E63" w:rsidR="00B53AC2" w:rsidRPr="004C5667" w:rsidRDefault="00B53AC2" w:rsidP="00EF36DF">
      <w:pPr>
        <w:pStyle w:val="Heading3"/>
      </w:pPr>
      <w:r w:rsidRPr="004C5667">
        <w:t>CDEL Conclusions</w:t>
      </w:r>
    </w:p>
    <w:p w14:paraId="783FD9F5" w14:textId="710E781B" w:rsidR="00B53AC2" w:rsidRPr="004C5667" w:rsidRDefault="00B53AC2" w:rsidP="00EF36DF">
      <w:pPr>
        <w:spacing w:after="0"/>
      </w:pPr>
      <w:r w:rsidRPr="004C5667">
        <w:t>It is expected that a small proportion of project activity does not strictly meet the criteria for capitalisation under accounting standards. However, consideration of the following points can allow us to overcome this:</w:t>
      </w:r>
    </w:p>
    <w:p w14:paraId="44997222" w14:textId="1BD9B251" w:rsidR="00B53AC2" w:rsidRPr="004C5667" w:rsidRDefault="00B53AC2" w:rsidP="00F93F6C">
      <w:pPr>
        <w:pStyle w:val="ListParagraph"/>
        <w:numPr>
          <w:ilvl w:val="0"/>
          <w:numId w:val="26"/>
        </w:numPr>
        <w:spacing w:after="0"/>
        <w:jc w:val="left"/>
      </w:pPr>
      <w:r w:rsidRPr="004C5667">
        <w:t>Spend will be n</w:t>
      </w:r>
      <w:r w:rsidR="005C7E22" w:rsidRPr="004C5667">
        <w:t>on-</w:t>
      </w:r>
      <w:r w:rsidRPr="004C5667">
        <w:t xml:space="preserve">discretionary </w:t>
      </w:r>
    </w:p>
    <w:p w14:paraId="4DBC4C01" w14:textId="53229925" w:rsidR="00B53AC2" w:rsidRPr="004C5667" w:rsidRDefault="00B53AC2" w:rsidP="00F93F6C">
      <w:pPr>
        <w:pStyle w:val="ListParagraph"/>
        <w:numPr>
          <w:ilvl w:val="0"/>
          <w:numId w:val="26"/>
        </w:numPr>
        <w:spacing w:after="0"/>
        <w:jc w:val="left"/>
      </w:pPr>
      <w:r w:rsidRPr="004C5667">
        <w:t>Non capital spend is negligible (less than 10%)</w:t>
      </w:r>
    </w:p>
    <w:p w14:paraId="21ABC042" w14:textId="7A0339C6" w:rsidR="00B53AC2" w:rsidRDefault="00B53AC2" w:rsidP="00F93F6C">
      <w:pPr>
        <w:pStyle w:val="ListParagraph"/>
        <w:numPr>
          <w:ilvl w:val="0"/>
          <w:numId w:val="26"/>
        </w:numPr>
        <w:jc w:val="left"/>
      </w:pPr>
      <w:r w:rsidRPr="004C5667">
        <w:t xml:space="preserve">Spend towards </w:t>
      </w:r>
      <w:r w:rsidR="005C7E22" w:rsidRPr="004C5667">
        <w:t xml:space="preserve">several of the largest projects appraised contributed to </w:t>
      </w:r>
      <w:r w:rsidRPr="004C5667">
        <w:t xml:space="preserve">the creation of a capital asset, carbon credits. </w:t>
      </w:r>
    </w:p>
    <w:p w14:paraId="7BD6CACA" w14:textId="65A6B83B" w:rsidR="00B65DFC" w:rsidRPr="004C5667" w:rsidRDefault="00B65DFC" w:rsidP="00B65DFC">
      <w:pPr>
        <w:jc w:val="left"/>
      </w:pPr>
      <w:r>
        <w:t>For this purpose of this programme several activities have been classed as RDEL in line with this guidance; these are: financial audits; communications and dissemination of results; blended finance fees; trust fund set-up cost; and grant administration. The total value of these activities is $1,051,750 (£821,680), equal to 6.9% of the programme budget.</w:t>
      </w:r>
    </w:p>
    <w:p w14:paraId="2F153DFF" w14:textId="57A83F09" w:rsidR="006F46AC" w:rsidRPr="004C5667" w:rsidRDefault="002F5537" w:rsidP="00EF36DF">
      <w:pPr>
        <w:pStyle w:val="Heading2"/>
      </w:pPr>
      <w:bookmarkStart w:id="97" w:name="_Toc527027990"/>
      <w:r w:rsidRPr="004C5667">
        <w:t xml:space="preserve">Avoiding </w:t>
      </w:r>
      <w:r w:rsidR="006F46AC" w:rsidRPr="004C5667">
        <w:t>Fraud</w:t>
      </w:r>
      <w:r w:rsidR="00BF15A0">
        <w:t xml:space="preserve"> and Corruption</w:t>
      </w:r>
      <w:bookmarkEnd w:id="97"/>
    </w:p>
    <w:p w14:paraId="5CF83A26" w14:textId="0C0D0ED2" w:rsidR="006F46AC" w:rsidRPr="004C5667" w:rsidRDefault="006F46AC" w:rsidP="00EF36DF">
      <w:proofErr w:type="spellStart"/>
      <w:r w:rsidRPr="004C5667">
        <w:t>D</w:t>
      </w:r>
      <w:r w:rsidR="00BF15A0">
        <w:t>f</w:t>
      </w:r>
      <w:r w:rsidRPr="004C5667">
        <w:t>ID</w:t>
      </w:r>
      <w:proofErr w:type="spellEnd"/>
      <w:r w:rsidRPr="004C5667">
        <w:t xml:space="preserve"> expects all organisations to have a zero tolerance approach to fraud and corruption; acting immediately if it is found, working with authorities to bring perpetrators to account and pursuing aggressive loss recovery approaches</w:t>
      </w:r>
      <w:r w:rsidRPr="004C5667">
        <w:rPr>
          <w:b/>
          <w:bCs/>
        </w:rPr>
        <w:t xml:space="preserve">. </w:t>
      </w:r>
      <w:r w:rsidRPr="004C5667">
        <w:t xml:space="preserve">The Review confirmed that all agencies have systems in place to detect and combat fraud, with multilateral development banks (MDBs) such as IDB having some of the best developed. </w:t>
      </w:r>
    </w:p>
    <w:p w14:paraId="62546A2C" w14:textId="77777777" w:rsidR="00CD4519" w:rsidRDefault="00CD4519" w:rsidP="00EF36DF">
      <w:r w:rsidRPr="004C5667">
        <w:t>Transparency and anti-corruption are important instruments for the IDB to achieve its goal to reduce poverty and inequality in Latin America and the Caribbean. The Bank addresses these issues in two ways: through good governance mechanisms and working closely with countries to strengthen governance, enforce the rule of law, and fight corruption at both local and national levels.</w:t>
      </w:r>
    </w:p>
    <w:p w14:paraId="04F2C447" w14:textId="54102AED" w:rsidR="00BF15A0" w:rsidRPr="004C5667" w:rsidRDefault="00BF15A0" w:rsidP="00EF36DF">
      <w:r w:rsidRPr="004C5667">
        <w:t xml:space="preserve">Please refer to independent assessment by </w:t>
      </w:r>
      <w:hyperlink r:id="rId38" w:history="1">
        <w:r w:rsidRPr="004C5667">
          <w:rPr>
            <w:rStyle w:val="Hyperlink"/>
          </w:rPr>
          <w:t>MOPAN</w:t>
        </w:r>
      </w:hyperlink>
      <w:r>
        <w:t xml:space="preserve"> regarding financial standing.</w:t>
      </w:r>
    </w:p>
    <w:p w14:paraId="5B79FC70" w14:textId="196421FF" w:rsidR="00CD4519" w:rsidRPr="004C5667" w:rsidRDefault="00CD4519" w:rsidP="00EF36DF">
      <w:r w:rsidRPr="004C5667">
        <w:t>The following links have complete descriptions of IDBs integrity policies and systems</w:t>
      </w:r>
    </w:p>
    <w:p w14:paraId="71D64873" w14:textId="0C41AE30" w:rsidR="00CD4519" w:rsidRPr="004C5667" w:rsidRDefault="00CD4519" w:rsidP="00F93F6C">
      <w:pPr>
        <w:pStyle w:val="ListParagraph"/>
        <w:numPr>
          <w:ilvl w:val="0"/>
          <w:numId w:val="15"/>
        </w:numPr>
        <w:rPr>
          <w:rStyle w:val="Hyperlink"/>
          <w:rFonts w:asciiTheme="minorHAnsi" w:eastAsia="Times New Roman" w:hAnsiTheme="minorHAnsi" w:cstheme="minorHAnsi"/>
          <w:color w:val="auto"/>
          <w:u w:val="none"/>
        </w:rPr>
      </w:pPr>
      <w:r w:rsidRPr="004C5667">
        <w:rPr>
          <w:rStyle w:val="Hyperlink"/>
          <w:rFonts w:asciiTheme="minorHAnsi" w:eastAsia="Times New Roman" w:hAnsiTheme="minorHAnsi" w:cstheme="minorHAnsi"/>
          <w:color w:val="auto"/>
          <w:u w:val="none"/>
        </w:rPr>
        <w:t xml:space="preserve">How to </w:t>
      </w:r>
      <w:hyperlink r:id="rId39" w:history="1">
        <w:r w:rsidRPr="004C5667">
          <w:rPr>
            <w:rStyle w:val="Hyperlink"/>
            <w:rFonts w:asciiTheme="minorHAnsi" w:eastAsia="Times New Roman" w:hAnsiTheme="minorHAnsi" w:cstheme="minorHAnsi"/>
            <w:u w:val="none"/>
          </w:rPr>
          <w:t>report fraud and corruption</w:t>
        </w:r>
      </w:hyperlink>
      <w:r w:rsidRPr="004C5667">
        <w:rPr>
          <w:rStyle w:val="Hyperlink"/>
          <w:rFonts w:asciiTheme="minorHAnsi" w:eastAsia="Times New Roman" w:hAnsiTheme="minorHAnsi" w:cstheme="minorHAnsi"/>
          <w:color w:val="auto"/>
          <w:u w:val="none"/>
        </w:rPr>
        <w:t>?</w:t>
      </w:r>
    </w:p>
    <w:p w14:paraId="36E76DC8" w14:textId="03A2D21E" w:rsidR="00174DCF" w:rsidRPr="004C5667" w:rsidRDefault="009D672A" w:rsidP="00F93F6C">
      <w:pPr>
        <w:pStyle w:val="ListParagraph"/>
        <w:numPr>
          <w:ilvl w:val="0"/>
          <w:numId w:val="15"/>
        </w:numPr>
      </w:pPr>
      <w:hyperlink r:id="rId40" w:history="1">
        <w:r w:rsidR="00CD4519" w:rsidRPr="004C5667">
          <w:rPr>
            <w:rStyle w:val="Hyperlink"/>
            <w:rFonts w:asciiTheme="minorHAnsi" w:eastAsia="Times New Roman" w:hAnsiTheme="minorHAnsi" w:cstheme="minorHAnsi"/>
            <w:u w:val="none"/>
          </w:rPr>
          <w:t>Prohibited practices</w:t>
        </w:r>
      </w:hyperlink>
      <w:r w:rsidR="00CD4519" w:rsidRPr="004C5667">
        <w:t xml:space="preserve"> at the IDB</w:t>
      </w:r>
      <w:r w:rsidR="00174DCF" w:rsidRPr="004C5667">
        <w:t>.</w:t>
      </w:r>
    </w:p>
    <w:p w14:paraId="6C016E52" w14:textId="49604819" w:rsidR="002F5537" w:rsidRPr="004C5667" w:rsidRDefault="002F5537" w:rsidP="000C60A9">
      <w:pPr>
        <w:pStyle w:val="Heading3"/>
      </w:pPr>
      <w:r w:rsidRPr="004C5667">
        <w:lastRenderedPageBreak/>
        <w:t>Financial Risks</w:t>
      </w:r>
    </w:p>
    <w:p w14:paraId="211B908C" w14:textId="65D7DA9E" w:rsidR="002D588A" w:rsidRDefault="002D588A" w:rsidP="002F5537">
      <w:r>
        <w:rPr>
          <w:rFonts w:eastAsia="Arial" w:cs="Calibri"/>
          <w:color w:val="000000"/>
          <w:lang w:eastAsia="en-US"/>
        </w:rPr>
        <w:t xml:space="preserve">The </w:t>
      </w:r>
      <w:r w:rsidRPr="004C5667">
        <w:rPr>
          <w:rFonts w:eastAsia="Arial" w:cs="Calibri"/>
          <w:color w:val="000000"/>
          <w:lang w:eastAsia="en-US"/>
        </w:rPr>
        <w:t>IDB has established a focus on results and has solid policies and procedures relating to risk management, including a revised liquidity policy.</w:t>
      </w:r>
    </w:p>
    <w:p w14:paraId="079E408B" w14:textId="77777777" w:rsidR="00BF15A0" w:rsidRDefault="00BF15A0" w:rsidP="00BF15A0">
      <w:pPr>
        <w:pStyle w:val="Heading4"/>
      </w:pPr>
      <w:r>
        <w:t>Currency Risks</w:t>
      </w:r>
    </w:p>
    <w:p w14:paraId="4E320A4E" w14:textId="53D88CA8" w:rsidR="002F5537" w:rsidRPr="004C5667" w:rsidRDefault="00BF15A0" w:rsidP="002F5537">
      <w:r>
        <w:t>Defra</w:t>
      </w:r>
      <w:r w:rsidR="002F5537" w:rsidRPr="004C5667">
        <w:t xml:space="preserve"> will issue the Promissory Note in Pound Sterling while IDB will draw down the amounts in USD. Therefore, the payments are susceptible to currency fluctuations in exchange rates between USD and Pound Sterling. This means, in the event of adverse currency movement, there will be reduced potential for project fulfilment. </w:t>
      </w:r>
    </w:p>
    <w:p w14:paraId="660E3608" w14:textId="5A2807A1" w:rsidR="002F5537" w:rsidRPr="004C5667" w:rsidRDefault="002F5537" w:rsidP="002F5537">
      <w:r w:rsidRPr="004C5667">
        <w:t xml:space="preserve">To mitigate this, </w:t>
      </w:r>
      <w:r w:rsidR="00BF15A0">
        <w:t>Defra</w:t>
      </w:r>
      <w:r w:rsidRPr="004C5667">
        <w:t xml:space="preserve"> will track the movement in exchange rate between USD and Pound Sterling and adjust the timing of payments to IDB to avoid liquidity risk if necessary. However it should be noted that, perfect matching may not be possible. </w:t>
      </w:r>
    </w:p>
    <w:p w14:paraId="6DA761D0" w14:textId="060B845F" w:rsidR="002F5537" w:rsidRPr="004C5667" w:rsidRDefault="002F5537" w:rsidP="002F5537">
      <w:r w:rsidRPr="004C5667">
        <w:t xml:space="preserve">IDB have the option to disperse some funding or operate at project level in local currency. This may expose individual investments to local currency risk and could have implications for reflows. This will be monitored by the IDB and any potential impacts for the programme will be reported to </w:t>
      </w:r>
      <w:r w:rsidR="00BF15A0">
        <w:t>Defra</w:t>
      </w:r>
      <w:r w:rsidRPr="004C5667">
        <w:t>.</w:t>
      </w:r>
    </w:p>
    <w:p w14:paraId="39DBADD4" w14:textId="2D30E6E3" w:rsidR="006F46AC" w:rsidRPr="004C5667" w:rsidRDefault="006F46AC" w:rsidP="000C60A9">
      <w:pPr>
        <w:pStyle w:val="Heading3"/>
      </w:pPr>
      <w:r w:rsidRPr="004C5667">
        <w:t xml:space="preserve">Provision for </w:t>
      </w:r>
      <w:r w:rsidR="00BF15A0">
        <w:t>Defra</w:t>
      </w:r>
      <w:r w:rsidRPr="004C5667">
        <w:t xml:space="preserve"> to Withdraw Funding</w:t>
      </w:r>
    </w:p>
    <w:p w14:paraId="3BA878AE" w14:textId="1E6E3EB6" w:rsidR="006F46AC" w:rsidRPr="004C5667" w:rsidRDefault="006F46AC" w:rsidP="00EF36DF">
      <w:r w:rsidRPr="004C5667">
        <w:t xml:space="preserve">In previous administrative agreements with IDB several clauses were identified which </w:t>
      </w:r>
      <w:r w:rsidR="00BF15A0">
        <w:t>Defra</w:t>
      </w:r>
      <w:r w:rsidRPr="004C5667">
        <w:t xml:space="preserve"> would seek to follow in this instance. </w:t>
      </w:r>
    </w:p>
    <w:p w14:paraId="492A7CCF" w14:textId="39982D97" w:rsidR="006F46AC" w:rsidRPr="004C5667" w:rsidRDefault="006F46AC" w:rsidP="00EF36DF">
      <w:r w:rsidRPr="004C5667">
        <w:t xml:space="preserve">Firstly in the event the Contribution has not been used for the defined purposes </w:t>
      </w:r>
      <w:r w:rsidR="00BF15A0">
        <w:t>DEFRA</w:t>
      </w:r>
      <w:r w:rsidRPr="004C5667">
        <w:t xml:space="preserve"> may consult the IDB to resolve. Moreover, as part of these consultations, </w:t>
      </w:r>
      <w:r w:rsidR="00BF15A0">
        <w:t>DEFRA</w:t>
      </w:r>
      <w:r w:rsidRPr="004C5667">
        <w:t xml:space="preserve"> may send a written notice requesting that the IDB:</w:t>
      </w:r>
    </w:p>
    <w:p w14:paraId="7E02E39E" w14:textId="77777777" w:rsidR="006F46AC" w:rsidRPr="004C5667" w:rsidRDefault="006F46AC" w:rsidP="00F93F6C">
      <w:pPr>
        <w:pStyle w:val="ListParagraph"/>
        <w:numPr>
          <w:ilvl w:val="0"/>
          <w:numId w:val="25"/>
        </w:numPr>
      </w:pPr>
      <w:r w:rsidRPr="004C5667">
        <w:t>Provide specific information as may be maintained by the IDB in the course of its regular operations regarding the use of the Contribution;</w:t>
      </w:r>
    </w:p>
    <w:p w14:paraId="4FE31D1B" w14:textId="77777777" w:rsidR="006F46AC" w:rsidRPr="004C5667" w:rsidRDefault="006F46AC" w:rsidP="00F93F6C">
      <w:pPr>
        <w:pStyle w:val="ListParagraph"/>
        <w:numPr>
          <w:ilvl w:val="0"/>
          <w:numId w:val="25"/>
        </w:numPr>
      </w:pPr>
      <w:r w:rsidRPr="004C5667">
        <w:t xml:space="preserve">Implement appropriate measures to ensure the Contribution is used in accordance with the purposes stated in the TC Document. </w:t>
      </w:r>
    </w:p>
    <w:p w14:paraId="56E086A0" w14:textId="3471F378" w:rsidR="006F46AC" w:rsidRPr="004C5667" w:rsidRDefault="006F46AC" w:rsidP="00EF36DF">
      <w:r w:rsidRPr="004C5667">
        <w:t xml:space="preserve">If the measures agreed by </w:t>
      </w:r>
      <w:r w:rsidR="00BF15A0">
        <w:t>DEFRA</w:t>
      </w:r>
      <w:r w:rsidRPr="004C5667">
        <w:t xml:space="preserve"> and the IDB in the context of the consultations stated above are not or cannot be implemented within 30 days (or any other period agreed), as of the last remittance by the IDB to </w:t>
      </w:r>
      <w:r w:rsidR="00BF15A0">
        <w:t>DEFRA</w:t>
      </w:r>
      <w:r w:rsidRPr="004C5667">
        <w:t xml:space="preserve"> of the requested information (which will be deemed as the final period of such consultations), then </w:t>
      </w:r>
      <w:r w:rsidR="00BF15A0">
        <w:t>DEFRA</w:t>
      </w:r>
      <w:r w:rsidRPr="004C5667">
        <w:t xml:space="preserve"> or the IDB may, on one month’s written notice, terminate this Administrative Agreement. In this instance any remaining balance of the Contribution, which was not committed for the purpose of the Project prior to the receipt of such notice, shall be returned to </w:t>
      </w:r>
      <w:r w:rsidR="00BF15A0">
        <w:t>DEFRA</w:t>
      </w:r>
      <w:r w:rsidRPr="004C5667">
        <w:t xml:space="preserve"> within sixty (60) days of the date of the notice.</w:t>
      </w:r>
    </w:p>
    <w:p w14:paraId="7E997E97" w14:textId="2049E87A" w:rsidR="006F46AC" w:rsidRPr="004C5667" w:rsidRDefault="006F46AC" w:rsidP="00EF36DF">
      <w:r w:rsidRPr="004C5667">
        <w:t xml:space="preserve">Upon completion of the Project or closure of, the Facility the IDB shall return any remaining uncommitted balance of the Contribution to </w:t>
      </w:r>
      <w:r w:rsidR="00BF15A0">
        <w:t>DEFRA</w:t>
      </w:r>
      <w:r w:rsidRPr="004C5667">
        <w:t xml:space="preserve"> within thirty (30) days, if applicable.</w:t>
      </w:r>
    </w:p>
    <w:tbl>
      <w:tblPr>
        <w:tblStyle w:val="TableGrid"/>
        <w:tblW w:w="9634" w:type="dxa"/>
        <w:jc w:val="center"/>
        <w:tblLook w:val="04A0" w:firstRow="1" w:lastRow="0" w:firstColumn="1" w:lastColumn="0" w:noHBand="0" w:noVBand="1"/>
      </w:tblPr>
      <w:tblGrid>
        <w:gridCol w:w="4390"/>
        <w:gridCol w:w="5244"/>
      </w:tblGrid>
      <w:tr w:rsidR="006F46AC" w:rsidRPr="004C5667" w14:paraId="5AE3842B" w14:textId="77777777" w:rsidTr="00EB22C3">
        <w:trPr>
          <w:jc w:val="center"/>
        </w:trPr>
        <w:tc>
          <w:tcPr>
            <w:tcW w:w="4390" w:type="dxa"/>
            <w:shd w:val="clear" w:color="auto" w:fill="5B9BD5" w:themeFill="accent1"/>
          </w:tcPr>
          <w:p w14:paraId="619A5838" w14:textId="77777777" w:rsidR="006F46AC" w:rsidRPr="00BB0C57" w:rsidRDefault="006F46AC" w:rsidP="00EF36DF">
            <w:pPr>
              <w:rPr>
                <w:b/>
                <w:szCs w:val="20"/>
              </w:rPr>
            </w:pPr>
            <w:r w:rsidRPr="00BB0C57">
              <w:rPr>
                <w:b/>
                <w:szCs w:val="20"/>
              </w:rPr>
              <w:t>Scenario</w:t>
            </w:r>
          </w:p>
        </w:tc>
        <w:tc>
          <w:tcPr>
            <w:tcW w:w="5244" w:type="dxa"/>
            <w:shd w:val="clear" w:color="auto" w:fill="5B9BD5" w:themeFill="accent1"/>
          </w:tcPr>
          <w:p w14:paraId="793755CD" w14:textId="77777777" w:rsidR="006F46AC" w:rsidRPr="00BB0C57" w:rsidRDefault="006F46AC" w:rsidP="00EF36DF">
            <w:pPr>
              <w:rPr>
                <w:b/>
                <w:szCs w:val="20"/>
              </w:rPr>
            </w:pPr>
            <w:r w:rsidRPr="00BB0C57">
              <w:rPr>
                <w:b/>
                <w:szCs w:val="20"/>
              </w:rPr>
              <w:t>Timing and reporting trigger (if relevant)</w:t>
            </w:r>
          </w:p>
        </w:tc>
      </w:tr>
      <w:tr w:rsidR="006F46AC" w:rsidRPr="004C5667" w14:paraId="7FB779C8" w14:textId="77777777" w:rsidTr="00EB22C3">
        <w:trPr>
          <w:jc w:val="center"/>
        </w:trPr>
        <w:tc>
          <w:tcPr>
            <w:tcW w:w="4390" w:type="dxa"/>
            <w:shd w:val="clear" w:color="auto" w:fill="BDD6EE" w:themeFill="accent1" w:themeFillTint="66"/>
          </w:tcPr>
          <w:p w14:paraId="655258A2" w14:textId="77777777" w:rsidR="006F46AC" w:rsidRPr="004C5667" w:rsidRDefault="006F46AC" w:rsidP="00EF36DF">
            <w:pPr>
              <w:rPr>
                <w:szCs w:val="20"/>
              </w:rPr>
            </w:pPr>
            <w:r w:rsidRPr="004C5667">
              <w:rPr>
                <w:szCs w:val="20"/>
              </w:rPr>
              <w:t>Occurrence of any illegal or corrupt practice</w:t>
            </w:r>
          </w:p>
        </w:tc>
        <w:tc>
          <w:tcPr>
            <w:tcW w:w="5244" w:type="dxa"/>
          </w:tcPr>
          <w:p w14:paraId="231F3816" w14:textId="1481724E" w:rsidR="006F46AC" w:rsidRPr="004C5667" w:rsidRDefault="006F46AC" w:rsidP="00EF36DF">
            <w:pPr>
              <w:rPr>
                <w:szCs w:val="20"/>
              </w:rPr>
            </w:pPr>
            <w:r w:rsidRPr="004C5667">
              <w:rPr>
                <w:szCs w:val="20"/>
              </w:rPr>
              <w:t xml:space="preserve">Annual Reviews (by </w:t>
            </w:r>
            <w:r w:rsidR="00BF15A0">
              <w:rPr>
                <w:szCs w:val="20"/>
              </w:rPr>
              <w:t>Defra</w:t>
            </w:r>
            <w:r w:rsidRPr="004C5667">
              <w:rPr>
                <w:szCs w:val="20"/>
              </w:rPr>
              <w:t>), Quarterly updates (from IDB)</w:t>
            </w:r>
          </w:p>
        </w:tc>
      </w:tr>
      <w:tr w:rsidR="006F46AC" w:rsidRPr="004C5667" w14:paraId="6FF54EAA" w14:textId="77777777" w:rsidTr="00EB22C3">
        <w:trPr>
          <w:trHeight w:val="254"/>
          <w:jc w:val="center"/>
        </w:trPr>
        <w:tc>
          <w:tcPr>
            <w:tcW w:w="4390" w:type="dxa"/>
            <w:shd w:val="clear" w:color="auto" w:fill="BDD6EE" w:themeFill="accent1" w:themeFillTint="66"/>
          </w:tcPr>
          <w:p w14:paraId="3CC7ED09" w14:textId="77777777" w:rsidR="006F46AC" w:rsidRPr="004C5667" w:rsidRDefault="006F46AC" w:rsidP="00EF36DF">
            <w:pPr>
              <w:rPr>
                <w:szCs w:val="20"/>
              </w:rPr>
            </w:pPr>
            <w:r w:rsidRPr="004C5667">
              <w:rPr>
                <w:szCs w:val="20"/>
              </w:rPr>
              <w:lastRenderedPageBreak/>
              <w:t>“Extraordinary circumstances that seriously jeopardise the implementation, operation or purpose of the programme”</w:t>
            </w:r>
          </w:p>
          <w:p w14:paraId="5CDD4404" w14:textId="77777777" w:rsidR="006F46AC" w:rsidRPr="004C5667" w:rsidRDefault="006F46AC" w:rsidP="00EF36DF">
            <w:pPr>
              <w:rPr>
                <w:szCs w:val="20"/>
              </w:rPr>
            </w:pPr>
            <w:r w:rsidRPr="004C5667">
              <w:rPr>
                <w:szCs w:val="20"/>
              </w:rPr>
              <w:t xml:space="preserve">This is primarily designed to cover instances of force majeure. We assess this may also provide some cover in extreme cases of under-delivery. </w:t>
            </w:r>
          </w:p>
        </w:tc>
        <w:tc>
          <w:tcPr>
            <w:tcW w:w="5244" w:type="dxa"/>
          </w:tcPr>
          <w:p w14:paraId="2F872DD0" w14:textId="71EAB96F" w:rsidR="006F46AC" w:rsidRPr="004C5667" w:rsidRDefault="00E6319E" w:rsidP="00E6319E">
            <w:pPr>
              <w:rPr>
                <w:szCs w:val="20"/>
              </w:rPr>
            </w:pPr>
            <w:r>
              <w:rPr>
                <w:szCs w:val="20"/>
              </w:rPr>
              <w:t>Q</w:t>
            </w:r>
            <w:r w:rsidR="006F46AC" w:rsidRPr="004C5667">
              <w:rPr>
                <w:szCs w:val="20"/>
              </w:rPr>
              <w:t>uarterly Delivery report</w:t>
            </w:r>
            <w:r>
              <w:rPr>
                <w:szCs w:val="20"/>
              </w:rPr>
              <w:t>s</w:t>
            </w:r>
            <w:r w:rsidR="006F46AC" w:rsidRPr="004C5667">
              <w:rPr>
                <w:szCs w:val="20"/>
              </w:rPr>
              <w:t>, Annual Reviews, independent evaluations at mid-term</w:t>
            </w:r>
          </w:p>
        </w:tc>
      </w:tr>
      <w:tr w:rsidR="006F46AC" w:rsidRPr="004C5667" w14:paraId="2603C108" w14:textId="77777777" w:rsidTr="00EB22C3">
        <w:trPr>
          <w:trHeight w:val="254"/>
          <w:jc w:val="center"/>
        </w:trPr>
        <w:tc>
          <w:tcPr>
            <w:tcW w:w="4390" w:type="dxa"/>
            <w:shd w:val="clear" w:color="auto" w:fill="BDD6EE" w:themeFill="accent1" w:themeFillTint="66"/>
          </w:tcPr>
          <w:p w14:paraId="30D7C240" w14:textId="2BF6D6B9" w:rsidR="006F46AC" w:rsidRPr="004C5667" w:rsidRDefault="006F46AC" w:rsidP="00EF36DF">
            <w:pPr>
              <w:rPr>
                <w:szCs w:val="20"/>
              </w:rPr>
            </w:pPr>
            <w:r w:rsidRPr="004C5667">
              <w:rPr>
                <w:szCs w:val="20"/>
              </w:rPr>
              <w:t xml:space="preserve">“If IDB does not </w:t>
            </w:r>
            <w:r w:rsidR="00745200" w:rsidRPr="004C5667">
              <w:rPr>
                <w:szCs w:val="20"/>
              </w:rPr>
              <w:t>fulfil</w:t>
            </w:r>
            <w:r w:rsidRPr="004C5667">
              <w:rPr>
                <w:szCs w:val="20"/>
              </w:rPr>
              <w:t xml:space="preserve"> its commitments according to the cooperation contract”</w:t>
            </w:r>
          </w:p>
        </w:tc>
        <w:tc>
          <w:tcPr>
            <w:tcW w:w="5244" w:type="dxa"/>
          </w:tcPr>
          <w:p w14:paraId="6043D9B4" w14:textId="77777777" w:rsidR="006F46AC" w:rsidRPr="004C5667" w:rsidRDefault="006F46AC" w:rsidP="009070C2">
            <w:pPr>
              <w:keepNext/>
              <w:rPr>
                <w:szCs w:val="20"/>
              </w:rPr>
            </w:pPr>
            <w:r w:rsidRPr="004C5667">
              <w:rPr>
                <w:szCs w:val="20"/>
              </w:rPr>
              <w:t>At the time if/when this happens or if identified as part of Annual and quarterly Delivery Plan reporting, Annual Reviews, independent evaluations at mid-term</w:t>
            </w:r>
          </w:p>
        </w:tc>
      </w:tr>
    </w:tbl>
    <w:p w14:paraId="4A07BB55" w14:textId="59013C67" w:rsidR="009070C2" w:rsidRPr="00835728" w:rsidRDefault="009070C2" w:rsidP="009070C2">
      <w:pPr>
        <w:pStyle w:val="Caption"/>
        <w:spacing w:before="240"/>
        <w:jc w:val="center"/>
        <w:rPr>
          <w:i w:val="0"/>
          <w:sz w:val="22"/>
        </w:rPr>
      </w:pPr>
      <w:bookmarkStart w:id="98" w:name="_Toc523990670"/>
      <w:r w:rsidRPr="00835728">
        <w:rPr>
          <w:sz w:val="22"/>
        </w:rPr>
        <w:t xml:space="preserve">Figure </w:t>
      </w:r>
      <w:r w:rsidRPr="00835728">
        <w:rPr>
          <w:sz w:val="22"/>
        </w:rPr>
        <w:fldChar w:fldCharType="begin"/>
      </w:r>
      <w:r w:rsidRPr="00835728">
        <w:rPr>
          <w:sz w:val="22"/>
        </w:rPr>
        <w:instrText xml:space="preserve"> SEQ Figure \* ARABIC </w:instrText>
      </w:r>
      <w:r w:rsidRPr="00835728">
        <w:rPr>
          <w:sz w:val="22"/>
        </w:rPr>
        <w:fldChar w:fldCharType="separate"/>
      </w:r>
      <w:r w:rsidR="009D672A">
        <w:rPr>
          <w:noProof/>
          <w:sz w:val="22"/>
        </w:rPr>
        <w:t>16</w:t>
      </w:r>
      <w:r w:rsidRPr="00835728">
        <w:rPr>
          <w:sz w:val="22"/>
        </w:rPr>
        <w:fldChar w:fldCharType="end"/>
      </w:r>
      <w:r w:rsidRPr="00835728">
        <w:rPr>
          <w:sz w:val="22"/>
        </w:rPr>
        <w:t xml:space="preserve">: </w:t>
      </w:r>
      <w:r w:rsidRPr="00835728">
        <w:rPr>
          <w:i w:val="0"/>
          <w:sz w:val="22"/>
        </w:rPr>
        <w:t>Provision for the return of any uncommitted funds to Defra from IDB</w:t>
      </w:r>
      <w:bookmarkEnd w:id="98"/>
    </w:p>
    <w:p w14:paraId="3F08669D" w14:textId="77777777" w:rsidR="00060FC4" w:rsidRPr="004C5667" w:rsidRDefault="00060FC4" w:rsidP="00EF36DF">
      <w:pPr>
        <w:spacing w:after="120"/>
        <w:jc w:val="center"/>
      </w:pPr>
      <w:r w:rsidRPr="004C5667">
        <w:br w:type="page"/>
      </w:r>
    </w:p>
    <w:p w14:paraId="45F8682B" w14:textId="55DF61FA" w:rsidR="00F35D40" w:rsidRPr="004C5667" w:rsidRDefault="00060FC4" w:rsidP="00D47C5A">
      <w:pPr>
        <w:pStyle w:val="Heading1"/>
        <w:spacing w:after="240"/>
      </w:pPr>
      <w:bookmarkStart w:id="99" w:name="_Toc527027991"/>
      <w:r w:rsidRPr="004C5667">
        <w:lastRenderedPageBreak/>
        <w:t>Management Case</w:t>
      </w:r>
      <w:bookmarkEnd w:id="99"/>
    </w:p>
    <w:p w14:paraId="5E908239" w14:textId="77777777" w:rsidR="00D47C5A" w:rsidRPr="004C5667" w:rsidRDefault="00D47C5A" w:rsidP="00D47C5A">
      <w:r w:rsidRPr="004C5667">
        <w:t>An existing Cooperation Framework Arrangement between the UK and IDB (signed 29 February 2012) is already in place and sets out general terms for the cooperation in the financing of development projects, programmes and other activities of common interest between the two parties.  More specifically the framework agreement includes:</w:t>
      </w:r>
    </w:p>
    <w:p w14:paraId="1FD9921F" w14:textId="77777777" w:rsidR="00D47C5A" w:rsidRPr="004C5667" w:rsidRDefault="00D47C5A" w:rsidP="00F93F6C">
      <w:pPr>
        <w:pStyle w:val="ListParagraph"/>
        <w:numPr>
          <w:ilvl w:val="0"/>
          <w:numId w:val="28"/>
        </w:numPr>
      </w:pPr>
      <w:r w:rsidRPr="004C5667">
        <w:t>administrative aspects;</w:t>
      </w:r>
    </w:p>
    <w:p w14:paraId="1FE92205" w14:textId="77777777" w:rsidR="00D47C5A" w:rsidRPr="004C5667" w:rsidRDefault="00D47C5A" w:rsidP="00F93F6C">
      <w:pPr>
        <w:pStyle w:val="ListParagraph"/>
        <w:numPr>
          <w:ilvl w:val="0"/>
          <w:numId w:val="28"/>
        </w:numPr>
      </w:pPr>
      <w:r w:rsidRPr="004C5667">
        <w:t>financial aspects;</w:t>
      </w:r>
    </w:p>
    <w:p w14:paraId="13BC07BA" w14:textId="77777777" w:rsidR="00D47C5A" w:rsidRPr="004C5667" w:rsidRDefault="00D47C5A" w:rsidP="00F93F6C">
      <w:pPr>
        <w:pStyle w:val="ListParagraph"/>
        <w:numPr>
          <w:ilvl w:val="0"/>
          <w:numId w:val="28"/>
        </w:numPr>
      </w:pPr>
      <w:r w:rsidRPr="004C5667">
        <w:t>reporting, consultation and monitoring;</w:t>
      </w:r>
    </w:p>
    <w:p w14:paraId="444817BA" w14:textId="3321610A" w:rsidR="00D47C5A" w:rsidRPr="004C5667" w:rsidRDefault="00D47C5A" w:rsidP="00F93F6C">
      <w:pPr>
        <w:pStyle w:val="ListParagraph"/>
        <w:numPr>
          <w:ilvl w:val="0"/>
          <w:numId w:val="28"/>
        </w:numPr>
      </w:pPr>
      <w:r w:rsidRPr="004C5667">
        <w:t>effectiveness, amendment, termination and disputes</w:t>
      </w:r>
    </w:p>
    <w:p w14:paraId="308D2DC3" w14:textId="57CBA663" w:rsidR="00D47C5A" w:rsidRPr="004C5667" w:rsidRDefault="00D47C5A" w:rsidP="00D47C5A">
      <w:r w:rsidRPr="004C5667">
        <w:t xml:space="preserve">In addition </w:t>
      </w:r>
      <w:r w:rsidR="00BF15A0">
        <w:t>Defra</w:t>
      </w:r>
      <w:r w:rsidRPr="004C5667">
        <w:t xml:space="preserve"> already has existing Administrative Agreements with the IDB for delivery projects in LAC. This should streamline the creation of a new Administrative Agreement</w:t>
      </w:r>
      <w:r w:rsidR="00BF15A0">
        <w:t xml:space="preserve"> for this programme and will </w:t>
      </w:r>
      <w:r w:rsidRPr="004C5667">
        <w:t>take into accoun</w:t>
      </w:r>
      <w:r w:rsidR="00BF15A0">
        <w:t xml:space="preserve">t the disbursement profile, any </w:t>
      </w:r>
      <w:r w:rsidRPr="004C5667">
        <w:t>specific reporting requirements and termination of the agreement.</w:t>
      </w:r>
    </w:p>
    <w:p w14:paraId="1494C480" w14:textId="2254603D" w:rsidR="00625484" w:rsidRPr="004C5667" w:rsidRDefault="00625484" w:rsidP="00625484">
      <w:pPr>
        <w:pStyle w:val="Heading2"/>
      </w:pPr>
      <w:bookmarkStart w:id="100" w:name="_Toc527027992"/>
      <w:r w:rsidRPr="004C5667">
        <w:t>A Single Donor Trust Fund</w:t>
      </w:r>
      <w:bookmarkEnd w:id="100"/>
    </w:p>
    <w:p w14:paraId="12E2D00E" w14:textId="4E41F062" w:rsidR="00625484" w:rsidRPr="004C5667" w:rsidRDefault="00625484" w:rsidP="00625484">
      <w:r w:rsidRPr="004C5667">
        <w:t>Based on lessons learned from previous IDB programmes, a streamlined and flexible fiduciary internal structure for the management and implementation of the programme will be created. As advised by IDB the programme will be structured as a Trust Fund, this is an IDB multipurpose internal financial instrument that allows for the execution of large-scale interventions through individual subprojects (one per component). The Facility provides a quick fiduciary set-up for implementation while incentivizing operational effectiveness, and better coordination. Moreover, the TF better leverages the IDB’s monitoring and supervision capabilities and standards at the component/project level.</w:t>
      </w:r>
    </w:p>
    <w:p w14:paraId="76138BA3" w14:textId="2BDCBCC1" w:rsidR="00625484" w:rsidRPr="004C5667" w:rsidRDefault="00625484" w:rsidP="00625484">
      <w:r w:rsidRPr="004C5667">
        <w:t>To reflect the IDB’s inner governance arrangements, the project documentation to follow will provide further project content and outcome expectations. The first disbursement will be contingent on this documentation approval.</w:t>
      </w:r>
    </w:p>
    <w:p w14:paraId="7F699ED8" w14:textId="1D2406F3" w:rsidR="00060FC4" w:rsidRPr="004C5667" w:rsidRDefault="007818C8" w:rsidP="00EF36DF">
      <w:pPr>
        <w:pStyle w:val="Heading2"/>
      </w:pPr>
      <w:bookmarkStart w:id="101" w:name="_Toc527027993"/>
      <w:r w:rsidRPr="004C5667">
        <w:t>Management and Governance Arrangements</w:t>
      </w:r>
      <w:bookmarkEnd w:id="101"/>
    </w:p>
    <w:p w14:paraId="2FCB5234" w14:textId="116D237C" w:rsidR="007818C8" w:rsidRPr="004C5667" w:rsidRDefault="00160403" w:rsidP="00EF36DF">
      <w:r>
        <w:t xml:space="preserve">The </w:t>
      </w:r>
      <w:r w:rsidR="007818C8" w:rsidRPr="004C5667">
        <w:t xml:space="preserve">IDB will be responsible for the day to day management of the programme and its suite of projects. </w:t>
      </w:r>
      <w:r w:rsidR="00BF15A0">
        <w:t>Defra</w:t>
      </w:r>
      <w:r w:rsidR="007818C8" w:rsidRPr="004C5667">
        <w:t>’s ICF team will take an oversight role.</w:t>
      </w:r>
    </w:p>
    <w:p w14:paraId="4B80FBBD" w14:textId="7ADA90A6" w:rsidR="00866E69" w:rsidRPr="004C5667" w:rsidRDefault="00866E69" w:rsidP="00EF36DF">
      <w:r w:rsidRPr="004C5667">
        <w:t xml:space="preserve">The pipeline of projects and implementation plan will be road-mapped during year 1 of the programme and will be a collaborative effort between </w:t>
      </w:r>
      <w:r w:rsidR="00160403">
        <w:t xml:space="preserve">the </w:t>
      </w:r>
      <w:r w:rsidRPr="004C5667">
        <w:t xml:space="preserve">IDB and </w:t>
      </w:r>
      <w:r w:rsidR="00BF15A0">
        <w:t>Defra</w:t>
      </w:r>
      <w:r w:rsidRPr="004C5667">
        <w:t>. Once this is in place regular calls (at least monthly) will be arranged to ensure progress, quarterly performance reports will be provided by</w:t>
      </w:r>
      <w:r w:rsidR="00160403">
        <w:t xml:space="preserve"> the</w:t>
      </w:r>
      <w:r w:rsidRPr="004C5667">
        <w:t xml:space="preserve"> IDB, Annual Reviews will be collaboratively written by </w:t>
      </w:r>
      <w:r w:rsidR="00BF15A0">
        <w:t>Defra</w:t>
      </w:r>
      <w:r w:rsidRPr="004C5667">
        <w:t xml:space="preserve"> and IDB and field missions will be carried out by </w:t>
      </w:r>
      <w:r w:rsidR="00BF15A0">
        <w:t>Defra</w:t>
      </w:r>
      <w:r w:rsidRPr="004C5667">
        <w:t xml:space="preserve"> ICF staff.</w:t>
      </w:r>
    </w:p>
    <w:p w14:paraId="1A0FAD2F" w14:textId="09F48069" w:rsidR="007818C8" w:rsidRPr="004C5667" w:rsidRDefault="007818C8" w:rsidP="00EF36DF">
      <w:pPr>
        <w:pStyle w:val="Heading3"/>
      </w:pPr>
      <w:r w:rsidRPr="004C5667">
        <w:t>IDB</w:t>
      </w:r>
    </w:p>
    <w:p w14:paraId="2520F249" w14:textId="77777777" w:rsidR="00EF36DF" w:rsidRPr="004C5667" w:rsidRDefault="007818C8" w:rsidP="00EF36DF">
      <w:r w:rsidRPr="004C5667">
        <w:t>It is expected that IDB will provide quarterly performance and delivery reports on the projects activity and spend. These reports should when relevant include:</w:t>
      </w:r>
    </w:p>
    <w:p w14:paraId="01E28169" w14:textId="1FD71098" w:rsidR="007818C8" w:rsidRPr="004C5667" w:rsidRDefault="007818C8" w:rsidP="00F93F6C">
      <w:pPr>
        <w:pStyle w:val="ListParagraph"/>
        <w:numPr>
          <w:ilvl w:val="0"/>
          <w:numId w:val="24"/>
        </w:numPr>
      </w:pPr>
      <w:r w:rsidRPr="004C5667">
        <w:t>Amounts received from the donor (ICF/</w:t>
      </w:r>
      <w:r w:rsidR="00BF15A0">
        <w:t>Defra</w:t>
      </w:r>
      <w:r w:rsidRPr="004C5667">
        <w:t xml:space="preserve">) in relation to the project; </w:t>
      </w:r>
    </w:p>
    <w:p w14:paraId="3DF57281" w14:textId="2B09BF4E" w:rsidR="007818C8" w:rsidRPr="004C5667" w:rsidRDefault="007818C8" w:rsidP="00F93F6C">
      <w:pPr>
        <w:pStyle w:val="ListParagraph"/>
        <w:numPr>
          <w:ilvl w:val="0"/>
          <w:numId w:val="24"/>
        </w:numPr>
        <w:tabs>
          <w:tab w:val="left" w:pos="1134"/>
        </w:tabs>
        <w:spacing w:after="0"/>
      </w:pPr>
      <w:r w:rsidRPr="004C5667">
        <w:t>Approved and disbursed amounts relating to the project, broken down by components;</w:t>
      </w:r>
    </w:p>
    <w:p w14:paraId="0C369F99" w14:textId="156B85CA" w:rsidR="007818C8" w:rsidRPr="004C5667" w:rsidRDefault="007818C8" w:rsidP="00F93F6C">
      <w:pPr>
        <w:pStyle w:val="ListParagraph"/>
        <w:numPr>
          <w:ilvl w:val="0"/>
          <w:numId w:val="24"/>
        </w:numPr>
        <w:tabs>
          <w:tab w:val="left" w:pos="1134"/>
        </w:tabs>
        <w:spacing w:after="0"/>
      </w:pPr>
      <w:r w:rsidRPr="004C5667">
        <w:lastRenderedPageBreak/>
        <w:t>General description of each approved activity and its implementation, broken down by components; and</w:t>
      </w:r>
    </w:p>
    <w:p w14:paraId="734DD9AB" w14:textId="49F3DA8C" w:rsidR="007818C8" w:rsidRPr="004C5667" w:rsidRDefault="007818C8" w:rsidP="00F93F6C">
      <w:pPr>
        <w:pStyle w:val="ListParagraph"/>
        <w:numPr>
          <w:ilvl w:val="0"/>
          <w:numId w:val="24"/>
        </w:numPr>
      </w:pPr>
      <w:r w:rsidRPr="004C5667">
        <w:t>Results achieved in respect to the project’s expected M&amp;E results</w:t>
      </w:r>
    </w:p>
    <w:p w14:paraId="4E7F593F" w14:textId="428A8493" w:rsidR="007818C8" w:rsidRPr="004C5667" w:rsidRDefault="007818C8" w:rsidP="00EF36DF">
      <w:r w:rsidRPr="004C5667">
        <w:t xml:space="preserve">IDB will also provide content for a collaborative effort between IDB and </w:t>
      </w:r>
      <w:r w:rsidR="00BF15A0">
        <w:t>Defra</w:t>
      </w:r>
      <w:r w:rsidRPr="004C5667">
        <w:t xml:space="preserve"> to write an Annual Review in line with </w:t>
      </w:r>
      <w:proofErr w:type="spellStart"/>
      <w:r w:rsidRPr="004C5667">
        <w:t>DfID</w:t>
      </w:r>
      <w:r w:rsidR="00160403">
        <w:t>’</w:t>
      </w:r>
      <w:r w:rsidRPr="004C5667">
        <w:t>s</w:t>
      </w:r>
      <w:proofErr w:type="spellEnd"/>
      <w:r w:rsidRPr="004C5667">
        <w:t xml:space="preserve"> best practice guidelines for project management. The scoring from this Annual Review will be based on the performance against milestones set at the output, outcome and impact level within the </w:t>
      </w:r>
      <w:r w:rsidR="00E824BF">
        <w:t>Log Frame</w:t>
      </w:r>
      <w:r w:rsidRPr="004C5667">
        <w:t>.</w:t>
      </w:r>
    </w:p>
    <w:p w14:paraId="774DBEE5" w14:textId="791A965E" w:rsidR="007818C8" w:rsidRPr="004C5667" w:rsidRDefault="007818C8" w:rsidP="00EF36DF">
      <w:r w:rsidRPr="004C5667">
        <w:t xml:space="preserve">In collaboration with </w:t>
      </w:r>
      <w:r w:rsidR="00BF15A0">
        <w:t>Defra</w:t>
      </w:r>
      <w:r w:rsidRPr="004C5667">
        <w:t xml:space="preserve"> </w:t>
      </w:r>
      <w:r w:rsidR="00432238" w:rsidRPr="004C5667">
        <w:t xml:space="preserve">ICF </w:t>
      </w:r>
      <w:r w:rsidRPr="004C5667">
        <w:t>policy and econ</w:t>
      </w:r>
      <w:r w:rsidR="00432238" w:rsidRPr="004C5667">
        <w:t>omist teams,</w:t>
      </w:r>
      <w:r w:rsidRPr="004C5667">
        <w:t xml:space="preserve"> </w:t>
      </w:r>
      <w:r w:rsidR="00432238" w:rsidRPr="004C5667">
        <w:t>i</w:t>
      </w:r>
      <w:r w:rsidRPr="004C5667">
        <w:t xml:space="preserve">t is expected that the </w:t>
      </w:r>
      <w:r w:rsidR="00E824BF">
        <w:t>Log Frame</w:t>
      </w:r>
      <w:r w:rsidRPr="004C5667">
        <w:t xml:space="preserve"> will be finalised within 6 months of first draw down of Funds.</w:t>
      </w:r>
    </w:p>
    <w:p w14:paraId="39B97878" w14:textId="180FC6D3" w:rsidR="00432238" w:rsidRPr="004C5667" w:rsidRDefault="00BF15A0" w:rsidP="00EF36DF">
      <w:pPr>
        <w:pStyle w:val="Heading3"/>
      </w:pPr>
      <w:r>
        <w:t>Defra</w:t>
      </w:r>
    </w:p>
    <w:p w14:paraId="43E71633" w14:textId="5327154E" w:rsidR="00432238" w:rsidRPr="004C5667" w:rsidRDefault="00432238" w:rsidP="00EF36DF">
      <w:r w:rsidRPr="004C5667">
        <w:t xml:space="preserve">Within </w:t>
      </w:r>
      <w:r w:rsidR="00BF15A0">
        <w:t>Defra</w:t>
      </w:r>
      <w:r w:rsidRPr="004C5667">
        <w:t xml:space="preserve"> the ODA Board has a remit to monitor progress of funds, portfolios and projects against</w:t>
      </w:r>
      <w:r w:rsidR="00EF36DF" w:rsidRPr="004C5667">
        <w:t xml:space="preserve"> expected results including to:</w:t>
      </w:r>
    </w:p>
    <w:p w14:paraId="02B12F7D" w14:textId="40441565" w:rsidR="00432238" w:rsidRPr="004C5667" w:rsidRDefault="00432238" w:rsidP="00F93F6C">
      <w:pPr>
        <w:pStyle w:val="ListParagraph"/>
        <w:numPr>
          <w:ilvl w:val="0"/>
          <w:numId w:val="27"/>
        </w:numPr>
      </w:pPr>
      <w:r w:rsidRPr="004C5667">
        <w:t>Monitor and provide advice on risks associated with the ODA budget, including for high risk and transformational programmes.</w:t>
      </w:r>
    </w:p>
    <w:p w14:paraId="1349AF24" w14:textId="77777777" w:rsidR="00432238" w:rsidRPr="004C5667" w:rsidRDefault="00432238" w:rsidP="00F93F6C">
      <w:pPr>
        <w:pStyle w:val="ListParagraph"/>
        <w:numPr>
          <w:ilvl w:val="0"/>
          <w:numId w:val="27"/>
        </w:numPr>
      </w:pPr>
      <w:r w:rsidRPr="004C5667">
        <w:t>Reflect and advise on Monitoring and Evaluation for the ODA budget.</w:t>
      </w:r>
    </w:p>
    <w:p w14:paraId="3BEFAB5B" w14:textId="3BD97DB1" w:rsidR="00432238" w:rsidRPr="004C5667" w:rsidRDefault="00432238" w:rsidP="00F93F6C">
      <w:pPr>
        <w:pStyle w:val="ListParagraph"/>
        <w:numPr>
          <w:ilvl w:val="0"/>
          <w:numId w:val="27"/>
        </w:numPr>
      </w:pPr>
      <w:r w:rsidRPr="004C5667">
        <w:t>Recommend remedial actions if operational or financial performance is off track.</w:t>
      </w:r>
    </w:p>
    <w:p w14:paraId="79716367" w14:textId="67090AC0" w:rsidR="00432238" w:rsidRPr="004C5667" w:rsidRDefault="00432238" w:rsidP="00EF36DF">
      <w:r w:rsidRPr="004C5667">
        <w:t xml:space="preserve">The ICF team will report to the board periodically on progress of this project alongside others in the </w:t>
      </w:r>
      <w:r w:rsidR="00BF15A0">
        <w:t>Defra</w:t>
      </w:r>
      <w:r w:rsidRPr="004C5667">
        <w:t xml:space="preserve"> ICF portfolio. </w:t>
      </w:r>
    </w:p>
    <w:p w14:paraId="2C7A37E2" w14:textId="2EE8394E" w:rsidR="00432238" w:rsidRPr="004C5667" w:rsidRDefault="00432238" w:rsidP="00EF36DF">
      <w:pPr>
        <w:pStyle w:val="Heading2"/>
      </w:pPr>
      <w:bookmarkStart w:id="102" w:name="_Toc527027994"/>
      <w:r w:rsidRPr="004C5667">
        <w:t>Monitoring and Evaluation</w:t>
      </w:r>
      <w:r w:rsidR="00432290" w:rsidRPr="004C5667">
        <w:t xml:space="preserve"> Governance</w:t>
      </w:r>
      <w:bookmarkEnd w:id="102"/>
    </w:p>
    <w:p w14:paraId="7EE08AC9" w14:textId="570CD730" w:rsidR="00432238" w:rsidRDefault="00432238" w:rsidP="00EF36DF">
      <w:r w:rsidRPr="004C5667">
        <w:t xml:space="preserve">As outlined in the Appraisal Case, </w:t>
      </w:r>
      <w:r w:rsidR="00BF15A0">
        <w:t>Defra</w:t>
      </w:r>
      <w:r w:rsidRPr="004C5667">
        <w:t xml:space="preserve"> and IDB will work together to develop a robust and streamlined approach to Monitoring and Evaluation that provides the assurance the HMG needs and also works to complement and utilise</w:t>
      </w:r>
      <w:r w:rsidR="00160403">
        <w:t xml:space="preserve"> the</w:t>
      </w:r>
      <w:r w:rsidRPr="004C5667">
        <w:t xml:space="preserve"> IDBs existing procedures and experience.</w:t>
      </w:r>
    </w:p>
    <w:p w14:paraId="6DED98B2" w14:textId="77777777" w:rsidR="002D588A" w:rsidRPr="004C5667" w:rsidRDefault="002D588A" w:rsidP="002D588A">
      <w:pPr>
        <w:pStyle w:val="Heading4"/>
      </w:pPr>
      <w:r w:rsidRPr="004C5667">
        <w:t>Management of M&amp;E</w:t>
      </w:r>
    </w:p>
    <w:p w14:paraId="4F07E0F8" w14:textId="77777777" w:rsidR="002D588A" w:rsidRPr="004C5667" w:rsidRDefault="002D588A" w:rsidP="002D588A">
      <w:r w:rsidRPr="004C5667">
        <w:t>There is a sustained corporate commitment within IDB to achieving results and improving development effectiveness, which is led from the top of the organisation. Evaluation at the IDB is a shared responsibility between</w:t>
      </w:r>
      <w:r w:rsidRPr="004C5667">
        <w:rPr>
          <w:rFonts w:ascii="Arial" w:hAnsi="Arial" w:cs="Arial"/>
        </w:rPr>
        <w:t> </w:t>
      </w:r>
      <w:hyperlink r:id="rId41" w:history="1">
        <w:r w:rsidRPr="004C5667">
          <w:rPr>
            <w:rStyle w:val="Hyperlink"/>
            <w:rFonts w:asciiTheme="minorHAnsi" w:hAnsiTheme="minorHAnsi" w:cstheme="minorHAnsi"/>
            <w:color w:val="auto"/>
            <w:u w:val="none"/>
          </w:rPr>
          <w:t>management</w:t>
        </w:r>
      </w:hyperlink>
      <w:r w:rsidRPr="004C5667">
        <w:rPr>
          <w:rFonts w:asciiTheme="minorHAnsi" w:hAnsiTheme="minorHAnsi" w:cstheme="minorHAnsi"/>
          <w:u w:val="single"/>
        </w:rPr>
        <w:t> </w:t>
      </w:r>
      <w:r w:rsidRPr="004C5667">
        <w:t>and the </w:t>
      </w:r>
      <w:hyperlink r:id="rId42" w:history="1">
        <w:r w:rsidRPr="004C5667">
          <w:rPr>
            <w:rStyle w:val="Hyperlink"/>
            <w:rFonts w:asciiTheme="minorHAnsi" w:hAnsiTheme="minorHAnsi" w:cstheme="minorHAnsi"/>
            <w:color w:val="auto"/>
            <w:u w:val="none"/>
          </w:rPr>
          <w:t>Office of Evaluation and Oversight (OVE)</w:t>
        </w:r>
      </w:hyperlink>
      <w:r w:rsidRPr="004C5667">
        <w:rPr>
          <w:rStyle w:val="Hyperlink"/>
          <w:rFonts w:asciiTheme="minorHAnsi" w:hAnsiTheme="minorHAnsi" w:cstheme="minorHAnsi"/>
          <w:color w:val="auto"/>
          <w:u w:val="none"/>
        </w:rPr>
        <w:t xml:space="preserve"> of the Board of Directors</w:t>
      </w:r>
      <w:r w:rsidRPr="004C5667">
        <w:rPr>
          <w:rFonts w:asciiTheme="minorHAnsi" w:hAnsiTheme="minorHAnsi" w:cstheme="minorHAnsi"/>
        </w:rPr>
        <w:t>.</w:t>
      </w:r>
      <w:r w:rsidRPr="004C5667">
        <w:t xml:space="preserve"> Management focuses on project evaluations and monitoring portfolio performance. OVE is independent of management and answers to the Board of Executive Directors. Please refer to the following website for more information </w:t>
      </w:r>
      <w:hyperlink r:id="rId43" w:history="1">
        <w:r w:rsidRPr="004C5667">
          <w:rPr>
            <w:rStyle w:val="Hyperlink"/>
            <w:u w:val="none"/>
          </w:rPr>
          <w:t>link</w:t>
        </w:r>
      </w:hyperlink>
      <w:r w:rsidRPr="004C5667">
        <w:t>.</w:t>
      </w:r>
    </w:p>
    <w:p w14:paraId="6480DBF7" w14:textId="2ABF81B6" w:rsidR="002D588A" w:rsidRPr="004C5667" w:rsidRDefault="002D588A" w:rsidP="00EF36DF">
      <w:r w:rsidRPr="004C5667">
        <w:t xml:space="preserve">In respect to management, two different offices provide performance guidelines and monitoring and evaluation. The office of strategic planning and development effectiveness is responsible for designing and monitoring performance at a corporate level. In addition, the office of outreach and partnership grants and co-financing management unit is responsible for monitoring performance of all IDB externally funded trust funds and programs, and fiduciary implementation. Please refer to the </w:t>
      </w:r>
      <w:hyperlink r:id="rId44" w:history="1">
        <w:r w:rsidRPr="004C5667">
          <w:rPr>
            <w:rStyle w:val="Hyperlink"/>
          </w:rPr>
          <w:t>OVE IDB</w:t>
        </w:r>
      </w:hyperlink>
      <w:r w:rsidR="00160403">
        <w:t xml:space="preserve"> website for more information.</w:t>
      </w:r>
    </w:p>
    <w:p w14:paraId="52AFC940" w14:textId="703E7800" w:rsidR="00625484" w:rsidRPr="004C5667" w:rsidRDefault="00625484" w:rsidP="00625484">
      <w:pPr>
        <w:pStyle w:val="Heading3"/>
      </w:pPr>
      <w:r w:rsidRPr="004C5667">
        <w:t>Reporting</w:t>
      </w:r>
    </w:p>
    <w:p w14:paraId="5DFE0CDE" w14:textId="54D8C3F8" w:rsidR="0061429E" w:rsidRDefault="00160403" w:rsidP="00FE016F">
      <w:pPr>
        <w:rPr>
          <w:lang w:eastAsia="en-US"/>
        </w:rPr>
      </w:pPr>
      <w:r>
        <w:rPr>
          <w:lang w:eastAsia="en-US"/>
        </w:rPr>
        <w:lastRenderedPageBreak/>
        <w:t xml:space="preserve">The </w:t>
      </w:r>
      <w:r w:rsidR="00625484" w:rsidRPr="004C5667">
        <w:rPr>
          <w:lang w:eastAsia="en-US"/>
        </w:rPr>
        <w:t xml:space="preserve">IDB will provide impact and financial performance results to </w:t>
      </w:r>
      <w:r w:rsidR="00BF15A0">
        <w:rPr>
          <w:lang w:eastAsia="en-US"/>
        </w:rPr>
        <w:t>Defra</w:t>
      </w:r>
      <w:r w:rsidR="00625484" w:rsidRPr="004C5667">
        <w:rPr>
          <w:lang w:eastAsia="en-US"/>
        </w:rPr>
        <w:t xml:space="preserve"> no later than the 30</w:t>
      </w:r>
      <w:r w:rsidR="00625484" w:rsidRPr="004C5667">
        <w:rPr>
          <w:vertAlign w:val="superscript"/>
          <w:lang w:eastAsia="en-US"/>
        </w:rPr>
        <w:t>th</w:t>
      </w:r>
      <w:r w:rsidR="00625484" w:rsidRPr="004C5667">
        <w:rPr>
          <w:lang w:eastAsia="en-US"/>
        </w:rPr>
        <w:t xml:space="preserve"> </w:t>
      </w:r>
      <w:r w:rsidR="00D433D0">
        <w:rPr>
          <w:lang w:eastAsia="en-US"/>
        </w:rPr>
        <w:t>April</w:t>
      </w:r>
      <w:r w:rsidR="00D433D0" w:rsidRPr="004C5667">
        <w:rPr>
          <w:lang w:eastAsia="en-US"/>
        </w:rPr>
        <w:t xml:space="preserve"> </w:t>
      </w:r>
      <w:r w:rsidR="00625484" w:rsidRPr="004C5667">
        <w:rPr>
          <w:lang w:eastAsia="en-US"/>
        </w:rPr>
        <w:t>of each</w:t>
      </w:r>
      <w:r w:rsidR="0061429E">
        <w:rPr>
          <w:lang w:eastAsia="en-US"/>
        </w:rPr>
        <w:t xml:space="preserve"> year</w:t>
      </w:r>
      <w:r w:rsidR="00625484" w:rsidRPr="004C5667">
        <w:rPr>
          <w:lang w:eastAsia="en-US"/>
        </w:rPr>
        <w:t xml:space="preserve">. This will used to evidence the creation of an Annual Review to be written in accordance with </w:t>
      </w:r>
      <w:proofErr w:type="spellStart"/>
      <w:r w:rsidR="00625484" w:rsidRPr="004C5667">
        <w:rPr>
          <w:lang w:eastAsia="en-US"/>
        </w:rPr>
        <w:t>DfID</w:t>
      </w:r>
      <w:proofErr w:type="spellEnd"/>
      <w:r w:rsidR="00625484" w:rsidRPr="004C5667">
        <w:rPr>
          <w:lang w:eastAsia="en-US"/>
        </w:rPr>
        <w:t xml:space="preserve"> </w:t>
      </w:r>
      <w:r>
        <w:rPr>
          <w:lang w:eastAsia="en-US"/>
        </w:rPr>
        <w:t xml:space="preserve">Smart Guides and </w:t>
      </w:r>
      <w:r w:rsidR="00625484" w:rsidRPr="004C5667">
        <w:rPr>
          <w:lang w:eastAsia="en-US"/>
        </w:rPr>
        <w:t xml:space="preserve">templates. Although this is expected to be a collaborative effort between IDB and </w:t>
      </w:r>
      <w:r w:rsidR="00BF15A0">
        <w:rPr>
          <w:lang w:eastAsia="en-US"/>
        </w:rPr>
        <w:t>Defra</w:t>
      </w:r>
      <w:r w:rsidR="00625484" w:rsidRPr="004C5667">
        <w:rPr>
          <w:lang w:eastAsia="en-US"/>
        </w:rPr>
        <w:t xml:space="preserve">, </w:t>
      </w:r>
      <w:r w:rsidR="00BF15A0">
        <w:rPr>
          <w:lang w:eastAsia="en-US"/>
        </w:rPr>
        <w:t>Defra</w:t>
      </w:r>
      <w:r w:rsidR="00625484" w:rsidRPr="004C5667">
        <w:rPr>
          <w:lang w:eastAsia="en-US"/>
        </w:rPr>
        <w:t xml:space="preserve"> are responsible for the final scoring, conclusions an</w:t>
      </w:r>
      <w:r w:rsidR="002F5537" w:rsidRPr="004C5667">
        <w:rPr>
          <w:lang w:eastAsia="en-US"/>
        </w:rPr>
        <w:t>d publishing of this document.</w:t>
      </w:r>
    </w:p>
    <w:p w14:paraId="252EA1FC" w14:textId="77777777" w:rsidR="0061429E" w:rsidRPr="004774F1" w:rsidRDefault="0061429E" w:rsidP="0061429E">
      <w:pPr>
        <w:rPr>
          <w:i/>
        </w:rPr>
      </w:pPr>
      <w:r w:rsidRPr="004774F1">
        <w:t xml:space="preserve">All supported projects will have a monitoring and evaluation plan, this includes periodic monitoring of progress which is fed back to the bank through a ‘Progress Monitoring Report’. All projects will comply with the IDB’s credit supervision process. </w:t>
      </w:r>
      <w:r w:rsidRPr="004774F1">
        <w:rPr>
          <w:rFonts w:cstheme="minorHAnsi"/>
        </w:rPr>
        <w:t xml:space="preserve">The credit supervision process has the following purposes and objectives: </w:t>
      </w:r>
    </w:p>
    <w:p w14:paraId="0909137F" w14:textId="77777777" w:rsidR="0061429E" w:rsidRPr="0061429E" w:rsidRDefault="0061429E" w:rsidP="0061429E">
      <w:pPr>
        <w:pStyle w:val="ListParagraph"/>
        <w:numPr>
          <w:ilvl w:val="0"/>
          <w:numId w:val="39"/>
        </w:numPr>
        <w:rPr>
          <w:i/>
        </w:rPr>
      </w:pPr>
      <w:r w:rsidRPr="0061429E">
        <w:rPr>
          <w:rFonts w:cstheme="minorHAnsi"/>
        </w:rPr>
        <w:t xml:space="preserve">Monitor implementation and financial health of each transaction, and report on performance and adjustments to the risk profile of each transaction; </w:t>
      </w:r>
    </w:p>
    <w:p w14:paraId="3C3DA589" w14:textId="77777777" w:rsidR="0061429E" w:rsidRPr="0061429E" w:rsidRDefault="0061429E" w:rsidP="0061429E">
      <w:pPr>
        <w:pStyle w:val="ListParagraph"/>
        <w:numPr>
          <w:ilvl w:val="0"/>
          <w:numId w:val="39"/>
        </w:numPr>
        <w:rPr>
          <w:i/>
        </w:rPr>
      </w:pPr>
      <w:r w:rsidRPr="0061429E">
        <w:rPr>
          <w:rFonts w:cstheme="minorHAnsi"/>
        </w:rPr>
        <w:t xml:space="preserve">Ensure that transactions do not deviate materially from the original plan; </w:t>
      </w:r>
    </w:p>
    <w:p w14:paraId="24044DAA" w14:textId="77777777" w:rsidR="0061429E" w:rsidRPr="0061429E" w:rsidRDefault="0061429E" w:rsidP="0061429E">
      <w:pPr>
        <w:pStyle w:val="ListParagraph"/>
        <w:numPr>
          <w:ilvl w:val="0"/>
          <w:numId w:val="39"/>
        </w:numPr>
        <w:rPr>
          <w:i/>
        </w:rPr>
      </w:pPr>
      <w:r w:rsidRPr="0061429E">
        <w:rPr>
          <w:rFonts w:cstheme="minorHAnsi"/>
        </w:rPr>
        <w:t xml:space="preserve">Manage ongoing relationship with borrowers or related parties for all assigned portfolio transactions; </w:t>
      </w:r>
    </w:p>
    <w:p w14:paraId="542444E1" w14:textId="77777777" w:rsidR="0061429E" w:rsidRPr="0061429E" w:rsidRDefault="0061429E" w:rsidP="0061429E">
      <w:pPr>
        <w:pStyle w:val="ListParagraph"/>
        <w:numPr>
          <w:ilvl w:val="0"/>
          <w:numId w:val="39"/>
        </w:numPr>
        <w:rPr>
          <w:i/>
        </w:rPr>
      </w:pPr>
      <w:r w:rsidRPr="0061429E">
        <w:rPr>
          <w:rFonts w:cstheme="minorHAnsi"/>
        </w:rPr>
        <w:t xml:space="preserve">Propose and implement actions to mitigate potential and/or actual risks in a proactive manner; </w:t>
      </w:r>
    </w:p>
    <w:p w14:paraId="0E734894" w14:textId="77777777" w:rsidR="0061429E" w:rsidRPr="0061429E" w:rsidRDefault="0061429E" w:rsidP="0061429E">
      <w:pPr>
        <w:pStyle w:val="ListParagraph"/>
        <w:numPr>
          <w:ilvl w:val="0"/>
          <w:numId w:val="39"/>
        </w:numPr>
        <w:rPr>
          <w:i/>
        </w:rPr>
      </w:pPr>
      <w:r w:rsidRPr="0061429E">
        <w:rPr>
          <w:rFonts w:cstheme="minorHAnsi"/>
        </w:rPr>
        <w:t xml:space="preserve">Ensure that the funds are allocated and used as authorized in the financing agreement; </w:t>
      </w:r>
    </w:p>
    <w:p w14:paraId="77B40B43" w14:textId="77777777" w:rsidR="0061429E" w:rsidRPr="0061429E" w:rsidRDefault="0061429E" w:rsidP="0061429E">
      <w:pPr>
        <w:pStyle w:val="ListParagraph"/>
        <w:numPr>
          <w:ilvl w:val="0"/>
          <w:numId w:val="39"/>
        </w:numPr>
        <w:rPr>
          <w:i/>
        </w:rPr>
      </w:pPr>
      <w:r w:rsidRPr="0061429E">
        <w:rPr>
          <w:rFonts w:cstheme="minorHAnsi"/>
        </w:rPr>
        <w:t xml:space="preserve">Ensure that clients meet their contractual obligations. Analyse, negotiate, recommend and process any waivers, amendments and consents; </w:t>
      </w:r>
    </w:p>
    <w:p w14:paraId="5120FDB4" w14:textId="77777777" w:rsidR="0061429E" w:rsidRPr="0061429E" w:rsidRDefault="0061429E" w:rsidP="0061429E">
      <w:pPr>
        <w:pStyle w:val="ListParagraph"/>
        <w:numPr>
          <w:ilvl w:val="0"/>
          <w:numId w:val="39"/>
        </w:numPr>
        <w:rPr>
          <w:i/>
        </w:rPr>
      </w:pPr>
      <w:r w:rsidRPr="0061429E">
        <w:rPr>
          <w:rFonts w:cstheme="minorHAnsi"/>
        </w:rPr>
        <w:t xml:space="preserve">Compile information that will enable IDBG to monitor the development impact of transactions, and advances in project outputs and activities, and work with clients to enhance the development profile of the operation when opportunities arise; </w:t>
      </w:r>
    </w:p>
    <w:p w14:paraId="79B1BFAC" w14:textId="77777777" w:rsidR="0061429E" w:rsidRPr="0061429E" w:rsidRDefault="0061429E" w:rsidP="0061429E">
      <w:pPr>
        <w:pStyle w:val="ListParagraph"/>
        <w:numPr>
          <w:ilvl w:val="0"/>
          <w:numId w:val="39"/>
        </w:numPr>
        <w:rPr>
          <w:i/>
        </w:rPr>
      </w:pPr>
      <w:r w:rsidRPr="0061429E">
        <w:rPr>
          <w:rFonts w:cstheme="minorHAnsi"/>
        </w:rPr>
        <w:t>Monitor integrity and reputational risks associated with the transaction; and</w:t>
      </w:r>
    </w:p>
    <w:p w14:paraId="0204ED2C" w14:textId="36B74197" w:rsidR="0061429E" w:rsidRPr="0061429E" w:rsidRDefault="0061429E" w:rsidP="0061429E">
      <w:pPr>
        <w:pStyle w:val="ListParagraph"/>
        <w:numPr>
          <w:ilvl w:val="0"/>
          <w:numId w:val="39"/>
        </w:numPr>
        <w:rPr>
          <w:i/>
        </w:rPr>
      </w:pPr>
      <w:r w:rsidRPr="0061429E">
        <w:rPr>
          <w:rFonts w:cstheme="minorHAnsi"/>
        </w:rPr>
        <w:t xml:space="preserve">Prepare and disseminate portfolio lessons learned throughout the organization. </w:t>
      </w:r>
    </w:p>
    <w:p w14:paraId="5AF16AD7" w14:textId="107E9570" w:rsidR="0061429E" w:rsidRPr="00F81A43" w:rsidRDefault="0061429E" w:rsidP="0061429E">
      <w:pPr>
        <w:rPr>
          <w:rFonts w:cstheme="minorHAnsi"/>
        </w:rPr>
      </w:pPr>
      <w:r w:rsidRPr="00F81A43">
        <w:rPr>
          <w:rFonts w:cstheme="minorHAnsi"/>
          <w:b/>
        </w:rPr>
        <w:t xml:space="preserve">Annual Supervision Reports (ASRs) </w:t>
      </w:r>
      <w:r w:rsidRPr="00F81A43">
        <w:rPr>
          <w:rFonts w:cstheme="minorHAnsi"/>
        </w:rPr>
        <w:t xml:space="preserve">are prepared annually for all projects with outstanding exposure at the end of the previous year. ASRs are prepared by the </w:t>
      </w:r>
      <w:r>
        <w:rPr>
          <w:rFonts w:cstheme="minorHAnsi"/>
        </w:rPr>
        <w:t xml:space="preserve">project </w:t>
      </w:r>
      <w:r w:rsidRPr="00F81A43">
        <w:rPr>
          <w:rFonts w:cstheme="minorHAnsi"/>
        </w:rPr>
        <w:t xml:space="preserve">officer responsible for the ongoing monitoring of the project. </w:t>
      </w:r>
      <w:r>
        <w:rPr>
          <w:rFonts w:cstheme="minorHAnsi"/>
        </w:rPr>
        <w:t>The Aggregated results of the ASRs are included in the Annual Report submitted to the donor every year by April 30</w:t>
      </w:r>
      <w:r w:rsidRPr="008C7195">
        <w:rPr>
          <w:rFonts w:cstheme="minorHAnsi"/>
          <w:vertAlign w:val="superscript"/>
        </w:rPr>
        <w:t>th</w:t>
      </w:r>
      <w:r>
        <w:rPr>
          <w:rFonts w:cstheme="minorHAnsi"/>
        </w:rPr>
        <w:t xml:space="preserve">. </w:t>
      </w:r>
    </w:p>
    <w:p w14:paraId="66F25968" w14:textId="2F5C01BE" w:rsidR="0061429E" w:rsidRPr="00D55A13" w:rsidRDefault="0061429E" w:rsidP="0061429E">
      <w:pPr>
        <w:rPr>
          <w:rFonts w:cstheme="minorHAnsi"/>
        </w:rPr>
      </w:pPr>
      <w:r w:rsidRPr="00F81A43">
        <w:rPr>
          <w:rFonts w:cstheme="minorHAnsi"/>
          <w:b/>
        </w:rPr>
        <w:t>The Radar Review Control report</w:t>
      </w:r>
      <w:r w:rsidRPr="00F81A43">
        <w:rPr>
          <w:rFonts w:cstheme="minorHAnsi"/>
        </w:rPr>
        <w:t xml:space="preserve"> is prepared on a quarterly basis to serve as an early warning system for projects with key trigger events and conditions that deserve to be monitored  (e.g., capital modifications, environmental findings, political events, etc.). Radar projects are those where signs of financial distress are (deemed to be) developing, but have not yet resulted in a payment default or a material breach of contract. The report is prepared and updated on a monthly basis but it is only circulated on a quarterly basis.</w:t>
      </w:r>
    </w:p>
    <w:p w14:paraId="58622638" w14:textId="5ECEF818" w:rsidR="0061429E" w:rsidRDefault="00E6319E" w:rsidP="0061429E">
      <w:pPr>
        <w:rPr>
          <w:rFonts w:cstheme="minorHAnsi"/>
        </w:rPr>
      </w:pPr>
      <w:r>
        <w:t xml:space="preserve">Any reporting </w:t>
      </w:r>
      <w:r w:rsidR="0061429E" w:rsidRPr="0061429E">
        <w:rPr>
          <w:rFonts w:cstheme="minorHAnsi"/>
        </w:rPr>
        <w:t>will include information such as approval status, disbursements and project performance, and other information contained in project supervision tools and reports.</w:t>
      </w:r>
      <w:r w:rsidR="0061429E" w:rsidRPr="0061429E">
        <w:t xml:space="preserve"> DEFRA will also be able to monitor progress through regular contact with the technical advisors.</w:t>
      </w:r>
      <w:r w:rsidR="0061429E" w:rsidRPr="0061429E">
        <w:rPr>
          <w:rFonts w:cstheme="minorHAnsi"/>
        </w:rPr>
        <w:t xml:space="preserve"> </w:t>
      </w:r>
    </w:p>
    <w:p w14:paraId="4135C5FA" w14:textId="2622D234" w:rsidR="0061429E" w:rsidRPr="0061429E" w:rsidRDefault="0061429E" w:rsidP="0061429E">
      <w:pPr>
        <w:pStyle w:val="Heading3"/>
      </w:pPr>
      <w:r>
        <w:t>Independent Evaluations</w:t>
      </w:r>
    </w:p>
    <w:p w14:paraId="50B81ABE" w14:textId="20E6DA34" w:rsidR="0061429E" w:rsidRPr="00D55A13" w:rsidRDefault="0061429E" w:rsidP="0061429E">
      <w:r w:rsidRPr="00D55A13">
        <w:rPr>
          <w:b/>
        </w:rPr>
        <w:t xml:space="preserve">Mid-term evaluation: </w:t>
      </w:r>
      <w:r w:rsidRPr="00EB5538">
        <w:t>Upon the request of UK, the Bank shall be responsible for contracting the services of a third party to undertake a mid-term evaluation of the Fund’s activities. The scope of such mid-term evaluation will be mutua</w:t>
      </w:r>
      <w:r>
        <w:t>lly agreed upon between the IDB</w:t>
      </w:r>
      <w:r w:rsidRPr="00EB5538">
        <w:t xml:space="preserve"> and UK, which may include verification of project results. </w:t>
      </w:r>
    </w:p>
    <w:p w14:paraId="4D7CDF8F" w14:textId="4EDAF6AA" w:rsidR="0061429E" w:rsidRDefault="0061429E" w:rsidP="0061429E">
      <w:r w:rsidRPr="00D55A13">
        <w:rPr>
          <w:b/>
        </w:rPr>
        <w:lastRenderedPageBreak/>
        <w:t>Impact evaluation:</w:t>
      </w:r>
      <w:r>
        <w:rPr>
          <w:b/>
        </w:rPr>
        <w:t xml:space="preserve"> </w:t>
      </w:r>
      <w:r w:rsidRPr="00D55A13">
        <w:t>T</w:t>
      </w:r>
      <w:r>
        <w:t>he IDB</w:t>
      </w:r>
      <w:r w:rsidRPr="00EB5538">
        <w:t xml:space="preserve"> shall be responsible for contracting the services </w:t>
      </w:r>
      <w:r>
        <w:t xml:space="preserve">of a third party to undertake an impact </w:t>
      </w:r>
      <w:r w:rsidRPr="00EB5538">
        <w:t xml:space="preserve">evaluation of the Fund’s overall development effectiveness over time. The scope of such </w:t>
      </w:r>
      <w:r>
        <w:t>e</w:t>
      </w:r>
      <w:r w:rsidRPr="00EB5538">
        <w:t>valuation will be mutua</w:t>
      </w:r>
      <w:r>
        <w:t>lly agreed upon between the IDB</w:t>
      </w:r>
      <w:r w:rsidRPr="00EB5538">
        <w:t xml:space="preserve"> and UK. </w:t>
      </w:r>
    </w:p>
    <w:p w14:paraId="1CB527F7" w14:textId="4A4662D1" w:rsidR="00FE016F" w:rsidRPr="0061429E" w:rsidRDefault="0061429E" w:rsidP="0061429E">
      <w:r w:rsidRPr="0061429E">
        <w:rPr>
          <w:b/>
        </w:rPr>
        <w:t xml:space="preserve">Financial Audits. </w:t>
      </w:r>
      <w:r w:rsidRPr="0061429E">
        <w:t>Performed by the Auditors of the Bank and pay by the fu</w:t>
      </w:r>
      <w:r>
        <w:t>n</w:t>
      </w:r>
      <w:r w:rsidRPr="0061429E">
        <w:t>d/program</w:t>
      </w:r>
      <w:r>
        <w:t>me. The midterm, impact evaluation and financial audits are covered by resources of the program. The ASRs are included in the administration fee by the program.</w:t>
      </w:r>
      <w:r w:rsidR="002F5537" w:rsidRPr="004C5667">
        <w:rPr>
          <w:lang w:eastAsia="en-US"/>
        </w:rPr>
        <w:t xml:space="preserve"> </w:t>
      </w:r>
    </w:p>
    <w:p w14:paraId="179035D7" w14:textId="1DFE807F" w:rsidR="00336DB5" w:rsidRPr="004C5667" w:rsidRDefault="00336DB5" w:rsidP="00336DB5">
      <w:pPr>
        <w:pStyle w:val="Heading3"/>
      </w:pPr>
      <w:r w:rsidRPr="004C5667">
        <w:t>Monitoring and Evaluation Risks</w:t>
      </w:r>
    </w:p>
    <w:p w14:paraId="51560044" w14:textId="77777777" w:rsidR="00336DB5" w:rsidRPr="004C5667" w:rsidRDefault="00336DB5" w:rsidP="00336DB5">
      <w:r w:rsidRPr="004C5667">
        <w:t xml:space="preserve">There is a risk that projected benefits of the project will not be sustained beyond the lifetime of the programme. This issue is prevalent across ICF forestry programmes as takes years before the success of forest restoration activities can be properly judged (by both remote sensing and ground based methods). </w:t>
      </w:r>
    </w:p>
    <w:p w14:paraId="61218ED4" w14:textId="76403D3D" w:rsidR="00336DB5" w:rsidRPr="004C5667" w:rsidRDefault="00336DB5" w:rsidP="00336DB5">
      <w:r w:rsidRPr="004C5667">
        <w:t>To address this, the programm</w:t>
      </w:r>
      <w:r w:rsidR="0061429E">
        <w:t>e has been extended to run for 6</w:t>
      </w:r>
      <w:r w:rsidRPr="004C5667">
        <w:t xml:space="preserve"> years as opposed to</w:t>
      </w:r>
      <w:r w:rsidR="00160403">
        <w:t xml:space="preserve"> the initial</w:t>
      </w:r>
      <w:r w:rsidRPr="004C5667">
        <w:t xml:space="preserve"> 5 and the M&amp;E component including the Evaluation Plan will be designed as a collaborative effort between IDB and </w:t>
      </w:r>
      <w:r w:rsidR="00BF15A0">
        <w:t>Defra</w:t>
      </w:r>
      <w:r w:rsidRPr="004C5667">
        <w:t xml:space="preserve"> and finalised within the first year to ensure that the project outputs are monitored at the technical, social and environmental level and that long term sustainability is built in.</w:t>
      </w:r>
    </w:p>
    <w:p w14:paraId="101202B5" w14:textId="69387505" w:rsidR="00336DB5" w:rsidRPr="004C5667" w:rsidRDefault="00160403" w:rsidP="00336DB5">
      <w:r>
        <w:t>R</w:t>
      </w:r>
      <w:r w:rsidR="00336DB5" w:rsidRPr="004C5667">
        <w:t xml:space="preserve">eporting </w:t>
      </w:r>
      <w:r>
        <w:t xml:space="preserve">against </w:t>
      </w:r>
      <w:r w:rsidR="00336DB5" w:rsidRPr="004C5667">
        <w:t xml:space="preserve">ICF </w:t>
      </w:r>
      <w:r>
        <w:t>Key Performance Indicators (</w:t>
      </w:r>
      <w:r w:rsidR="00336DB5" w:rsidRPr="004C5667">
        <w:t>KPIs</w:t>
      </w:r>
      <w:r>
        <w:t>)</w:t>
      </w:r>
      <w:r w:rsidR="00336DB5" w:rsidRPr="004C5667">
        <w:t xml:space="preserve"> including KPI 15 (transformational change) will </w:t>
      </w:r>
      <w:r>
        <w:t xml:space="preserve">also </w:t>
      </w:r>
      <w:r w:rsidR="00336DB5" w:rsidRPr="004C5667">
        <w:t xml:space="preserve">help counteract </w:t>
      </w:r>
      <w:r>
        <w:t>this risk</w:t>
      </w:r>
      <w:r w:rsidR="00336DB5" w:rsidRPr="004C5667">
        <w:t xml:space="preserve">. In addition as </w:t>
      </w:r>
      <w:r w:rsidR="00BF15A0">
        <w:t>Defra</w:t>
      </w:r>
      <w:r>
        <w:t>’</w:t>
      </w:r>
      <w:r w:rsidR="00336DB5" w:rsidRPr="004C5667">
        <w:t xml:space="preserve">s ICF portfolio </w:t>
      </w:r>
      <w:r>
        <w:t xml:space="preserve">is already delivering in </w:t>
      </w:r>
      <w:r w:rsidR="00336DB5" w:rsidRPr="004C5667">
        <w:t xml:space="preserve">LAC </w:t>
      </w:r>
      <w:r>
        <w:t>and with the possibility of further expansion</w:t>
      </w:r>
      <w:r w:rsidR="00336DB5" w:rsidRPr="004C5667">
        <w:t xml:space="preserve"> there could be an opportunity to explore in future years a detailed monitoring and evaluation system that extends to the LAC region. This will involve engagement with OGDs in areas where ICF programmes are being similarly implemented.</w:t>
      </w:r>
    </w:p>
    <w:p w14:paraId="7F482A65" w14:textId="406F0074" w:rsidR="002F5537" w:rsidRDefault="002F5537" w:rsidP="002F5537">
      <w:pPr>
        <w:pStyle w:val="Heading2"/>
      </w:pPr>
      <w:bookmarkStart w:id="103" w:name="_Toc527027995"/>
      <w:r w:rsidRPr="004C5667">
        <w:t>Risks</w:t>
      </w:r>
      <w:bookmarkEnd w:id="103"/>
    </w:p>
    <w:p w14:paraId="63DB47BA" w14:textId="77777777" w:rsidR="00160403" w:rsidRDefault="00160403" w:rsidP="00DE7835">
      <w:pPr>
        <w:rPr>
          <w:lang w:eastAsia="en-US"/>
        </w:rPr>
      </w:pPr>
      <w:r>
        <w:rPr>
          <w:lang w:eastAsia="en-US"/>
        </w:rPr>
        <w:t xml:space="preserve">Beyond the specific financial, </w:t>
      </w:r>
      <w:r w:rsidR="00DE7835">
        <w:rPr>
          <w:lang w:eastAsia="en-US"/>
        </w:rPr>
        <w:t xml:space="preserve">commercial </w:t>
      </w:r>
      <w:r>
        <w:rPr>
          <w:lang w:eastAsia="en-US"/>
        </w:rPr>
        <w:t xml:space="preserve">and monitoring </w:t>
      </w:r>
      <w:r w:rsidR="00DE7835">
        <w:rPr>
          <w:lang w:eastAsia="en-US"/>
        </w:rPr>
        <w:t>risks outlined above there are some general risks associated with successfully managing programme deliver</w:t>
      </w:r>
      <w:r>
        <w:rPr>
          <w:lang w:eastAsia="en-US"/>
        </w:rPr>
        <w:t>y; outlined in the table below.</w:t>
      </w:r>
    </w:p>
    <w:p w14:paraId="3377FA93" w14:textId="6E5B963D" w:rsidR="00DE7835" w:rsidRPr="00DE7835" w:rsidRDefault="00DE7835" w:rsidP="00DE7835">
      <w:pPr>
        <w:rPr>
          <w:lang w:eastAsia="en-US"/>
        </w:rPr>
      </w:pPr>
      <w:r w:rsidRPr="0076107F">
        <w:rPr>
          <w:b/>
          <w:lang w:eastAsia="en-US"/>
        </w:rPr>
        <w:t>Probability</w:t>
      </w:r>
      <w:r>
        <w:rPr>
          <w:lang w:eastAsia="en-US"/>
        </w:rPr>
        <w:t xml:space="preserve"> </w:t>
      </w:r>
      <w:r w:rsidR="0076107F">
        <w:rPr>
          <w:lang w:eastAsia="en-US"/>
        </w:rPr>
        <w:t>(</w:t>
      </w:r>
      <w:r>
        <w:rPr>
          <w:lang w:eastAsia="en-US"/>
        </w:rPr>
        <w:t>or likelihood</w:t>
      </w:r>
      <w:r w:rsidR="0076107F">
        <w:rPr>
          <w:lang w:eastAsia="en-US"/>
        </w:rPr>
        <w:t>)</w:t>
      </w:r>
      <w:r>
        <w:rPr>
          <w:lang w:eastAsia="en-US"/>
        </w:rPr>
        <w:t xml:space="preserve"> is based on a scale of Very unlikely &gt; Unlikely &gt; Possible &gt; Likely &gt; </w:t>
      </w:r>
      <w:r w:rsidR="0076107F">
        <w:rPr>
          <w:lang w:eastAsia="en-US"/>
        </w:rPr>
        <w:t>Certain;</w:t>
      </w:r>
      <w:r>
        <w:rPr>
          <w:lang w:eastAsia="en-US"/>
        </w:rPr>
        <w:t xml:space="preserve"> </w:t>
      </w:r>
      <w:r w:rsidRPr="0076107F">
        <w:rPr>
          <w:b/>
          <w:lang w:eastAsia="en-US"/>
        </w:rPr>
        <w:t>Impact</w:t>
      </w:r>
      <w:r>
        <w:rPr>
          <w:lang w:eastAsia="en-US"/>
        </w:rPr>
        <w:t xml:space="preserve"> </w:t>
      </w:r>
      <w:r w:rsidR="0076107F">
        <w:rPr>
          <w:lang w:eastAsia="en-US"/>
        </w:rPr>
        <w:t>is based on the scale of Insignificant &gt; Minor &gt; Moderate &gt; Major &gt; Severe; and the overall level is based on the Red Amber Green (</w:t>
      </w:r>
      <w:r w:rsidR="0076107F" w:rsidRPr="0076107F">
        <w:rPr>
          <w:b/>
          <w:lang w:eastAsia="en-US"/>
        </w:rPr>
        <w:t>RAG</w:t>
      </w:r>
      <w:r w:rsidR="0076107F">
        <w:rPr>
          <w:lang w:eastAsia="en-US"/>
        </w:rPr>
        <w:t>) system.</w:t>
      </w:r>
    </w:p>
    <w:tbl>
      <w:tblPr>
        <w:tblpPr w:leftFromText="180" w:rightFromText="180" w:vertAnchor="text" w:horzAnchor="margin" w:tblpXSpec="center" w:tblpY="53"/>
        <w:tblW w:w="5277" w:type="pct"/>
        <w:tblLayout w:type="fixed"/>
        <w:tblCellMar>
          <w:left w:w="0" w:type="dxa"/>
          <w:right w:w="0" w:type="dxa"/>
        </w:tblCellMar>
        <w:tblLook w:val="04A0" w:firstRow="1" w:lastRow="0" w:firstColumn="1" w:lastColumn="0" w:noHBand="0" w:noVBand="1"/>
      </w:tblPr>
      <w:tblGrid>
        <w:gridCol w:w="4604"/>
        <w:gridCol w:w="439"/>
        <w:gridCol w:w="438"/>
        <w:gridCol w:w="438"/>
        <w:gridCol w:w="3993"/>
      </w:tblGrid>
      <w:tr w:rsidR="009D2BBC" w:rsidRPr="0076107F" w14:paraId="44218EA5" w14:textId="77777777" w:rsidTr="00B759E9">
        <w:trPr>
          <w:cantSplit/>
          <w:trHeight w:val="1265"/>
        </w:trPr>
        <w:tc>
          <w:tcPr>
            <w:tcW w:w="4604" w:type="dxa"/>
            <w:tcBorders>
              <w:top w:val="single" w:sz="4" w:space="0" w:color="auto"/>
              <w:left w:val="single" w:sz="8" w:space="0" w:color="auto"/>
              <w:bottom w:val="single" w:sz="8" w:space="0" w:color="auto"/>
              <w:right w:val="single" w:sz="8" w:space="0" w:color="auto"/>
            </w:tcBorders>
            <w:shd w:val="clear" w:color="auto" w:fill="BDD6EE" w:themeFill="accent1" w:themeFillTint="66"/>
            <w:noWrap/>
            <w:tcMar>
              <w:top w:w="0" w:type="dxa"/>
              <w:left w:w="108" w:type="dxa"/>
              <w:bottom w:w="0" w:type="dxa"/>
              <w:right w:w="108" w:type="dxa"/>
            </w:tcMar>
            <w:vAlign w:val="center"/>
            <w:hideMark/>
          </w:tcPr>
          <w:p w14:paraId="7D7131A3" w14:textId="77777777" w:rsidR="009D2BBC" w:rsidRPr="0076107F" w:rsidRDefault="009D2BBC" w:rsidP="009D2BBC">
            <w:pPr>
              <w:widowControl w:val="0"/>
              <w:spacing w:after="0" w:line="240" w:lineRule="auto"/>
              <w:jc w:val="center"/>
              <w:rPr>
                <w:rFonts w:cs="Arial"/>
                <w:b/>
                <w:bCs/>
                <w:sz w:val="20"/>
                <w:szCs w:val="20"/>
              </w:rPr>
            </w:pPr>
            <w:r w:rsidRPr="0076107F">
              <w:rPr>
                <w:rFonts w:cs="Arial"/>
                <w:b/>
                <w:bCs/>
                <w:sz w:val="20"/>
                <w:szCs w:val="20"/>
              </w:rPr>
              <w:t>Risk Summary (Event and Effect)</w:t>
            </w:r>
          </w:p>
        </w:tc>
        <w:tc>
          <w:tcPr>
            <w:tcW w:w="439" w:type="dxa"/>
            <w:tcBorders>
              <w:top w:val="single" w:sz="4" w:space="0" w:color="auto"/>
              <w:left w:val="nil"/>
              <w:bottom w:val="single" w:sz="8" w:space="0" w:color="auto"/>
              <w:right w:val="single" w:sz="8" w:space="0" w:color="auto"/>
            </w:tcBorders>
            <w:shd w:val="clear" w:color="auto" w:fill="BDD6EE" w:themeFill="accent1" w:themeFillTint="66"/>
            <w:noWrap/>
            <w:tcMar>
              <w:top w:w="0" w:type="dxa"/>
              <w:left w:w="108" w:type="dxa"/>
              <w:bottom w:w="0" w:type="dxa"/>
              <w:right w:w="108" w:type="dxa"/>
            </w:tcMar>
            <w:textDirection w:val="btLr"/>
            <w:vAlign w:val="center"/>
            <w:hideMark/>
          </w:tcPr>
          <w:p w14:paraId="7A8A2FB3" w14:textId="77777777" w:rsidR="009D2BBC" w:rsidRPr="0076107F" w:rsidRDefault="009D2BBC" w:rsidP="009D2BBC">
            <w:pPr>
              <w:widowControl w:val="0"/>
              <w:spacing w:after="0" w:line="240" w:lineRule="auto"/>
              <w:ind w:left="113" w:right="113"/>
              <w:jc w:val="center"/>
              <w:rPr>
                <w:rFonts w:eastAsiaTheme="minorHAnsi" w:cs="Arial"/>
                <w:b/>
                <w:bCs/>
                <w:sz w:val="20"/>
                <w:szCs w:val="20"/>
              </w:rPr>
            </w:pPr>
            <w:r w:rsidRPr="0076107F">
              <w:rPr>
                <w:rFonts w:cs="Arial"/>
                <w:b/>
                <w:bCs/>
                <w:sz w:val="20"/>
                <w:szCs w:val="20"/>
              </w:rPr>
              <w:t>Probability</w:t>
            </w:r>
          </w:p>
        </w:tc>
        <w:tc>
          <w:tcPr>
            <w:tcW w:w="438" w:type="dxa"/>
            <w:tcBorders>
              <w:top w:val="single" w:sz="4" w:space="0" w:color="auto"/>
              <w:left w:val="nil"/>
              <w:bottom w:val="single" w:sz="8" w:space="0" w:color="auto"/>
              <w:right w:val="single" w:sz="8" w:space="0" w:color="auto"/>
            </w:tcBorders>
            <w:shd w:val="clear" w:color="auto" w:fill="BDD6EE" w:themeFill="accent1" w:themeFillTint="66"/>
            <w:noWrap/>
            <w:tcMar>
              <w:top w:w="0" w:type="dxa"/>
              <w:left w:w="108" w:type="dxa"/>
              <w:bottom w:w="0" w:type="dxa"/>
              <w:right w:w="108" w:type="dxa"/>
            </w:tcMar>
            <w:textDirection w:val="btLr"/>
            <w:vAlign w:val="center"/>
            <w:hideMark/>
          </w:tcPr>
          <w:p w14:paraId="2254DF0A" w14:textId="77777777" w:rsidR="009D2BBC" w:rsidRPr="0076107F" w:rsidRDefault="009D2BBC" w:rsidP="009D2BBC">
            <w:pPr>
              <w:widowControl w:val="0"/>
              <w:spacing w:after="0" w:line="240" w:lineRule="auto"/>
              <w:ind w:left="113" w:right="113"/>
              <w:jc w:val="center"/>
              <w:rPr>
                <w:rFonts w:eastAsiaTheme="minorHAnsi" w:cs="Arial"/>
                <w:b/>
                <w:bCs/>
                <w:sz w:val="20"/>
                <w:szCs w:val="20"/>
              </w:rPr>
            </w:pPr>
            <w:r w:rsidRPr="0076107F">
              <w:rPr>
                <w:rFonts w:cs="Arial"/>
                <w:b/>
                <w:bCs/>
                <w:sz w:val="20"/>
                <w:szCs w:val="20"/>
              </w:rPr>
              <w:t>Impact</w:t>
            </w:r>
          </w:p>
        </w:tc>
        <w:tc>
          <w:tcPr>
            <w:tcW w:w="438" w:type="dxa"/>
            <w:tcBorders>
              <w:top w:val="single" w:sz="4" w:space="0" w:color="auto"/>
              <w:left w:val="nil"/>
              <w:bottom w:val="single" w:sz="8" w:space="0" w:color="auto"/>
              <w:right w:val="single" w:sz="8" w:space="0" w:color="auto"/>
            </w:tcBorders>
            <w:shd w:val="clear" w:color="auto" w:fill="BDD6EE" w:themeFill="accent1" w:themeFillTint="66"/>
            <w:noWrap/>
            <w:tcMar>
              <w:top w:w="0" w:type="dxa"/>
              <w:left w:w="108" w:type="dxa"/>
              <w:bottom w:w="0" w:type="dxa"/>
              <w:right w:w="108" w:type="dxa"/>
            </w:tcMar>
            <w:textDirection w:val="btLr"/>
            <w:vAlign w:val="center"/>
            <w:hideMark/>
          </w:tcPr>
          <w:p w14:paraId="2CFD4399" w14:textId="77777777" w:rsidR="009D2BBC" w:rsidRPr="0076107F" w:rsidRDefault="009D2BBC" w:rsidP="009D2BBC">
            <w:pPr>
              <w:widowControl w:val="0"/>
              <w:spacing w:after="0" w:line="240" w:lineRule="auto"/>
              <w:ind w:left="113" w:right="113"/>
              <w:jc w:val="center"/>
              <w:rPr>
                <w:rFonts w:eastAsiaTheme="minorHAnsi" w:cs="Arial"/>
                <w:b/>
                <w:bCs/>
                <w:sz w:val="20"/>
                <w:szCs w:val="20"/>
              </w:rPr>
            </w:pPr>
            <w:r w:rsidRPr="0076107F">
              <w:rPr>
                <w:rFonts w:cs="Arial"/>
                <w:b/>
                <w:bCs/>
                <w:sz w:val="20"/>
                <w:szCs w:val="20"/>
              </w:rPr>
              <w:t>Level</w:t>
            </w:r>
          </w:p>
        </w:tc>
        <w:tc>
          <w:tcPr>
            <w:tcW w:w="3993" w:type="dxa"/>
            <w:tcBorders>
              <w:top w:val="single" w:sz="4" w:space="0" w:color="auto"/>
              <w:left w:val="single" w:sz="8" w:space="0" w:color="auto"/>
              <w:bottom w:val="single" w:sz="8" w:space="0" w:color="auto"/>
              <w:right w:val="single" w:sz="8" w:space="0" w:color="000000"/>
            </w:tcBorders>
            <w:shd w:val="clear" w:color="auto" w:fill="BDD6EE" w:themeFill="accent1" w:themeFillTint="66"/>
            <w:noWrap/>
            <w:tcMar>
              <w:top w:w="0" w:type="dxa"/>
              <w:left w:w="108" w:type="dxa"/>
              <w:bottom w:w="0" w:type="dxa"/>
              <w:right w:w="108" w:type="dxa"/>
            </w:tcMar>
            <w:vAlign w:val="center"/>
            <w:hideMark/>
          </w:tcPr>
          <w:p w14:paraId="0B170A92" w14:textId="77777777" w:rsidR="009D2BBC" w:rsidRPr="0076107F" w:rsidRDefault="009D2BBC" w:rsidP="009D2BBC">
            <w:pPr>
              <w:widowControl w:val="0"/>
              <w:spacing w:after="0" w:line="240" w:lineRule="auto"/>
              <w:jc w:val="center"/>
              <w:rPr>
                <w:rFonts w:eastAsiaTheme="minorHAnsi" w:cs="Arial"/>
                <w:b/>
                <w:bCs/>
                <w:sz w:val="20"/>
                <w:szCs w:val="20"/>
              </w:rPr>
            </w:pPr>
            <w:r w:rsidRPr="0076107F">
              <w:rPr>
                <w:rFonts w:cs="Arial"/>
                <w:b/>
                <w:bCs/>
                <w:sz w:val="20"/>
                <w:szCs w:val="20"/>
              </w:rPr>
              <w:t>Current Mitigation Plan</w:t>
            </w:r>
          </w:p>
        </w:tc>
      </w:tr>
      <w:tr w:rsidR="004C5667" w:rsidRPr="0076107F" w14:paraId="793E9065" w14:textId="77777777" w:rsidTr="00B759E9">
        <w:trPr>
          <w:cantSplit/>
          <w:trHeight w:val="1134"/>
        </w:trPr>
        <w:tc>
          <w:tcPr>
            <w:tcW w:w="460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566A2DFA" w14:textId="77777777" w:rsidR="009D2BBC" w:rsidRPr="0076107F" w:rsidRDefault="009D2BBC" w:rsidP="009860EA">
            <w:pPr>
              <w:widowControl w:val="0"/>
              <w:spacing w:after="0" w:line="240" w:lineRule="auto"/>
              <w:rPr>
                <w:rFonts w:eastAsiaTheme="minorHAnsi" w:cs="Arial"/>
                <w:b/>
                <w:sz w:val="20"/>
                <w:szCs w:val="20"/>
              </w:rPr>
            </w:pPr>
            <w:r w:rsidRPr="0076107F">
              <w:rPr>
                <w:rFonts w:eastAsiaTheme="minorHAnsi" w:cs="Arial"/>
                <w:b/>
                <w:sz w:val="20"/>
                <w:szCs w:val="20"/>
              </w:rPr>
              <w:t>Intervention design</w:t>
            </w:r>
          </w:p>
          <w:p w14:paraId="4272A816" w14:textId="4AB52A3F" w:rsidR="009D2BBC" w:rsidRPr="0076107F" w:rsidRDefault="009D2BBC" w:rsidP="00E71EC5">
            <w:pPr>
              <w:widowControl w:val="0"/>
              <w:spacing w:after="0" w:line="240" w:lineRule="auto"/>
              <w:rPr>
                <w:rFonts w:eastAsiaTheme="minorHAnsi" w:cs="Arial"/>
                <w:sz w:val="20"/>
                <w:szCs w:val="20"/>
              </w:rPr>
            </w:pPr>
            <w:r w:rsidRPr="0076107F">
              <w:rPr>
                <w:rFonts w:eastAsiaTheme="minorHAnsi" w:cs="Arial"/>
                <w:sz w:val="20"/>
                <w:szCs w:val="20"/>
              </w:rPr>
              <w:t xml:space="preserve">Some details of the intervention are still to be worked through, and there will be flexibility built into the delivery model. As such, there is a risk that </w:t>
            </w:r>
            <w:r w:rsidR="00E71EC5" w:rsidRPr="0076107F">
              <w:rPr>
                <w:rFonts w:eastAsiaTheme="minorHAnsi" w:cs="Arial"/>
                <w:sz w:val="20"/>
                <w:szCs w:val="20"/>
              </w:rPr>
              <w:t xml:space="preserve">some </w:t>
            </w:r>
            <w:r w:rsidRPr="0076107F">
              <w:rPr>
                <w:rFonts w:eastAsiaTheme="minorHAnsi" w:cs="Arial"/>
                <w:sz w:val="20"/>
                <w:szCs w:val="20"/>
              </w:rPr>
              <w:t xml:space="preserve">objectives are not met, for example that the blended finance isn’t deployed in line with the </w:t>
            </w:r>
            <w:r w:rsidR="00E71EC5" w:rsidRPr="0076107F">
              <w:rPr>
                <w:rFonts w:eastAsiaTheme="minorHAnsi" w:cs="Arial"/>
                <w:sz w:val="20"/>
                <w:szCs w:val="20"/>
              </w:rPr>
              <w:t xml:space="preserve">delivery plan or doesn’t achieve maximum </w:t>
            </w:r>
            <w:r w:rsidRPr="0076107F">
              <w:rPr>
                <w:rFonts w:eastAsiaTheme="minorHAnsi" w:cs="Arial"/>
                <w:sz w:val="20"/>
                <w:szCs w:val="20"/>
              </w:rPr>
              <w:t xml:space="preserve">impact. </w:t>
            </w:r>
          </w:p>
        </w:tc>
        <w:tc>
          <w:tcPr>
            <w:tcW w:w="439" w:type="dxa"/>
            <w:tcBorders>
              <w:top w:val="single" w:sz="8" w:space="0" w:color="auto"/>
              <w:left w:val="nil"/>
              <w:bottom w:val="single" w:sz="8" w:space="0" w:color="auto"/>
              <w:right w:val="single" w:sz="8" w:space="0" w:color="auto"/>
            </w:tcBorders>
            <w:noWrap/>
            <w:tcMar>
              <w:top w:w="0" w:type="dxa"/>
              <w:left w:w="108" w:type="dxa"/>
              <w:bottom w:w="0" w:type="dxa"/>
              <w:right w:w="108" w:type="dxa"/>
            </w:tcMar>
            <w:textDirection w:val="btLr"/>
          </w:tcPr>
          <w:p w14:paraId="43A72CC8" w14:textId="45C67ABC" w:rsidR="009D2BBC" w:rsidRPr="0076107F" w:rsidRDefault="0076107F" w:rsidP="009D2BBC">
            <w:pPr>
              <w:widowControl w:val="0"/>
              <w:spacing w:after="0" w:line="240" w:lineRule="auto"/>
              <w:ind w:left="113" w:right="113"/>
              <w:rPr>
                <w:rFonts w:eastAsiaTheme="minorHAnsi" w:cs="Arial"/>
                <w:sz w:val="20"/>
                <w:szCs w:val="20"/>
              </w:rPr>
            </w:pPr>
            <w:r w:rsidRPr="0076107F">
              <w:rPr>
                <w:rFonts w:eastAsiaTheme="minorHAnsi" w:cs="Arial"/>
                <w:sz w:val="20"/>
                <w:szCs w:val="20"/>
              </w:rPr>
              <w:t>Possible</w:t>
            </w:r>
          </w:p>
        </w:tc>
        <w:tc>
          <w:tcPr>
            <w:tcW w:w="438" w:type="dxa"/>
            <w:tcBorders>
              <w:top w:val="single" w:sz="8" w:space="0" w:color="auto"/>
              <w:left w:val="nil"/>
              <w:bottom w:val="single" w:sz="8" w:space="0" w:color="auto"/>
              <w:right w:val="single" w:sz="8" w:space="0" w:color="auto"/>
            </w:tcBorders>
            <w:noWrap/>
            <w:tcMar>
              <w:top w:w="0" w:type="dxa"/>
              <w:left w:w="108" w:type="dxa"/>
              <w:bottom w:w="0" w:type="dxa"/>
              <w:right w:w="108" w:type="dxa"/>
            </w:tcMar>
            <w:textDirection w:val="btLr"/>
          </w:tcPr>
          <w:p w14:paraId="7F6DD7DC" w14:textId="6A5F51C4" w:rsidR="009D2BBC" w:rsidRPr="0076107F" w:rsidRDefault="0076107F" w:rsidP="009D2BBC">
            <w:pPr>
              <w:widowControl w:val="0"/>
              <w:spacing w:after="0" w:line="240" w:lineRule="auto"/>
              <w:ind w:left="113" w:right="113"/>
              <w:rPr>
                <w:rFonts w:eastAsiaTheme="minorHAnsi" w:cs="Arial"/>
                <w:sz w:val="20"/>
                <w:szCs w:val="20"/>
              </w:rPr>
            </w:pPr>
            <w:r w:rsidRPr="0076107F">
              <w:rPr>
                <w:rFonts w:eastAsiaTheme="minorHAnsi" w:cs="Arial"/>
                <w:sz w:val="20"/>
                <w:szCs w:val="20"/>
              </w:rPr>
              <w:t>Moderate</w:t>
            </w:r>
          </w:p>
        </w:tc>
        <w:tc>
          <w:tcPr>
            <w:tcW w:w="438"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textDirection w:val="btLr"/>
          </w:tcPr>
          <w:p w14:paraId="33FEFFA5" w14:textId="084FA28A" w:rsidR="009D2BBC" w:rsidRPr="0076107F" w:rsidRDefault="009D2BBC" w:rsidP="009D2BBC">
            <w:pPr>
              <w:widowControl w:val="0"/>
              <w:spacing w:after="0" w:line="240" w:lineRule="auto"/>
              <w:ind w:left="113" w:right="113"/>
              <w:rPr>
                <w:rFonts w:eastAsiaTheme="minorHAnsi" w:cs="Arial"/>
                <w:sz w:val="20"/>
                <w:szCs w:val="20"/>
              </w:rPr>
            </w:pPr>
          </w:p>
        </w:tc>
        <w:tc>
          <w:tcPr>
            <w:tcW w:w="3993" w:type="dxa"/>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tcPr>
          <w:p w14:paraId="58A225FF" w14:textId="77777777" w:rsidR="009D2BBC" w:rsidRPr="0076107F" w:rsidRDefault="009D2BBC" w:rsidP="009860EA">
            <w:pPr>
              <w:widowControl w:val="0"/>
              <w:spacing w:after="0" w:line="240" w:lineRule="auto"/>
              <w:rPr>
                <w:rFonts w:eastAsiaTheme="minorHAnsi" w:cs="Arial"/>
                <w:sz w:val="20"/>
                <w:szCs w:val="20"/>
              </w:rPr>
            </w:pPr>
            <w:r w:rsidRPr="0076107F">
              <w:rPr>
                <w:rFonts w:eastAsiaTheme="minorHAnsi" w:cs="Arial"/>
                <w:sz w:val="20"/>
                <w:szCs w:val="20"/>
              </w:rPr>
              <w:t>We are working very closely with the IDB and will be sharing the business case with them to ensure the design is in line with our expectations. We have also engaged their senior officials to flag this risk</w:t>
            </w:r>
          </w:p>
        </w:tc>
      </w:tr>
      <w:tr w:rsidR="004C5667" w:rsidRPr="0076107F" w14:paraId="46AF98B9" w14:textId="77777777" w:rsidTr="00B759E9">
        <w:trPr>
          <w:cantSplit/>
          <w:trHeight w:val="1134"/>
        </w:trPr>
        <w:tc>
          <w:tcPr>
            <w:tcW w:w="460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7E3CF23F" w14:textId="77777777" w:rsidR="009D2BBC" w:rsidRPr="0076107F" w:rsidRDefault="009D2BBC" w:rsidP="009860EA">
            <w:pPr>
              <w:widowControl w:val="0"/>
              <w:spacing w:after="0" w:line="240" w:lineRule="auto"/>
              <w:rPr>
                <w:rFonts w:eastAsiaTheme="minorHAnsi" w:cs="Arial"/>
                <w:b/>
                <w:sz w:val="20"/>
                <w:szCs w:val="20"/>
              </w:rPr>
            </w:pPr>
            <w:r w:rsidRPr="0076107F">
              <w:rPr>
                <w:rFonts w:eastAsiaTheme="minorHAnsi" w:cs="Arial"/>
                <w:b/>
                <w:sz w:val="20"/>
                <w:szCs w:val="20"/>
              </w:rPr>
              <w:t>Overlap with other interventions</w:t>
            </w:r>
          </w:p>
          <w:p w14:paraId="0326583F" w14:textId="4B05760F" w:rsidR="009D2BBC" w:rsidRPr="0076107F" w:rsidRDefault="009D2BBC" w:rsidP="00E71EC5">
            <w:pPr>
              <w:widowControl w:val="0"/>
              <w:spacing w:after="0" w:line="240" w:lineRule="auto"/>
              <w:rPr>
                <w:rFonts w:eastAsiaTheme="minorHAnsi" w:cs="Arial"/>
                <w:sz w:val="20"/>
                <w:szCs w:val="20"/>
              </w:rPr>
            </w:pPr>
            <w:r w:rsidRPr="0076107F">
              <w:rPr>
                <w:rFonts w:eastAsiaTheme="minorHAnsi" w:cs="Arial"/>
                <w:sz w:val="20"/>
                <w:szCs w:val="20"/>
              </w:rPr>
              <w:t xml:space="preserve">There are other interventions working in this </w:t>
            </w:r>
            <w:r w:rsidR="00E71EC5" w:rsidRPr="0076107F">
              <w:rPr>
                <w:rFonts w:eastAsiaTheme="minorHAnsi" w:cs="Arial"/>
                <w:sz w:val="20"/>
                <w:szCs w:val="20"/>
              </w:rPr>
              <w:t xml:space="preserve">region through IDB – within </w:t>
            </w:r>
            <w:r w:rsidR="00BF15A0">
              <w:rPr>
                <w:rFonts w:eastAsiaTheme="minorHAnsi" w:cs="Arial"/>
                <w:sz w:val="20"/>
                <w:szCs w:val="20"/>
              </w:rPr>
              <w:t>Defra</w:t>
            </w:r>
            <w:r w:rsidR="00E71EC5" w:rsidRPr="0076107F">
              <w:rPr>
                <w:rFonts w:eastAsiaTheme="minorHAnsi" w:cs="Arial"/>
                <w:sz w:val="20"/>
                <w:szCs w:val="20"/>
              </w:rPr>
              <w:t xml:space="preserve"> (in Brazil) but particularly from within BEIS. W</w:t>
            </w:r>
            <w:r w:rsidRPr="0076107F">
              <w:rPr>
                <w:rFonts w:eastAsiaTheme="minorHAnsi" w:cs="Arial"/>
                <w:sz w:val="20"/>
                <w:szCs w:val="20"/>
              </w:rPr>
              <w:t>e need to be aware of the risk of crowding market</w:t>
            </w:r>
            <w:r w:rsidR="00E71EC5" w:rsidRPr="0076107F">
              <w:rPr>
                <w:rFonts w:eastAsiaTheme="minorHAnsi" w:cs="Arial"/>
                <w:sz w:val="20"/>
                <w:szCs w:val="20"/>
              </w:rPr>
              <w:t>s</w:t>
            </w:r>
            <w:r w:rsidRPr="0076107F">
              <w:rPr>
                <w:rFonts w:eastAsiaTheme="minorHAnsi" w:cs="Arial"/>
                <w:sz w:val="20"/>
                <w:szCs w:val="20"/>
              </w:rPr>
              <w:t xml:space="preserve">, or overlapping with other programmes and reducing efficiency and value for </w:t>
            </w:r>
            <w:r w:rsidRPr="0076107F">
              <w:rPr>
                <w:rFonts w:eastAsiaTheme="minorHAnsi" w:cs="Arial"/>
                <w:sz w:val="20"/>
                <w:szCs w:val="20"/>
              </w:rPr>
              <w:lastRenderedPageBreak/>
              <w:t>money.</w:t>
            </w:r>
          </w:p>
        </w:tc>
        <w:tc>
          <w:tcPr>
            <w:tcW w:w="439" w:type="dxa"/>
            <w:tcBorders>
              <w:top w:val="single" w:sz="8" w:space="0" w:color="auto"/>
              <w:left w:val="nil"/>
              <w:bottom w:val="single" w:sz="8" w:space="0" w:color="auto"/>
              <w:right w:val="single" w:sz="8" w:space="0" w:color="auto"/>
            </w:tcBorders>
            <w:noWrap/>
            <w:tcMar>
              <w:top w:w="0" w:type="dxa"/>
              <w:left w:w="108" w:type="dxa"/>
              <w:bottom w:w="0" w:type="dxa"/>
              <w:right w:w="108" w:type="dxa"/>
            </w:tcMar>
            <w:textDirection w:val="btLr"/>
          </w:tcPr>
          <w:p w14:paraId="71141804" w14:textId="65D0B361" w:rsidR="009D2BBC" w:rsidRPr="0076107F" w:rsidRDefault="0076107F" w:rsidP="009D2BBC">
            <w:pPr>
              <w:widowControl w:val="0"/>
              <w:spacing w:after="0" w:line="240" w:lineRule="auto"/>
              <w:ind w:left="113" w:right="113"/>
              <w:rPr>
                <w:rFonts w:eastAsiaTheme="minorHAnsi" w:cs="Arial"/>
                <w:sz w:val="20"/>
                <w:szCs w:val="20"/>
              </w:rPr>
            </w:pPr>
            <w:r w:rsidRPr="0076107F">
              <w:rPr>
                <w:rFonts w:eastAsiaTheme="minorHAnsi" w:cs="Arial"/>
                <w:sz w:val="20"/>
                <w:szCs w:val="20"/>
              </w:rPr>
              <w:lastRenderedPageBreak/>
              <w:t>Unlikely</w:t>
            </w:r>
          </w:p>
        </w:tc>
        <w:tc>
          <w:tcPr>
            <w:tcW w:w="438" w:type="dxa"/>
            <w:tcBorders>
              <w:top w:val="single" w:sz="8" w:space="0" w:color="auto"/>
              <w:left w:val="nil"/>
              <w:bottom w:val="single" w:sz="8" w:space="0" w:color="auto"/>
              <w:right w:val="single" w:sz="8" w:space="0" w:color="auto"/>
            </w:tcBorders>
            <w:noWrap/>
            <w:tcMar>
              <w:top w:w="0" w:type="dxa"/>
              <w:left w:w="108" w:type="dxa"/>
              <w:bottom w:w="0" w:type="dxa"/>
              <w:right w:w="108" w:type="dxa"/>
            </w:tcMar>
            <w:textDirection w:val="btLr"/>
          </w:tcPr>
          <w:p w14:paraId="2AEA34F6" w14:textId="127E6EA7" w:rsidR="009D2BBC" w:rsidRPr="0076107F" w:rsidRDefault="0076107F" w:rsidP="009D2BBC">
            <w:pPr>
              <w:widowControl w:val="0"/>
              <w:spacing w:after="0" w:line="240" w:lineRule="auto"/>
              <w:ind w:left="113" w:right="113"/>
              <w:rPr>
                <w:rFonts w:eastAsiaTheme="minorHAnsi" w:cs="Arial"/>
                <w:sz w:val="20"/>
                <w:szCs w:val="20"/>
              </w:rPr>
            </w:pPr>
            <w:r w:rsidRPr="0076107F">
              <w:rPr>
                <w:rFonts w:eastAsiaTheme="minorHAnsi" w:cs="Arial"/>
                <w:sz w:val="20"/>
                <w:szCs w:val="20"/>
              </w:rPr>
              <w:t>Minor</w:t>
            </w:r>
          </w:p>
        </w:tc>
        <w:tc>
          <w:tcPr>
            <w:tcW w:w="438" w:type="dxa"/>
            <w:tcBorders>
              <w:top w:val="single" w:sz="8" w:space="0" w:color="auto"/>
              <w:left w:val="nil"/>
              <w:bottom w:val="single" w:sz="8" w:space="0" w:color="auto"/>
              <w:right w:val="single" w:sz="8" w:space="0" w:color="auto"/>
            </w:tcBorders>
            <w:shd w:val="clear" w:color="auto" w:fill="70AD47" w:themeFill="accent6"/>
            <w:noWrap/>
            <w:tcMar>
              <w:top w:w="0" w:type="dxa"/>
              <w:left w:w="108" w:type="dxa"/>
              <w:bottom w:w="0" w:type="dxa"/>
              <w:right w:w="108" w:type="dxa"/>
            </w:tcMar>
            <w:textDirection w:val="btLr"/>
          </w:tcPr>
          <w:p w14:paraId="75FE944F" w14:textId="721B41D3" w:rsidR="009D2BBC" w:rsidRPr="0076107F" w:rsidRDefault="009D2BBC" w:rsidP="009D2BBC">
            <w:pPr>
              <w:widowControl w:val="0"/>
              <w:spacing w:after="0" w:line="240" w:lineRule="auto"/>
              <w:ind w:left="113" w:right="113"/>
              <w:rPr>
                <w:rFonts w:eastAsiaTheme="minorHAnsi" w:cs="Arial"/>
                <w:sz w:val="20"/>
                <w:szCs w:val="20"/>
              </w:rPr>
            </w:pPr>
          </w:p>
        </w:tc>
        <w:tc>
          <w:tcPr>
            <w:tcW w:w="3993" w:type="dxa"/>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tcPr>
          <w:p w14:paraId="428C9DD3" w14:textId="34A3D4C3" w:rsidR="009D2BBC" w:rsidRPr="0076107F" w:rsidRDefault="009D2BBC" w:rsidP="0076107F">
            <w:pPr>
              <w:widowControl w:val="0"/>
              <w:spacing w:after="0" w:line="240" w:lineRule="auto"/>
              <w:rPr>
                <w:sz w:val="20"/>
                <w:szCs w:val="20"/>
              </w:rPr>
            </w:pPr>
            <w:r w:rsidRPr="0076107F">
              <w:rPr>
                <w:sz w:val="20"/>
                <w:szCs w:val="20"/>
              </w:rPr>
              <w:t xml:space="preserve">By working through the </w:t>
            </w:r>
            <w:r w:rsidR="0076107F" w:rsidRPr="0076107F">
              <w:rPr>
                <w:sz w:val="20"/>
                <w:szCs w:val="20"/>
              </w:rPr>
              <w:t xml:space="preserve">IDB </w:t>
            </w:r>
            <w:r w:rsidRPr="0076107F">
              <w:rPr>
                <w:sz w:val="20"/>
                <w:szCs w:val="20"/>
              </w:rPr>
              <w:t xml:space="preserve">there are strong links to </w:t>
            </w:r>
            <w:r w:rsidR="004C5667" w:rsidRPr="0076107F">
              <w:rPr>
                <w:sz w:val="20"/>
                <w:szCs w:val="20"/>
              </w:rPr>
              <w:t xml:space="preserve">and institutional for </w:t>
            </w:r>
            <w:r w:rsidRPr="0076107F">
              <w:rPr>
                <w:sz w:val="20"/>
                <w:szCs w:val="20"/>
              </w:rPr>
              <w:t xml:space="preserve">other programmes and other donors. We are also collaborating closely with other donors in country </w:t>
            </w:r>
            <w:r w:rsidR="004C5667" w:rsidRPr="0076107F">
              <w:rPr>
                <w:sz w:val="20"/>
                <w:szCs w:val="20"/>
              </w:rPr>
              <w:t>particularly BEIS</w:t>
            </w:r>
            <w:r w:rsidR="0076107F" w:rsidRPr="0076107F">
              <w:rPr>
                <w:sz w:val="20"/>
                <w:szCs w:val="20"/>
              </w:rPr>
              <w:t xml:space="preserve"> to avoid overlap. The niche nature of the Blue Carbon sector also reduces </w:t>
            </w:r>
            <w:r w:rsidR="0076107F" w:rsidRPr="0076107F">
              <w:rPr>
                <w:sz w:val="20"/>
                <w:szCs w:val="20"/>
              </w:rPr>
              <w:lastRenderedPageBreak/>
              <w:t>likelihood of overlap.</w:t>
            </w:r>
          </w:p>
        </w:tc>
      </w:tr>
      <w:tr w:rsidR="00E71EC5" w:rsidRPr="0076107F" w14:paraId="7A0A40C5" w14:textId="77777777" w:rsidTr="00B759E9">
        <w:trPr>
          <w:cantSplit/>
          <w:trHeight w:val="1134"/>
        </w:trPr>
        <w:tc>
          <w:tcPr>
            <w:tcW w:w="460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5982C5CD" w14:textId="77777777" w:rsidR="009D2BBC" w:rsidRPr="0076107F" w:rsidRDefault="009D2BBC" w:rsidP="009860EA">
            <w:pPr>
              <w:widowControl w:val="0"/>
              <w:spacing w:after="0" w:line="240" w:lineRule="auto"/>
              <w:rPr>
                <w:rFonts w:eastAsiaTheme="minorHAnsi" w:cs="Arial"/>
                <w:b/>
                <w:sz w:val="20"/>
                <w:szCs w:val="20"/>
              </w:rPr>
            </w:pPr>
            <w:r w:rsidRPr="0076107F">
              <w:rPr>
                <w:rFonts w:eastAsiaTheme="minorHAnsi" w:cs="Arial"/>
                <w:b/>
                <w:sz w:val="20"/>
                <w:szCs w:val="20"/>
              </w:rPr>
              <w:lastRenderedPageBreak/>
              <w:t>Limited scale of funding</w:t>
            </w:r>
          </w:p>
          <w:p w14:paraId="08EB2616" w14:textId="2669C6CA" w:rsidR="009D2BBC" w:rsidRPr="0076107F" w:rsidRDefault="009D2BBC" w:rsidP="004C5667">
            <w:pPr>
              <w:widowControl w:val="0"/>
              <w:spacing w:after="0" w:line="240" w:lineRule="auto"/>
              <w:rPr>
                <w:b/>
              </w:rPr>
            </w:pPr>
            <w:r w:rsidRPr="0076107F">
              <w:rPr>
                <w:rFonts w:eastAsiaTheme="minorHAnsi" w:cs="Arial"/>
                <w:sz w:val="20"/>
                <w:szCs w:val="20"/>
              </w:rPr>
              <w:t xml:space="preserve">These are large countries and projects that require significant amounts of finance. The funding available through </w:t>
            </w:r>
            <w:r w:rsidR="00BF15A0">
              <w:rPr>
                <w:rFonts w:eastAsiaTheme="minorHAnsi" w:cs="Arial"/>
                <w:sz w:val="20"/>
                <w:szCs w:val="20"/>
              </w:rPr>
              <w:t>Defra</w:t>
            </w:r>
            <w:r w:rsidRPr="0076107F">
              <w:rPr>
                <w:rFonts w:eastAsiaTheme="minorHAnsi" w:cs="Arial"/>
                <w:sz w:val="20"/>
                <w:szCs w:val="20"/>
              </w:rPr>
              <w:t xml:space="preserve"> ICF </w:t>
            </w:r>
            <w:r w:rsidR="004C5667" w:rsidRPr="0076107F">
              <w:rPr>
                <w:rFonts w:eastAsiaTheme="minorHAnsi" w:cs="Arial"/>
                <w:sz w:val="20"/>
                <w:szCs w:val="20"/>
              </w:rPr>
              <w:t xml:space="preserve">is </w:t>
            </w:r>
            <w:r w:rsidRPr="0076107F">
              <w:rPr>
                <w:rFonts w:eastAsiaTheme="minorHAnsi" w:cs="Arial"/>
                <w:sz w:val="20"/>
                <w:szCs w:val="20"/>
              </w:rPr>
              <w:t xml:space="preserve">limited </w:t>
            </w:r>
            <w:r w:rsidR="004C5667" w:rsidRPr="0076107F">
              <w:rPr>
                <w:rFonts w:eastAsiaTheme="minorHAnsi" w:cs="Arial"/>
                <w:sz w:val="20"/>
                <w:szCs w:val="20"/>
              </w:rPr>
              <w:t xml:space="preserve">and as such </w:t>
            </w:r>
            <w:r w:rsidRPr="0076107F">
              <w:rPr>
                <w:rFonts w:eastAsiaTheme="minorHAnsi" w:cs="Arial"/>
                <w:sz w:val="20"/>
                <w:szCs w:val="20"/>
              </w:rPr>
              <w:t>limit</w:t>
            </w:r>
            <w:r w:rsidR="004C5667" w:rsidRPr="0076107F">
              <w:rPr>
                <w:rFonts w:eastAsiaTheme="minorHAnsi" w:cs="Arial"/>
                <w:sz w:val="20"/>
                <w:szCs w:val="20"/>
              </w:rPr>
              <w:t>s</w:t>
            </w:r>
            <w:r w:rsidRPr="0076107F">
              <w:rPr>
                <w:rFonts w:eastAsiaTheme="minorHAnsi" w:cs="Arial"/>
                <w:sz w:val="20"/>
                <w:szCs w:val="20"/>
              </w:rPr>
              <w:t xml:space="preserve"> the scope of what we can achieve. There is a risk that if not used well the impact is reduced.</w:t>
            </w:r>
          </w:p>
        </w:tc>
        <w:tc>
          <w:tcPr>
            <w:tcW w:w="439" w:type="dxa"/>
            <w:tcBorders>
              <w:top w:val="single" w:sz="8" w:space="0" w:color="auto"/>
              <w:left w:val="nil"/>
              <w:bottom w:val="single" w:sz="8" w:space="0" w:color="auto"/>
              <w:right w:val="single" w:sz="8" w:space="0" w:color="auto"/>
            </w:tcBorders>
            <w:noWrap/>
            <w:tcMar>
              <w:top w:w="0" w:type="dxa"/>
              <w:left w:w="108" w:type="dxa"/>
              <w:bottom w:w="0" w:type="dxa"/>
              <w:right w:w="108" w:type="dxa"/>
            </w:tcMar>
            <w:textDirection w:val="btLr"/>
          </w:tcPr>
          <w:p w14:paraId="4020E0F3" w14:textId="1D300A5D" w:rsidR="009D2BBC" w:rsidRPr="0076107F" w:rsidRDefault="0076107F" w:rsidP="009D2BBC">
            <w:pPr>
              <w:widowControl w:val="0"/>
              <w:spacing w:after="0" w:line="240" w:lineRule="auto"/>
              <w:ind w:left="113" w:right="113"/>
              <w:rPr>
                <w:rFonts w:eastAsiaTheme="minorHAnsi" w:cs="Arial"/>
                <w:sz w:val="20"/>
                <w:szCs w:val="20"/>
              </w:rPr>
            </w:pPr>
            <w:r w:rsidRPr="0076107F">
              <w:rPr>
                <w:rFonts w:eastAsiaTheme="minorHAnsi" w:cs="Arial"/>
                <w:sz w:val="20"/>
                <w:szCs w:val="20"/>
              </w:rPr>
              <w:t>Possible</w:t>
            </w:r>
          </w:p>
        </w:tc>
        <w:tc>
          <w:tcPr>
            <w:tcW w:w="438" w:type="dxa"/>
            <w:tcBorders>
              <w:top w:val="single" w:sz="8" w:space="0" w:color="auto"/>
              <w:left w:val="nil"/>
              <w:bottom w:val="single" w:sz="8" w:space="0" w:color="auto"/>
              <w:right w:val="single" w:sz="8" w:space="0" w:color="auto"/>
            </w:tcBorders>
            <w:noWrap/>
            <w:tcMar>
              <w:top w:w="0" w:type="dxa"/>
              <w:left w:w="108" w:type="dxa"/>
              <w:bottom w:w="0" w:type="dxa"/>
              <w:right w:w="108" w:type="dxa"/>
            </w:tcMar>
            <w:textDirection w:val="btLr"/>
          </w:tcPr>
          <w:p w14:paraId="4862A4A4" w14:textId="570A469C" w:rsidR="009D2BBC" w:rsidRPr="0076107F" w:rsidRDefault="0076107F" w:rsidP="009D2BBC">
            <w:pPr>
              <w:widowControl w:val="0"/>
              <w:spacing w:after="0" w:line="240" w:lineRule="auto"/>
              <w:ind w:left="113" w:right="113"/>
              <w:rPr>
                <w:rFonts w:eastAsiaTheme="minorHAnsi" w:cs="Arial"/>
                <w:sz w:val="20"/>
                <w:szCs w:val="20"/>
              </w:rPr>
            </w:pPr>
            <w:r w:rsidRPr="0076107F">
              <w:rPr>
                <w:rFonts w:eastAsiaTheme="minorHAnsi" w:cs="Arial"/>
                <w:sz w:val="20"/>
                <w:szCs w:val="20"/>
              </w:rPr>
              <w:t>Moderate</w:t>
            </w:r>
          </w:p>
        </w:tc>
        <w:tc>
          <w:tcPr>
            <w:tcW w:w="438" w:type="dxa"/>
            <w:tcBorders>
              <w:top w:val="single" w:sz="8" w:space="0" w:color="auto"/>
              <w:left w:val="nil"/>
              <w:bottom w:val="single" w:sz="8" w:space="0" w:color="auto"/>
              <w:right w:val="single" w:sz="8" w:space="0" w:color="auto"/>
            </w:tcBorders>
            <w:shd w:val="clear" w:color="auto" w:fill="FFFF00"/>
            <w:noWrap/>
            <w:tcMar>
              <w:top w:w="0" w:type="dxa"/>
              <w:left w:w="108" w:type="dxa"/>
              <w:bottom w:w="0" w:type="dxa"/>
              <w:right w:w="108" w:type="dxa"/>
            </w:tcMar>
            <w:textDirection w:val="btLr"/>
          </w:tcPr>
          <w:p w14:paraId="0B5303AB" w14:textId="1AB9369D" w:rsidR="009D2BBC" w:rsidRPr="0076107F" w:rsidRDefault="009D2BBC" w:rsidP="009D2BBC">
            <w:pPr>
              <w:widowControl w:val="0"/>
              <w:spacing w:after="0" w:line="240" w:lineRule="auto"/>
              <w:ind w:left="113" w:right="113"/>
              <w:rPr>
                <w:rFonts w:eastAsiaTheme="minorHAnsi" w:cs="Arial"/>
                <w:sz w:val="20"/>
                <w:szCs w:val="20"/>
              </w:rPr>
            </w:pPr>
          </w:p>
        </w:tc>
        <w:tc>
          <w:tcPr>
            <w:tcW w:w="3993" w:type="dxa"/>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tcPr>
          <w:p w14:paraId="0AC073AB" w14:textId="4CF4DFB7" w:rsidR="009D2BBC" w:rsidRPr="0076107F" w:rsidRDefault="00D433D0" w:rsidP="00D433D0">
            <w:pPr>
              <w:widowControl w:val="0"/>
              <w:spacing w:after="0" w:line="240" w:lineRule="auto"/>
              <w:rPr>
                <w:sz w:val="20"/>
                <w:szCs w:val="20"/>
              </w:rPr>
            </w:pPr>
            <w:r>
              <w:rPr>
                <w:sz w:val="20"/>
                <w:szCs w:val="20"/>
              </w:rPr>
              <w:t>Although these countries are large, the programme has a well-defined and targeted focus of mangroves management.</w:t>
            </w:r>
            <w:r w:rsidR="009D2BBC" w:rsidRPr="0076107F">
              <w:rPr>
                <w:sz w:val="20"/>
                <w:szCs w:val="20"/>
              </w:rPr>
              <w:t xml:space="preserve"> </w:t>
            </w:r>
            <w:r>
              <w:rPr>
                <w:sz w:val="20"/>
                <w:szCs w:val="20"/>
              </w:rPr>
              <w:t xml:space="preserve">This in combination with </w:t>
            </w:r>
            <w:r w:rsidR="004C5667" w:rsidRPr="0076107F">
              <w:rPr>
                <w:sz w:val="20"/>
                <w:szCs w:val="20"/>
              </w:rPr>
              <w:t xml:space="preserve">the cost-sharing processes of the IDB to ensure the duty of care </w:t>
            </w:r>
            <w:r>
              <w:rPr>
                <w:sz w:val="20"/>
                <w:szCs w:val="20"/>
              </w:rPr>
              <w:t xml:space="preserve">and administrative value for money </w:t>
            </w:r>
            <w:r w:rsidR="004C5667" w:rsidRPr="0076107F">
              <w:rPr>
                <w:sz w:val="20"/>
                <w:szCs w:val="20"/>
              </w:rPr>
              <w:t xml:space="preserve">for our investment </w:t>
            </w:r>
            <w:r>
              <w:rPr>
                <w:sz w:val="20"/>
                <w:szCs w:val="20"/>
              </w:rPr>
              <w:t xml:space="preserve">will </w:t>
            </w:r>
            <w:r w:rsidR="004C5667" w:rsidRPr="0076107F">
              <w:rPr>
                <w:sz w:val="20"/>
                <w:szCs w:val="20"/>
              </w:rPr>
              <w:t>also maximise impact</w:t>
            </w:r>
            <w:r>
              <w:rPr>
                <w:sz w:val="20"/>
                <w:szCs w:val="20"/>
              </w:rPr>
              <w:t xml:space="preserve"> and mitigate this risk</w:t>
            </w:r>
            <w:r w:rsidR="004C5667" w:rsidRPr="0076107F">
              <w:rPr>
                <w:sz w:val="20"/>
                <w:szCs w:val="20"/>
              </w:rPr>
              <w:t>.</w:t>
            </w:r>
          </w:p>
        </w:tc>
      </w:tr>
      <w:tr w:rsidR="00E71EC5" w:rsidRPr="0076107F" w14:paraId="300E8112" w14:textId="77777777" w:rsidTr="00B759E9">
        <w:trPr>
          <w:cantSplit/>
          <w:trHeight w:val="1134"/>
        </w:trPr>
        <w:tc>
          <w:tcPr>
            <w:tcW w:w="460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563065D6" w14:textId="77777777" w:rsidR="009D2BBC" w:rsidRPr="0076107F" w:rsidRDefault="009D2BBC" w:rsidP="009860EA">
            <w:pPr>
              <w:widowControl w:val="0"/>
              <w:spacing w:after="0" w:line="240" w:lineRule="auto"/>
              <w:rPr>
                <w:b/>
                <w:sz w:val="20"/>
                <w:szCs w:val="20"/>
              </w:rPr>
            </w:pPr>
            <w:r w:rsidRPr="0076107F">
              <w:rPr>
                <w:b/>
                <w:sz w:val="20"/>
                <w:szCs w:val="20"/>
              </w:rPr>
              <w:t>Key person</w:t>
            </w:r>
          </w:p>
          <w:p w14:paraId="19BFAB45" w14:textId="5AC3F430" w:rsidR="009D2BBC" w:rsidRPr="0076107F" w:rsidRDefault="009D2BBC" w:rsidP="0076107F">
            <w:pPr>
              <w:widowControl w:val="0"/>
              <w:spacing w:after="0" w:line="240" w:lineRule="auto"/>
              <w:rPr>
                <w:b/>
                <w:sz w:val="20"/>
                <w:szCs w:val="20"/>
              </w:rPr>
            </w:pPr>
            <w:r w:rsidRPr="0076107F">
              <w:rPr>
                <w:sz w:val="20"/>
                <w:szCs w:val="20"/>
              </w:rPr>
              <w:t xml:space="preserve">The success of the </w:t>
            </w:r>
            <w:r w:rsidR="0076107F" w:rsidRPr="0076107F">
              <w:rPr>
                <w:sz w:val="20"/>
                <w:szCs w:val="20"/>
              </w:rPr>
              <w:t xml:space="preserve">intervention </w:t>
            </w:r>
            <w:r w:rsidRPr="0076107F">
              <w:rPr>
                <w:sz w:val="20"/>
                <w:szCs w:val="20"/>
              </w:rPr>
              <w:t>depends in substantial part upon the skill and expertise of the technical advisor</w:t>
            </w:r>
            <w:r w:rsidR="004C5667" w:rsidRPr="0076107F">
              <w:rPr>
                <w:sz w:val="20"/>
                <w:szCs w:val="20"/>
              </w:rPr>
              <w:t>s within the IDB</w:t>
            </w:r>
            <w:r w:rsidRPr="0076107F">
              <w:rPr>
                <w:sz w:val="20"/>
                <w:szCs w:val="20"/>
              </w:rPr>
              <w:t xml:space="preserve">. </w:t>
            </w:r>
            <w:r w:rsidR="004C5667" w:rsidRPr="0076107F">
              <w:rPr>
                <w:sz w:val="20"/>
                <w:szCs w:val="20"/>
              </w:rPr>
              <w:t xml:space="preserve">These </w:t>
            </w:r>
            <w:r w:rsidRPr="0076107F">
              <w:rPr>
                <w:sz w:val="20"/>
                <w:szCs w:val="20"/>
              </w:rPr>
              <w:t>individual</w:t>
            </w:r>
            <w:r w:rsidR="004C5667" w:rsidRPr="0076107F">
              <w:rPr>
                <w:sz w:val="20"/>
                <w:szCs w:val="20"/>
              </w:rPr>
              <w:t>s</w:t>
            </w:r>
            <w:r w:rsidRPr="0076107F">
              <w:rPr>
                <w:sz w:val="20"/>
                <w:szCs w:val="20"/>
              </w:rPr>
              <w:t xml:space="preserve"> will have a significant role in the set-up of the interventions</w:t>
            </w:r>
            <w:r w:rsidR="004C5667" w:rsidRPr="0076107F">
              <w:rPr>
                <w:sz w:val="20"/>
                <w:szCs w:val="20"/>
              </w:rPr>
              <w:t>.</w:t>
            </w:r>
            <w:r w:rsidRPr="0076107F">
              <w:rPr>
                <w:sz w:val="20"/>
                <w:szCs w:val="20"/>
              </w:rPr>
              <w:t xml:space="preserve"> If this </w:t>
            </w:r>
            <w:r w:rsidR="004C5667" w:rsidRPr="0076107F">
              <w:rPr>
                <w:sz w:val="20"/>
                <w:szCs w:val="20"/>
              </w:rPr>
              <w:t xml:space="preserve">team is not capable, </w:t>
            </w:r>
            <w:r w:rsidRPr="0076107F">
              <w:rPr>
                <w:sz w:val="20"/>
                <w:szCs w:val="20"/>
              </w:rPr>
              <w:t xml:space="preserve">does not understand our requirements </w:t>
            </w:r>
            <w:r w:rsidR="004C5667" w:rsidRPr="0076107F">
              <w:rPr>
                <w:sz w:val="20"/>
                <w:szCs w:val="20"/>
              </w:rPr>
              <w:t xml:space="preserve">or experiences high and inconsistent turnover </w:t>
            </w:r>
            <w:r w:rsidRPr="0076107F">
              <w:rPr>
                <w:sz w:val="20"/>
                <w:szCs w:val="20"/>
              </w:rPr>
              <w:t xml:space="preserve">then there is a </w:t>
            </w:r>
            <w:r w:rsidR="004C5667" w:rsidRPr="0076107F">
              <w:rPr>
                <w:sz w:val="20"/>
                <w:szCs w:val="20"/>
              </w:rPr>
              <w:t>d</w:t>
            </w:r>
            <w:r w:rsidRPr="0076107F">
              <w:rPr>
                <w:sz w:val="20"/>
                <w:szCs w:val="20"/>
              </w:rPr>
              <w:t>elivery risk.</w:t>
            </w:r>
          </w:p>
        </w:tc>
        <w:tc>
          <w:tcPr>
            <w:tcW w:w="439" w:type="dxa"/>
            <w:tcBorders>
              <w:top w:val="single" w:sz="8" w:space="0" w:color="auto"/>
              <w:left w:val="nil"/>
              <w:bottom w:val="single" w:sz="8" w:space="0" w:color="auto"/>
              <w:right w:val="single" w:sz="8" w:space="0" w:color="auto"/>
            </w:tcBorders>
            <w:noWrap/>
            <w:tcMar>
              <w:top w:w="0" w:type="dxa"/>
              <w:left w:w="108" w:type="dxa"/>
              <w:bottom w:w="0" w:type="dxa"/>
              <w:right w:w="108" w:type="dxa"/>
            </w:tcMar>
            <w:textDirection w:val="btLr"/>
          </w:tcPr>
          <w:p w14:paraId="691A3873" w14:textId="2A7BBC17" w:rsidR="009D2BBC" w:rsidRPr="0076107F" w:rsidRDefault="0076107F" w:rsidP="009D2BBC">
            <w:pPr>
              <w:widowControl w:val="0"/>
              <w:spacing w:after="0" w:line="240" w:lineRule="auto"/>
              <w:ind w:left="113" w:right="113"/>
              <w:rPr>
                <w:rFonts w:eastAsiaTheme="minorHAnsi" w:cs="Arial"/>
                <w:sz w:val="20"/>
                <w:szCs w:val="20"/>
              </w:rPr>
            </w:pPr>
            <w:r w:rsidRPr="0076107F">
              <w:rPr>
                <w:rFonts w:eastAsiaTheme="minorHAnsi" w:cs="Arial"/>
                <w:sz w:val="20"/>
                <w:szCs w:val="20"/>
              </w:rPr>
              <w:t>Possible</w:t>
            </w:r>
          </w:p>
        </w:tc>
        <w:tc>
          <w:tcPr>
            <w:tcW w:w="438" w:type="dxa"/>
            <w:tcBorders>
              <w:top w:val="single" w:sz="8" w:space="0" w:color="auto"/>
              <w:left w:val="nil"/>
              <w:bottom w:val="single" w:sz="8" w:space="0" w:color="auto"/>
              <w:right w:val="single" w:sz="8" w:space="0" w:color="auto"/>
            </w:tcBorders>
            <w:noWrap/>
            <w:tcMar>
              <w:top w:w="0" w:type="dxa"/>
              <w:left w:w="108" w:type="dxa"/>
              <w:bottom w:w="0" w:type="dxa"/>
              <w:right w:w="108" w:type="dxa"/>
            </w:tcMar>
            <w:textDirection w:val="btLr"/>
          </w:tcPr>
          <w:p w14:paraId="2DF4916F" w14:textId="67EB9259" w:rsidR="009D2BBC" w:rsidRPr="0076107F" w:rsidRDefault="0076107F" w:rsidP="009D2BBC">
            <w:pPr>
              <w:widowControl w:val="0"/>
              <w:spacing w:after="0" w:line="240" w:lineRule="auto"/>
              <w:ind w:left="113" w:right="113"/>
              <w:rPr>
                <w:rFonts w:eastAsiaTheme="minorHAnsi" w:cs="Arial"/>
                <w:sz w:val="20"/>
                <w:szCs w:val="20"/>
              </w:rPr>
            </w:pPr>
            <w:r w:rsidRPr="0076107F">
              <w:rPr>
                <w:rFonts w:eastAsiaTheme="minorHAnsi" w:cs="Arial"/>
                <w:sz w:val="20"/>
                <w:szCs w:val="20"/>
              </w:rPr>
              <w:t>Major</w:t>
            </w:r>
          </w:p>
        </w:tc>
        <w:tc>
          <w:tcPr>
            <w:tcW w:w="438" w:type="dxa"/>
            <w:tcBorders>
              <w:top w:val="single" w:sz="8" w:space="0" w:color="auto"/>
              <w:left w:val="nil"/>
              <w:bottom w:val="single" w:sz="8" w:space="0" w:color="auto"/>
              <w:right w:val="single" w:sz="8" w:space="0" w:color="auto"/>
            </w:tcBorders>
            <w:shd w:val="clear" w:color="auto" w:fill="FFC000" w:themeFill="accent4"/>
            <w:noWrap/>
            <w:tcMar>
              <w:top w:w="0" w:type="dxa"/>
              <w:left w:w="108" w:type="dxa"/>
              <w:bottom w:w="0" w:type="dxa"/>
              <w:right w:w="108" w:type="dxa"/>
            </w:tcMar>
            <w:textDirection w:val="btLr"/>
          </w:tcPr>
          <w:p w14:paraId="1A7C1A41" w14:textId="4E70DB5C" w:rsidR="009D2BBC" w:rsidRPr="0076107F" w:rsidRDefault="009D2BBC" w:rsidP="009D2BBC">
            <w:pPr>
              <w:widowControl w:val="0"/>
              <w:spacing w:after="0" w:line="240" w:lineRule="auto"/>
              <w:ind w:left="113" w:right="113"/>
              <w:rPr>
                <w:rFonts w:eastAsiaTheme="minorHAnsi" w:cs="Arial"/>
                <w:sz w:val="20"/>
                <w:szCs w:val="20"/>
              </w:rPr>
            </w:pPr>
          </w:p>
        </w:tc>
        <w:tc>
          <w:tcPr>
            <w:tcW w:w="3993" w:type="dxa"/>
            <w:tcBorders>
              <w:top w:val="single" w:sz="8" w:space="0" w:color="auto"/>
              <w:left w:val="single" w:sz="8" w:space="0" w:color="auto"/>
              <w:bottom w:val="single" w:sz="8" w:space="0" w:color="auto"/>
              <w:right w:val="single" w:sz="8" w:space="0" w:color="000000"/>
            </w:tcBorders>
            <w:noWrap/>
            <w:tcMar>
              <w:top w:w="0" w:type="dxa"/>
              <w:left w:w="108" w:type="dxa"/>
              <w:bottom w:w="0" w:type="dxa"/>
              <w:right w:w="108" w:type="dxa"/>
            </w:tcMar>
          </w:tcPr>
          <w:p w14:paraId="2607FBAB" w14:textId="58B40AFA" w:rsidR="009D2BBC" w:rsidRPr="0076107F" w:rsidRDefault="004C5667" w:rsidP="00DE7835">
            <w:pPr>
              <w:widowControl w:val="0"/>
              <w:spacing w:after="0" w:line="240" w:lineRule="auto"/>
              <w:rPr>
                <w:sz w:val="20"/>
                <w:szCs w:val="20"/>
              </w:rPr>
            </w:pPr>
            <w:r w:rsidRPr="0076107F">
              <w:rPr>
                <w:sz w:val="20"/>
                <w:szCs w:val="20"/>
              </w:rPr>
              <w:t xml:space="preserve">We </w:t>
            </w:r>
            <w:r w:rsidR="00DE7835" w:rsidRPr="0076107F">
              <w:rPr>
                <w:sz w:val="20"/>
                <w:szCs w:val="20"/>
              </w:rPr>
              <w:t xml:space="preserve">will ensure regular and close contact between the policy team at </w:t>
            </w:r>
            <w:r w:rsidR="00BF15A0">
              <w:rPr>
                <w:sz w:val="20"/>
                <w:szCs w:val="20"/>
              </w:rPr>
              <w:t>Defra</w:t>
            </w:r>
            <w:r w:rsidR="00DE7835" w:rsidRPr="0076107F">
              <w:rPr>
                <w:sz w:val="20"/>
                <w:szCs w:val="20"/>
              </w:rPr>
              <w:t xml:space="preserve"> and the programme implementation team at IDB. This will take the form of calls, proactive progress report updating and quarterly and annual reports and reviews.</w:t>
            </w:r>
          </w:p>
        </w:tc>
      </w:tr>
      <w:tr w:rsidR="00E71EC5" w:rsidRPr="0076107F" w14:paraId="05BDBFC0" w14:textId="288D87C1" w:rsidTr="00DB36D2">
        <w:trPr>
          <w:cantSplit/>
          <w:trHeight w:val="546"/>
        </w:trPr>
        <w:tc>
          <w:tcPr>
            <w:tcW w:w="4820"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tcPr>
          <w:p w14:paraId="32F4A08E" w14:textId="62B9E1A0" w:rsidR="009D2BBC" w:rsidRPr="0076107F" w:rsidRDefault="009D2BBC" w:rsidP="009860EA">
            <w:pPr>
              <w:widowControl w:val="0"/>
              <w:spacing w:after="0" w:line="240" w:lineRule="auto"/>
              <w:contextualSpacing/>
              <w:rPr>
                <w:b/>
                <w:sz w:val="20"/>
                <w:szCs w:val="20"/>
              </w:rPr>
            </w:pPr>
            <w:r w:rsidRPr="0076107F">
              <w:rPr>
                <w:b/>
                <w:sz w:val="20"/>
                <w:szCs w:val="20"/>
              </w:rPr>
              <w:t>Political risk</w:t>
            </w:r>
          </w:p>
          <w:p w14:paraId="6DC0251A" w14:textId="50E68D7B" w:rsidR="009D2BBC" w:rsidRPr="0076107F" w:rsidRDefault="009D2BBC" w:rsidP="003C3554">
            <w:pPr>
              <w:widowControl w:val="0"/>
              <w:spacing w:after="0" w:line="240" w:lineRule="auto"/>
              <w:contextualSpacing/>
              <w:rPr>
                <w:sz w:val="20"/>
                <w:szCs w:val="20"/>
              </w:rPr>
            </w:pPr>
            <w:r w:rsidRPr="0076107F">
              <w:rPr>
                <w:sz w:val="20"/>
                <w:szCs w:val="20"/>
              </w:rPr>
              <w:t xml:space="preserve">There is an inherent political risk from working </w:t>
            </w:r>
            <w:r w:rsidR="003C3554">
              <w:rPr>
                <w:sz w:val="20"/>
                <w:szCs w:val="20"/>
              </w:rPr>
              <w:t xml:space="preserve">in </w:t>
            </w:r>
            <w:r w:rsidR="00DE7835" w:rsidRPr="0076107F">
              <w:rPr>
                <w:sz w:val="20"/>
                <w:szCs w:val="20"/>
              </w:rPr>
              <w:t>developing countries</w:t>
            </w:r>
            <w:r w:rsidR="003C3554">
              <w:rPr>
                <w:sz w:val="20"/>
                <w:szCs w:val="20"/>
              </w:rPr>
              <w:t xml:space="preserve"> including</w:t>
            </w:r>
            <w:r w:rsidRPr="0076107F">
              <w:rPr>
                <w:sz w:val="20"/>
                <w:szCs w:val="20"/>
              </w:rPr>
              <w:t xml:space="preserve"> </w:t>
            </w:r>
            <w:r w:rsidR="003C3554">
              <w:rPr>
                <w:sz w:val="20"/>
                <w:szCs w:val="20"/>
              </w:rPr>
              <w:t xml:space="preserve">local </w:t>
            </w:r>
            <w:r w:rsidRPr="0076107F">
              <w:rPr>
                <w:sz w:val="20"/>
                <w:szCs w:val="20"/>
              </w:rPr>
              <w:t>buy-in</w:t>
            </w:r>
            <w:r w:rsidR="00DE7835" w:rsidRPr="0076107F">
              <w:rPr>
                <w:sz w:val="20"/>
                <w:szCs w:val="20"/>
              </w:rPr>
              <w:t>, changes in the political landscape</w:t>
            </w:r>
            <w:r w:rsidRPr="0076107F">
              <w:rPr>
                <w:sz w:val="20"/>
                <w:szCs w:val="20"/>
              </w:rPr>
              <w:t xml:space="preserve"> (and/or resulting changes in policy) and </w:t>
            </w:r>
            <w:r w:rsidR="003C3554">
              <w:rPr>
                <w:sz w:val="20"/>
                <w:szCs w:val="20"/>
              </w:rPr>
              <w:t xml:space="preserve">lack </w:t>
            </w:r>
            <w:r w:rsidRPr="0076107F">
              <w:rPr>
                <w:sz w:val="20"/>
                <w:szCs w:val="20"/>
              </w:rPr>
              <w:t xml:space="preserve">of engagement needed </w:t>
            </w:r>
            <w:r w:rsidR="003C3554">
              <w:rPr>
                <w:sz w:val="20"/>
                <w:szCs w:val="20"/>
              </w:rPr>
              <w:t xml:space="preserve">for </w:t>
            </w:r>
            <w:r w:rsidRPr="0076107F">
              <w:rPr>
                <w:sz w:val="20"/>
                <w:szCs w:val="20"/>
              </w:rPr>
              <w:t>transformational impact.</w:t>
            </w:r>
          </w:p>
        </w:tc>
        <w:tc>
          <w:tcPr>
            <w:tcW w:w="449" w:type="dxa"/>
            <w:tcBorders>
              <w:top w:val="single" w:sz="8" w:space="0" w:color="auto"/>
              <w:left w:val="nil"/>
              <w:bottom w:val="single" w:sz="4" w:space="0" w:color="auto"/>
              <w:right w:val="single" w:sz="8" w:space="0" w:color="auto"/>
            </w:tcBorders>
            <w:noWrap/>
            <w:tcMar>
              <w:top w:w="0" w:type="dxa"/>
              <w:left w:w="108" w:type="dxa"/>
              <w:bottom w:w="0" w:type="dxa"/>
              <w:right w:w="108" w:type="dxa"/>
            </w:tcMar>
            <w:textDirection w:val="btLr"/>
          </w:tcPr>
          <w:p w14:paraId="7F5C438A" w14:textId="0ABB874B" w:rsidR="009D2BBC" w:rsidRPr="0076107F" w:rsidRDefault="00BB0C57" w:rsidP="009D2BBC">
            <w:pPr>
              <w:widowControl w:val="0"/>
              <w:spacing w:after="0" w:line="240" w:lineRule="auto"/>
              <w:ind w:left="113" w:right="113"/>
              <w:rPr>
                <w:rFonts w:eastAsiaTheme="minorHAnsi" w:cs="Arial"/>
                <w:sz w:val="20"/>
                <w:szCs w:val="20"/>
              </w:rPr>
            </w:pPr>
            <w:r>
              <w:rPr>
                <w:rFonts w:eastAsiaTheme="minorHAnsi" w:cs="Arial"/>
                <w:sz w:val="20"/>
                <w:szCs w:val="20"/>
              </w:rPr>
              <w:t>Unlikely</w:t>
            </w:r>
          </w:p>
        </w:tc>
        <w:tc>
          <w:tcPr>
            <w:tcW w:w="448" w:type="dxa"/>
            <w:tcBorders>
              <w:top w:val="single" w:sz="8" w:space="0" w:color="auto"/>
              <w:left w:val="nil"/>
              <w:bottom w:val="single" w:sz="4" w:space="0" w:color="auto"/>
              <w:right w:val="single" w:sz="8" w:space="0" w:color="auto"/>
            </w:tcBorders>
            <w:noWrap/>
            <w:tcMar>
              <w:top w:w="0" w:type="dxa"/>
              <w:left w:w="108" w:type="dxa"/>
              <w:bottom w:w="0" w:type="dxa"/>
              <w:right w:w="108" w:type="dxa"/>
            </w:tcMar>
            <w:textDirection w:val="btLr"/>
          </w:tcPr>
          <w:p w14:paraId="1197F0F5" w14:textId="17886F38" w:rsidR="009D2BBC" w:rsidRPr="0076107F" w:rsidRDefault="00BB0C57" w:rsidP="009D2BBC">
            <w:pPr>
              <w:widowControl w:val="0"/>
              <w:spacing w:after="0" w:line="240" w:lineRule="auto"/>
              <w:ind w:left="113" w:right="113"/>
              <w:rPr>
                <w:rFonts w:eastAsiaTheme="minorHAnsi" w:cs="Arial"/>
                <w:sz w:val="20"/>
                <w:szCs w:val="20"/>
              </w:rPr>
            </w:pPr>
            <w:r>
              <w:rPr>
                <w:rFonts w:eastAsiaTheme="minorHAnsi" w:cs="Arial"/>
                <w:sz w:val="20"/>
                <w:szCs w:val="20"/>
              </w:rPr>
              <w:t>Major</w:t>
            </w:r>
          </w:p>
        </w:tc>
        <w:tc>
          <w:tcPr>
            <w:tcW w:w="448" w:type="dxa"/>
            <w:tcBorders>
              <w:top w:val="single" w:sz="8" w:space="0" w:color="auto"/>
              <w:left w:val="nil"/>
              <w:bottom w:val="single" w:sz="4" w:space="0" w:color="auto"/>
              <w:right w:val="single" w:sz="8" w:space="0" w:color="auto"/>
            </w:tcBorders>
            <w:shd w:val="clear" w:color="auto" w:fill="FFC000" w:themeFill="accent4"/>
            <w:noWrap/>
            <w:tcMar>
              <w:top w:w="0" w:type="dxa"/>
              <w:left w:w="108" w:type="dxa"/>
              <w:bottom w:w="0" w:type="dxa"/>
              <w:right w:w="108" w:type="dxa"/>
            </w:tcMar>
            <w:textDirection w:val="btLr"/>
          </w:tcPr>
          <w:p w14:paraId="0D03A92B" w14:textId="681F862B" w:rsidR="009D2BBC" w:rsidRPr="0076107F" w:rsidRDefault="009D2BBC" w:rsidP="009D2BBC">
            <w:pPr>
              <w:widowControl w:val="0"/>
              <w:spacing w:after="0" w:line="240" w:lineRule="auto"/>
              <w:ind w:left="113" w:right="113"/>
              <w:rPr>
                <w:rFonts w:eastAsiaTheme="minorHAnsi" w:cs="Arial"/>
                <w:sz w:val="20"/>
                <w:szCs w:val="20"/>
              </w:rPr>
            </w:pPr>
          </w:p>
        </w:tc>
        <w:tc>
          <w:tcPr>
            <w:tcW w:w="4179" w:type="dxa"/>
            <w:tcBorders>
              <w:top w:val="single" w:sz="8" w:space="0" w:color="auto"/>
              <w:left w:val="single" w:sz="8" w:space="0" w:color="auto"/>
              <w:bottom w:val="single" w:sz="4" w:space="0" w:color="auto"/>
              <w:right w:val="single" w:sz="8" w:space="0" w:color="000000"/>
            </w:tcBorders>
            <w:noWrap/>
            <w:tcMar>
              <w:top w:w="0" w:type="dxa"/>
              <w:left w:w="108" w:type="dxa"/>
              <w:bottom w:w="0" w:type="dxa"/>
              <w:right w:w="108" w:type="dxa"/>
            </w:tcMar>
          </w:tcPr>
          <w:p w14:paraId="607D9902" w14:textId="315F1AA2" w:rsidR="009D2BBC" w:rsidRPr="0076107F" w:rsidRDefault="009D2BBC" w:rsidP="009070C2">
            <w:pPr>
              <w:keepNext/>
              <w:widowControl w:val="0"/>
              <w:spacing w:after="0" w:line="240" w:lineRule="auto"/>
              <w:rPr>
                <w:bCs/>
                <w:sz w:val="20"/>
                <w:szCs w:val="20"/>
              </w:rPr>
            </w:pPr>
            <w:r w:rsidRPr="0076107F">
              <w:rPr>
                <w:bCs/>
                <w:sz w:val="20"/>
                <w:szCs w:val="20"/>
              </w:rPr>
              <w:t>We judge these countries as vital for inclusion so we can only manage this risk through working with an experienced and well connected delivery partner</w:t>
            </w:r>
            <w:r w:rsidR="00DE7835" w:rsidRPr="0076107F">
              <w:rPr>
                <w:bCs/>
                <w:sz w:val="20"/>
                <w:szCs w:val="20"/>
              </w:rPr>
              <w:t xml:space="preserve"> such as IDB</w:t>
            </w:r>
            <w:r w:rsidRPr="0076107F">
              <w:rPr>
                <w:bCs/>
                <w:sz w:val="20"/>
                <w:szCs w:val="20"/>
              </w:rPr>
              <w:t>.</w:t>
            </w:r>
          </w:p>
        </w:tc>
      </w:tr>
    </w:tbl>
    <w:p w14:paraId="1A6F862D" w14:textId="7AF32FF5" w:rsidR="009070C2" w:rsidRPr="00835728" w:rsidRDefault="009070C2" w:rsidP="00C94DE4">
      <w:pPr>
        <w:pStyle w:val="Caption"/>
        <w:framePr w:w="9940" w:hSpace="181" w:wrap="notBeside" w:vAnchor="text" w:hAnchor="page" w:x="1222" w:y="8300"/>
        <w:spacing w:before="240"/>
        <w:jc w:val="center"/>
        <w:rPr>
          <w:sz w:val="22"/>
        </w:rPr>
      </w:pPr>
      <w:bookmarkStart w:id="104" w:name="_Toc523990671"/>
      <w:r w:rsidRPr="00835728">
        <w:rPr>
          <w:sz w:val="22"/>
        </w:rPr>
        <w:t xml:space="preserve">Figure </w:t>
      </w:r>
      <w:r w:rsidRPr="00835728">
        <w:rPr>
          <w:sz w:val="22"/>
        </w:rPr>
        <w:fldChar w:fldCharType="begin"/>
      </w:r>
      <w:r w:rsidRPr="00835728">
        <w:rPr>
          <w:sz w:val="22"/>
        </w:rPr>
        <w:instrText xml:space="preserve"> SEQ Figure \* ARABIC </w:instrText>
      </w:r>
      <w:r w:rsidRPr="00835728">
        <w:rPr>
          <w:sz w:val="22"/>
        </w:rPr>
        <w:fldChar w:fldCharType="separate"/>
      </w:r>
      <w:r w:rsidR="009D672A">
        <w:rPr>
          <w:noProof/>
          <w:sz w:val="22"/>
        </w:rPr>
        <w:t>17</w:t>
      </w:r>
      <w:r w:rsidRPr="00835728">
        <w:rPr>
          <w:sz w:val="22"/>
        </w:rPr>
        <w:fldChar w:fldCharType="end"/>
      </w:r>
      <w:r w:rsidRPr="00835728">
        <w:rPr>
          <w:sz w:val="22"/>
        </w:rPr>
        <w:t xml:space="preserve">: </w:t>
      </w:r>
      <w:r w:rsidRPr="00835728">
        <w:rPr>
          <w:i w:val="0"/>
          <w:sz w:val="22"/>
        </w:rPr>
        <w:t>Perceived management risks with Defra ICF intervention delivered through IDB</w:t>
      </w:r>
      <w:bookmarkEnd w:id="104"/>
    </w:p>
    <w:p w14:paraId="6A99ABA7" w14:textId="4DE851DB" w:rsidR="00BB1802" w:rsidRPr="00DF6930" w:rsidRDefault="00BB1802" w:rsidP="00DF6930">
      <w:pPr>
        <w:spacing w:before="240" w:after="120" w:line="240" w:lineRule="auto"/>
        <w:jc w:val="center"/>
        <w:rPr>
          <w:i/>
        </w:rPr>
      </w:pPr>
      <w:r w:rsidRPr="00DF6930">
        <w:rPr>
          <w:i/>
        </w:rPr>
        <w:br w:type="page"/>
      </w:r>
    </w:p>
    <w:p w14:paraId="6DB1806A" w14:textId="5439833F" w:rsidR="00553296" w:rsidRDefault="00BB1802" w:rsidP="00BB1802">
      <w:pPr>
        <w:pStyle w:val="Heading1"/>
      </w:pPr>
      <w:bookmarkStart w:id="105" w:name="_Toc527027996"/>
      <w:r>
        <w:lastRenderedPageBreak/>
        <w:t>Annexes</w:t>
      </w:r>
      <w:bookmarkEnd w:id="105"/>
    </w:p>
    <w:p w14:paraId="45C19050" w14:textId="21A64E83" w:rsidR="00AD63EB" w:rsidRDefault="00BB1802" w:rsidP="00AD63EB">
      <w:pPr>
        <w:pStyle w:val="Heading2"/>
      </w:pPr>
      <w:bookmarkStart w:id="106" w:name="_Toc527027997"/>
      <w:r>
        <w:t>Sensitivity Analyses</w:t>
      </w:r>
      <w:bookmarkEnd w:id="106"/>
    </w:p>
    <w:p w14:paraId="76E8658F" w14:textId="3DFC6F00" w:rsidR="00F57E6C" w:rsidRDefault="007F4120" w:rsidP="00AD63EB">
      <w:pPr>
        <w:rPr>
          <w:lang w:eastAsia="en-US"/>
        </w:rPr>
      </w:pPr>
      <w:r>
        <w:rPr>
          <w:lang w:eastAsia="en-US"/>
        </w:rPr>
        <w:t xml:space="preserve">Six input variables were varied to reach low and high scenarios for </w:t>
      </w:r>
      <w:r w:rsidR="0061240F">
        <w:rPr>
          <w:lang w:eastAsia="en-US"/>
        </w:rPr>
        <w:t>each option. Each variable has been amended based on existing evidence, and the level of uncertainty attached to the central figure.</w:t>
      </w:r>
    </w:p>
    <w:p w14:paraId="2306266A" w14:textId="22163A31" w:rsidR="002D1BD3" w:rsidRPr="00F57E6C" w:rsidRDefault="002D1BD3" w:rsidP="006A3A1F">
      <w:pPr>
        <w:pStyle w:val="Heading4"/>
        <w:rPr>
          <w:lang w:eastAsia="en-US"/>
        </w:rPr>
      </w:pPr>
      <w:r>
        <w:rPr>
          <w:lang w:eastAsia="en-US"/>
        </w:rPr>
        <w:t>Option 1.1: ICF-IDB Mangroves Program</w:t>
      </w:r>
    </w:p>
    <w:tbl>
      <w:tblPr>
        <w:tblStyle w:val="TableGrid"/>
        <w:tblW w:w="0" w:type="auto"/>
        <w:tblLook w:val="04A0" w:firstRow="1" w:lastRow="0" w:firstColumn="1" w:lastColumn="0" w:noHBand="0" w:noVBand="1"/>
      </w:tblPr>
      <w:tblGrid>
        <w:gridCol w:w="1988"/>
        <w:gridCol w:w="1512"/>
        <w:gridCol w:w="1640"/>
        <w:gridCol w:w="1512"/>
        <w:gridCol w:w="2750"/>
      </w:tblGrid>
      <w:tr w:rsidR="00F57E6C" w14:paraId="5055ED75" w14:textId="77777777" w:rsidTr="00240011">
        <w:tc>
          <w:tcPr>
            <w:tcW w:w="1716" w:type="dxa"/>
            <w:shd w:val="clear" w:color="auto" w:fill="DEEAF6" w:themeFill="accent1" w:themeFillTint="33"/>
          </w:tcPr>
          <w:p w14:paraId="00D6B427" w14:textId="77777777" w:rsidR="00F57E6C" w:rsidRPr="00F57E6C" w:rsidRDefault="00F57E6C" w:rsidP="002D1BD3">
            <w:pPr>
              <w:jc w:val="center"/>
              <w:rPr>
                <w:b/>
                <w:lang w:eastAsia="en-US"/>
              </w:rPr>
            </w:pPr>
            <w:r w:rsidRPr="00F57E6C">
              <w:rPr>
                <w:b/>
                <w:lang w:eastAsia="en-US"/>
              </w:rPr>
              <w:t>Input Variable</w:t>
            </w:r>
          </w:p>
        </w:tc>
        <w:tc>
          <w:tcPr>
            <w:tcW w:w="1556" w:type="dxa"/>
            <w:shd w:val="clear" w:color="auto" w:fill="DEEAF6" w:themeFill="accent1" w:themeFillTint="33"/>
          </w:tcPr>
          <w:p w14:paraId="47C9E77A" w14:textId="77777777" w:rsidR="00F57E6C" w:rsidRPr="00F57E6C" w:rsidRDefault="00F57E6C" w:rsidP="002D1BD3">
            <w:pPr>
              <w:jc w:val="center"/>
              <w:rPr>
                <w:b/>
                <w:lang w:eastAsia="en-US"/>
              </w:rPr>
            </w:pPr>
            <w:r w:rsidRPr="00F57E6C">
              <w:rPr>
                <w:b/>
                <w:lang w:eastAsia="en-US"/>
              </w:rPr>
              <w:t>Low Scenario</w:t>
            </w:r>
          </w:p>
        </w:tc>
        <w:tc>
          <w:tcPr>
            <w:tcW w:w="1697" w:type="dxa"/>
            <w:shd w:val="clear" w:color="auto" w:fill="DEEAF6" w:themeFill="accent1" w:themeFillTint="33"/>
          </w:tcPr>
          <w:p w14:paraId="27C20CB6" w14:textId="77777777" w:rsidR="00F57E6C" w:rsidRPr="00F57E6C" w:rsidRDefault="00F57E6C" w:rsidP="002D1BD3">
            <w:pPr>
              <w:jc w:val="center"/>
              <w:rPr>
                <w:b/>
                <w:sz w:val="21"/>
                <w:szCs w:val="21"/>
                <w:lang w:eastAsia="en-US"/>
              </w:rPr>
            </w:pPr>
            <w:r w:rsidRPr="00F57E6C">
              <w:rPr>
                <w:b/>
                <w:sz w:val="21"/>
                <w:szCs w:val="21"/>
                <w:lang w:eastAsia="en-US"/>
              </w:rPr>
              <w:t>Central Scenario</w:t>
            </w:r>
          </w:p>
        </w:tc>
        <w:tc>
          <w:tcPr>
            <w:tcW w:w="1556" w:type="dxa"/>
            <w:shd w:val="clear" w:color="auto" w:fill="DEEAF6" w:themeFill="accent1" w:themeFillTint="33"/>
          </w:tcPr>
          <w:p w14:paraId="5A6E7BCE" w14:textId="77777777" w:rsidR="00F57E6C" w:rsidRPr="00F57E6C" w:rsidRDefault="00F57E6C" w:rsidP="002D1BD3">
            <w:pPr>
              <w:jc w:val="center"/>
              <w:rPr>
                <w:b/>
                <w:lang w:eastAsia="en-US"/>
              </w:rPr>
            </w:pPr>
            <w:r w:rsidRPr="00F57E6C">
              <w:rPr>
                <w:b/>
                <w:lang w:eastAsia="en-US"/>
              </w:rPr>
              <w:t>High Scenario</w:t>
            </w:r>
          </w:p>
        </w:tc>
        <w:tc>
          <w:tcPr>
            <w:tcW w:w="2877" w:type="dxa"/>
            <w:shd w:val="clear" w:color="auto" w:fill="DEEAF6" w:themeFill="accent1" w:themeFillTint="33"/>
          </w:tcPr>
          <w:p w14:paraId="5B9077EF" w14:textId="77777777" w:rsidR="00F57E6C" w:rsidRPr="00F57E6C" w:rsidRDefault="00F57E6C" w:rsidP="002D1BD3">
            <w:pPr>
              <w:jc w:val="center"/>
              <w:rPr>
                <w:b/>
                <w:lang w:eastAsia="en-US"/>
              </w:rPr>
            </w:pPr>
            <w:r>
              <w:rPr>
                <w:b/>
                <w:lang w:eastAsia="en-US"/>
              </w:rPr>
              <w:t>Source of Range</w:t>
            </w:r>
          </w:p>
        </w:tc>
      </w:tr>
      <w:tr w:rsidR="00F57E6C" w14:paraId="1890A610" w14:textId="77777777" w:rsidTr="00240011">
        <w:tc>
          <w:tcPr>
            <w:tcW w:w="1716" w:type="dxa"/>
          </w:tcPr>
          <w:p w14:paraId="0B836EFC" w14:textId="77777777" w:rsidR="00F57E6C" w:rsidRPr="007F4120" w:rsidRDefault="00F57E6C" w:rsidP="00F57E6C">
            <w:pPr>
              <w:spacing w:after="40"/>
              <w:jc w:val="left"/>
              <w:rPr>
                <w:b/>
                <w:lang w:eastAsia="en-US"/>
              </w:rPr>
            </w:pPr>
            <w:r w:rsidRPr="007F4120">
              <w:rPr>
                <w:b/>
                <w:lang w:eastAsia="en-US"/>
              </w:rPr>
              <w:t>Exchange Rate</w:t>
            </w:r>
          </w:p>
        </w:tc>
        <w:tc>
          <w:tcPr>
            <w:tcW w:w="1556" w:type="dxa"/>
          </w:tcPr>
          <w:p w14:paraId="4C4565FB" w14:textId="77777777" w:rsidR="00F57E6C" w:rsidRPr="00F57E6C" w:rsidRDefault="00F57E6C" w:rsidP="002D1BD3">
            <w:pPr>
              <w:jc w:val="center"/>
              <w:rPr>
                <w:lang w:eastAsia="en-US"/>
              </w:rPr>
            </w:pPr>
            <w:r>
              <w:rPr>
                <w:lang w:eastAsia="en-US"/>
              </w:rPr>
              <w:t>1.2065</w:t>
            </w:r>
          </w:p>
        </w:tc>
        <w:tc>
          <w:tcPr>
            <w:tcW w:w="1697" w:type="dxa"/>
          </w:tcPr>
          <w:p w14:paraId="1D661D03" w14:textId="3C04765E" w:rsidR="00F57E6C" w:rsidRPr="00F57E6C" w:rsidRDefault="00057097" w:rsidP="002D1BD3">
            <w:pPr>
              <w:jc w:val="center"/>
              <w:rPr>
                <w:lang w:eastAsia="en-US"/>
              </w:rPr>
            </w:pPr>
            <w:r>
              <w:rPr>
                <w:lang w:eastAsia="en-US"/>
              </w:rPr>
              <w:t>1.3</w:t>
            </w:r>
          </w:p>
        </w:tc>
        <w:tc>
          <w:tcPr>
            <w:tcW w:w="1556" w:type="dxa"/>
          </w:tcPr>
          <w:p w14:paraId="7173B2DC" w14:textId="77777777" w:rsidR="00F57E6C" w:rsidRPr="00F57E6C" w:rsidRDefault="00F57E6C" w:rsidP="002D1BD3">
            <w:pPr>
              <w:jc w:val="center"/>
              <w:rPr>
                <w:lang w:eastAsia="en-US"/>
              </w:rPr>
            </w:pPr>
            <w:r>
              <w:rPr>
                <w:lang w:eastAsia="en-US"/>
              </w:rPr>
              <w:t>1.5738</w:t>
            </w:r>
          </w:p>
        </w:tc>
        <w:tc>
          <w:tcPr>
            <w:tcW w:w="2877" w:type="dxa"/>
            <w:shd w:val="clear" w:color="auto" w:fill="E2EFD9" w:themeFill="accent6" w:themeFillTint="33"/>
          </w:tcPr>
          <w:p w14:paraId="7EA199A7" w14:textId="4CF9354D" w:rsidR="00F57E6C" w:rsidRPr="007F4120" w:rsidRDefault="007F4120" w:rsidP="007F4120">
            <w:pPr>
              <w:spacing w:after="40"/>
              <w:jc w:val="center"/>
              <w:rPr>
                <w:sz w:val="20"/>
                <w:szCs w:val="20"/>
                <w:lang w:eastAsia="en-US"/>
              </w:rPr>
            </w:pPr>
            <w:r w:rsidRPr="007F4120">
              <w:rPr>
                <w:sz w:val="20"/>
                <w:szCs w:val="20"/>
                <w:lang w:eastAsia="en-US"/>
              </w:rPr>
              <w:t>Bank of England spot £/$ rate, range in past 3 years</w:t>
            </w:r>
          </w:p>
        </w:tc>
      </w:tr>
      <w:tr w:rsidR="00F57E6C" w14:paraId="1FAE33F2" w14:textId="77777777" w:rsidTr="00240011">
        <w:tc>
          <w:tcPr>
            <w:tcW w:w="1716" w:type="dxa"/>
          </w:tcPr>
          <w:p w14:paraId="003F7A2D" w14:textId="77777777" w:rsidR="00F57E6C" w:rsidRPr="007F4120" w:rsidRDefault="00F57E6C" w:rsidP="00F57E6C">
            <w:pPr>
              <w:spacing w:after="40"/>
              <w:jc w:val="left"/>
              <w:rPr>
                <w:b/>
                <w:lang w:eastAsia="en-US"/>
              </w:rPr>
            </w:pPr>
            <w:r w:rsidRPr="007F4120">
              <w:rPr>
                <w:b/>
                <w:lang w:eastAsia="en-US"/>
              </w:rPr>
              <w:t>Leverage Ratio</w:t>
            </w:r>
          </w:p>
        </w:tc>
        <w:tc>
          <w:tcPr>
            <w:tcW w:w="1556" w:type="dxa"/>
          </w:tcPr>
          <w:p w14:paraId="1E3EB2F8" w14:textId="77777777" w:rsidR="00F57E6C" w:rsidRPr="00F57E6C" w:rsidRDefault="00F57E6C" w:rsidP="002D1BD3">
            <w:pPr>
              <w:jc w:val="center"/>
              <w:rPr>
                <w:lang w:eastAsia="en-US"/>
              </w:rPr>
            </w:pPr>
            <w:r>
              <w:rPr>
                <w:lang w:eastAsia="en-US"/>
              </w:rPr>
              <w:t>0.21</w:t>
            </w:r>
          </w:p>
        </w:tc>
        <w:tc>
          <w:tcPr>
            <w:tcW w:w="1697" w:type="dxa"/>
          </w:tcPr>
          <w:p w14:paraId="6664846C" w14:textId="77777777" w:rsidR="00F57E6C" w:rsidRPr="00F57E6C" w:rsidRDefault="00F57E6C" w:rsidP="002D1BD3">
            <w:pPr>
              <w:jc w:val="center"/>
              <w:rPr>
                <w:lang w:eastAsia="en-US"/>
              </w:rPr>
            </w:pPr>
            <w:r>
              <w:rPr>
                <w:lang w:eastAsia="en-US"/>
              </w:rPr>
              <w:t>0.42</w:t>
            </w:r>
          </w:p>
        </w:tc>
        <w:tc>
          <w:tcPr>
            <w:tcW w:w="1556" w:type="dxa"/>
          </w:tcPr>
          <w:p w14:paraId="39391188" w14:textId="77777777" w:rsidR="00F57E6C" w:rsidRPr="00F57E6C" w:rsidRDefault="00F57E6C" w:rsidP="002D1BD3">
            <w:pPr>
              <w:jc w:val="center"/>
              <w:rPr>
                <w:lang w:eastAsia="en-US"/>
              </w:rPr>
            </w:pPr>
            <w:r>
              <w:rPr>
                <w:lang w:eastAsia="en-US"/>
              </w:rPr>
              <w:t>0.63</w:t>
            </w:r>
          </w:p>
        </w:tc>
        <w:tc>
          <w:tcPr>
            <w:tcW w:w="2877" w:type="dxa"/>
            <w:shd w:val="clear" w:color="auto" w:fill="E2EFD9" w:themeFill="accent6" w:themeFillTint="33"/>
          </w:tcPr>
          <w:p w14:paraId="5D625044" w14:textId="539EEEF0" w:rsidR="00F57E6C" w:rsidRPr="007F4120" w:rsidRDefault="00682D84" w:rsidP="007F4120">
            <w:pPr>
              <w:spacing w:after="40"/>
              <w:jc w:val="center"/>
              <w:rPr>
                <w:sz w:val="20"/>
                <w:szCs w:val="20"/>
                <w:lang w:eastAsia="en-US"/>
              </w:rPr>
            </w:pPr>
            <w:r w:rsidRPr="007F4120">
              <w:rPr>
                <w:sz w:val="20"/>
                <w:szCs w:val="20"/>
                <w:lang w:eastAsia="en-US"/>
              </w:rPr>
              <w:t>±50% of central value – considerable uncertainty</w:t>
            </w:r>
          </w:p>
        </w:tc>
      </w:tr>
      <w:tr w:rsidR="00C253E0" w14:paraId="15C1D12F" w14:textId="77777777" w:rsidTr="00CE7198">
        <w:tc>
          <w:tcPr>
            <w:tcW w:w="1716" w:type="dxa"/>
          </w:tcPr>
          <w:p w14:paraId="1C7F4067" w14:textId="65426F71" w:rsidR="00C253E0" w:rsidRPr="007F4120" w:rsidRDefault="00C253E0" w:rsidP="00F57E6C">
            <w:pPr>
              <w:spacing w:after="40"/>
              <w:jc w:val="left"/>
              <w:rPr>
                <w:b/>
                <w:lang w:eastAsia="en-US"/>
              </w:rPr>
            </w:pPr>
            <w:r>
              <w:rPr>
                <w:b/>
                <w:lang w:eastAsia="en-US"/>
              </w:rPr>
              <w:t>Mangroves protected/restored</w:t>
            </w:r>
          </w:p>
        </w:tc>
        <w:tc>
          <w:tcPr>
            <w:tcW w:w="1556" w:type="dxa"/>
          </w:tcPr>
          <w:p w14:paraId="58D66298" w14:textId="14821965" w:rsidR="00C253E0" w:rsidRDefault="008D585C" w:rsidP="002D1BD3">
            <w:pPr>
              <w:jc w:val="center"/>
              <w:rPr>
                <w:lang w:eastAsia="en-US"/>
              </w:rPr>
            </w:pPr>
            <w:r>
              <w:rPr>
                <w:lang w:eastAsia="en-US"/>
              </w:rPr>
              <w:t>220</w:t>
            </w:r>
            <w:r w:rsidR="00D44998">
              <w:rPr>
                <w:lang w:eastAsia="en-US"/>
              </w:rPr>
              <w:t>0</w:t>
            </w:r>
            <w:r w:rsidR="00C253E0">
              <w:rPr>
                <w:lang w:eastAsia="en-US"/>
              </w:rPr>
              <w:t>ha</w:t>
            </w:r>
          </w:p>
        </w:tc>
        <w:tc>
          <w:tcPr>
            <w:tcW w:w="1697" w:type="dxa"/>
          </w:tcPr>
          <w:p w14:paraId="33913D62" w14:textId="6794340E" w:rsidR="00C253E0" w:rsidRDefault="008D585C" w:rsidP="002D1BD3">
            <w:pPr>
              <w:jc w:val="center"/>
              <w:rPr>
                <w:lang w:eastAsia="en-US"/>
              </w:rPr>
            </w:pPr>
            <w:r>
              <w:rPr>
                <w:lang w:eastAsia="en-US"/>
              </w:rPr>
              <w:t>557</w:t>
            </w:r>
            <w:r w:rsidR="00C253E0">
              <w:rPr>
                <w:lang w:eastAsia="en-US"/>
              </w:rPr>
              <w:t>0ha</w:t>
            </w:r>
          </w:p>
        </w:tc>
        <w:tc>
          <w:tcPr>
            <w:tcW w:w="1556" w:type="dxa"/>
          </w:tcPr>
          <w:p w14:paraId="65EC9C1C" w14:textId="42385CFB" w:rsidR="00C253E0" w:rsidRDefault="008D585C" w:rsidP="002D1BD3">
            <w:pPr>
              <w:jc w:val="center"/>
              <w:rPr>
                <w:lang w:eastAsia="en-US"/>
              </w:rPr>
            </w:pPr>
            <w:r>
              <w:rPr>
                <w:lang w:eastAsia="en-US"/>
              </w:rPr>
              <w:t>1154</w:t>
            </w:r>
            <w:r w:rsidR="00C253E0">
              <w:rPr>
                <w:lang w:eastAsia="en-US"/>
              </w:rPr>
              <w:t>0ha</w:t>
            </w:r>
          </w:p>
        </w:tc>
        <w:tc>
          <w:tcPr>
            <w:tcW w:w="2877" w:type="dxa"/>
            <w:shd w:val="clear" w:color="auto" w:fill="E2EFD9" w:themeFill="accent6" w:themeFillTint="33"/>
          </w:tcPr>
          <w:p w14:paraId="412DD143" w14:textId="114A8C04" w:rsidR="00C253E0" w:rsidRPr="007F4120" w:rsidRDefault="00C253E0" w:rsidP="007F4120">
            <w:pPr>
              <w:spacing w:after="40"/>
              <w:jc w:val="center"/>
              <w:rPr>
                <w:sz w:val="20"/>
                <w:szCs w:val="20"/>
                <w:lang w:eastAsia="en-US"/>
              </w:rPr>
            </w:pPr>
            <w:r>
              <w:rPr>
                <w:sz w:val="20"/>
                <w:szCs w:val="20"/>
                <w:lang w:eastAsia="en-US"/>
              </w:rPr>
              <w:t>Reflects variability in program funding levels</w:t>
            </w:r>
            <w:r w:rsidR="00D44998">
              <w:rPr>
                <w:sz w:val="20"/>
                <w:szCs w:val="20"/>
                <w:lang w:eastAsia="en-US"/>
              </w:rPr>
              <w:t xml:space="preserve"> and additionality</w:t>
            </w:r>
          </w:p>
        </w:tc>
      </w:tr>
      <w:tr w:rsidR="00F57E6C" w14:paraId="44160441" w14:textId="77777777" w:rsidTr="00240011">
        <w:tc>
          <w:tcPr>
            <w:tcW w:w="1716" w:type="dxa"/>
          </w:tcPr>
          <w:p w14:paraId="790B8C53" w14:textId="5071E028" w:rsidR="00F57E6C" w:rsidRPr="007F4120" w:rsidRDefault="00455517" w:rsidP="00F57E6C">
            <w:pPr>
              <w:spacing w:after="40"/>
              <w:jc w:val="left"/>
              <w:rPr>
                <w:b/>
                <w:lang w:eastAsia="en-US"/>
              </w:rPr>
            </w:pPr>
            <w:r>
              <w:rPr>
                <w:b/>
                <w:lang w:eastAsia="en-US"/>
              </w:rPr>
              <w:t>t</w:t>
            </w:r>
            <w:r w:rsidR="00F57E6C" w:rsidRPr="007F4120">
              <w:rPr>
                <w:b/>
                <w:lang w:eastAsia="en-US"/>
              </w:rPr>
              <w:t>CO</w:t>
            </w:r>
            <w:r w:rsidR="00F57E6C" w:rsidRPr="00455517">
              <w:rPr>
                <w:b/>
                <w:vertAlign w:val="subscript"/>
                <w:lang w:eastAsia="en-US"/>
              </w:rPr>
              <w:t>2</w:t>
            </w:r>
            <w:r w:rsidR="00F57E6C" w:rsidRPr="007F4120">
              <w:rPr>
                <w:b/>
                <w:lang w:eastAsia="en-US"/>
              </w:rPr>
              <w:t>e avoided</w:t>
            </w:r>
          </w:p>
        </w:tc>
        <w:tc>
          <w:tcPr>
            <w:tcW w:w="1556" w:type="dxa"/>
          </w:tcPr>
          <w:p w14:paraId="4B133BF2" w14:textId="0D78C972" w:rsidR="00F57E6C" w:rsidRPr="00F57E6C" w:rsidRDefault="00D44998" w:rsidP="002D1BD3">
            <w:pPr>
              <w:jc w:val="center"/>
              <w:rPr>
                <w:lang w:eastAsia="en-US"/>
              </w:rPr>
            </w:pPr>
            <w:r>
              <w:rPr>
                <w:lang w:eastAsia="en-US"/>
              </w:rPr>
              <w:t>1.9</w:t>
            </w:r>
            <w:r w:rsidR="00F57E6C">
              <w:rPr>
                <w:lang w:eastAsia="en-US"/>
              </w:rPr>
              <w:t>m</w:t>
            </w:r>
          </w:p>
        </w:tc>
        <w:tc>
          <w:tcPr>
            <w:tcW w:w="1697" w:type="dxa"/>
          </w:tcPr>
          <w:p w14:paraId="3BEF8D0E" w14:textId="1A7AD804" w:rsidR="00F57E6C" w:rsidRPr="00F57E6C" w:rsidRDefault="00CE7198" w:rsidP="002D1BD3">
            <w:pPr>
              <w:jc w:val="center"/>
              <w:rPr>
                <w:lang w:eastAsia="en-US"/>
              </w:rPr>
            </w:pPr>
            <w:r>
              <w:rPr>
                <w:lang w:eastAsia="en-US"/>
              </w:rPr>
              <w:t>3.8m</w:t>
            </w:r>
          </w:p>
        </w:tc>
        <w:tc>
          <w:tcPr>
            <w:tcW w:w="1556" w:type="dxa"/>
          </w:tcPr>
          <w:p w14:paraId="70031944" w14:textId="0F188F07" w:rsidR="00F57E6C" w:rsidRPr="00F57E6C" w:rsidRDefault="00D44998" w:rsidP="002D1BD3">
            <w:pPr>
              <w:jc w:val="center"/>
              <w:rPr>
                <w:lang w:eastAsia="en-US"/>
              </w:rPr>
            </w:pPr>
            <w:r>
              <w:rPr>
                <w:lang w:eastAsia="en-US"/>
              </w:rPr>
              <w:t>5.8</w:t>
            </w:r>
            <w:r w:rsidR="00CE7198">
              <w:rPr>
                <w:lang w:eastAsia="en-US"/>
              </w:rPr>
              <w:t>m</w:t>
            </w:r>
          </w:p>
        </w:tc>
        <w:tc>
          <w:tcPr>
            <w:tcW w:w="2877" w:type="dxa"/>
            <w:shd w:val="clear" w:color="auto" w:fill="E2EFD9" w:themeFill="accent6" w:themeFillTint="33"/>
          </w:tcPr>
          <w:p w14:paraId="41ED34F9" w14:textId="293BF7E6" w:rsidR="00F57E6C" w:rsidRPr="007F4120" w:rsidRDefault="001B0D08" w:rsidP="007F4120">
            <w:pPr>
              <w:spacing w:after="40"/>
              <w:jc w:val="center"/>
              <w:rPr>
                <w:sz w:val="20"/>
                <w:szCs w:val="20"/>
                <w:lang w:eastAsia="en-US"/>
              </w:rPr>
            </w:pPr>
            <w:r>
              <w:rPr>
                <w:sz w:val="20"/>
                <w:szCs w:val="20"/>
                <w:lang w:eastAsia="en-US"/>
              </w:rPr>
              <w:t>Dependent on total funding levels of program</w:t>
            </w:r>
          </w:p>
        </w:tc>
      </w:tr>
      <w:tr w:rsidR="00D44998" w14:paraId="33310E03" w14:textId="77777777" w:rsidTr="00CE7198">
        <w:tc>
          <w:tcPr>
            <w:tcW w:w="1716" w:type="dxa"/>
          </w:tcPr>
          <w:p w14:paraId="056005E1" w14:textId="101367D6" w:rsidR="00D44998" w:rsidRPr="007F4120" w:rsidRDefault="00D44998">
            <w:pPr>
              <w:spacing w:after="40"/>
              <w:jc w:val="left"/>
              <w:rPr>
                <w:b/>
                <w:lang w:eastAsia="en-US"/>
              </w:rPr>
            </w:pPr>
            <w:r>
              <w:rPr>
                <w:b/>
                <w:lang w:eastAsia="en-US"/>
              </w:rPr>
              <w:t>Additionality of impacts</w:t>
            </w:r>
          </w:p>
        </w:tc>
        <w:tc>
          <w:tcPr>
            <w:tcW w:w="1556" w:type="dxa"/>
          </w:tcPr>
          <w:p w14:paraId="4FCE33F9" w14:textId="41C42D20" w:rsidR="00D44998" w:rsidRDefault="00D44998" w:rsidP="002D1BD3">
            <w:pPr>
              <w:jc w:val="center"/>
              <w:rPr>
                <w:lang w:eastAsia="en-US"/>
              </w:rPr>
            </w:pPr>
            <w:r>
              <w:rPr>
                <w:lang w:eastAsia="en-US"/>
              </w:rPr>
              <w:t>25%</w:t>
            </w:r>
          </w:p>
        </w:tc>
        <w:tc>
          <w:tcPr>
            <w:tcW w:w="1697" w:type="dxa"/>
          </w:tcPr>
          <w:p w14:paraId="34ACA9E1" w14:textId="1E03F121" w:rsidR="00D44998" w:rsidRDefault="00D44998" w:rsidP="002D1BD3">
            <w:pPr>
              <w:jc w:val="center"/>
              <w:rPr>
                <w:lang w:eastAsia="en-US"/>
              </w:rPr>
            </w:pPr>
            <w:r>
              <w:rPr>
                <w:lang w:eastAsia="en-US"/>
              </w:rPr>
              <w:t>50%</w:t>
            </w:r>
          </w:p>
        </w:tc>
        <w:tc>
          <w:tcPr>
            <w:tcW w:w="1556" w:type="dxa"/>
          </w:tcPr>
          <w:p w14:paraId="5EFDEF15" w14:textId="53832F2B" w:rsidR="00D44998" w:rsidRDefault="00D44998" w:rsidP="002D1BD3">
            <w:pPr>
              <w:jc w:val="center"/>
              <w:rPr>
                <w:lang w:eastAsia="en-US"/>
              </w:rPr>
            </w:pPr>
            <w:r>
              <w:rPr>
                <w:lang w:eastAsia="en-US"/>
              </w:rPr>
              <w:t>75%</w:t>
            </w:r>
          </w:p>
        </w:tc>
        <w:tc>
          <w:tcPr>
            <w:tcW w:w="2877" w:type="dxa"/>
            <w:shd w:val="clear" w:color="auto" w:fill="E2EFD9" w:themeFill="accent6" w:themeFillTint="33"/>
          </w:tcPr>
          <w:p w14:paraId="4EC9EA5F" w14:textId="6AB567D3" w:rsidR="00D44998" w:rsidRDefault="00D44998" w:rsidP="007F4120">
            <w:pPr>
              <w:spacing w:after="40"/>
              <w:jc w:val="center"/>
              <w:rPr>
                <w:sz w:val="20"/>
                <w:szCs w:val="20"/>
                <w:lang w:eastAsia="en-US"/>
              </w:rPr>
            </w:pPr>
            <w:r>
              <w:rPr>
                <w:sz w:val="20"/>
                <w:szCs w:val="20"/>
                <w:lang w:eastAsia="en-US"/>
              </w:rPr>
              <w:t>Reflects ICF appraisal guidance for sensitivity analysis</w:t>
            </w:r>
          </w:p>
        </w:tc>
      </w:tr>
      <w:tr w:rsidR="00F57E6C" w14:paraId="7CF44715" w14:textId="77777777" w:rsidTr="00240011">
        <w:tc>
          <w:tcPr>
            <w:tcW w:w="1716" w:type="dxa"/>
          </w:tcPr>
          <w:p w14:paraId="5E47D79A" w14:textId="77777777" w:rsidR="00F57E6C" w:rsidRPr="007F4120" w:rsidRDefault="00F57E6C" w:rsidP="00F57E6C">
            <w:pPr>
              <w:spacing w:after="40"/>
              <w:jc w:val="left"/>
              <w:rPr>
                <w:b/>
                <w:lang w:eastAsia="en-US"/>
              </w:rPr>
            </w:pPr>
            <w:r w:rsidRPr="007F4120">
              <w:rPr>
                <w:b/>
                <w:lang w:eastAsia="en-US"/>
              </w:rPr>
              <w:t>Ecosystem service value/ha</w:t>
            </w:r>
          </w:p>
        </w:tc>
        <w:tc>
          <w:tcPr>
            <w:tcW w:w="1556" w:type="dxa"/>
          </w:tcPr>
          <w:p w14:paraId="05272782" w14:textId="52728D18" w:rsidR="00F57E6C" w:rsidRPr="00F57E6C" w:rsidRDefault="00F57E6C" w:rsidP="002D1BD3">
            <w:pPr>
              <w:jc w:val="center"/>
              <w:rPr>
                <w:lang w:eastAsia="en-US"/>
              </w:rPr>
            </w:pPr>
            <w:r>
              <w:rPr>
                <w:lang w:eastAsia="en-US"/>
              </w:rPr>
              <w:t>£1089</w:t>
            </w:r>
          </w:p>
        </w:tc>
        <w:tc>
          <w:tcPr>
            <w:tcW w:w="1697" w:type="dxa"/>
          </w:tcPr>
          <w:p w14:paraId="4A2363AB" w14:textId="0F9BAC9C" w:rsidR="00F57E6C" w:rsidRPr="00F57E6C" w:rsidRDefault="00F57E6C" w:rsidP="002D1BD3">
            <w:pPr>
              <w:jc w:val="center"/>
              <w:rPr>
                <w:lang w:eastAsia="en-US"/>
              </w:rPr>
            </w:pPr>
            <w:r>
              <w:rPr>
                <w:lang w:eastAsia="en-US"/>
              </w:rPr>
              <w:t>£1452</w:t>
            </w:r>
          </w:p>
        </w:tc>
        <w:tc>
          <w:tcPr>
            <w:tcW w:w="1556" w:type="dxa"/>
          </w:tcPr>
          <w:p w14:paraId="4AB36EDD" w14:textId="62399CCF" w:rsidR="00F57E6C" w:rsidRPr="00F57E6C" w:rsidRDefault="00F57E6C" w:rsidP="002D1BD3">
            <w:pPr>
              <w:jc w:val="center"/>
              <w:rPr>
                <w:lang w:eastAsia="en-US"/>
              </w:rPr>
            </w:pPr>
            <w:r>
              <w:rPr>
                <w:lang w:eastAsia="en-US"/>
              </w:rPr>
              <w:t>£1816</w:t>
            </w:r>
          </w:p>
        </w:tc>
        <w:tc>
          <w:tcPr>
            <w:tcW w:w="2877" w:type="dxa"/>
            <w:shd w:val="clear" w:color="auto" w:fill="E2EFD9" w:themeFill="accent6" w:themeFillTint="33"/>
          </w:tcPr>
          <w:p w14:paraId="60B0E2A9" w14:textId="4E7B7DE3" w:rsidR="00F57E6C" w:rsidRPr="007F4120" w:rsidRDefault="00682D84" w:rsidP="007F4120">
            <w:pPr>
              <w:spacing w:after="40"/>
              <w:jc w:val="center"/>
              <w:rPr>
                <w:sz w:val="20"/>
                <w:szCs w:val="20"/>
                <w:lang w:eastAsia="en-US"/>
              </w:rPr>
            </w:pPr>
            <w:r w:rsidRPr="007F4120">
              <w:rPr>
                <w:sz w:val="20"/>
                <w:szCs w:val="20"/>
                <w:lang w:eastAsia="en-US"/>
              </w:rPr>
              <w:t>±50% of central value – considerable uncertainty</w:t>
            </w:r>
          </w:p>
        </w:tc>
      </w:tr>
      <w:tr w:rsidR="00F57E6C" w14:paraId="35913CCC" w14:textId="77777777" w:rsidTr="00240011">
        <w:trPr>
          <w:trHeight w:val="329"/>
        </w:trPr>
        <w:tc>
          <w:tcPr>
            <w:tcW w:w="1716" w:type="dxa"/>
          </w:tcPr>
          <w:p w14:paraId="4257DABA" w14:textId="51A026CD" w:rsidR="00F57E6C" w:rsidRPr="007F4120" w:rsidRDefault="00F57E6C" w:rsidP="00F57E6C">
            <w:pPr>
              <w:spacing w:after="40"/>
              <w:jc w:val="left"/>
              <w:rPr>
                <w:b/>
                <w:lang w:eastAsia="en-US"/>
              </w:rPr>
            </w:pPr>
            <w:r w:rsidRPr="007F4120">
              <w:rPr>
                <w:b/>
                <w:lang w:eastAsia="en-US"/>
              </w:rPr>
              <w:t>Carbon Price (2018)</w:t>
            </w:r>
          </w:p>
        </w:tc>
        <w:tc>
          <w:tcPr>
            <w:tcW w:w="1556" w:type="dxa"/>
          </w:tcPr>
          <w:p w14:paraId="3F6EF334" w14:textId="1BE4E1EB" w:rsidR="00F57E6C" w:rsidRPr="00F57E6C" w:rsidRDefault="00F57E6C" w:rsidP="002D1BD3">
            <w:pPr>
              <w:jc w:val="center"/>
              <w:rPr>
                <w:lang w:eastAsia="en-US"/>
              </w:rPr>
            </w:pPr>
            <w:r>
              <w:rPr>
                <w:lang w:eastAsia="en-US"/>
              </w:rPr>
              <w:t>£27</w:t>
            </w:r>
          </w:p>
        </w:tc>
        <w:tc>
          <w:tcPr>
            <w:tcW w:w="1697" w:type="dxa"/>
          </w:tcPr>
          <w:p w14:paraId="1E74DF5E" w14:textId="36BBB20A" w:rsidR="00F57E6C" w:rsidRPr="00F57E6C" w:rsidRDefault="00F57E6C" w:rsidP="002D1BD3">
            <w:pPr>
              <w:jc w:val="center"/>
              <w:rPr>
                <w:lang w:eastAsia="en-US"/>
              </w:rPr>
            </w:pPr>
            <w:r>
              <w:rPr>
                <w:lang w:eastAsia="en-US"/>
              </w:rPr>
              <w:t>£53</w:t>
            </w:r>
          </w:p>
        </w:tc>
        <w:tc>
          <w:tcPr>
            <w:tcW w:w="1556" w:type="dxa"/>
          </w:tcPr>
          <w:p w14:paraId="04A9EBF3" w14:textId="59A9EFEA" w:rsidR="00F57E6C" w:rsidRPr="00F57E6C" w:rsidRDefault="00F57E6C" w:rsidP="002D1BD3">
            <w:pPr>
              <w:jc w:val="center"/>
              <w:rPr>
                <w:lang w:eastAsia="en-US"/>
              </w:rPr>
            </w:pPr>
            <w:r>
              <w:rPr>
                <w:lang w:eastAsia="en-US"/>
              </w:rPr>
              <w:t>£80</w:t>
            </w:r>
          </w:p>
        </w:tc>
        <w:tc>
          <w:tcPr>
            <w:tcW w:w="2877" w:type="dxa"/>
            <w:shd w:val="clear" w:color="auto" w:fill="E2EFD9" w:themeFill="accent6" w:themeFillTint="33"/>
          </w:tcPr>
          <w:p w14:paraId="05CD71BE" w14:textId="7D2B402C" w:rsidR="00F57E6C" w:rsidRPr="007F4120" w:rsidRDefault="00F57E6C" w:rsidP="007F4120">
            <w:pPr>
              <w:spacing w:after="40"/>
              <w:jc w:val="center"/>
              <w:rPr>
                <w:sz w:val="20"/>
                <w:szCs w:val="20"/>
                <w:lang w:eastAsia="en-US"/>
              </w:rPr>
            </w:pPr>
            <w:r w:rsidRPr="007F4120">
              <w:rPr>
                <w:sz w:val="20"/>
                <w:szCs w:val="20"/>
                <w:lang w:eastAsia="en-US"/>
              </w:rPr>
              <w:t>Scenarios provided by BEIS Int’l Carbon Price Series</w:t>
            </w:r>
          </w:p>
        </w:tc>
      </w:tr>
    </w:tbl>
    <w:p w14:paraId="2813209B" w14:textId="77777777" w:rsidR="00F57E6C" w:rsidRDefault="00F57E6C" w:rsidP="00AD63EB">
      <w:pPr>
        <w:rPr>
          <w:i/>
          <w:color w:val="2E74B5" w:themeColor="accent1" w:themeShade="BF"/>
          <w:lang w:eastAsia="en-US"/>
        </w:rPr>
      </w:pPr>
    </w:p>
    <w:p w14:paraId="5BF4B339" w14:textId="5DABC46F" w:rsidR="00F57E6C" w:rsidRPr="00F57E6C" w:rsidRDefault="00F57E6C" w:rsidP="006A3A1F">
      <w:pPr>
        <w:pStyle w:val="Heading4"/>
        <w:rPr>
          <w:lang w:eastAsia="en-US"/>
        </w:rPr>
      </w:pPr>
      <w:r>
        <w:rPr>
          <w:lang w:eastAsia="en-US"/>
        </w:rPr>
        <w:t>Low</w:t>
      </w:r>
      <w:r w:rsidR="00AD63EB" w:rsidRPr="00AD63EB">
        <w:rPr>
          <w:lang w:eastAsia="en-US"/>
        </w:rPr>
        <w:t xml:space="preserve"> Scenario</w:t>
      </w:r>
    </w:p>
    <w:tbl>
      <w:tblPr>
        <w:tblStyle w:val="TableGrid"/>
        <w:tblW w:w="5000" w:type="pct"/>
        <w:tblLook w:val="04A0" w:firstRow="1" w:lastRow="0" w:firstColumn="1" w:lastColumn="0" w:noHBand="0" w:noVBand="1"/>
      </w:tblPr>
      <w:tblGrid>
        <w:gridCol w:w="4701"/>
        <w:gridCol w:w="4701"/>
      </w:tblGrid>
      <w:tr w:rsidR="00AD63EB" w:rsidRPr="004C5667" w14:paraId="1CB3B852" w14:textId="77777777" w:rsidTr="002D1BD3">
        <w:tc>
          <w:tcPr>
            <w:tcW w:w="2500" w:type="pct"/>
            <w:shd w:val="clear" w:color="auto" w:fill="BDD6EE" w:themeFill="accent1" w:themeFillTint="66"/>
          </w:tcPr>
          <w:p w14:paraId="12005090" w14:textId="77777777" w:rsidR="00AD63EB" w:rsidRPr="004C5667" w:rsidRDefault="00AD63EB" w:rsidP="002D1BD3">
            <w:pPr>
              <w:spacing w:after="0"/>
              <w:rPr>
                <w:b/>
              </w:rPr>
            </w:pPr>
            <w:r w:rsidRPr="004C5667">
              <w:rPr>
                <w:b/>
              </w:rPr>
              <w:t>Costs</w:t>
            </w:r>
          </w:p>
        </w:tc>
        <w:tc>
          <w:tcPr>
            <w:tcW w:w="2500" w:type="pct"/>
            <w:shd w:val="clear" w:color="auto" w:fill="BDD6EE" w:themeFill="accent1" w:themeFillTint="66"/>
          </w:tcPr>
          <w:p w14:paraId="311F66B3" w14:textId="77777777" w:rsidR="00AD63EB" w:rsidRPr="004C5667" w:rsidRDefault="00AD63EB" w:rsidP="002D1BD3">
            <w:pPr>
              <w:spacing w:after="0"/>
              <w:rPr>
                <w:b/>
              </w:rPr>
            </w:pPr>
            <w:r w:rsidRPr="004C5667">
              <w:rPr>
                <w:b/>
              </w:rPr>
              <w:t>Present Value (20 years), 2018</w:t>
            </w:r>
          </w:p>
        </w:tc>
      </w:tr>
      <w:tr w:rsidR="00AD63EB" w:rsidRPr="004C5667" w14:paraId="4C84AB0B" w14:textId="77777777" w:rsidTr="002D1BD3">
        <w:trPr>
          <w:trHeight w:val="312"/>
        </w:trPr>
        <w:tc>
          <w:tcPr>
            <w:tcW w:w="2500" w:type="pct"/>
          </w:tcPr>
          <w:p w14:paraId="35B2ECB8" w14:textId="3721002B" w:rsidR="00AD63EB" w:rsidRPr="004C5667" w:rsidRDefault="00AD63EB" w:rsidP="002D1BD3">
            <w:pPr>
              <w:spacing w:after="0"/>
            </w:pPr>
            <w:r w:rsidRPr="004C5667">
              <w:t xml:space="preserve">ICF Funding </w:t>
            </w:r>
            <w:r w:rsidR="009B43F6">
              <w:t>costs</w:t>
            </w:r>
          </w:p>
        </w:tc>
        <w:tc>
          <w:tcPr>
            <w:tcW w:w="2500" w:type="pct"/>
          </w:tcPr>
          <w:p w14:paraId="2C301AE6" w14:textId="631CB530" w:rsidR="00AD63EB" w:rsidRPr="004C5667" w:rsidRDefault="00AD63EB" w:rsidP="00FE4B30">
            <w:pPr>
              <w:spacing w:after="0"/>
            </w:pPr>
            <w:r w:rsidRPr="004C5667">
              <w:t>£</w:t>
            </w:r>
            <w:r w:rsidR="00FE4B30">
              <w:t>10,</w:t>
            </w:r>
            <w:r w:rsidR="00057097">
              <w:t>886,3</w:t>
            </w:r>
            <w:r w:rsidR="001B0D08">
              <w:t>00</w:t>
            </w:r>
            <w:r w:rsidR="0061240F">
              <w:t>*</w:t>
            </w:r>
          </w:p>
        </w:tc>
      </w:tr>
      <w:tr w:rsidR="009B43F6" w:rsidRPr="004C5667" w14:paraId="1A30B05A" w14:textId="77777777" w:rsidTr="002D1BD3">
        <w:trPr>
          <w:trHeight w:val="312"/>
        </w:trPr>
        <w:tc>
          <w:tcPr>
            <w:tcW w:w="2500" w:type="pct"/>
          </w:tcPr>
          <w:p w14:paraId="3C41E5F3" w14:textId="3259C45F" w:rsidR="009B43F6" w:rsidRDefault="009B43F6" w:rsidP="002D1BD3">
            <w:pPr>
              <w:spacing w:after="0"/>
            </w:pPr>
            <w:r>
              <w:t>Fund management costs</w:t>
            </w:r>
          </w:p>
        </w:tc>
        <w:tc>
          <w:tcPr>
            <w:tcW w:w="2500" w:type="pct"/>
          </w:tcPr>
          <w:p w14:paraId="471F6349" w14:textId="00849F03" w:rsidR="009B43F6" w:rsidRPr="004C5667" w:rsidRDefault="009B43F6" w:rsidP="00FE4B30">
            <w:pPr>
              <w:spacing w:after="0"/>
            </w:pPr>
            <w:r>
              <w:t>£</w:t>
            </w:r>
            <w:r w:rsidR="00FE4B30">
              <w:t>637,500</w:t>
            </w:r>
          </w:p>
        </w:tc>
      </w:tr>
      <w:tr w:rsidR="001B0D08" w:rsidRPr="004C5667" w14:paraId="3E75FD18" w14:textId="77777777" w:rsidTr="002D1BD3">
        <w:trPr>
          <w:trHeight w:val="312"/>
        </w:trPr>
        <w:tc>
          <w:tcPr>
            <w:tcW w:w="2500" w:type="pct"/>
          </w:tcPr>
          <w:p w14:paraId="0B8DD1BC" w14:textId="5D4B6F62" w:rsidR="001B0D08" w:rsidRDefault="001B0D08" w:rsidP="002D1BD3">
            <w:pPr>
              <w:spacing w:after="0"/>
            </w:pPr>
            <w:r>
              <w:t>M&amp;E costs</w:t>
            </w:r>
          </w:p>
        </w:tc>
        <w:tc>
          <w:tcPr>
            <w:tcW w:w="2500" w:type="pct"/>
          </w:tcPr>
          <w:p w14:paraId="5AB3CAC0" w14:textId="45E59215" w:rsidR="001B0D08" w:rsidRDefault="001B0D08" w:rsidP="00FE4B30">
            <w:pPr>
              <w:spacing w:after="0"/>
            </w:pPr>
            <w:r>
              <w:t>£334,100</w:t>
            </w:r>
          </w:p>
        </w:tc>
      </w:tr>
      <w:tr w:rsidR="00AD63EB" w:rsidRPr="004C5667" w14:paraId="25C922AD" w14:textId="77777777" w:rsidTr="002D1BD3">
        <w:tc>
          <w:tcPr>
            <w:tcW w:w="2500" w:type="pct"/>
          </w:tcPr>
          <w:p w14:paraId="18A29566" w14:textId="77777777" w:rsidR="00AD63EB" w:rsidRPr="004C5667" w:rsidRDefault="00AD63EB" w:rsidP="002D1BD3">
            <w:pPr>
              <w:spacing w:after="0"/>
            </w:pPr>
            <w:r w:rsidRPr="004C5667">
              <w:t xml:space="preserve">Leveraged funds </w:t>
            </w:r>
          </w:p>
        </w:tc>
        <w:tc>
          <w:tcPr>
            <w:tcW w:w="2500" w:type="pct"/>
          </w:tcPr>
          <w:p w14:paraId="304A19B6" w14:textId="4283A362" w:rsidR="00AD63EB" w:rsidRPr="004C5667" w:rsidRDefault="00FE4B30" w:rsidP="002D1BD3">
            <w:pPr>
              <w:spacing w:after="0"/>
            </w:pPr>
            <w:r>
              <w:t>£</w:t>
            </w:r>
            <w:r w:rsidR="00057097">
              <w:t>2,286,1</w:t>
            </w:r>
            <w:r w:rsidR="001B0D08">
              <w:t>00</w:t>
            </w:r>
          </w:p>
        </w:tc>
      </w:tr>
      <w:tr w:rsidR="00AD63EB" w:rsidRPr="004C5667" w14:paraId="47021E7C" w14:textId="77777777" w:rsidTr="002D1BD3">
        <w:trPr>
          <w:trHeight w:val="301"/>
        </w:trPr>
        <w:tc>
          <w:tcPr>
            <w:tcW w:w="2500" w:type="pct"/>
          </w:tcPr>
          <w:p w14:paraId="2DB9D7AF" w14:textId="77777777" w:rsidR="00AD63EB" w:rsidRPr="004C5667" w:rsidRDefault="00AD63EB" w:rsidP="002D1BD3">
            <w:pPr>
              <w:spacing w:after="0"/>
            </w:pPr>
            <w:r w:rsidRPr="004C5667">
              <w:t>ICF staff costs</w:t>
            </w:r>
          </w:p>
        </w:tc>
        <w:tc>
          <w:tcPr>
            <w:tcW w:w="2500" w:type="pct"/>
          </w:tcPr>
          <w:p w14:paraId="4D9422A6" w14:textId="4F2BFE07" w:rsidR="00AD63EB" w:rsidRPr="004C5667" w:rsidRDefault="00AD63EB" w:rsidP="00FE4B30">
            <w:pPr>
              <w:spacing w:after="0"/>
            </w:pPr>
            <w:r w:rsidRPr="004C5667">
              <w:t>£</w:t>
            </w:r>
            <w:r w:rsidR="00FE4B30">
              <w:t>576,200</w:t>
            </w:r>
          </w:p>
        </w:tc>
      </w:tr>
      <w:tr w:rsidR="00AD63EB" w:rsidRPr="004C5667" w14:paraId="7696C44D" w14:textId="77777777" w:rsidTr="002D1BD3">
        <w:tc>
          <w:tcPr>
            <w:tcW w:w="2500" w:type="pct"/>
          </w:tcPr>
          <w:p w14:paraId="37584F44" w14:textId="2E2961E9" w:rsidR="00AD63EB" w:rsidRPr="004C5667" w:rsidRDefault="00AD63EB">
            <w:pPr>
              <w:spacing w:after="0"/>
            </w:pPr>
            <w:r w:rsidRPr="004C5667">
              <w:t>Opportunity cost of foregone investments</w:t>
            </w:r>
          </w:p>
        </w:tc>
        <w:tc>
          <w:tcPr>
            <w:tcW w:w="2500" w:type="pct"/>
          </w:tcPr>
          <w:p w14:paraId="51E5C3D6" w14:textId="75EB7885" w:rsidR="00AD63EB" w:rsidRPr="004C5667" w:rsidRDefault="00AD63EB">
            <w:pPr>
              <w:spacing w:after="0"/>
            </w:pPr>
            <w:r w:rsidRPr="004C5667">
              <w:t>£</w:t>
            </w:r>
            <w:r w:rsidR="00057097">
              <w:t>348,700</w:t>
            </w:r>
          </w:p>
        </w:tc>
      </w:tr>
      <w:tr w:rsidR="00AD63EB" w:rsidRPr="004C5667" w14:paraId="17D0850C" w14:textId="77777777" w:rsidTr="002D1BD3">
        <w:tc>
          <w:tcPr>
            <w:tcW w:w="2500" w:type="pct"/>
          </w:tcPr>
          <w:p w14:paraId="10F5BCD4" w14:textId="77777777" w:rsidR="00AD63EB" w:rsidRPr="004C5667" w:rsidRDefault="00AD63EB" w:rsidP="002D1BD3">
            <w:pPr>
              <w:spacing w:after="0"/>
              <w:rPr>
                <w:b/>
              </w:rPr>
            </w:pPr>
            <w:r w:rsidRPr="004C5667">
              <w:rPr>
                <w:b/>
              </w:rPr>
              <w:t>Present Value Total Costs</w:t>
            </w:r>
          </w:p>
        </w:tc>
        <w:tc>
          <w:tcPr>
            <w:tcW w:w="2500" w:type="pct"/>
          </w:tcPr>
          <w:p w14:paraId="3E59D86C" w14:textId="77EFA89F" w:rsidR="00AD63EB" w:rsidRPr="004C5667" w:rsidRDefault="00AD63EB" w:rsidP="00057097">
            <w:pPr>
              <w:spacing w:after="0"/>
            </w:pPr>
            <w:r w:rsidRPr="004C5667">
              <w:rPr>
                <w:b/>
              </w:rPr>
              <w:t>£</w:t>
            </w:r>
            <w:r w:rsidR="00057097">
              <w:rPr>
                <w:b/>
              </w:rPr>
              <w:t>15,069,000</w:t>
            </w:r>
          </w:p>
        </w:tc>
      </w:tr>
      <w:tr w:rsidR="00AD63EB" w:rsidRPr="004C5667" w14:paraId="278C33B8" w14:textId="77777777" w:rsidTr="002D1BD3">
        <w:tc>
          <w:tcPr>
            <w:tcW w:w="2500" w:type="pct"/>
          </w:tcPr>
          <w:p w14:paraId="358CE0B9" w14:textId="77777777" w:rsidR="00AD63EB" w:rsidRPr="004C5667" w:rsidRDefault="00AD63EB" w:rsidP="002D1BD3">
            <w:pPr>
              <w:spacing w:after="0"/>
            </w:pPr>
          </w:p>
        </w:tc>
        <w:tc>
          <w:tcPr>
            <w:tcW w:w="2500" w:type="pct"/>
          </w:tcPr>
          <w:p w14:paraId="7895D7FE" w14:textId="77777777" w:rsidR="00AD63EB" w:rsidRPr="004C5667" w:rsidRDefault="00AD63EB" w:rsidP="002D1BD3">
            <w:pPr>
              <w:spacing w:after="0"/>
            </w:pPr>
          </w:p>
        </w:tc>
      </w:tr>
      <w:tr w:rsidR="00AD63EB" w:rsidRPr="004C5667" w14:paraId="0480452F" w14:textId="77777777" w:rsidTr="002D1BD3">
        <w:tc>
          <w:tcPr>
            <w:tcW w:w="2500" w:type="pct"/>
          </w:tcPr>
          <w:p w14:paraId="48A8EAD7" w14:textId="77777777" w:rsidR="00AD63EB" w:rsidRPr="004C5667" w:rsidRDefault="00AD63EB" w:rsidP="002D1BD3">
            <w:pPr>
              <w:spacing w:after="0"/>
              <w:rPr>
                <w:b/>
              </w:rPr>
            </w:pPr>
            <w:r w:rsidRPr="004C5667">
              <w:rPr>
                <w:b/>
              </w:rPr>
              <w:t>Benefits</w:t>
            </w:r>
          </w:p>
        </w:tc>
        <w:tc>
          <w:tcPr>
            <w:tcW w:w="2500" w:type="pct"/>
          </w:tcPr>
          <w:p w14:paraId="13462182" w14:textId="77777777" w:rsidR="00AD63EB" w:rsidRPr="004C5667" w:rsidRDefault="00AD63EB" w:rsidP="002D1BD3">
            <w:pPr>
              <w:spacing w:after="0"/>
            </w:pPr>
          </w:p>
        </w:tc>
      </w:tr>
      <w:tr w:rsidR="00AD63EB" w:rsidRPr="004C5667" w14:paraId="65893B0E" w14:textId="77777777" w:rsidTr="002D1BD3">
        <w:tc>
          <w:tcPr>
            <w:tcW w:w="2500" w:type="pct"/>
          </w:tcPr>
          <w:p w14:paraId="47EABE17" w14:textId="77777777" w:rsidR="00AD63EB" w:rsidRPr="004C5667" w:rsidRDefault="00AD63EB" w:rsidP="002D1BD3">
            <w:pPr>
              <w:spacing w:after="0"/>
            </w:pPr>
            <w:r w:rsidRPr="004C5667">
              <w:t>Carbon savings</w:t>
            </w:r>
          </w:p>
        </w:tc>
        <w:tc>
          <w:tcPr>
            <w:tcW w:w="2500" w:type="pct"/>
          </w:tcPr>
          <w:p w14:paraId="138B6408" w14:textId="2D1578A2" w:rsidR="00AD63EB" w:rsidRPr="004C5667" w:rsidRDefault="00AD63EB" w:rsidP="00057097">
            <w:pPr>
              <w:spacing w:after="0"/>
            </w:pPr>
            <w:r>
              <w:t>£</w:t>
            </w:r>
            <w:r w:rsidR="001F3922">
              <w:t>33,958,400</w:t>
            </w:r>
          </w:p>
        </w:tc>
      </w:tr>
      <w:tr w:rsidR="00AD63EB" w:rsidRPr="004C5667" w14:paraId="564E1D34" w14:textId="77777777" w:rsidTr="002D1BD3">
        <w:tc>
          <w:tcPr>
            <w:tcW w:w="2500" w:type="pct"/>
          </w:tcPr>
          <w:p w14:paraId="24C1F907" w14:textId="77777777" w:rsidR="00AD63EB" w:rsidRPr="004C5667" w:rsidRDefault="00AD63EB" w:rsidP="002D1BD3">
            <w:pPr>
              <w:spacing w:after="0"/>
            </w:pPr>
            <w:r w:rsidRPr="004C5667">
              <w:t>Ecosystem services</w:t>
            </w:r>
          </w:p>
        </w:tc>
        <w:tc>
          <w:tcPr>
            <w:tcW w:w="2500" w:type="pct"/>
          </w:tcPr>
          <w:p w14:paraId="407B53E4" w14:textId="218EC2E4" w:rsidR="00AD63EB" w:rsidRPr="004C5667" w:rsidRDefault="00AD63EB">
            <w:pPr>
              <w:spacing w:after="0"/>
            </w:pPr>
            <w:r>
              <w:t>£</w:t>
            </w:r>
            <w:r w:rsidR="001F3922">
              <w:t>7,526,100</w:t>
            </w:r>
          </w:p>
        </w:tc>
      </w:tr>
      <w:tr w:rsidR="00AD63EB" w:rsidRPr="004C5667" w14:paraId="1D3A36CF" w14:textId="77777777" w:rsidTr="002D1BD3">
        <w:tc>
          <w:tcPr>
            <w:tcW w:w="2500" w:type="pct"/>
          </w:tcPr>
          <w:p w14:paraId="0DC349C2" w14:textId="77777777" w:rsidR="00AD63EB" w:rsidRPr="004C5667" w:rsidRDefault="00AD63EB" w:rsidP="002D1BD3">
            <w:pPr>
              <w:spacing w:after="0"/>
              <w:rPr>
                <w:b/>
              </w:rPr>
            </w:pPr>
            <w:r w:rsidRPr="004C5667">
              <w:rPr>
                <w:b/>
              </w:rPr>
              <w:t>Present Value Total Benefits</w:t>
            </w:r>
          </w:p>
        </w:tc>
        <w:tc>
          <w:tcPr>
            <w:tcW w:w="2500" w:type="pct"/>
          </w:tcPr>
          <w:p w14:paraId="17F1403E" w14:textId="1DECC20D" w:rsidR="00AD63EB" w:rsidRPr="004C5667" w:rsidRDefault="00AD63EB" w:rsidP="001F3922">
            <w:pPr>
              <w:spacing w:after="0"/>
            </w:pPr>
            <w:r w:rsidRPr="004C5667">
              <w:rPr>
                <w:b/>
              </w:rPr>
              <w:t>£</w:t>
            </w:r>
            <w:r w:rsidR="001F3922">
              <w:rPr>
                <w:b/>
              </w:rPr>
              <w:t>41,484,500</w:t>
            </w:r>
          </w:p>
        </w:tc>
      </w:tr>
      <w:tr w:rsidR="00AD63EB" w:rsidRPr="004C5667" w14:paraId="46225E22" w14:textId="77777777" w:rsidTr="002D1BD3">
        <w:tc>
          <w:tcPr>
            <w:tcW w:w="2500" w:type="pct"/>
          </w:tcPr>
          <w:p w14:paraId="5D556416" w14:textId="77777777" w:rsidR="00AD63EB" w:rsidRPr="004C5667" w:rsidRDefault="00AD63EB" w:rsidP="002D1BD3">
            <w:pPr>
              <w:spacing w:after="0"/>
              <w:rPr>
                <w:b/>
              </w:rPr>
            </w:pPr>
            <w:r w:rsidRPr="004C5667">
              <w:rPr>
                <w:b/>
              </w:rPr>
              <w:t>NPV</w:t>
            </w:r>
          </w:p>
        </w:tc>
        <w:tc>
          <w:tcPr>
            <w:tcW w:w="2500" w:type="pct"/>
          </w:tcPr>
          <w:p w14:paraId="2FED855F" w14:textId="3088FA5D" w:rsidR="00AD63EB" w:rsidRPr="004C5667" w:rsidRDefault="00AD63EB">
            <w:pPr>
              <w:spacing w:after="0"/>
            </w:pPr>
            <w:r w:rsidRPr="004C5667">
              <w:rPr>
                <w:b/>
              </w:rPr>
              <w:t>£</w:t>
            </w:r>
            <w:r w:rsidR="00057097">
              <w:rPr>
                <w:b/>
              </w:rPr>
              <w:t>33,594,300</w:t>
            </w:r>
          </w:p>
        </w:tc>
      </w:tr>
      <w:tr w:rsidR="00AD63EB" w:rsidRPr="004C5667" w14:paraId="671B076A" w14:textId="77777777" w:rsidTr="002D1BD3">
        <w:tc>
          <w:tcPr>
            <w:tcW w:w="2500" w:type="pct"/>
          </w:tcPr>
          <w:p w14:paraId="2F822947" w14:textId="77777777" w:rsidR="00AD63EB" w:rsidRPr="004C5667" w:rsidRDefault="00AD63EB" w:rsidP="002D1BD3">
            <w:pPr>
              <w:spacing w:after="0"/>
              <w:rPr>
                <w:b/>
              </w:rPr>
            </w:pPr>
            <w:r w:rsidRPr="004C5667">
              <w:rPr>
                <w:b/>
              </w:rPr>
              <w:t>BCR</w:t>
            </w:r>
          </w:p>
        </w:tc>
        <w:tc>
          <w:tcPr>
            <w:tcW w:w="2500" w:type="pct"/>
          </w:tcPr>
          <w:p w14:paraId="2F7643FD" w14:textId="0D550BC1" w:rsidR="00AD63EB" w:rsidRPr="00240011" w:rsidRDefault="001F3922" w:rsidP="00057097">
            <w:pPr>
              <w:keepNext/>
              <w:spacing w:after="0"/>
              <w:rPr>
                <w:b/>
              </w:rPr>
            </w:pPr>
            <w:r>
              <w:rPr>
                <w:b/>
              </w:rPr>
              <w:t>2.8</w:t>
            </w:r>
          </w:p>
        </w:tc>
      </w:tr>
    </w:tbl>
    <w:p w14:paraId="2AE99316" w14:textId="5A496E0E" w:rsidR="00AD63EB" w:rsidRDefault="0061240F" w:rsidP="00AD63EB">
      <w:pPr>
        <w:rPr>
          <w:sz w:val="20"/>
          <w:szCs w:val="20"/>
          <w:lang w:eastAsia="en-US"/>
        </w:rPr>
      </w:pPr>
      <w:r w:rsidRPr="0061240F">
        <w:rPr>
          <w:sz w:val="20"/>
          <w:szCs w:val="20"/>
          <w:lang w:eastAsia="en-US"/>
        </w:rPr>
        <w:t>*Decrease due to modelled exchange rate fluctuations</w:t>
      </w:r>
    </w:p>
    <w:p w14:paraId="5F07C340" w14:textId="77777777" w:rsidR="00FE4B30" w:rsidRPr="0061240F" w:rsidRDefault="00FE4B30" w:rsidP="00AD63EB">
      <w:pPr>
        <w:rPr>
          <w:sz w:val="20"/>
          <w:szCs w:val="20"/>
          <w:lang w:eastAsia="en-US"/>
        </w:rPr>
      </w:pPr>
    </w:p>
    <w:p w14:paraId="0227785B" w14:textId="23951152" w:rsidR="0061240F" w:rsidRDefault="00570E75" w:rsidP="00AD63EB">
      <w:pPr>
        <w:rPr>
          <w:i/>
          <w:color w:val="2E74B5" w:themeColor="accent1" w:themeShade="BF"/>
          <w:lang w:eastAsia="en-US"/>
        </w:rPr>
      </w:pPr>
      <w:r>
        <w:rPr>
          <w:lang w:eastAsia="en-US"/>
        </w:rPr>
        <w:t xml:space="preserve">Decreases in both BCR and NPV in this scenario are significant, reflecting the considerable levels of uncertainty attached to a number of variables. Though costs have fallen due to exchange rate and leveraging decreases, the value of carbon savings has fallen significantly – this is connected to lower carbon prices and tonnes of emissions saved. </w:t>
      </w:r>
      <w:r w:rsidR="004C6C46">
        <w:rPr>
          <w:lang w:eastAsia="en-US"/>
        </w:rPr>
        <w:t>The value of ecosystem services protected also drops, as the projected area of mangroves prote</w:t>
      </w:r>
      <w:r w:rsidR="005B7DBA">
        <w:rPr>
          <w:lang w:eastAsia="en-US"/>
        </w:rPr>
        <w:t>cted/restored decreases from 5570ha to 210</w:t>
      </w:r>
      <w:r w:rsidR="004C6C46">
        <w:rPr>
          <w:lang w:eastAsia="en-US"/>
        </w:rPr>
        <w:t xml:space="preserve">0ha. </w:t>
      </w:r>
      <w:r>
        <w:rPr>
          <w:lang w:eastAsia="en-US"/>
        </w:rPr>
        <w:t>However, the BCR remains well above one, suggested that even if the program faces significant contextual challenges, it will deliver high value for money.</w:t>
      </w:r>
    </w:p>
    <w:p w14:paraId="2199A569" w14:textId="5F85497C" w:rsidR="00AD63EB" w:rsidRPr="00F57E6C" w:rsidRDefault="00F57E6C" w:rsidP="006A3A1F">
      <w:pPr>
        <w:pStyle w:val="Heading4"/>
        <w:rPr>
          <w:lang w:eastAsia="en-US"/>
        </w:rPr>
      </w:pPr>
      <w:r>
        <w:rPr>
          <w:lang w:eastAsia="en-US"/>
        </w:rPr>
        <w:t>High</w:t>
      </w:r>
      <w:r w:rsidRPr="00AD63EB">
        <w:rPr>
          <w:lang w:eastAsia="en-US"/>
        </w:rPr>
        <w:t xml:space="preserve"> Scenario</w:t>
      </w:r>
    </w:p>
    <w:tbl>
      <w:tblPr>
        <w:tblStyle w:val="TableGrid"/>
        <w:tblW w:w="5000" w:type="pct"/>
        <w:tblLook w:val="04A0" w:firstRow="1" w:lastRow="0" w:firstColumn="1" w:lastColumn="0" w:noHBand="0" w:noVBand="1"/>
      </w:tblPr>
      <w:tblGrid>
        <w:gridCol w:w="4701"/>
        <w:gridCol w:w="4701"/>
      </w:tblGrid>
      <w:tr w:rsidR="00AD63EB" w:rsidRPr="004C5667" w14:paraId="1E0AFD26" w14:textId="77777777" w:rsidTr="002D1BD3">
        <w:tc>
          <w:tcPr>
            <w:tcW w:w="2500" w:type="pct"/>
            <w:shd w:val="clear" w:color="auto" w:fill="BDD6EE" w:themeFill="accent1" w:themeFillTint="66"/>
          </w:tcPr>
          <w:p w14:paraId="3F1F583F" w14:textId="77777777" w:rsidR="00AD63EB" w:rsidRPr="004C5667" w:rsidRDefault="00AD63EB" w:rsidP="002D1BD3">
            <w:pPr>
              <w:spacing w:after="0"/>
              <w:rPr>
                <w:b/>
              </w:rPr>
            </w:pPr>
            <w:r w:rsidRPr="004C5667">
              <w:rPr>
                <w:b/>
              </w:rPr>
              <w:t>Costs</w:t>
            </w:r>
          </w:p>
        </w:tc>
        <w:tc>
          <w:tcPr>
            <w:tcW w:w="2500" w:type="pct"/>
            <w:shd w:val="clear" w:color="auto" w:fill="BDD6EE" w:themeFill="accent1" w:themeFillTint="66"/>
          </w:tcPr>
          <w:p w14:paraId="30894AE5" w14:textId="77777777" w:rsidR="00AD63EB" w:rsidRPr="004C5667" w:rsidRDefault="00AD63EB" w:rsidP="002D1BD3">
            <w:pPr>
              <w:spacing w:after="0"/>
              <w:rPr>
                <w:b/>
              </w:rPr>
            </w:pPr>
            <w:r w:rsidRPr="004C5667">
              <w:rPr>
                <w:b/>
              </w:rPr>
              <w:t>Present Value (20 years), 2018</w:t>
            </w:r>
          </w:p>
        </w:tc>
      </w:tr>
      <w:tr w:rsidR="00AD63EB" w:rsidRPr="004C5667" w14:paraId="70F851C4" w14:textId="77777777" w:rsidTr="002D1BD3">
        <w:trPr>
          <w:trHeight w:val="312"/>
        </w:trPr>
        <w:tc>
          <w:tcPr>
            <w:tcW w:w="2500" w:type="pct"/>
          </w:tcPr>
          <w:p w14:paraId="269E58FF" w14:textId="77777777" w:rsidR="00AD63EB" w:rsidRPr="004C5667" w:rsidRDefault="00AD63EB" w:rsidP="002D1BD3">
            <w:pPr>
              <w:spacing w:after="0"/>
            </w:pPr>
            <w:r w:rsidRPr="004C5667">
              <w:t xml:space="preserve">ICF Funding </w:t>
            </w:r>
          </w:p>
        </w:tc>
        <w:tc>
          <w:tcPr>
            <w:tcW w:w="2500" w:type="pct"/>
          </w:tcPr>
          <w:p w14:paraId="23C8FF56" w14:textId="08342BD5" w:rsidR="00AD63EB" w:rsidRPr="004C5667" w:rsidRDefault="005B7DBA">
            <w:pPr>
              <w:spacing w:after="0"/>
            </w:pPr>
            <w:r>
              <w:t>£14,200,5</w:t>
            </w:r>
            <w:r w:rsidR="001B0D08">
              <w:t>00</w:t>
            </w:r>
            <w:r w:rsidR="0061240F">
              <w:t>*</w:t>
            </w:r>
          </w:p>
        </w:tc>
      </w:tr>
      <w:tr w:rsidR="0061240F" w:rsidRPr="004C5667" w14:paraId="4A1FFBE6" w14:textId="77777777" w:rsidTr="002D1BD3">
        <w:trPr>
          <w:trHeight w:val="312"/>
        </w:trPr>
        <w:tc>
          <w:tcPr>
            <w:tcW w:w="2500" w:type="pct"/>
          </w:tcPr>
          <w:p w14:paraId="496393E5" w14:textId="41931839" w:rsidR="0061240F" w:rsidRPr="004C5667" w:rsidRDefault="0061240F" w:rsidP="002D1BD3">
            <w:pPr>
              <w:spacing w:after="0"/>
            </w:pPr>
            <w:r>
              <w:t>Fund management costs</w:t>
            </w:r>
          </w:p>
        </w:tc>
        <w:tc>
          <w:tcPr>
            <w:tcW w:w="2500" w:type="pct"/>
          </w:tcPr>
          <w:p w14:paraId="0C2D8A51" w14:textId="607CC8F2" w:rsidR="0061240F" w:rsidRDefault="0061240F" w:rsidP="00FE4B30">
            <w:pPr>
              <w:spacing w:after="0"/>
            </w:pPr>
            <w:r>
              <w:t>£</w:t>
            </w:r>
            <w:r w:rsidR="00FE4B30">
              <w:t>637,500</w:t>
            </w:r>
          </w:p>
        </w:tc>
      </w:tr>
      <w:tr w:rsidR="001B0D08" w:rsidRPr="004C5667" w14:paraId="4365C034" w14:textId="77777777" w:rsidTr="002D1BD3">
        <w:trPr>
          <w:trHeight w:val="312"/>
        </w:trPr>
        <w:tc>
          <w:tcPr>
            <w:tcW w:w="2500" w:type="pct"/>
          </w:tcPr>
          <w:p w14:paraId="366B71F8" w14:textId="28F91DB5" w:rsidR="001B0D08" w:rsidRDefault="001B0D08" w:rsidP="002D1BD3">
            <w:pPr>
              <w:spacing w:after="0"/>
            </w:pPr>
            <w:r>
              <w:t>M&amp;E costs</w:t>
            </w:r>
          </w:p>
        </w:tc>
        <w:tc>
          <w:tcPr>
            <w:tcW w:w="2500" w:type="pct"/>
          </w:tcPr>
          <w:p w14:paraId="530008FD" w14:textId="77F5722E" w:rsidR="001B0D08" w:rsidRDefault="001B0D08" w:rsidP="00FE4B30">
            <w:pPr>
              <w:spacing w:after="0"/>
            </w:pPr>
            <w:r>
              <w:t>£334,100</w:t>
            </w:r>
          </w:p>
        </w:tc>
      </w:tr>
      <w:tr w:rsidR="00AD63EB" w:rsidRPr="004C5667" w14:paraId="4D798D27" w14:textId="77777777" w:rsidTr="002D1BD3">
        <w:tc>
          <w:tcPr>
            <w:tcW w:w="2500" w:type="pct"/>
          </w:tcPr>
          <w:p w14:paraId="0165D002" w14:textId="77777777" w:rsidR="00AD63EB" w:rsidRPr="004C5667" w:rsidRDefault="00AD63EB" w:rsidP="002D1BD3">
            <w:pPr>
              <w:spacing w:after="0"/>
            </w:pPr>
            <w:r w:rsidRPr="004C5667">
              <w:t xml:space="preserve">Leveraged funds </w:t>
            </w:r>
          </w:p>
        </w:tc>
        <w:tc>
          <w:tcPr>
            <w:tcW w:w="2500" w:type="pct"/>
          </w:tcPr>
          <w:p w14:paraId="39E97D52" w14:textId="292A3CC1" w:rsidR="00AD63EB" w:rsidRPr="004C5667" w:rsidRDefault="00AD63EB" w:rsidP="005B7DBA">
            <w:pPr>
              <w:spacing w:after="0"/>
            </w:pPr>
            <w:r w:rsidRPr="004C5667">
              <w:t>£</w:t>
            </w:r>
            <w:r w:rsidR="00FE4B30" w:rsidDel="001B0D08">
              <w:t>8,</w:t>
            </w:r>
            <w:r w:rsidR="005B7DBA">
              <w:t>946,300</w:t>
            </w:r>
          </w:p>
        </w:tc>
      </w:tr>
      <w:tr w:rsidR="00AD63EB" w:rsidRPr="004C5667" w14:paraId="7D48D1E2" w14:textId="77777777" w:rsidTr="002D1BD3">
        <w:trPr>
          <w:trHeight w:val="301"/>
        </w:trPr>
        <w:tc>
          <w:tcPr>
            <w:tcW w:w="2500" w:type="pct"/>
          </w:tcPr>
          <w:p w14:paraId="6BC6B7BE" w14:textId="77777777" w:rsidR="00AD63EB" w:rsidRPr="004C5667" w:rsidRDefault="00AD63EB" w:rsidP="002D1BD3">
            <w:pPr>
              <w:spacing w:after="0"/>
            </w:pPr>
            <w:r w:rsidRPr="004C5667">
              <w:t>ICF staff costs</w:t>
            </w:r>
          </w:p>
        </w:tc>
        <w:tc>
          <w:tcPr>
            <w:tcW w:w="2500" w:type="pct"/>
          </w:tcPr>
          <w:p w14:paraId="4183EDDB" w14:textId="4E13E9CA" w:rsidR="00AD63EB" w:rsidRPr="004C5667" w:rsidRDefault="00AD63EB" w:rsidP="001F0326">
            <w:pPr>
              <w:spacing w:after="0"/>
            </w:pPr>
            <w:r w:rsidRPr="004C5667">
              <w:t>£</w:t>
            </w:r>
            <w:r w:rsidR="001F0326">
              <w:t>576,200</w:t>
            </w:r>
          </w:p>
        </w:tc>
      </w:tr>
      <w:tr w:rsidR="00AD63EB" w:rsidRPr="004C5667" w14:paraId="1BC8E5E9" w14:textId="77777777" w:rsidTr="002D1BD3">
        <w:tc>
          <w:tcPr>
            <w:tcW w:w="2500" w:type="pct"/>
          </w:tcPr>
          <w:p w14:paraId="6DA8B772" w14:textId="033399E7" w:rsidR="00AD63EB" w:rsidRPr="004C5667" w:rsidRDefault="00AD63EB" w:rsidP="0061240F">
            <w:pPr>
              <w:spacing w:after="0"/>
            </w:pPr>
            <w:r w:rsidRPr="004C5667">
              <w:t xml:space="preserve">Opportunity cost of </w:t>
            </w:r>
            <w:r w:rsidR="0061240F">
              <w:t>foregone investments</w:t>
            </w:r>
          </w:p>
        </w:tc>
        <w:tc>
          <w:tcPr>
            <w:tcW w:w="2500" w:type="pct"/>
          </w:tcPr>
          <w:p w14:paraId="7C92836D" w14:textId="07070D8A" w:rsidR="00AD63EB" w:rsidRPr="004C5667" w:rsidRDefault="00AD63EB" w:rsidP="005B7DBA">
            <w:pPr>
              <w:spacing w:after="0"/>
            </w:pPr>
            <w:r w:rsidRPr="004C5667">
              <w:t>£</w:t>
            </w:r>
            <w:r w:rsidR="001B0D08">
              <w:t>1,</w:t>
            </w:r>
            <w:r w:rsidR="005B7DBA">
              <w:t>307,100</w:t>
            </w:r>
          </w:p>
        </w:tc>
      </w:tr>
      <w:tr w:rsidR="00AD63EB" w:rsidRPr="004C5667" w14:paraId="61EA9AD7" w14:textId="77777777" w:rsidTr="002D1BD3">
        <w:tc>
          <w:tcPr>
            <w:tcW w:w="2500" w:type="pct"/>
          </w:tcPr>
          <w:p w14:paraId="0528D21F" w14:textId="77777777" w:rsidR="00AD63EB" w:rsidRPr="004C5667" w:rsidRDefault="00AD63EB" w:rsidP="002D1BD3">
            <w:pPr>
              <w:spacing w:after="0"/>
              <w:rPr>
                <w:b/>
              </w:rPr>
            </w:pPr>
            <w:r w:rsidRPr="004C5667">
              <w:rPr>
                <w:b/>
              </w:rPr>
              <w:t>Present Value Total Costs</w:t>
            </w:r>
          </w:p>
        </w:tc>
        <w:tc>
          <w:tcPr>
            <w:tcW w:w="2500" w:type="pct"/>
          </w:tcPr>
          <w:p w14:paraId="0A11A4C4" w14:textId="35D2B1AC" w:rsidR="00AD63EB" w:rsidRPr="004C5667" w:rsidRDefault="00AD63EB">
            <w:pPr>
              <w:spacing w:after="0"/>
            </w:pPr>
            <w:r w:rsidRPr="004C5667">
              <w:rPr>
                <w:b/>
              </w:rPr>
              <w:t>£</w:t>
            </w:r>
            <w:r w:rsidR="001F3922">
              <w:rPr>
                <w:b/>
              </w:rPr>
              <w:t>26,011,800</w:t>
            </w:r>
          </w:p>
        </w:tc>
      </w:tr>
      <w:tr w:rsidR="00AD63EB" w:rsidRPr="004C5667" w14:paraId="124AECF7" w14:textId="77777777" w:rsidTr="002D1BD3">
        <w:tc>
          <w:tcPr>
            <w:tcW w:w="2500" w:type="pct"/>
          </w:tcPr>
          <w:p w14:paraId="00430752" w14:textId="77777777" w:rsidR="00AD63EB" w:rsidRPr="004C5667" w:rsidRDefault="00AD63EB" w:rsidP="002D1BD3">
            <w:pPr>
              <w:spacing w:after="0"/>
            </w:pPr>
          </w:p>
        </w:tc>
        <w:tc>
          <w:tcPr>
            <w:tcW w:w="2500" w:type="pct"/>
          </w:tcPr>
          <w:p w14:paraId="267C86C5" w14:textId="77777777" w:rsidR="00AD63EB" w:rsidRPr="004C5667" w:rsidRDefault="00AD63EB" w:rsidP="002D1BD3">
            <w:pPr>
              <w:spacing w:after="0"/>
            </w:pPr>
          </w:p>
        </w:tc>
      </w:tr>
      <w:tr w:rsidR="00AD63EB" w:rsidRPr="004C5667" w14:paraId="619181D7" w14:textId="77777777" w:rsidTr="002D1BD3">
        <w:tc>
          <w:tcPr>
            <w:tcW w:w="2500" w:type="pct"/>
          </w:tcPr>
          <w:p w14:paraId="5F7186D6" w14:textId="77777777" w:rsidR="00AD63EB" w:rsidRPr="004C5667" w:rsidRDefault="00AD63EB" w:rsidP="002D1BD3">
            <w:pPr>
              <w:spacing w:after="0"/>
              <w:rPr>
                <w:b/>
              </w:rPr>
            </w:pPr>
            <w:r w:rsidRPr="004C5667">
              <w:rPr>
                <w:b/>
              </w:rPr>
              <w:t>Benefits</w:t>
            </w:r>
          </w:p>
        </w:tc>
        <w:tc>
          <w:tcPr>
            <w:tcW w:w="2500" w:type="pct"/>
          </w:tcPr>
          <w:p w14:paraId="214EA80B" w14:textId="77777777" w:rsidR="00AD63EB" w:rsidRPr="004C5667" w:rsidRDefault="00AD63EB" w:rsidP="002D1BD3">
            <w:pPr>
              <w:spacing w:after="0"/>
            </w:pPr>
          </w:p>
        </w:tc>
      </w:tr>
      <w:tr w:rsidR="00AD63EB" w:rsidRPr="004C5667" w14:paraId="65AD028E" w14:textId="77777777" w:rsidTr="002D1BD3">
        <w:tc>
          <w:tcPr>
            <w:tcW w:w="2500" w:type="pct"/>
          </w:tcPr>
          <w:p w14:paraId="262EF8C3" w14:textId="77777777" w:rsidR="00AD63EB" w:rsidRPr="004C5667" w:rsidRDefault="00AD63EB" w:rsidP="002D1BD3">
            <w:pPr>
              <w:spacing w:after="0"/>
            </w:pPr>
            <w:r w:rsidRPr="004C5667">
              <w:t>Carbon savings</w:t>
            </w:r>
          </w:p>
        </w:tc>
        <w:tc>
          <w:tcPr>
            <w:tcW w:w="2500" w:type="pct"/>
          </w:tcPr>
          <w:p w14:paraId="730A1AA4" w14:textId="06E7FE4E" w:rsidR="00AD63EB" w:rsidRPr="004C5667" w:rsidRDefault="00AD63EB" w:rsidP="008D585C">
            <w:pPr>
              <w:spacing w:after="0"/>
            </w:pPr>
            <w:r>
              <w:t>£</w:t>
            </w:r>
            <w:r w:rsidR="008D585C">
              <w:t>522,118,200</w:t>
            </w:r>
          </w:p>
        </w:tc>
      </w:tr>
      <w:tr w:rsidR="00AD63EB" w:rsidRPr="004C5667" w14:paraId="62D6D235" w14:textId="77777777" w:rsidTr="002D1BD3">
        <w:tc>
          <w:tcPr>
            <w:tcW w:w="2500" w:type="pct"/>
          </w:tcPr>
          <w:p w14:paraId="7FE5521C" w14:textId="77777777" w:rsidR="00AD63EB" w:rsidRPr="004C5667" w:rsidRDefault="00AD63EB" w:rsidP="002D1BD3">
            <w:pPr>
              <w:spacing w:after="0"/>
            </w:pPr>
            <w:r w:rsidRPr="004C5667">
              <w:t>Ecosystem services</w:t>
            </w:r>
          </w:p>
        </w:tc>
        <w:tc>
          <w:tcPr>
            <w:tcW w:w="2500" w:type="pct"/>
          </w:tcPr>
          <w:p w14:paraId="1B8BF230" w14:textId="255E90D0" w:rsidR="00AD63EB" w:rsidRPr="004C5667" w:rsidRDefault="001F0326">
            <w:pPr>
              <w:spacing w:after="0"/>
            </w:pPr>
            <w:r>
              <w:t>£</w:t>
            </w:r>
            <w:r w:rsidR="008D585C">
              <w:t>185,256,700</w:t>
            </w:r>
          </w:p>
        </w:tc>
      </w:tr>
      <w:tr w:rsidR="00AD63EB" w:rsidRPr="004C5667" w14:paraId="2A01DF18" w14:textId="77777777" w:rsidTr="002D1BD3">
        <w:tc>
          <w:tcPr>
            <w:tcW w:w="2500" w:type="pct"/>
          </w:tcPr>
          <w:p w14:paraId="664B32FD" w14:textId="77777777" w:rsidR="00AD63EB" w:rsidRPr="004C5667" w:rsidRDefault="00AD63EB" w:rsidP="002D1BD3">
            <w:pPr>
              <w:spacing w:after="0"/>
              <w:rPr>
                <w:b/>
              </w:rPr>
            </w:pPr>
            <w:r w:rsidRPr="004C5667">
              <w:rPr>
                <w:b/>
              </w:rPr>
              <w:t>Present Value Total Benefits</w:t>
            </w:r>
          </w:p>
        </w:tc>
        <w:tc>
          <w:tcPr>
            <w:tcW w:w="2500" w:type="pct"/>
          </w:tcPr>
          <w:p w14:paraId="6DEFF7C9" w14:textId="6CCF4F72" w:rsidR="00AD63EB" w:rsidRPr="004C5667" w:rsidRDefault="00AD63EB" w:rsidP="008D585C">
            <w:pPr>
              <w:spacing w:after="0"/>
            </w:pPr>
            <w:r w:rsidRPr="004C5667">
              <w:rPr>
                <w:b/>
              </w:rPr>
              <w:t>£</w:t>
            </w:r>
            <w:r w:rsidR="008D585C">
              <w:rPr>
                <w:b/>
              </w:rPr>
              <w:t>707,374,900</w:t>
            </w:r>
          </w:p>
        </w:tc>
      </w:tr>
      <w:tr w:rsidR="00AD63EB" w:rsidRPr="004C5667" w14:paraId="7A0E63E4" w14:textId="77777777" w:rsidTr="002D1BD3">
        <w:tc>
          <w:tcPr>
            <w:tcW w:w="2500" w:type="pct"/>
          </w:tcPr>
          <w:p w14:paraId="24D865FA" w14:textId="77777777" w:rsidR="00AD63EB" w:rsidRPr="004C5667" w:rsidRDefault="00AD63EB" w:rsidP="002D1BD3">
            <w:pPr>
              <w:spacing w:after="0"/>
              <w:rPr>
                <w:b/>
              </w:rPr>
            </w:pPr>
            <w:r w:rsidRPr="004C5667">
              <w:rPr>
                <w:b/>
              </w:rPr>
              <w:t>NPV</w:t>
            </w:r>
          </w:p>
        </w:tc>
        <w:tc>
          <w:tcPr>
            <w:tcW w:w="2500" w:type="pct"/>
          </w:tcPr>
          <w:p w14:paraId="1CCCDB86" w14:textId="158EAC92" w:rsidR="00AD63EB" w:rsidRPr="004C5667" w:rsidRDefault="00AD63EB" w:rsidP="008D585C">
            <w:pPr>
              <w:spacing w:after="0"/>
            </w:pPr>
            <w:r w:rsidRPr="004C5667">
              <w:rPr>
                <w:b/>
              </w:rPr>
              <w:t>£</w:t>
            </w:r>
            <w:r w:rsidR="008D585C">
              <w:rPr>
                <w:b/>
              </w:rPr>
              <w:t>681,373,100</w:t>
            </w:r>
          </w:p>
        </w:tc>
      </w:tr>
      <w:tr w:rsidR="00AD63EB" w:rsidRPr="004C5667" w14:paraId="533171DA" w14:textId="77777777" w:rsidTr="002D1BD3">
        <w:tc>
          <w:tcPr>
            <w:tcW w:w="2500" w:type="pct"/>
          </w:tcPr>
          <w:p w14:paraId="151B1538" w14:textId="77777777" w:rsidR="00AD63EB" w:rsidRPr="004C5667" w:rsidRDefault="00AD63EB" w:rsidP="002D1BD3">
            <w:pPr>
              <w:spacing w:after="0"/>
              <w:rPr>
                <w:b/>
              </w:rPr>
            </w:pPr>
            <w:r w:rsidRPr="004C5667">
              <w:rPr>
                <w:b/>
              </w:rPr>
              <w:t>BCR</w:t>
            </w:r>
          </w:p>
        </w:tc>
        <w:tc>
          <w:tcPr>
            <w:tcW w:w="2500" w:type="pct"/>
          </w:tcPr>
          <w:p w14:paraId="4B09D4B1" w14:textId="7B8A2289" w:rsidR="00AD63EB" w:rsidRPr="00240011" w:rsidRDefault="008D585C" w:rsidP="002D1BD3">
            <w:pPr>
              <w:keepNext/>
              <w:spacing w:after="0"/>
              <w:rPr>
                <w:b/>
              </w:rPr>
            </w:pPr>
            <w:r>
              <w:rPr>
                <w:b/>
              </w:rPr>
              <w:t>27.2</w:t>
            </w:r>
          </w:p>
        </w:tc>
      </w:tr>
    </w:tbl>
    <w:p w14:paraId="147D45B3" w14:textId="0ACA73E3" w:rsidR="0061240F" w:rsidRPr="0061240F" w:rsidRDefault="0061240F" w:rsidP="0061240F">
      <w:pPr>
        <w:rPr>
          <w:sz w:val="20"/>
          <w:szCs w:val="20"/>
          <w:lang w:eastAsia="en-US"/>
        </w:rPr>
      </w:pPr>
      <w:r w:rsidRPr="0061240F">
        <w:rPr>
          <w:sz w:val="20"/>
          <w:szCs w:val="20"/>
          <w:lang w:eastAsia="en-US"/>
        </w:rPr>
        <w:t>*</w:t>
      </w:r>
      <w:r>
        <w:rPr>
          <w:sz w:val="20"/>
          <w:szCs w:val="20"/>
          <w:lang w:eastAsia="en-US"/>
        </w:rPr>
        <w:t>In</w:t>
      </w:r>
      <w:r w:rsidRPr="0061240F">
        <w:rPr>
          <w:sz w:val="20"/>
          <w:szCs w:val="20"/>
          <w:lang w:eastAsia="en-US"/>
        </w:rPr>
        <w:t>crease due to modelled exchange rate fluctuations</w:t>
      </w:r>
    </w:p>
    <w:p w14:paraId="12F86ACA" w14:textId="1CA11B01" w:rsidR="00AD63EB" w:rsidRDefault="00570E75" w:rsidP="00AD63EB">
      <w:pPr>
        <w:rPr>
          <w:lang w:eastAsia="en-US"/>
        </w:rPr>
      </w:pPr>
      <w:r>
        <w:rPr>
          <w:lang w:eastAsia="en-US"/>
        </w:rPr>
        <w:t>The significant increases in both BCR and NPV are drawn from the rise in the value of carbon savings</w:t>
      </w:r>
      <w:r w:rsidR="004C6C46">
        <w:rPr>
          <w:lang w:eastAsia="en-US"/>
        </w:rPr>
        <w:t xml:space="preserve"> and ecosystem services – as additionality assumptions rise, the area of mangroves protected/restored increases, increasing the value of benefits associated with the program</w:t>
      </w:r>
      <w:r>
        <w:rPr>
          <w:lang w:eastAsia="en-US"/>
        </w:rPr>
        <w:t>. Costs do not rise considerably, as the level of funding leveraged remains fairly low.</w:t>
      </w:r>
    </w:p>
    <w:p w14:paraId="3578FD9D" w14:textId="77777777" w:rsidR="00F57E6C" w:rsidRDefault="00F57E6C" w:rsidP="006A3A1F">
      <w:pPr>
        <w:pStyle w:val="Heading4"/>
        <w:rPr>
          <w:lang w:eastAsia="en-US"/>
        </w:rPr>
      </w:pPr>
      <w:r w:rsidRPr="00F57E6C">
        <w:rPr>
          <w:lang w:eastAsia="en-US"/>
        </w:rPr>
        <w:t xml:space="preserve">Option 1.2: </w:t>
      </w:r>
      <w:proofErr w:type="spellStart"/>
      <w:r w:rsidRPr="00F57E6C">
        <w:rPr>
          <w:lang w:eastAsia="en-US"/>
        </w:rPr>
        <w:t>Althelia</w:t>
      </w:r>
      <w:proofErr w:type="spellEnd"/>
      <w:r w:rsidRPr="00F57E6C">
        <w:rPr>
          <w:lang w:eastAsia="en-US"/>
        </w:rPr>
        <w:t xml:space="preserve"> Sustainable Mangroves Facility</w:t>
      </w:r>
    </w:p>
    <w:p w14:paraId="5168B2CC" w14:textId="1AC0D83C" w:rsidR="002D1BD3" w:rsidRPr="002D1BD3" w:rsidRDefault="002D1BD3" w:rsidP="00F57E6C">
      <w:pPr>
        <w:rPr>
          <w:lang w:eastAsia="en-US"/>
        </w:rPr>
      </w:pPr>
      <w:r>
        <w:rPr>
          <w:lang w:eastAsia="en-US"/>
        </w:rPr>
        <w:t xml:space="preserve">Seven input variables were varied to reach low and high scenarios for each option. Each variable has been amended based on existing evidence, and the level of uncertainty </w:t>
      </w:r>
      <w:r w:rsidR="00B469C8">
        <w:rPr>
          <w:lang w:eastAsia="en-US"/>
        </w:rPr>
        <w:t>attached to the central figure.</w:t>
      </w:r>
    </w:p>
    <w:tbl>
      <w:tblPr>
        <w:tblStyle w:val="TableGrid"/>
        <w:tblW w:w="0" w:type="auto"/>
        <w:tblLook w:val="04A0" w:firstRow="1" w:lastRow="0" w:firstColumn="1" w:lastColumn="0" w:noHBand="0" w:noVBand="1"/>
      </w:tblPr>
      <w:tblGrid>
        <w:gridCol w:w="1988"/>
        <w:gridCol w:w="1523"/>
        <w:gridCol w:w="1651"/>
        <w:gridCol w:w="1524"/>
        <w:gridCol w:w="2716"/>
      </w:tblGrid>
      <w:tr w:rsidR="002D1BD3" w14:paraId="04777CFB" w14:textId="77777777" w:rsidTr="00240011">
        <w:tc>
          <w:tcPr>
            <w:tcW w:w="1988" w:type="dxa"/>
            <w:shd w:val="clear" w:color="auto" w:fill="DEEAF6" w:themeFill="accent1" w:themeFillTint="33"/>
          </w:tcPr>
          <w:p w14:paraId="780ABDAA" w14:textId="77777777" w:rsidR="002D1BD3" w:rsidRPr="00F57E6C" w:rsidRDefault="002D1BD3" w:rsidP="002D1BD3">
            <w:pPr>
              <w:jc w:val="center"/>
              <w:rPr>
                <w:b/>
                <w:lang w:eastAsia="en-US"/>
              </w:rPr>
            </w:pPr>
            <w:r w:rsidRPr="00F57E6C">
              <w:rPr>
                <w:b/>
                <w:lang w:eastAsia="en-US"/>
              </w:rPr>
              <w:t>Input Variable</w:t>
            </w:r>
          </w:p>
        </w:tc>
        <w:tc>
          <w:tcPr>
            <w:tcW w:w="1523" w:type="dxa"/>
            <w:shd w:val="clear" w:color="auto" w:fill="DEEAF6" w:themeFill="accent1" w:themeFillTint="33"/>
          </w:tcPr>
          <w:p w14:paraId="4F1B1FF6" w14:textId="77777777" w:rsidR="002D1BD3" w:rsidRPr="00F57E6C" w:rsidRDefault="002D1BD3" w:rsidP="002D1BD3">
            <w:pPr>
              <w:jc w:val="center"/>
              <w:rPr>
                <w:b/>
                <w:lang w:eastAsia="en-US"/>
              </w:rPr>
            </w:pPr>
            <w:r w:rsidRPr="00F57E6C">
              <w:rPr>
                <w:b/>
                <w:lang w:eastAsia="en-US"/>
              </w:rPr>
              <w:t>Low Scenario</w:t>
            </w:r>
          </w:p>
        </w:tc>
        <w:tc>
          <w:tcPr>
            <w:tcW w:w="1651" w:type="dxa"/>
            <w:shd w:val="clear" w:color="auto" w:fill="DEEAF6" w:themeFill="accent1" w:themeFillTint="33"/>
          </w:tcPr>
          <w:p w14:paraId="5EA60E49" w14:textId="77777777" w:rsidR="002D1BD3" w:rsidRPr="00F57E6C" w:rsidRDefault="002D1BD3" w:rsidP="002D1BD3">
            <w:pPr>
              <w:jc w:val="center"/>
              <w:rPr>
                <w:b/>
                <w:sz w:val="21"/>
                <w:szCs w:val="21"/>
                <w:lang w:eastAsia="en-US"/>
              </w:rPr>
            </w:pPr>
            <w:r w:rsidRPr="00F57E6C">
              <w:rPr>
                <w:b/>
                <w:sz w:val="21"/>
                <w:szCs w:val="21"/>
                <w:lang w:eastAsia="en-US"/>
              </w:rPr>
              <w:t>Central Scenario</w:t>
            </w:r>
          </w:p>
        </w:tc>
        <w:tc>
          <w:tcPr>
            <w:tcW w:w="1524" w:type="dxa"/>
            <w:shd w:val="clear" w:color="auto" w:fill="DEEAF6" w:themeFill="accent1" w:themeFillTint="33"/>
          </w:tcPr>
          <w:p w14:paraId="237EF245" w14:textId="77777777" w:rsidR="002D1BD3" w:rsidRPr="00F57E6C" w:rsidRDefault="002D1BD3" w:rsidP="002D1BD3">
            <w:pPr>
              <w:jc w:val="center"/>
              <w:rPr>
                <w:b/>
                <w:lang w:eastAsia="en-US"/>
              </w:rPr>
            </w:pPr>
            <w:r w:rsidRPr="00F57E6C">
              <w:rPr>
                <w:b/>
                <w:lang w:eastAsia="en-US"/>
              </w:rPr>
              <w:t>High Scenario</w:t>
            </w:r>
          </w:p>
        </w:tc>
        <w:tc>
          <w:tcPr>
            <w:tcW w:w="2716" w:type="dxa"/>
            <w:shd w:val="clear" w:color="auto" w:fill="DEEAF6" w:themeFill="accent1" w:themeFillTint="33"/>
          </w:tcPr>
          <w:p w14:paraId="5820FC2F" w14:textId="77777777" w:rsidR="002D1BD3" w:rsidRPr="00F57E6C" w:rsidRDefault="002D1BD3" w:rsidP="002D1BD3">
            <w:pPr>
              <w:jc w:val="center"/>
              <w:rPr>
                <w:b/>
                <w:lang w:eastAsia="en-US"/>
              </w:rPr>
            </w:pPr>
            <w:r>
              <w:rPr>
                <w:b/>
                <w:lang w:eastAsia="en-US"/>
              </w:rPr>
              <w:t>Source of Range</w:t>
            </w:r>
          </w:p>
        </w:tc>
      </w:tr>
      <w:tr w:rsidR="002D1BD3" w14:paraId="3772A860" w14:textId="77777777" w:rsidTr="00240011">
        <w:tc>
          <w:tcPr>
            <w:tcW w:w="1988" w:type="dxa"/>
          </w:tcPr>
          <w:p w14:paraId="77025DDB" w14:textId="77777777" w:rsidR="002D1BD3" w:rsidRPr="007F4120" w:rsidRDefault="002D1BD3" w:rsidP="002D1BD3">
            <w:pPr>
              <w:spacing w:after="40"/>
              <w:jc w:val="left"/>
              <w:rPr>
                <w:b/>
                <w:lang w:eastAsia="en-US"/>
              </w:rPr>
            </w:pPr>
            <w:r w:rsidRPr="007F4120">
              <w:rPr>
                <w:b/>
                <w:lang w:eastAsia="en-US"/>
              </w:rPr>
              <w:t>Exchange Rate</w:t>
            </w:r>
          </w:p>
        </w:tc>
        <w:tc>
          <w:tcPr>
            <w:tcW w:w="1523" w:type="dxa"/>
          </w:tcPr>
          <w:p w14:paraId="30D78F00" w14:textId="77777777" w:rsidR="002D1BD3" w:rsidRPr="00F57E6C" w:rsidRDefault="002D1BD3" w:rsidP="002D1BD3">
            <w:pPr>
              <w:jc w:val="center"/>
              <w:rPr>
                <w:lang w:eastAsia="en-US"/>
              </w:rPr>
            </w:pPr>
            <w:r>
              <w:rPr>
                <w:lang w:eastAsia="en-US"/>
              </w:rPr>
              <w:t>1.2065</w:t>
            </w:r>
          </w:p>
        </w:tc>
        <w:tc>
          <w:tcPr>
            <w:tcW w:w="1651" w:type="dxa"/>
          </w:tcPr>
          <w:p w14:paraId="5895B0F7" w14:textId="71043DF1" w:rsidR="002D1BD3" w:rsidRPr="00F57E6C" w:rsidRDefault="00057097" w:rsidP="002D1BD3">
            <w:pPr>
              <w:jc w:val="center"/>
              <w:rPr>
                <w:lang w:eastAsia="en-US"/>
              </w:rPr>
            </w:pPr>
            <w:r>
              <w:rPr>
                <w:lang w:eastAsia="en-US"/>
              </w:rPr>
              <w:t>1.3</w:t>
            </w:r>
          </w:p>
        </w:tc>
        <w:tc>
          <w:tcPr>
            <w:tcW w:w="1524" w:type="dxa"/>
          </w:tcPr>
          <w:p w14:paraId="01B2D5E4" w14:textId="77777777" w:rsidR="002D1BD3" w:rsidRPr="00F57E6C" w:rsidRDefault="002D1BD3" w:rsidP="002D1BD3">
            <w:pPr>
              <w:jc w:val="center"/>
              <w:rPr>
                <w:lang w:eastAsia="en-US"/>
              </w:rPr>
            </w:pPr>
            <w:r>
              <w:rPr>
                <w:lang w:eastAsia="en-US"/>
              </w:rPr>
              <w:t>1.5738</w:t>
            </w:r>
          </w:p>
        </w:tc>
        <w:tc>
          <w:tcPr>
            <w:tcW w:w="2716" w:type="dxa"/>
            <w:shd w:val="clear" w:color="auto" w:fill="E2EFD9" w:themeFill="accent6" w:themeFillTint="33"/>
          </w:tcPr>
          <w:p w14:paraId="44C43D5B" w14:textId="77777777" w:rsidR="002D1BD3" w:rsidRPr="007F4120" w:rsidRDefault="002D1BD3" w:rsidP="002D1BD3">
            <w:pPr>
              <w:spacing w:after="40"/>
              <w:jc w:val="center"/>
              <w:rPr>
                <w:sz w:val="20"/>
                <w:szCs w:val="20"/>
                <w:lang w:eastAsia="en-US"/>
              </w:rPr>
            </w:pPr>
            <w:r w:rsidRPr="007F4120">
              <w:rPr>
                <w:sz w:val="20"/>
                <w:szCs w:val="20"/>
                <w:lang w:eastAsia="en-US"/>
              </w:rPr>
              <w:t>Bank of England spot £/$ rate, range in past 3 years</w:t>
            </w:r>
          </w:p>
        </w:tc>
      </w:tr>
      <w:tr w:rsidR="002D1BD3" w14:paraId="690F9560" w14:textId="77777777" w:rsidTr="00240011">
        <w:tc>
          <w:tcPr>
            <w:tcW w:w="1988" w:type="dxa"/>
          </w:tcPr>
          <w:p w14:paraId="44B22CF6" w14:textId="77777777" w:rsidR="002D1BD3" w:rsidRPr="007F4120" w:rsidRDefault="002D1BD3" w:rsidP="002D1BD3">
            <w:pPr>
              <w:spacing w:after="40"/>
              <w:jc w:val="left"/>
              <w:rPr>
                <w:b/>
                <w:lang w:eastAsia="en-US"/>
              </w:rPr>
            </w:pPr>
            <w:r w:rsidRPr="007F4120">
              <w:rPr>
                <w:b/>
                <w:lang w:eastAsia="en-US"/>
              </w:rPr>
              <w:t>Leverage Ratio</w:t>
            </w:r>
          </w:p>
        </w:tc>
        <w:tc>
          <w:tcPr>
            <w:tcW w:w="1523" w:type="dxa"/>
          </w:tcPr>
          <w:p w14:paraId="0273BB27" w14:textId="6B95C54F" w:rsidR="002D1BD3" w:rsidRPr="00F57E6C" w:rsidRDefault="00C253E0" w:rsidP="002D1BD3">
            <w:pPr>
              <w:jc w:val="center"/>
              <w:rPr>
                <w:lang w:eastAsia="en-US"/>
              </w:rPr>
            </w:pPr>
            <w:r>
              <w:rPr>
                <w:lang w:eastAsia="en-US"/>
              </w:rPr>
              <w:t>0.5</w:t>
            </w:r>
          </w:p>
        </w:tc>
        <w:tc>
          <w:tcPr>
            <w:tcW w:w="1651" w:type="dxa"/>
          </w:tcPr>
          <w:p w14:paraId="2CDF7C38" w14:textId="6BBF60A2" w:rsidR="002D1BD3" w:rsidRPr="00F57E6C" w:rsidRDefault="00456067" w:rsidP="002D1BD3">
            <w:pPr>
              <w:jc w:val="center"/>
              <w:rPr>
                <w:lang w:eastAsia="en-US"/>
              </w:rPr>
            </w:pPr>
            <w:r>
              <w:rPr>
                <w:lang w:eastAsia="en-US"/>
              </w:rPr>
              <w:t>1.25</w:t>
            </w:r>
          </w:p>
        </w:tc>
        <w:tc>
          <w:tcPr>
            <w:tcW w:w="1524" w:type="dxa"/>
          </w:tcPr>
          <w:p w14:paraId="14AD3AE7" w14:textId="27EB0749" w:rsidR="002D1BD3" w:rsidRPr="00F57E6C" w:rsidRDefault="00456067" w:rsidP="002D1BD3">
            <w:pPr>
              <w:jc w:val="center"/>
              <w:rPr>
                <w:lang w:eastAsia="en-US"/>
              </w:rPr>
            </w:pPr>
            <w:r>
              <w:rPr>
                <w:lang w:eastAsia="en-US"/>
              </w:rPr>
              <w:t>3</w:t>
            </w:r>
          </w:p>
        </w:tc>
        <w:tc>
          <w:tcPr>
            <w:tcW w:w="2716" w:type="dxa"/>
            <w:shd w:val="clear" w:color="auto" w:fill="E2EFD9" w:themeFill="accent6" w:themeFillTint="33"/>
          </w:tcPr>
          <w:p w14:paraId="54B97021" w14:textId="7E834CAA" w:rsidR="002D1BD3" w:rsidRPr="007F4120" w:rsidRDefault="003D218A">
            <w:pPr>
              <w:spacing w:after="40"/>
              <w:jc w:val="center"/>
              <w:rPr>
                <w:sz w:val="20"/>
                <w:szCs w:val="20"/>
                <w:lang w:eastAsia="en-US"/>
              </w:rPr>
            </w:pPr>
            <w:r>
              <w:rPr>
                <w:sz w:val="20"/>
                <w:szCs w:val="20"/>
                <w:lang w:eastAsia="en-US"/>
              </w:rPr>
              <w:t>Low scenario uses conservative assumption of 1:</w:t>
            </w:r>
            <w:r w:rsidR="00C253E0">
              <w:rPr>
                <w:sz w:val="20"/>
                <w:szCs w:val="20"/>
                <w:lang w:eastAsia="en-US"/>
              </w:rPr>
              <w:t>0.5</w:t>
            </w:r>
            <w:r>
              <w:rPr>
                <w:sz w:val="20"/>
                <w:szCs w:val="20"/>
                <w:lang w:eastAsia="en-US"/>
              </w:rPr>
              <w:t xml:space="preserve"> leverage; high scenario assumes successful high value leveraging of funds.</w:t>
            </w:r>
          </w:p>
        </w:tc>
      </w:tr>
      <w:tr w:rsidR="00C253E0" w14:paraId="3A01271E" w14:textId="77777777" w:rsidTr="00240011">
        <w:tc>
          <w:tcPr>
            <w:tcW w:w="1988" w:type="dxa"/>
          </w:tcPr>
          <w:p w14:paraId="7119D941" w14:textId="6D796349" w:rsidR="00C253E0" w:rsidRPr="007F4120" w:rsidRDefault="00C253E0" w:rsidP="002D1BD3">
            <w:pPr>
              <w:spacing w:after="40"/>
              <w:jc w:val="left"/>
              <w:rPr>
                <w:b/>
                <w:lang w:eastAsia="en-US"/>
              </w:rPr>
            </w:pPr>
            <w:r>
              <w:rPr>
                <w:b/>
                <w:lang w:eastAsia="en-US"/>
              </w:rPr>
              <w:lastRenderedPageBreak/>
              <w:t>Mangroves protected/restored</w:t>
            </w:r>
          </w:p>
        </w:tc>
        <w:tc>
          <w:tcPr>
            <w:tcW w:w="1523" w:type="dxa"/>
          </w:tcPr>
          <w:p w14:paraId="07B0840F" w14:textId="34848DAC" w:rsidR="00C253E0" w:rsidRDefault="008D585C" w:rsidP="002D1BD3">
            <w:pPr>
              <w:jc w:val="center"/>
              <w:rPr>
                <w:lang w:eastAsia="en-US"/>
              </w:rPr>
            </w:pPr>
            <w:r>
              <w:rPr>
                <w:lang w:eastAsia="en-US"/>
              </w:rPr>
              <w:t>930</w:t>
            </w:r>
            <w:r w:rsidR="00C253E0">
              <w:rPr>
                <w:lang w:eastAsia="en-US"/>
              </w:rPr>
              <w:t>ha</w:t>
            </w:r>
          </w:p>
        </w:tc>
        <w:tc>
          <w:tcPr>
            <w:tcW w:w="1651" w:type="dxa"/>
          </w:tcPr>
          <w:p w14:paraId="19C6E73A" w14:textId="6587B5EB" w:rsidR="00C253E0" w:rsidRDefault="008D585C" w:rsidP="002D1BD3">
            <w:pPr>
              <w:jc w:val="center"/>
              <w:rPr>
                <w:lang w:eastAsia="en-US"/>
              </w:rPr>
            </w:pPr>
            <w:r>
              <w:rPr>
                <w:lang w:eastAsia="en-US"/>
              </w:rPr>
              <w:t>300</w:t>
            </w:r>
            <w:r w:rsidR="00C253E0">
              <w:rPr>
                <w:lang w:eastAsia="en-US"/>
              </w:rPr>
              <w:t>0ha</w:t>
            </w:r>
          </w:p>
        </w:tc>
        <w:tc>
          <w:tcPr>
            <w:tcW w:w="1524" w:type="dxa"/>
          </w:tcPr>
          <w:p w14:paraId="7EA16340" w14:textId="517AC438" w:rsidR="00C253E0" w:rsidRDefault="008D585C" w:rsidP="002D1BD3">
            <w:pPr>
              <w:jc w:val="center"/>
              <w:rPr>
                <w:lang w:eastAsia="en-US"/>
              </w:rPr>
            </w:pPr>
            <w:r>
              <w:rPr>
                <w:lang w:eastAsia="en-US"/>
              </w:rPr>
              <w:t>967</w:t>
            </w:r>
            <w:r w:rsidR="00C253E0">
              <w:rPr>
                <w:lang w:eastAsia="en-US"/>
              </w:rPr>
              <w:t>0ha</w:t>
            </w:r>
          </w:p>
        </w:tc>
        <w:tc>
          <w:tcPr>
            <w:tcW w:w="2716" w:type="dxa"/>
            <w:shd w:val="clear" w:color="auto" w:fill="E2EFD9" w:themeFill="accent6" w:themeFillTint="33"/>
          </w:tcPr>
          <w:p w14:paraId="10697D86" w14:textId="4CFAE5B5" w:rsidR="00C253E0" w:rsidRDefault="00C253E0" w:rsidP="00C253E0">
            <w:pPr>
              <w:spacing w:after="40"/>
              <w:jc w:val="center"/>
              <w:rPr>
                <w:sz w:val="20"/>
                <w:szCs w:val="20"/>
                <w:lang w:eastAsia="en-US"/>
              </w:rPr>
            </w:pPr>
            <w:r>
              <w:rPr>
                <w:sz w:val="20"/>
                <w:szCs w:val="20"/>
                <w:lang w:eastAsia="en-US"/>
              </w:rPr>
              <w:t>Reflects variability in program funding levels</w:t>
            </w:r>
            <w:r w:rsidR="008D585C">
              <w:rPr>
                <w:sz w:val="20"/>
                <w:szCs w:val="20"/>
                <w:lang w:eastAsia="en-US"/>
              </w:rPr>
              <w:t xml:space="preserve"> and exchange rates</w:t>
            </w:r>
          </w:p>
        </w:tc>
      </w:tr>
      <w:tr w:rsidR="002D1BD3" w14:paraId="3ABA549F" w14:textId="77777777" w:rsidTr="00240011">
        <w:tc>
          <w:tcPr>
            <w:tcW w:w="1988" w:type="dxa"/>
          </w:tcPr>
          <w:p w14:paraId="15E27997" w14:textId="5502E2EB" w:rsidR="002D1BD3" w:rsidRPr="007F4120" w:rsidRDefault="00455517" w:rsidP="002D1BD3">
            <w:pPr>
              <w:spacing w:after="40"/>
              <w:jc w:val="left"/>
              <w:rPr>
                <w:b/>
                <w:lang w:eastAsia="en-US"/>
              </w:rPr>
            </w:pPr>
            <w:r>
              <w:rPr>
                <w:b/>
                <w:lang w:eastAsia="en-US"/>
              </w:rPr>
              <w:t>tCO</w:t>
            </w:r>
            <w:r w:rsidRPr="00455517">
              <w:rPr>
                <w:b/>
                <w:vertAlign w:val="subscript"/>
                <w:lang w:eastAsia="en-US"/>
              </w:rPr>
              <w:t>2</w:t>
            </w:r>
            <w:r w:rsidR="002D1BD3" w:rsidRPr="007F4120">
              <w:rPr>
                <w:b/>
                <w:lang w:eastAsia="en-US"/>
              </w:rPr>
              <w:t>e avoided</w:t>
            </w:r>
          </w:p>
        </w:tc>
        <w:tc>
          <w:tcPr>
            <w:tcW w:w="1523" w:type="dxa"/>
          </w:tcPr>
          <w:p w14:paraId="2C5F570B" w14:textId="24B382F1" w:rsidR="002D1BD3" w:rsidRPr="00F57E6C" w:rsidRDefault="00C253E0" w:rsidP="002D1BD3">
            <w:pPr>
              <w:jc w:val="center"/>
              <w:rPr>
                <w:lang w:eastAsia="en-US"/>
              </w:rPr>
            </w:pPr>
            <w:r>
              <w:rPr>
                <w:lang w:eastAsia="en-US"/>
              </w:rPr>
              <w:t>1.3m</w:t>
            </w:r>
          </w:p>
        </w:tc>
        <w:tc>
          <w:tcPr>
            <w:tcW w:w="1651" w:type="dxa"/>
          </w:tcPr>
          <w:p w14:paraId="609B1BE2" w14:textId="16103FCA" w:rsidR="002D1BD3" w:rsidRPr="00F57E6C" w:rsidRDefault="00C253E0" w:rsidP="001F0326">
            <w:pPr>
              <w:jc w:val="center"/>
              <w:rPr>
                <w:lang w:eastAsia="en-US"/>
              </w:rPr>
            </w:pPr>
            <w:r>
              <w:rPr>
                <w:lang w:eastAsia="en-US"/>
              </w:rPr>
              <w:t>2.1m</w:t>
            </w:r>
          </w:p>
        </w:tc>
        <w:tc>
          <w:tcPr>
            <w:tcW w:w="1524" w:type="dxa"/>
          </w:tcPr>
          <w:p w14:paraId="3989939B" w14:textId="2CA7BB0D" w:rsidR="002D1BD3" w:rsidRPr="00F57E6C" w:rsidRDefault="00C253E0" w:rsidP="002D1BD3">
            <w:pPr>
              <w:jc w:val="center"/>
              <w:rPr>
                <w:lang w:eastAsia="en-US"/>
              </w:rPr>
            </w:pPr>
            <w:r>
              <w:rPr>
                <w:lang w:eastAsia="en-US"/>
              </w:rPr>
              <w:t>4.4m</w:t>
            </w:r>
          </w:p>
        </w:tc>
        <w:tc>
          <w:tcPr>
            <w:tcW w:w="2716" w:type="dxa"/>
            <w:shd w:val="clear" w:color="auto" w:fill="E2EFD9" w:themeFill="accent6" w:themeFillTint="33"/>
          </w:tcPr>
          <w:p w14:paraId="6DF0675D" w14:textId="0BB6730C" w:rsidR="002D1BD3" w:rsidRPr="007F4120" w:rsidRDefault="00C253E0">
            <w:pPr>
              <w:spacing w:after="40"/>
              <w:jc w:val="center"/>
              <w:rPr>
                <w:sz w:val="20"/>
                <w:szCs w:val="20"/>
                <w:lang w:eastAsia="en-US"/>
              </w:rPr>
            </w:pPr>
            <w:r>
              <w:rPr>
                <w:sz w:val="20"/>
                <w:szCs w:val="20"/>
                <w:lang w:eastAsia="en-US"/>
              </w:rPr>
              <w:t>Reflects variability of overall funding</w:t>
            </w:r>
          </w:p>
        </w:tc>
      </w:tr>
      <w:tr w:rsidR="00D44998" w14:paraId="1608D111" w14:textId="77777777" w:rsidTr="00C253E0">
        <w:tc>
          <w:tcPr>
            <w:tcW w:w="1988" w:type="dxa"/>
          </w:tcPr>
          <w:p w14:paraId="28B8F514" w14:textId="5CBB6CD7" w:rsidR="00D44998" w:rsidRDefault="00D44998" w:rsidP="002D1BD3">
            <w:pPr>
              <w:spacing w:after="40"/>
              <w:jc w:val="left"/>
              <w:rPr>
                <w:b/>
                <w:lang w:eastAsia="en-US"/>
              </w:rPr>
            </w:pPr>
            <w:r>
              <w:rPr>
                <w:b/>
                <w:lang w:eastAsia="en-US"/>
              </w:rPr>
              <w:t xml:space="preserve">Additionality of </w:t>
            </w:r>
            <w:proofErr w:type="spellStart"/>
            <w:r>
              <w:rPr>
                <w:b/>
                <w:lang w:eastAsia="en-US"/>
              </w:rPr>
              <w:t>imapcts</w:t>
            </w:r>
            <w:proofErr w:type="spellEnd"/>
          </w:p>
        </w:tc>
        <w:tc>
          <w:tcPr>
            <w:tcW w:w="1523" w:type="dxa"/>
          </w:tcPr>
          <w:p w14:paraId="5A9EC679" w14:textId="1D4B6852" w:rsidR="00D44998" w:rsidRDefault="00D44998" w:rsidP="003D218A">
            <w:pPr>
              <w:jc w:val="center"/>
              <w:rPr>
                <w:lang w:eastAsia="en-US"/>
              </w:rPr>
            </w:pPr>
            <w:r>
              <w:rPr>
                <w:lang w:eastAsia="en-US"/>
              </w:rPr>
              <w:t>25%</w:t>
            </w:r>
          </w:p>
        </w:tc>
        <w:tc>
          <w:tcPr>
            <w:tcW w:w="1651" w:type="dxa"/>
          </w:tcPr>
          <w:p w14:paraId="1830F15E" w14:textId="70EDE10F" w:rsidR="00D44998" w:rsidRDefault="00D44998" w:rsidP="002D1BD3">
            <w:pPr>
              <w:jc w:val="center"/>
              <w:rPr>
                <w:lang w:eastAsia="en-US"/>
              </w:rPr>
            </w:pPr>
            <w:r>
              <w:rPr>
                <w:lang w:eastAsia="en-US"/>
              </w:rPr>
              <w:t>50%</w:t>
            </w:r>
          </w:p>
        </w:tc>
        <w:tc>
          <w:tcPr>
            <w:tcW w:w="1524" w:type="dxa"/>
          </w:tcPr>
          <w:p w14:paraId="28A85BB9" w14:textId="70E00364" w:rsidR="00D44998" w:rsidRDefault="00D44998" w:rsidP="002D1BD3">
            <w:pPr>
              <w:jc w:val="center"/>
              <w:rPr>
                <w:lang w:eastAsia="en-US"/>
              </w:rPr>
            </w:pPr>
            <w:r>
              <w:rPr>
                <w:lang w:eastAsia="en-US"/>
              </w:rPr>
              <w:t>75%</w:t>
            </w:r>
          </w:p>
        </w:tc>
        <w:tc>
          <w:tcPr>
            <w:tcW w:w="2716" w:type="dxa"/>
            <w:shd w:val="clear" w:color="auto" w:fill="E2EFD9" w:themeFill="accent6" w:themeFillTint="33"/>
          </w:tcPr>
          <w:p w14:paraId="5DD38100" w14:textId="5B965119" w:rsidR="00D44998" w:rsidRDefault="00D44998" w:rsidP="00C253E0">
            <w:pPr>
              <w:spacing w:after="40"/>
              <w:jc w:val="center"/>
              <w:rPr>
                <w:sz w:val="20"/>
                <w:szCs w:val="20"/>
                <w:lang w:eastAsia="en-US"/>
              </w:rPr>
            </w:pPr>
            <w:r>
              <w:rPr>
                <w:sz w:val="20"/>
                <w:szCs w:val="20"/>
                <w:lang w:eastAsia="en-US"/>
              </w:rPr>
              <w:t>Reflects ICF appraisal guidance for sensitivity analysis</w:t>
            </w:r>
          </w:p>
        </w:tc>
      </w:tr>
      <w:tr w:rsidR="00456067" w14:paraId="379B6E5B" w14:textId="77777777" w:rsidTr="00240011">
        <w:tc>
          <w:tcPr>
            <w:tcW w:w="1988" w:type="dxa"/>
          </w:tcPr>
          <w:p w14:paraId="2CDB4349" w14:textId="1CD52B35" w:rsidR="00456067" w:rsidRPr="007F4120" w:rsidRDefault="00456067" w:rsidP="002D1BD3">
            <w:pPr>
              <w:spacing w:after="40"/>
              <w:jc w:val="left"/>
              <w:rPr>
                <w:b/>
                <w:lang w:eastAsia="en-US"/>
              </w:rPr>
            </w:pPr>
            <w:r>
              <w:rPr>
                <w:b/>
                <w:lang w:eastAsia="en-US"/>
              </w:rPr>
              <w:t>Delivery risks</w:t>
            </w:r>
            <w:r w:rsidR="00C253E0">
              <w:rPr>
                <w:b/>
                <w:lang w:eastAsia="en-US"/>
              </w:rPr>
              <w:t xml:space="preserve"> rating</w:t>
            </w:r>
          </w:p>
        </w:tc>
        <w:tc>
          <w:tcPr>
            <w:tcW w:w="1523" w:type="dxa"/>
          </w:tcPr>
          <w:p w14:paraId="72B11DD6" w14:textId="65524EAF" w:rsidR="00456067" w:rsidRDefault="00C253E0" w:rsidP="003D218A">
            <w:pPr>
              <w:jc w:val="center"/>
              <w:rPr>
                <w:lang w:eastAsia="en-US"/>
              </w:rPr>
            </w:pPr>
            <w:r>
              <w:rPr>
                <w:lang w:eastAsia="en-US"/>
              </w:rPr>
              <w:t>80%</w:t>
            </w:r>
          </w:p>
        </w:tc>
        <w:tc>
          <w:tcPr>
            <w:tcW w:w="1651" w:type="dxa"/>
          </w:tcPr>
          <w:p w14:paraId="0FD27E2D" w14:textId="2926ACEB" w:rsidR="00456067" w:rsidRDefault="00456067" w:rsidP="002D1BD3">
            <w:pPr>
              <w:jc w:val="center"/>
              <w:rPr>
                <w:lang w:eastAsia="en-US"/>
              </w:rPr>
            </w:pPr>
            <w:r>
              <w:rPr>
                <w:lang w:eastAsia="en-US"/>
              </w:rPr>
              <w:t>80%</w:t>
            </w:r>
          </w:p>
        </w:tc>
        <w:tc>
          <w:tcPr>
            <w:tcW w:w="1524" w:type="dxa"/>
          </w:tcPr>
          <w:p w14:paraId="193F3953" w14:textId="54768312" w:rsidR="00456067" w:rsidRDefault="00C253E0" w:rsidP="002D1BD3">
            <w:pPr>
              <w:jc w:val="center"/>
              <w:rPr>
                <w:lang w:eastAsia="en-US"/>
              </w:rPr>
            </w:pPr>
            <w:r>
              <w:rPr>
                <w:lang w:eastAsia="en-US"/>
              </w:rPr>
              <w:t>80%</w:t>
            </w:r>
          </w:p>
        </w:tc>
        <w:tc>
          <w:tcPr>
            <w:tcW w:w="2716" w:type="dxa"/>
            <w:shd w:val="clear" w:color="auto" w:fill="E2EFD9" w:themeFill="accent6" w:themeFillTint="33"/>
          </w:tcPr>
          <w:p w14:paraId="2986E8BD" w14:textId="7CD3F66B" w:rsidR="00456067" w:rsidRPr="007F4120" w:rsidRDefault="00C253E0">
            <w:pPr>
              <w:spacing w:after="40"/>
              <w:jc w:val="center"/>
              <w:rPr>
                <w:sz w:val="20"/>
                <w:szCs w:val="20"/>
                <w:lang w:eastAsia="en-US"/>
              </w:rPr>
            </w:pPr>
            <w:r>
              <w:rPr>
                <w:sz w:val="20"/>
                <w:szCs w:val="20"/>
                <w:lang w:eastAsia="en-US"/>
              </w:rPr>
              <w:t>Reflects significant delivery risks attached to the project</w:t>
            </w:r>
          </w:p>
        </w:tc>
      </w:tr>
      <w:tr w:rsidR="003D218A" w14:paraId="4361A47E" w14:textId="77777777" w:rsidTr="00240011">
        <w:tc>
          <w:tcPr>
            <w:tcW w:w="1988" w:type="dxa"/>
          </w:tcPr>
          <w:p w14:paraId="613B7F50" w14:textId="0303248B" w:rsidR="003D218A" w:rsidRPr="007F4120" w:rsidRDefault="003D218A" w:rsidP="002D1BD3">
            <w:pPr>
              <w:spacing w:after="40"/>
              <w:jc w:val="left"/>
              <w:rPr>
                <w:b/>
                <w:lang w:eastAsia="en-US"/>
              </w:rPr>
            </w:pPr>
            <w:r>
              <w:rPr>
                <w:b/>
                <w:lang w:eastAsia="en-US"/>
              </w:rPr>
              <w:t>Productivity benefits</w:t>
            </w:r>
          </w:p>
        </w:tc>
        <w:tc>
          <w:tcPr>
            <w:tcW w:w="1523" w:type="dxa"/>
          </w:tcPr>
          <w:p w14:paraId="42901B3F" w14:textId="787E35F4" w:rsidR="003D218A" w:rsidRDefault="00456067" w:rsidP="002D1BD3">
            <w:pPr>
              <w:jc w:val="center"/>
              <w:rPr>
                <w:lang w:eastAsia="en-US"/>
              </w:rPr>
            </w:pPr>
            <w:r>
              <w:rPr>
                <w:lang w:eastAsia="en-US"/>
              </w:rPr>
              <w:t>1</w:t>
            </w:r>
            <w:r w:rsidR="003D218A">
              <w:rPr>
                <w:lang w:eastAsia="en-US"/>
              </w:rPr>
              <w:t>%</w:t>
            </w:r>
          </w:p>
        </w:tc>
        <w:tc>
          <w:tcPr>
            <w:tcW w:w="1651" w:type="dxa"/>
          </w:tcPr>
          <w:p w14:paraId="2D720B0B" w14:textId="1CE8C482" w:rsidR="003D218A" w:rsidRDefault="00456067" w:rsidP="002D1BD3">
            <w:pPr>
              <w:jc w:val="center"/>
              <w:rPr>
                <w:lang w:eastAsia="en-US"/>
              </w:rPr>
            </w:pPr>
            <w:r>
              <w:rPr>
                <w:lang w:eastAsia="en-US"/>
              </w:rPr>
              <w:t>3</w:t>
            </w:r>
            <w:r w:rsidR="003D218A">
              <w:rPr>
                <w:lang w:eastAsia="en-US"/>
              </w:rPr>
              <w:t>%</w:t>
            </w:r>
          </w:p>
        </w:tc>
        <w:tc>
          <w:tcPr>
            <w:tcW w:w="1524" w:type="dxa"/>
          </w:tcPr>
          <w:p w14:paraId="0B1E5F98" w14:textId="28C781E0" w:rsidR="003D218A" w:rsidRDefault="003D218A" w:rsidP="002D1BD3">
            <w:pPr>
              <w:jc w:val="center"/>
              <w:rPr>
                <w:lang w:eastAsia="en-US"/>
              </w:rPr>
            </w:pPr>
            <w:r>
              <w:rPr>
                <w:lang w:eastAsia="en-US"/>
              </w:rPr>
              <w:t>5%</w:t>
            </w:r>
          </w:p>
        </w:tc>
        <w:tc>
          <w:tcPr>
            <w:tcW w:w="2716" w:type="dxa"/>
            <w:shd w:val="clear" w:color="auto" w:fill="E2EFD9" w:themeFill="accent6" w:themeFillTint="33"/>
          </w:tcPr>
          <w:p w14:paraId="2745FF58" w14:textId="0D8D1D78" w:rsidR="003D218A" w:rsidRPr="007F4120" w:rsidRDefault="00C253E0">
            <w:pPr>
              <w:spacing w:after="40"/>
              <w:jc w:val="center"/>
              <w:rPr>
                <w:sz w:val="20"/>
                <w:szCs w:val="20"/>
                <w:lang w:eastAsia="en-US"/>
              </w:rPr>
            </w:pPr>
            <w:r>
              <w:rPr>
                <w:sz w:val="20"/>
                <w:szCs w:val="20"/>
                <w:lang w:eastAsia="en-US"/>
              </w:rPr>
              <w:t>+/-2% of central value - reflects uncertainty around returns</w:t>
            </w:r>
          </w:p>
        </w:tc>
      </w:tr>
      <w:tr w:rsidR="002D1BD3" w14:paraId="7408176E" w14:textId="77777777" w:rsidTr="00240011">
        <w:tc>
          <w:tcPr>
            <w:tcW w:w="1988" w:type="dxa"/>
          </w:tcPr>
          <w:p w14:paraId="3AC5ACE0" w14:textId="77777777" w:rsidR="002D1BD3" w:rsidRPr="007F4120" w:rsidRDefault="002D1BD3" w:rsidP="002D1BD3">
            <w:pPr>
              <w:spacing w:after="40"/>
              <w:jc w:val="left"/>
              <w:rPr>
                <w:b/>
                <w:lang w:eastAsia="en-US"/>
              </w:rPr>
            </w:pPr>
            <w:r w:rsidRPr="007F4120">
              <w:rPr>
                <w:b/>
                <w:lang w:eastAsia="en-US"/>
              </w:rPr>
              <w:t>Ecosystem service value/ha</w:t>
            </w:r>
          </w:p>
        </w:tc>
        <w:tc>
          <w:tcPr>
            <w:tcW w:w="1523" w:type="dxa"/>
          </w:tcPr>
          <w:p w14:paraId="4C85EC75" w14:textId="77777777" w:rsidR="002D1BD3" w:rsidRPr="00F57E6C" w:rsidRDefault="002D1BD3" w:rsidP="002D1BD3">
            <w:pPr>
              <w:jc w:val="center"/>
              <w:rPr>
                <w:lang w:eastAsia="en-US"/>
              </w:rPr>
            </w:pPr>
            <w:r>
              <w:rPr>
                <w:lang w:eastAsia="en-US"/>
              </w:rPr>
              <w:t>£1089</w:t>
            </w:r>
          </w:p>
        </w:tc>
        <w:tc>
          <w:tcPr>
            <w:tcW w:w="1651" w:type="dxa"/>
          </w:tcPr>
          <w:p w14:paraId="48CD3199" w14:textId="77777777" w:rsidR="002D1BD3" w:rsidRPr="00F57E6C" w:rsidRDefault="002D1BD3" w:rsidP="002D1BD3">
            <w:pPr>
              <w:jc w:val="center"/>
              <w:rPr>
                <w:lang w:eastAsia="en-US"/>
              </w:rPr>
            </w:pPr>
            <w:r>
              <w:rPr>
                <w:lang w:eastAsia="en-US"/>
              </w:rPr>
              <w:t>£1452</w:t>
            </w:r>
          </w:p>
        </w:tc>
        <w:tc>
          <w:tcPr>
            <w:tcW w:w="1524" w:type="dxa"/>
          </w:tcPr>
          <w:p w14:paraId="02F4A668" w14:textId="77777777" w:rsidR="002D1BD3" w:rsidRPr="00F57E6C" w:rsidRDefault="002D1BD3" w:rsidP="002D1BD3">
            <w:pPr>
              <w:jc w:val="center"/>
              <w:rPr>
                <w:lang w:eastAsia="en-US"/>
              </w:rPr>
            </w:pPr>
            <w:r>
              <w:rPr>
                <w:lang w:eastAsia="en-US"/>
              </w:rPr>
              <w:t>£1816</w:t>
            </w:r>
          </w:p>
        </w:tc>
        <w:tc>
          <w:tcPr>
            <w:tcW w:w="2716" w:type="dxa"/>
            <w:shd w:val="clear" w:color="auto" w:fill="E2EFD9" w:themeFill="accent6" w:themeFillTint="33"/>
          </w:tcPr>
          <w:p w14:paraId="7EA0A5DD" w14:textId="77777777" w:rsidR="002D1BD3" w:rsidRPr="007F4120" w:rsidRDefault="002D1BD3" w:rsidP="002D1BD3">
            <w:pPr>
              <w:spacing w:after="40"/>
              <w:jc w:val="center"/>
              <w:rPr>
                <w:sz w:val="20"/>
                <w:szCs w:val="20"/>
                <w:lang w:eastAsia="en-US"/>
              </w:rPr>
            </w:pPr>
            <w:r w:rsidRPr="007F4120">
              <w:rPr>
                <w:sz w:val="20"/>
                <w:szCs w:val="20"/>
                <w:lang w:eastAsia="en-US"/>
              </w:rPr>
              <w:t>±50% of central value – considerable uncertainty</w:t>
            </w:r>
          </w:p>
        </w:tc>
      </w:tr>
      <w:tr w:rsidR="002D1BD3" w14:paraId="084A0FAE" w14:textId="77777777" w:rsidTr="00240011">
        <w:trPr>
          <w:trHeight w:val="329"/>
        </w:trPr>
        <w:tc>
          <w:tcPr>
            <w:tcW w:w="1988" w:type="dxa"/>
          </w:tcPr>
          <w:p w14:paraId="7577C960" w14:textId="77777777" w:rsidR="002D1BD3" w:rsidRPr="007F4120" w:rsidRDefault="002D1BD3" w:rsidP="002D1BD3">
            <w:pPr>
              <w:spacing w:after="40"/>
              <w:jc w:val="left"/>
              <w:rPr>
                <w:b/>
                <w:lang w:eastAsia="en-US"/>
              </w:rPr>
            </w:pPr>
            <w:r w:rsidRPr="007F4120">
              <w:rPr>
                <w:b/>
                <w:lang w:eastAsia="en-US"/>
              </w:rPr>
              <w:t>Carbon Price (2018)</w:t>
            </w:r>
          </w:p>
        </w:tc>
        <w:tc>
          <w:tcPr>
            <w:tcW w:w="1523" w:type="dxa"/>
          </w:tcPr>
          <w:p w14:paraId="0F754FCE" w14:textId="77777777" w:rsidR="002D1BD3" w:rsidRPr="00F57E6C" w:rsidRDefault="002D1BD3" w:rsidP="002D1BD3">
            <w:pPr>
              <w:jc w:val="center"/>
              <w:rPr>
                <w:lang w:eastAsia="en-US"/>
              </w:rPr>
            </w:pPr>
            <w:r>
              <w:rPr>
                <w:lang w:eastAsia="en-US"/>
              </w:rPr>
              <w:t>£27</w:t>
            </w:r>
          </w:p>
        </w:tc>
        <w:tc>
          <w:tcPr>
            <w:tcW w:w="1651" w:type="dxa"/>
          </w:tcPr>
          <w:p w14:paraId="228342EB" w14:textId="77777777" w:rsidR="002D1BD3" w:rsidRPr="00F57E6C" w:rsidRDefault="002D1BD3" w:rsidP="002D1BD3">
            <w:pPr>
              <w:jc w:val="center"/>
              <w:rPr>
                <w:lang w:eastAsia="en-US"/>
              </w:rPr>
            </w:pPr>
            <w:r>
              <w:rPr>
                <w:lang w:eastAsia="en-US"/>
              </w:rPr>
              <w:t>£53</w:t>
            </w:r>
          </w:p>
        </w:tc>
        <w:tc>
          <w:tcPr>
            <w:tcW w:w="1524" w:type="dxa"/>
          </w:tcPr>
          <w:p w14:paraId="20AAE3E0" w14:textId="77777777" w:rsidR="002D1BD3" w:rsidRPr="00F57E6C" w:rsidRDefault="002D1BD3" w:rsidP="002D1BD3">
            <w:pPr>
              <w:jc w:val="center"/>
              <w:rPr>
                <w:lang w:eastAsia="en-US"/>
              </w:rPr>
            </w:pPr>
            <w:r>
              <w:rPr>
                <w:lang w:eastAsia="en-US"/>
              </w:rPr>
              <w:t>£80</w:t>
            </w:r>
          </w:p>
        </w:tc>
        <w:tc>
          <w:tcPr>
            <w:tcW w:w="2716" w:type="dxa"/>
            <w:shd w:val="clear" w:color="auto" w:fill="E2EFD9" w:themeFill="accent6" w:themeFillTint="33"/>
          </w:tcPr>
          <w:p w14:paraId="56F4CC2F" w14:textId="77777777" w:rsidR="002D1BD3" w:rsidRPr="007F4120" w:rsidRDefault="002D1BD3" w:rsidP="002D1BD3">
            <w:pPr>
              <w:spacing w:after="40"/>
              <w:jc w:val="center"/>
              <w:rPr>
                <w:sz w:val="20"/>
                <w:szCs w:val="20"/>
                <w:lang w:eastAsia="en-US"/>
              </w:rPr>
            </w:pPr>
            <w:r w:rsidRPr="007F4120">
              <w:rPr>
                <w:sz w:val="20"/>
                <w:szCs w:val="20"/>
                <w:lang w:eastAsia="en-US"/>
              </w:rPr>
              <w:t>Scenarios provided by BEIS Int’l Carbon Price Series</w:t>
            </w:r>
          </w:p>
        </w:tc>
      </w:tr>
    </w:tbl>
    <w:p w14:paraId="74123372" w14:textId="77777777" w:rsidR="00F57E6C" w:rsidRPr="00AD63EB" w:rsidRDefault="00F57E6C" w:rsidP="006A3A1F">
      <w:pPr>
        <w:pStyle w:val="Heading4"/>
        <w:spacing w:before="240"/>
        <w:rPr>
          <w:lang w:eastAsia="en-US"/>
        </w:rPr>
      </w:pPr>
      <w:r>
        <w:rPr>
          <w:lang w:eastAsia="en-US"/>
        </w:rPr>
        <w:t>Low</w:t>
      </w:r>
      <w:r w:rsidRPr="00AD63EB">
        <w:rPr>
          <w:lang w:eastAsia="en-US"/>
        </w:rPr>
        <w:t xml:space="preserve"> Scenario</w:t>
      </w:r>
    </w:p>
    <w:tbl>
      <w:tblPr>
        <w:tblStyle w:val="TableGrid"/>
        <w:tblW w:w="5000" w:type="pct"/>
        <w:tblLook w:val="04A0" w:firstRow="1" w:lastRow="0" w:firstColumn="1" w:lastColumn="0" w:noHBand="0" w:noVBand="1"/>
      </w:tblPr>
      <w:tblGrid>
        <w:gridCol w:w="4701"/>
        <w:gridCol w:w="4701"/>
      </w:tblGrid>
      <w:tr w:rsidR="00F57E6C" w:rsidRPr="004C5667" w14:paraId="77641D8D" w14:textId="77777777" w:rsidTr="002D1BD3">
        <w:tc>
          <w:tcPr>
            <w:tcW w:w="2500" w:type="pct"/>
            <w:shd w:val="clear" w:color="auto" w:fill="BDD6EE" w:themeFill="accent1" w:themeFillTint="66"/>
          </w:tcPr>
          <w:p w14:paraId="794C8A55" w14:textId="77777777" w:rsidR="00F57E6C" w:rsidRPr="004C5667" w:rsidRDefault="00F57E6C" w:rsidP="002D1BD3">
            <w:pPr>
              <w:spacing w:after="0"/>
              <w:rPr>
                <w:b/>
              </w:rPr>
            </w:pPr>
            <w:r w:rsidRPr="004C5667">
              <w:rPr>
                <w:b/>
              </w:rPr>
              <w:t>Costs</w:t>
            </w:r>
          </w:p>
        </w:tc>
        <w:tc>
          <w:tcPr>
            <w:tcW w:w="2500" w:type="pct"/>
            <w:shd w:val="clear" w:color="auto" w:fill="BDD6EE" w:themeFill="accent1" w:themeFillTint="66"/>
          </w:tcPr>
          <w:p w14:paraId="0863CAB4" w14:textId="77777777" w:rsidR="00F57E6C" w:rsidRPr="004C5667" w:rsidRDefault="00F57E6C" w:rsidP="002D1BD3">
            <w:pPr>
              <w:spacing w:after="0"/>
              <w:rPr>
                <w:b/>
              </w:rPr>
            </w:pPr>
            <w:r w:rsidRPr="004C5667">
              <w:rPr>
                <w:b/>
              </w:rPr>
              <w:t>Present Value (20 years), 2018</w:t>
            </w:r>
          </w:p>
        </w:tc>
      </w:tr>
      <w:tr w:rsidR="00F57E6C" w:rsidRPr="004C5667" w14:paraId="062C1D6C" w14:textId="77777777" w:rsidTr="002D1BD3">
        <w:trPr>
          <w:trHeight w:val="312"/>
        </w:trPr>
        <w:tc>
          <w:tcPr>
            <w:tcW w:w="2500" w:type="pct"/>
          </w:tcPr>
          <w:p w14:paraId="56CE92F9" w14:textId="77777777" w:rsidR="00F57E6C" w:rsidRPr="004C5667" w:rsidRDefault="00F57E6C" w:rsidP="002D1BD3">
            <w:pPr>
              <w:spacing w:after="0"/>
            </w:pPr>
            <w:r w:rsidRPr="004C5667">
              <w:t xml:space="preserve">ICF Funding </w:t>
            </w:r>
          </w:p>
        </w:tc>
        <w:tc>
          <w:tcPr>
            <w:tcW w:w="2500" w:type="pct"/>
          </w:tcPr>
          <w:p w14:paraId="4DE931E6" w14:textId="70F1E24A" w:rsidR="00F57E6C" w:rsidRPr="004C5667" w:rsidRDefault="00F57E6C" w:rsidP="001F0326">
            <w:pPr>
              <w:spacing w:after="0"/>
            </w:pPr>
            <w:r w:rsidRPr="004C5667">
              <w:t>£</w:t>
            </w:r>
            <w:r w:rsidR="008D585C">
              <w:t>11,833,000</w:t>
            </w:r>
            <w:r w:rsidR="002D1BD3">
              <w:t>*</w:t>
            </w:r>
          </w:p>
        </w:tc>
      </w:tr>
      <w:tr w:rsidR="00F57E6C" w:rsidRPr="004C5667" w14:paraId="0B27A8F1" w14:textId="77777777" w:rsidTr="002D1BD3">
        <w:tc>
          <w:tcPr>
            <w:tcW w:w="2500" w:type="pct"/>
          </w:tcPr>
          <w:p w14:paraId="65717C0B" w14:textId="77777777" w:rsidR="00F57E6C" w:rsidRPr="004C5667" w:rsidRDefault="00F57E6C" w:rsidP="002D1BD3">
            <w:pPr>
              <w:spacing w:after="0"/>
            </w:pPr>
            <w:r w:rsidRPr="004C5667">
              <w:t xml:space="preserve">Leveraged funds </w:t>
            </w:r>
          </w:p>
        </w:tc>
        <w:tc>
          <w:tcPr>
            <w:tcW w:w="2500" w:type="pct"/>
          </w:tcPr>
          <w:p w14:paraId="4DB09A98" w14:textId="4BDC046E" w:rsidR="00F57E6C" w:rsidRPr="004C5667" w:rsidRDefault="002D1BD3">
            <w:pPr>
              <w:spacing w:after="0"/>
            </w:pPr>
            <w:r>
              <w:t>£</w:t>
            </w:r>
            <w:r w:rsidR="008D585C">
              <w:t>5,916,500</w:t>
            </w:r>
          </w:p>
        </w:tc>
      </w:tr>
      <w:tr w:rsidR="00F57E6C" w:rsidRPr="004C5667" w14:paraId="253F4E1A" w14:textId="77777777" w:rsidTr="002D1BD3">
        <w:tc>
          <w:tcPr>
            <w:tcW w:w="2500" w:type="pct"/>
          </w:tcPr>
          <w:p w14:paraId="0B88D25D" w14:textId="77777777" w:rsidR="00F57E6C" w:rsidRPr="004C5667" w:rsidRDefault="00F57E6C" w:rsidP="002D1BD3">
            <w:pPr>
              <w:spacing w:after="0"/>
            </w:pPr>
            <w:r w:rsidRPr="004C5667">
              <w:t>Fund Management costs</w:t>
            </w:r>
          </w:p>
        </w:tc>
        <w:tc>
          <w:tcPr>
            <w:tcW w:w="2500" w:type="pct"/>
          </w:tcPr>
          <w:p w14:paraId="1AFADEBA" w14:textId="60BA2C3A" w:rsidR="00F57E6C" w:rsidRPr="004C5667" w:rsidRDefault="001F0326">
            <w:pPr>
              <w:spacing w:after="0"/>
            </w:pPr>
            <w:r>
              <w:t>£</w:t>
            </w:r>
            <w:r w:rsidR="00AA4789">
              <w:t>2,908,800</w:t>
            </w:r>
          </w:p>
        </w:tc>
      </w:tr>
      <w:tr w:rsidR="00F57E6C" w:rsidRPr="004C5667" w14:paraId="28A2C1D0" w14:textId="77777777" w:rsidTr="002D1BD3">
        <w:trPr>
          <w:trHeight w:val="301"/>
        </w:trPr>
        <w:tc>
          <w:tcPr>
            <w:tcW w:w="2500" w:type="pct"/>
          </w:tcPr>
          <w:p w14:paraId="08A40EB2" w14:textId="77777777" w:rsidR="00F57E6C" w:rsidRPr="004C5667" w:rsidRDefault="00F57E6C" w:rsidP="002D1BD3">
            <w:pPr>
              <w:spacing w:after="0"/>
            </w:pPr>
            <w:r w:rsidRPr="004C5667">
              <w:t>ICF staff costs</w:t>
            </w:r>
          </w:p>
        </w:tc>
        <w:tc>
          <w:tcPr>
            <w:tcW w:w="2500" w:type="pct"/>
          </w:tcPr>
          <w:p w14:paraId="18D46E93" w14:textId="613F91FF" w:rsidR="00F57E6C" w:rsidRPr="004C5667" w:rsidRDefault="002D1BD3">
            <w:pPr>
              <w:spacing w:after="0"/>
            </w:pPr>
            <w:r>
              <w:t>£</w:t>
            </w:r>
            <w:r w:rsidR="00AA4789">
              <w:t>944,200</w:t>
            </w:r>
          </w:p>
        </w:tc>
      </w:tr>
      <w:tr w:rsidR="00F57E6C" w:rsidRPr="004C5667" w14:paraId="7A5C45D1" w14:textId="77777777" w:rsidTr="002D1BD3">
        <w:tc>
          <w:tcPr>
            <w:tcW w:w="2500" w:type="pct"/>
          </w:tcPr>
          <w:p w14:paraId="06F21C30" w14:textId="77777777" w:rsidR="00F57E6C" w:rsidRPr="004C5667" w:rsidRDefault="00F57E6C" w:rsidP="002D1BD3">
            <w:pPr>
              <w:spacing w:after="0"/>
            </w:pPr>
            <w:r w:rsidRPr="004C5667">
              <w:t>Opportunity cost of foregone investments by funders (private and public)</w:t>
            </w:r>
          </w:p>
        </w:tc>
        <w:tc>
          <w:tcPr>
            <w:tcW w:w="2500" w:type="pct"/>
          </w:tcPr>
          <w:p w14:paraId="113005D4" w14:textId="0DACBB9D" w:rsidR="00F57E6C" w:rsidRPr="004C5667" w:rsidRDefault="00F57E6C">
            <w:pPr>
              <w:spacing w:after="0"/>
            </w:pPr>
            <w:r w:rsidRPr="004C5667">
              <w:t>£</w:t>
            </w:r>
            <w:r w:rsidR="008D585C">
              <w:t>2,889,400</w:t>
            </w:r>
          </w:p>
        </w:tc>
      </w:tr>
      <w:tr w:rsidR="00F57E6C" w:rsidRPr="004C5667" w14:paraId="2CA6A0FF" w14:textId="77777777" w:rsidTr="002D1BD3">
        <w:tc>
          <w:tcPr>
            <w:tcW w:w="2500" w:type="pct"/>
          </w:tcPr>
          <w:p w14:paraId="40EF5EC8" w14:textId="77777777" w:rsidR="00F57E6C" w:rsidRPr="004C5667" w:rsidRDefault="00F57E6C" w:rsidP="002D1BD3">
            <w:pPr>
              <w:spacing w:after="0"/>
              <w:rPr>
                <w:b/>
              </w:rPr>
            </w:pPr>
            <w:r w:rsidRPr="004C5667">
              <w:rPr>
                <w:b/>
              </w:rPr>
              <w:t>Present Value Total Costs</w:t>
            </w:r>
          </w:p>
        </w:tc>
        <w:tc>
          <w:tcPr>
            <w:tcW w:w="2500" w:type="pct"/>
          </w:tcPr>
          <w:p w14:paraId="3A14023D" w14:textId="77D3FDD4" w:rsidR="00F57E6C" w:rsidRPr="004C5667" w:rsidRDefault="00F57E6C">
            <w:pPr>
              <w:spacing w:after="0"/>
            </w:pPr>
            <w:r w:rsidRPr="004C5667">
              <w:rPr>
                <w:b/>
              </w:rPr>
              <w:t>£</w:t>
            </w:r>
            <w:r w:rsidR="008D585C">
              <w:rPr>
                <w:b/>
              </w:rPr>
              <w:t>24,491,900</w:t>
            </w:r>
          </w:p>
        </w:tc>
      </w:tr>
      <w:tr w:rsidR="00F57E6C" w:rsidRPr="004C5667" w14:paraId="28AAA55A" w14:textId="77777777" w:rsidTr="002D1BD3">
        <w:tc>
          <w:tcPr>
            <w:tcW w:w="2500" w:type="pct"/>
          </w:tcPr>
          <w:p w14:paraId="0F7B3161" w14:textId="77777777" w:rsidR="00F57E6C" w:rsidRPr="004C5667" w:rsidRDefault="00F57E6C" w:rsidP="002D1BD3">
            <w:pPr>
              <w:spacing w:after="0"/>
            </w:pPr>
          </w:p>
        </w:tc>
        <w:tc>
          <w:tcPr>
            <w:tcW w:w="2500" w:type="pct"/>
          </w:tcPr>
          <w:p w14:paraId="04220872" w14:textId="77777777" w:rsidR="00F57E6C" w:rsidRPr="004C5667" w:rsidRDefault="00F57E6C" w:rsidP="002D1BD3">
            <w:pPr>
              <w:spacing w:after="0"/>
            </w:pPr>
          </w:p>
        </w:tc>
      </w:tr>
      <w:tr w:rsidR="00F57E6C" w:rsidRPr="004C5667" w14:paraId="7BB890D3" w14:textId="77777777" w:rsidTr="002D1BD3">
        <w:tc>
          <w:tcPr>
            <w:tcW w:w="2500" w:type="pct"/>
          </w:tcPr>
          <w:p w14:paraId="3596406B" w14:textId="77777777" w:rsidR="00F57E6C" w:rsidRPr="004C5667" w:rsidRDefault="00F57E6C" w:rsidP="002D1BD3">
            <w:pPr>
              <w:spacing w:after="0"/>
              <w:rPr>
                <w:b/>
              </w:rPr>
            </w:pPr>
            <w:r w:rsidRPr="004C5667">
              <w:rPr>
                <w:b/>
              </w:rPr>
              <w:t>Benefits</w:t>
            </w:r>
          </w:p>
        </w:tc>
        <w:tc>
          <w:tcPr>
            <w:tcW w:w="2500" w:type="pct"/>
          </w:tcPr>
          <w:p w14:paraId="603210BA" w14:textId="77777777" w:rsidR="00F57E6C" w:rsidRPr="004C5667" w:rsidRDefault="00F57E6C" w:rsidP="002D1BD3">
            <w:pPr>
              <w:spacing w:after="0"/>
            </w:pPr>
          </w:p>
        </w:tc>
      </w:tr>
      <w:tr w:rsidR="00F57E6C" w:rsidRPr="004C5667" w14:paraId="6032D6AB" w14:textId="77777777" w:rsidTr="002D1BD3">
        <w:tc>
          <w:tcPr>
            <w:tcW w:w="2500" w:type="pct"/>
          </w:tcPr>
          <w:p w14:paraId="7298E603" w14:textId="77777777" w:rsidR="00F57E6C" w:rsidRPr="004C5667" w:rsidRDefault="00F57E6C" w:rsidP="002D1BD3">
            <w:pPr>
              <w:spacing w:after="0"/>
            </w:pPr>
            <w:r w:rsidRPr="004C5667">
              <w:t>Carbon savings</w:t>
            </w:r>
          </w:p>
        </w:tc>
        <w:tc>
          <w:tcPr>
            <w:tcW w:w="2500" w:type="pct"/>
          </w:tcPr>
          <w:p w14:paraId="6EBCE890" w14:textId="11A0B2BA" w:rsidR="00F57E6C" w:rsidRPr="004C5667" w:rsidRDefault="00F57E6C" w:rsidP="008D585C">
            <w:pPr>
              <w:spacing w:after="0"/>
            </w:pPr>
            <w:r>
              <w:t>£</w:t>
            </w:r>
            <w:r w:rsidR="008D585C">
              <w:t>14,354,100</w:t>
            </w:r>
          </w:p>
        </w:tc>
      </w:tr>
      <w:tr w:rsidR="00F57E6C" w:rsidRPr="004C5667" w14:paraId="5144A441" w14:textId="77777777" w:rsidTr="002D1BD3">
        <w:tc>
          <w:tcPr>
            <w:tcW w:w="2500" w:type="pct"/>
          </w:tcPr>
          <w:p w14:paraId="19624FCA" w14:textId="77777777" w:rsidR="00F57E6C" w:rsidRPr="004C5667" w:rsidRDefault="00F57E6C" w:rsidP="002D1BD3">
            <w:pPr>
              <w:spacing w:after="0"/>
            </w:pPr>
            <w:r>
              <w:t>Productivity benefits</w:t>
            </w:r>
          </w:p>
        </w:tc>
        <w:tc>
          <w:tcPr>
            <w:tcW w:w="2500" w:type="pct"/>
          </w:tcPr>
          <w:p w14:paraId="6B9BC0E9" w14:textId="472511EC" w:rsidR="00F57E6C" w:rsidRPr="004C5667" w:rsidRDefault="001F0326" w:rsidP="008D585C">
            <w:pPr>
              <w:spacing w:after="0"/>
            </w:pPr>
            <w:r>
              <w:t>£</w:t>
            </w:r>
            <w:r w:rsidR="008D585C">
              <w:t>1,005,700</w:t>
            </w:r>
          </w:p>
        </w:tc>
      </w:tr>
      <w:tr w:rsidR="00F57E6C" w:rsidRPr="004C5667" w14:paraId="5AE3F1E2" w14:textId="77777777" w:rsidTr="002D1BD3">
        <w:tc>
          <w:tcPr>
            <w:tcW w:w="2500" w:type="pct"/>
          </w:tcPr>
          <w:p w14:paraId="515E23F5" w14:textId="77777777" w:rsidR="00F57E6C" w:rsidRPr="004C5667" w:rsidRDefault="00F57E6C" w:rsidP="002D1BD3">
            <w:pPr>
              <w:spacing w:after="0"/>
            </w:pPr>
            <w:r w:rsidRPr="004C5667">
              <w:t>Ecosystem services</w:t>
            </w:r>
          </w:p>
        </w:tc>
        <w:tc>
          <w:tcPr>
            <w:tcW w:w="2500" w:type="pct"/>
          </w:tcPr>
          <w:p w14:paraId="23965FBF" w14:textId="5F344321" w:rsidR="00F57E6C" w:rsidRPr="004C5667" w:rsidRDefault="001F0326" w:rsidP="008D585C">
            <w:pPr>
              <w:spacing w:after="0"/>
            </w:pPr>
            <w:r>
              <w:t>£</w:t>
            </w:r>
            <w:r w:rsidR="008D585C">
              <w:t>2,964,500</w:t>
            </w:r>
          </w:p>
        </w:tc>
      </w:tr>
      <w:tr w:rsidR="00F57E6C" w:rsidRPr="004C5667" w14:paraId="0E593CD4" w14:textId="77777777" w:rsidTr="002D1BD3">
        <w:tc>
          <w:tcPr>
            <w:tcW w:w="2500" w:type="pct"/>
          </w:tcPr>
          <w:p w14:paraId="75C36096" w14:textId="77777777" w:rsidR="00F57E6C" w:rsidRPr="004C5667" w:rsidRDefault="00F57E6C" w:rsidP="002D1BD3">
            <w:pPr>
              <w:spacing w:after="0"/>
              <w:rPr>
                <w:b/>
              </w:rPr>
            </w:pPr>
            <w:r w:rsidRPr="004C5667">
              <w:rPr>
                <w:b/>
              </w:rPr>
              <w:t>Present Value Total Benefits</w:t>
            </w:r>
          </w:p>
        </w:tc>
        <w:tc>
          <w:tcPr>
            <w:tcW w:w="2500" w:type="pct"/>
          </w:tcPr>
          <w:p w14:paraId="635D5380" w14:textId="6EE6E254" w:rsidR="00F57E6C" w:rsidRPr="004C5667" w:rsidRDefault="00F57E6C" w:rsidP="008D585C">
            <w:pPr>
              <w:spacing w:after="0"/>
            </w:pPr>
            <w:r w:rsidRPr="004C5667">
              <w:rPr>
                <w:b/>
              </w:rPr>
              <w:t>£</w:t>
            </w:r>
            <w:r w:rsidR="008D585C">
              <w:rPr>
                <w:b/>
              </w:rPr>
              <w:t>18,324,200</w:t>
            </w:r>
          </w:p>
        </w:tc>
      </w:tr>
      <w:tr w:rsidR="00F57E6C" w:rsidRPr="004C5667" w14:paraId="354484CC" w14:textId="77777777" w:rsidTr="002D1BD3">
        <w:tc>
          <w:tcPr>
            <w:tcW w:w="2500" w:type="pct"/>
          </w:tcPr>
          <w:p w14:paraId="107F5700" w14:textId="77777777" w:rsidR="00F57E6C" w:rsidRPr="004C5667" w:rsidRDefault="00F57E6C" w:rsidP="002D1BD3">
            <w:pPr>
              <w:spacing w:after="0"/>
              <w:rPr>
                <w:b/>
              </w:rPr>
            </w:pPr>
            <w:r w:rsidRPr="004C5667">
              <w:rPr>
                <w:b/>
              </w:rPr>
              <w:t>NPV</w:t>
            </w:r>
          </w:p>
        </w:tc>
        <w:tc>
          <w:tcPr>
            <w:tcW w:w="2500" w:type="pct"/>
          </w:tcPr>
          <w:p w14:paraId="00396782" w14:textId="1699F7A8" w:rsidR="00F57E6C" w:rsidRPr="004C5667" w:rsidRDefault="008D585C" w:rsidP="008D585C">
            <w:pPr>
              <w:spacing w:after="0"/>
            </w:pPr>
            <w:r>
              <w:rPr>
                <w:b/>
              </w:rPr>
              <w:t>-</w:t>
            </w:r>
            <w:r w:rsidR="00F57E6C" w:rsidRPr="004C5667">
              <w:rPr>
                <w:b/>
              </w:rPr>
              <w:t>£</w:t>
            </w:r>
            <w:r>
              <w:rPr>
                <w:b/>
              </w:rPr>
              <w:t>6,167,700</w:t>
            </w:r>
          </w:p>
        </w:tc>
      </w:tr>
      <w:tr w:rsidR="00F57E6C" w:rsidRPr="004C5667" w14:paraId="01F15AB8" w14:textId="77777777" w:rsidTr="002D1BD3">
        <w:tc>
          <w:tcPr>
            <w:tcW w:w="2500" w:type="pct"/>
          </w:tcPr>
          <w:p w14:paraId="20A76426" w14:textId="77777777" w:rsidR="00F57E6C" w:rsidRPr="004C5667" w:rsidRDefault="00F57E6C" w:rsidP="002D1BD3">
            <w:pPr>
              <w:spacing w:after="0"/>
              <w:rPr>
                <w:b/>
              </w:rPr>
            </w:pPr>
            <w:r w:rsidRPr="004C5667">
              <w:rPr>
                <w:b/>
              </w:rPr>
              <w:t>BCR</w:t>
            </w:r>
          </w:p>
        </w:tc>
        <w:tc>
          <w:tcPr>
            <w:tcW w:w="2500" w:type="pct"/>
          </w:tcPr>
          <w:p w14:paraId="50B9C618" w14:textId="7D003694" w:rsidR="00F57E6C" w:rsidRPr="00240011" w:rsidRDefault="008D585C" w:rsidP="002D1BD3">
            <w:pPr>
              <w:keepNext/>
              <w:spacing w:after="0"/>
              <w:rPr>
                <w:b/>
              </w:rPr>
            </w:pPr>
            <w:r>
              <w:rPr>
                <w:b/>
              </w:rPr>
              <w:t>0.7</w:t>
            </w:r>
          </w:p>
        </w:tc>
      </w:tr>
    </w:tbl>
    <w:p w14:paraId="4777CE26" w14:textId="232DBFF9" w:rsidR="002D1BD3" w:rsidRPr="0061240F" w:rsidRDefault="002D1BD3" w:rsidP="002D1BD3">
      <w:pPr>
        <w:rPr>
          <w:sz w:val="20"/>
          <w:szCs w:val="20"/>
          <w:lang w:eastAsia="en-US"/>
        </w:rPr>
      </w:pPr>
      <w:r w:rsidRPr="0061240F">
        <w:rPr>
          <w:sz w:val="20"/>
          <w:szCs w:val="20"/>
          <w:lang w:eastAsia="en-US"/>
        </w:rPr>
        <w:t>*Decrease due to modelled exchange rate fluctuations</w:t>
      </w:r>
    </w:p>
    <w:p w14:paraId="4CDFACAE" w14:textId="6CD73360" w:rsidR="00F57E6C" w:rsidRDefault="003D218A" w:rsidP="00F57E6C">
      <w:pPr>
        <w:rPr>
          <w:lang w:eastAsia="en-US"/>
        </w:rPr>
      </w:pPr>
      <w:r>
        <w:rPr>
          <w:lang w:eastAsia="en-US"/>
        </w:rPr>
        <w:t>The low scenario shows a drop in costs due to the lower level of funding leveraged through an ICF investment</w:t>
      </w:r>
      <w:r w:rsidR="004C6C46">
        <w:rPr>
          <w:lang w:eastAsia="en-US"/>
        </w:rPr>
        <w:t>, and subsequent lower management fees</w:t>
      </w:r>
      <w:r>
        <w:rPr>
          <w:lang w:eastAsia="en-US"/>
        </w:rPr>
        <w:t xml:space="preserve">. However, the combination of a lower additionality rating and a fall in </w:t>
      </w:r>
      <w:r w:rsidR="004C6C46">
        <w:rPr>
          <w:lang w:eastAsia="en-US"/>
        </w:rPr>
        <w:t xml:space="preserve">a) </w:t>
      </w:r>
      <w:r>
        <w:rPr>
          <w:lang w:eastAsia="en-US"/>
        </w:rPr>
        <w:t>the volume of carbon saved</w:t>
      </w:r>
      <w:r w:rsidR="004C6C46">
        <w:rPr>
          <w:lang w:eastAsia="en-US"/>
        </w:rPr>
        <w:t xml:space="preserve">, b) </w:t>
      </w:r>
      <w:r>
        <w:rPr>
          <w:lang w:eastAsia="en-US"/>
        </w:rPr>
        <w:t>value of carbon per tonne</w:t>
      </w:r>
      <w:r w:rsidR="004C6C46">
        <w:rPr>
          <w:lang w:eastAsia="en-US"/>
        </w:rPr>
        <w:t>, and c) the additionality of impacts offered by ICF funding,</w:t>
      </w:r>
      <w:r>
        <w:rPr>
          <w:lang w:eastAsia="en-US"/>
        </w:rPr>
        <w:t xml:space="preserve"> drives the value of investment to a point where </w:t>
      </w:r>
      <w:r w:rsidR="004C6C46">
        <w:rPr>
          <w:lang w:eastAsia="en-US"/>
        </w:rPr>
        <w:t>benefits only slightly outweigh costs.</w:t>
      </w:r>
      <w:r>
        <w:rPr>
          <w:lang w:eastAsia="en-US"/>
        </w:rPr>
        <w:t xml:space="preserve"> </w:t>
      </w:r>
    </w:p>
    <w:p w14:paraId="3BF07D95" w14:textId="77777777" w:rsidR="00F57E6C" w:rsidRPr="00F57E6C" w:rsidRDefault="00F57E6C" w:rsidP="006A3A1F">
      <w:pPr>
        <w:pStyle w:val="Heading4"/>
        <w:rPr>
          <w:lang w:eastAsia="en-US"/>
        </w:rPr>
      </w:pPr>
      <w:r>
        <w:rPr>
          <w:lang w:eastAsia="en-US"/>
        </w:rPr>
        <w:t>High</w:t>
      </w:r>
      <w:r w:rsidRPr="00AD63EB">
        <w:rPr>
          <w:lang w:eastAsia="en-US"/>
        </w:rPr>
        <w:t xml:space="preserve"> Scenario</w:t>
      </w:r>
    </w:p>
    <w:tbl>
      <w:tblPr>
        <w:tblStyle w:val="TableGrid"/>
        <w:tblW w:w="5000" w:type="pct"/>
        <w:tblLook w:val="04A0" w:firstRow="1" w:lastRow="0" w:firstColumn="1" w:lastColumn="0" w:noHBand="0" w:noVBand="1"/>
      </w:tblPr>
      <w:tblGrid>
        <w:gridCol w:w="4701"/>
        <w:gridCol w:w="4701"/>
      </w:tblGrid>
      <w:tr w:rsidR="00F57E6C" w:rsidRPr="004C5667" w14:paraId="0D56486A" w14:textId="77777777" w:rsidTr="002D1BD3">
        <w:tc>
          <w:tcPr>
            <w:tcW w:w="2500" w:type="pct"/>
            <w:shd w:val="clear" w:color="auto" w:fill="BDD6EE" w:themeFill="accent1" w:themeFillTint="66"/>
          </w:tcPr>
          <w:p w14:paraId="140E85F6" w14:textId="77777777" w:rsidR="00F57E6C" w:rsidRPr="004C5667" w:rsidRDefault="00F57E6C" w:rsidP="002D1BD3">
            <w:pPr>
              <w:spacing w:after="0"/>
              <w:rPr>
                <w:b/>
              </w:rPr>
            </w:pPr>
            <w:r w:rsidRPr="004C5667">
              <w:rPr>
                <w:b/>
              </w:rPr>
              <w:lastRenderedPageBreak/>
              <w:t>Costs</w:t>
            </w:r>
          </w:p>
        </w:tc>
        <w:tc>
          <w:tcPr>
            <w:tcW w:w="2500" w:type="pct"/>
            <w:shd w:val="clear" w:color="auto" w:fill="BDD6EE" w:themeFill="accent1" w:themeFillTint="66"/>
          </w:tcPr>
          <w:p w14:paraId="0C35F720" w14:textId="77777777" w:rsidR="00F57E6C" w:rsidRPr="004C5667" w:rsidRDefault="00F57E6C" w:rsidP="002D1BD3">
            <w:pPr>
              <w:spacing w:after="0"/>
              <w:rPr>
                <w:b/>
              </w:rPr>
            </w:pPr>
            <w:r w:rsidRPr="004C5667">
              <w:rPr>
                <w:b/>
              </w:rPr>
              <w:t>Present Value (20 years), 2018</w:t>
            </w:r>
          </w:p>
        </w:tc>
      </w:tr>
      <w:tr w:rsidR="00F57E6C" w:rsidRPr="004C5667" w14:paraId="079E84D7" w14:textId="77777777" w:rsidTr="002D1BD3">
        <w:trPr>
          <w:trHeight w:val="312"/>
        </w:trPr>
        <w:tc>
          <w:tcPr>
            <w:tcW w:w="2500" w:type="pct"/>
          </w:tcPr>
          <w:p w14:paraId="4224D06B" w14:textId="77777777" w:rsidR="00F57E6C" w:rsidRPr="004C5667" w:rsidRDefault="00F57E6C" w:rsidP="002D1BD3">
            <w:pPr>
              <w:spacing w:after="0"/>
            </w:pPr>
            <w:r w:rsidRPr="004C5667">
              <w:t xml:space="preserve">ICF Funding </w:t>
            </w:r>
          </w:p>
        </w:tc>
        <w:tc>
          <w:tcPr>
            <w:tcW w:w="2500" w:type="pct"/>
          </w:tcPr>
          <w:p w14:paraId="195C5E68" w14:textId="767E1F0B" w:rsidR="00F57E6C" w:rsidRPr="004C5667" w:rsidRDefault="00F57E6C" w:rsidP="008D585C">
            <w:pPr>
              <w:spacing w:after="0"/>
            </w:pPr>
            <w:r w:rsidRPr="004C5667">
              <w:t>£</w:t>
            </w:r>
            <w:r w:rsidR="008D585C">
              <w:t>15,435,300</w:t>
            </w:r>
            <w:r w:rsidR="002D1BD3">
              <w:t>*</w:t>
            </w:r>
          </w:p>
        </w:tc>
      </w:tr>
      <w:tr w:rsidR="00F57E6C" w:rsidRPr="004C5667" w14:paraId="44713249" w14:textId="77777777" w:rsidTr="002D1BD3">
        <w:tc>
          <w:tcPr>
            <w:tcW w:w="2500" w:type="pct"/>
          </w:tcPr>
          <w:p w14:paraId="675AE367" w14:textId="77777777" w:rsidR="00F57E6C" w:rsidRPr="004C5667" w:rsidRDefault="00F57E6C" w:rsidP="002D1BD3">
            <w:pPr>
              <w:spacing w:after="0"/>
            </w:pPr>
            <w:r w:rsidRPr="004C5667">
              <w:t xml:space="preserve">Leveraged funds </w:t>
            </w:r>
          </w:p>
        </w:tc>
        <w:tc>
          <w:tcPr>
            <w:tcW w:w="2500" w:type="pct"/>
          </w:tcPr>
          <w:p w14:paraId="24D2C235" w14:textId="5CB9B3EF" w:rsidR="00F57E6C" w:rsidRPr="004C5667" w:rsidRDefault="002D1BD3" w:rsidP="008D585C">
            <w:pPr>
              <w:spacing w:after="0"/>
            </w:pPr>
            <w:r>
              <w:t>£</w:t>
            </w:r>
            <w:r w:rsidR="008D585C">
              <w:t>46,306,000</w:t>
            </w:r>
          </w:p>
        </w:tc>
      </w:tr>
      <w:tr w:rsidR="00F57E6C" w:rsidRPr="004C5667" w14:paraId="0153B22E" w14:textId="77777777" w:rsidTr="002D1BD3">
        <w:tc>
          <w:tcPr>
            <w:tcW w:w="2500" w:type="pct"/>
          </w:tcPr>
          <w:p w14:paraId="45A2FBDA" w14:textId="77777777" w:rsidR="00F57E6C" w:rsidRPr="004C5667" w:rsidRDefault="00F57E6C" w:rsidP="002D1BD3">
            <w:pPr>
              <w:spacing w:after="0"/>
            </w:pPr>
            <w:r w:rsidRPr="004C5667">
              <w:t>Fund Management costs</w:t>
            </w:r>
          </w:p>
        </w:tc>
        <w:tc>
          <w:tcPr>
            <w:tcW w:w="2500" w:type="pct"/>
          </w:tcPr>
          <w:p w14:paraId="18A4B22A" w14:textId="640B78C6" w:rsidR="00F57E6C" w:rsidRPr="004C5667" w:rsidRDefault="002D1BD3">
            <w:pPr>
              <w:spacing w:after="0"/>
            </w:pPr>
            <w:r>
              <w:t>£</w:t>
            </w:r>
            <w:r w:rsidR="00AA4789">
              <w:t>7,126,100</w:t>
            </w:r>
          </w:p>
        </w:tc>
      </w:tr>
      <w:tr w:rsidR="00F57E6C" w:rsidRPr="004C5667" w14:paraId="3B25EC52" w14:textId="77777777" w:rsidTr="002D1BD3">
        <w:trPr>
          <w:trHeight w:val="301"/>
        </w:trPr>
        <w:tc>
          <w:tcPr>
            <w:tcW w:w="2500" w:type="pct"/>
          </w:tcPr>
          <w:p w14:paraId="02E735AD" w14:textId="77777777" w:rsidR="00F57E6C" w:rsidRPr="004C5667" w:rsidRDefault="00F57E6C" w:rsidP="002D1BD3">
            <w:pPr>
              <w:spacing w:after="0"/>
            </w:pPr>
            <w:r w:rsidRPr="004C5667">
              <w:t>ICF staff costs</w:t>
            </w:r>
          </w:p>
        </w:tc>
        <w:tc>
          <w:tcPr>
            <w:tcW w:w="2500" w:type="pct"/>
          </w:tcPr>
          <w:p w14:paraId="7B02F2B4" w14:textId="27253260" w:rsidR="00F57E6C" w:rsidRPr="004C5667" w:rsidRDefault="001F0326" w:rsidP="002D1BD3">
            <w:pPr>
              <w:spacing w:after="0"/>
            </w:pPr>
            <w:r>
              <w:t>£</w:t>
            </w:r>
            <w:r w:rsidR="00AA4789">
              <w:t>944,200</w:t>
            </w:r>
          </w:p>
        </w:tc>
      </w:tr>
      <w:tr w:rsidR="00F57E6C" w:rsidRPr="004C5667" w14:paraId="75348F97" w14:textId="77777777" w:rsidTr="002D1BD3">
        <w:tc>
          <w:tcPr>
            <w:tcW w:w="2500" w:type="pct"/>
          </w:tcPr>
          <w:p w14:paraId="38E7D9EF" w14:textId="77777777" w:rsidR="00F57E6C" w:rsidRPr="004C5667" w:rsidRDefault="00F57E6C" w:rsidP="002D1BD3">
            <w:pPr>
              <w:spacing w:after="0"/>
            </w:pPr>
            <w:r w:rsidRPr="004C5667">
              <w:t>Opportunity cost of foregone investments by funders (private and public)</w:t>
            </w:r>
          </w:p>
        </w:tc>
        <w:tc>
          <w:tcPr>
            <w:tcW w:w="2500" w:type="pct"/>
          </w:tcPr>
          <w:p w14:paraId="31A07EFD" w14:textId="37E3B252" w:rsidR="00F57E6C" w:rsidRPr="004C5667" w:rsidRDefault="00F57E6C" w:rsidP="008D585C">
            <w:pPr>
              <w:spacing w:after="0"/>
            </w:pPr>
            <w:r w:rsidRPr="004C5667">
              <w:t>£</w:t>
            </w:r>
            <w:r w:rsidR="008D585C">
              <w:t>123,092,100</w:t>
            </w:r>
          </w:p>
        </w:tc>
      </w:tr>
      <w:tr w:rsidR="00F57E6C" w:rsidRPr="004C5667" w14:paraId="36525C3E" w14:textId="77777777" w:rsidTr="002D1BD3">
        <w:tc>
          <w:tcPr>
            <w:tcW w:w="2500" w:type="pct"/>
          </w:tcPr>
          <w:p w14:paraId="7C759255" w14:textId="77777777" w:rsidR="00F57E6C" w:rsidRPr="004C5667" w:rsidRDefault="00F57E6C" w:rsidP="002D1BD3">
            <w:pPr>
              <w:spacing w:after="0"/>
              <w:rPr>
                <w:b/>
              </w:rPr>
            </w:pPr>
            <w:r w:rsidRPr="004C5667">
              <w:rPr>
                <w:b/>
              </w:rPr>
              <w:t>Present Value Total Costs</w:t>
            </w:r>
          </w:p>
        </w:tc>
        <w:tc>
          <w:tcPr>
            <w:tcW w:w="2500" w:type="pct"/>
          </w:tcPr>
          <w:p w14:paraId="457BB818" w14:textId="210E5A5D" w:rsidR="00F57E6C" w:rsidRPr="004C5667" w:rsidRDefault="00F57E6C" w:rsidP="008D585C">
            <w:pPr>
              <w:spacing w:after="0"/>
            </w:pPr>
            <w:r w:rsidRPr="004C5667">
              <w:rPr>
                <w:b/>
              </w:rPr>
              <w:t>£</w:t>
            </w:r>
            <w:r w:rsidR="008D585C">
              <w:rPr>
                <w:b/>
              </w:rPr>
              <w:t>82,903,900</w:t>
            </w:r>
          </w:p>
        </w:tc>
      </w:tr>
      <w:tr w:rsidR="00F57E6C" w:rsidRPr="004C5667" w14:paraId="623F583F" w14:textId="77777777" w:rsidTr="002D1BD3">
        <w:tc>
          <w:tcPr>
            <w:tcW w:w="2500" w:type="pct"/>
          </w:tcPr>
          <w:p w14:paraId="10A9831A" w14:textId="77777777" w:rsidR="00F57E6C" w:rsidRPr="004C5667" w:rsidRDefault="00F57E6C" w:rsidP="002D1BD3">
            <w:pPr>
              <w:spacing w:after="0"/>
            </w:pPr>
          </w:p>
        </w:tc>
        <w:tc>
          <w:tcPr>
            <w:tcW w:w="2500" w:type="pct"/>
          </w:tcPr>
          <w:p w14:paraId="52174859" w14:textId="77777777" w:rsidR="00F57E6C" w:rsidRPr="004C5667" w:rsidRDefault="00F57E6C" w:rsidP="002D1BD3">
            <w:pPr>
              <w:spacing w:after="0"/>
            </w:pPr>
          </w:p>
        </w:tc>
      </w:tr>
      <w:tr w:rsidR="00F57E6C" w:rsidRPr="004C5667" w14:paraId="7DDCA4A9" w14:textId="77777777" w:rsidTr="002D1BD3">
        <w:tc>
          <w:tcPr>
            <w:tcW w:w="2500" w:type="pct"/>
          </w:tcPr>
          <w:p w14:paraId="33294187" w14:textId="77777777" w:rsidR="00F57E6C" w:rsidRPr="004C5667" w:rsidRDefault="00F57E6C" w:rsidP="002D1BD3">
            <w:pPr>
              <w:spacing w:after="0"/>
              <w:rPr>
                <w:b/>
              </w:rPr>
            </w:pPr>
            <w:r w:rsidRPr="004C5667">
              <w:rPr>
                <w:b/>
              </w:rPr>
              <w:t>Benefits</w:t>
            </w:r>
          </w:p>
        </w:tc>
        <w:tc>
          <w:tcPr>
            <w:tcW w:w="2500" w:type="pct"/>
          </w:tcPr>
          <w:p w14:paraId="50C3AD50" w14:textId="77777777" w:rsidR="00F57E6C" w:rsidRPr="004C5667" w:rsidRDefault="00F57E6C" w:rsidP="002D1BD3">
            <w:pPr>
              <w:spacing w:after="0"/>
            </w:pPr>
          </w:p>
        </w:tc>
      </w:tr>
      <w:tr w:rsidR="00F57E6C" w:rsidRPr="004C5667" w14:paraId="159724B3" w14:textId="77777777" w:rsidTr="002D1BD3">
        <w:tc>
          <w:tcPr>
            <w:tcW w:w="2500" w:type="pct"/>
          </w:tcPr>
          <w:p w14:paraId="14A5D5FE" w14:textId="77777777" w:rsidR="00F57E6C" w:rsidRPr="004C5667" w:rsidRDefault="00F57E6C" w:rsidP="002D1BD3">
            <w:pPr>
              <w:spacing w:after="0"/>
            </w:pPr>
            <w:r w:rsidRPr="004C5667">
              <w:t>Carbon savings</w:t>
            </w:r>
          </w:p>
        </w:tc>
        <w:tc>
          <w:tcPr>
            <w:tcW w:w="2500" w:type="pct"/>
          </w:tcPr>
          <w:p w14:paraId="390F28A5" w14:textId="4BEB925F" w:rsidR="00F57E6C" w:rsidRPr="004C5667" w:rsidRDefault="00F57E6C" w:rsidP="008D585C">
            <w:pPr>
              <w:spacing w:after="0"/>
            </w:pPr>
            <w:r>
              <w:t>£</w:t>
            </w:r>
            <w:r w:rsidR="008D585C">
              <w:t>438,951,300</w:t>
            </w:r>
          </w:p>
        </w:tc>
      </w:tr>
      <w:tr w:rsidR="00F57E6C" w:rsidRPr="004C5667" w14:paraId="1E264EA3" w14:textId="77777777" w:rsidTr="002D1BD3">
        <w:tc>
          <w:tcPr>
            <w:tcW w:w="2500" w:type="pct"/>
          </w:tcPr>
          <w:p w14:paraId="6267A9F0" w14:textId="77777777" w:rsidR="00F57E6C" w:rsidRPr="004C5667" w:rsidRDefault="00F57E6C" w:rsidP="002D1BD3">
            <w:pPr>
              <w:spacing w:after="0"/>
            </w:pPr>
            <w:r>
              <w:t>Productivity benefits</w:t>
            </w:r>
          </w:p>
        </w:tc>
        <w:tc>
          <w:tcPr>
            <w:tcW w:w="2500" w:type="pct"/>
          </w:tcPr>
          <w:p w14:paraId="3DEF3DE5" w14:textId="490A1E2B" w:rsidR="00F57E6C" w:rsidRPr="004C5667" w:rsidRDefault="001F0326">
            <w:pPr>
              <w:spacing w:after="0"/>
            </w:pPr>
            <w:r>
              <w:t>£</w:t>
            </w:r>
            <w:r w:rsidR="008D585C">
              <w:t>32,365,400</w:t>
            </w:r>
          </w:p>
        </w:tc>
      </w:tr>
      <w:tr w:rsidR="00F57E6C" w:rsidRPr="004C5667" w14:paraId="13B49129" w14:textId="77777777" w:rsidTr="002D1BD3">
        <w:trPr>
          <w:trHeight w:val="265"/>
        </w:trPr>
        <w:tc>
          <w:tcPr>
            <w:tcW w:w="2500" w:type="pct"/>
          </w:tcPr>
          <w:p w14:paraId="3EA391E4" w14:textId="77777777" w:rsidR="00F57E6C" w:rsidRPr="004C5667" w:rsidRDefault="00F57E6C" w:rsidP="002D1BD3">
            <w:pPr>
              <w:spacing w:after="0"/>
            </w:pPr>
            <w:r w:rsidRPr="004C5667">
              <w:t>Ecosystem services</w:t>
            </w:r>
          </w:p>
        </w:tc>
        <w:tc>
          <w:tcPr>
            <w:tcW w:w="2500" w:type="pct"/>
          </w:tcPr>
          <w:p w14:paraId="2420A708" w14:textId="3DD9D023" w:rsidR="00F57E6C" w:rsidRPr="004C5667" w:rsidRDefault="002D1BD3">
            <w:pPr>
              <w:spacing w:after="0"/>
            </w:pPr>
            <w:r>
              <w:t>£</w:t>
            </w:r>
            <w:r w:rsidR="008D585C">
              <w:t>146,861,900</w:t>
            </w:r>
          </w:p>
        </w:tc>
      </w:tr>
      <w:tr w:rsidR="00F57E6C" w:rsidRPr="004C5667" w14:paraId="2C29B1E8" w14:textId="77777777" w:rsidTr="002D1BD3">
        <w:tc>
          <w:tcPr>
            <w:tcW w:w="2500" w:type="pct"/>
          </w:tcPr>
          <w:p w14:paraId="11318EAA" w14:textId="77777777" w:rsidR="00F57E6C" w:rsidRPr="004C5667" w:rsidRDefault="00F57E6C" w:rsidP="002D1BD3">
            <w:pPr>
              <w:spacing w:after="0"/>
              <w:rPr>
                <w:b/>
              </w:rPr>
            </w:pPr>
            <w:r w:rsidRPr="004C5667">
              <w:rPr>
                <w:b/>
              </w:rPr>
              <w:t>Present Value Total Benefits</w:t>
            </w:r>
          </w:p>
        </w:tc>
        <w:tc>
          <w:tcPr>
            <w:tcW w:w="2500" w:type="pct"/>
          </w:tcPr>
          <w:p w14:paraId="353ACF26" w14:textId="58E5FCFE" w:rsidR="00F57E6C" w:rsidRPr="004C5667" w:rsidRDefault="00F57E6C">
            <w:pPr>
              <w:spacing w:after="0"/>
            </w:pPr>
            <w:r w:rsidRPr="004C5667">
              <w:rPr>
                <w:b/>
              </w:rPr>
              <w:t>£</w:t>
            </w:r>
            <w:r w:rsidR="008D585C">
              <w:rPr>
                <w:b/>
              </w:rPr>
              <w:t>618,178,600</w:t>
            </w:r>
          </w:p>
        </w:tc>
      </w:tr>
      <w:tr w:rsidR="00F57E6C" w:rsidRPr="004C5667" w14:paraId="7D409A59" w14:textId="77777777" w:rsidTr="002D1BD3">
        <w:tc>
          <w:tcPr>
            <w:tcW w:w="2500" w:type="pct"/>
          </w:tcPr>
          <w:p w14:paraId="569AE799" w14:textId="77777777" w:rsidR="00F57E6C" w:rsidRPr="004C5667" w:rsidRDefault="00F57E6C" w:rsidP="002D1BD3">
            <w:pPr>
              <w:spacing w:after="0"/>
              <w:rPr>
                <w:b/>
              </w:rPr>
            </w:pPr>
            <w:r w:rsidRPr="004C5667">
              <w:rPr>
                <w:b/>
              </w:rPr>
              <w:t>NPV</w:t>
            </w:r>
          </w:p>
        </w:tc>
        <w:tc>
          <w:tcPr>
            <w:tcW w:w="2500" w:type="pct"/>
          </w:tcPr>
          <w:p w14:paraId="0FB3BC04" w14:textId="5C489813" w:rsidR="00F57E6C" w:rsidRPr="004C5667" w:rsidRDefault="00F57E6C" w:rsidP="008D585C">
            <w:pPr>
              <w:spacing w:after="0"/>
            </w:pPr>
            <w:r w:rsidRPr="004C5667">
              <w:rPr>
                <w:b/>
              </w:rPr>
              <w:t>£</w:t>
            </w:r>
            <w:r w:rsidR="008D585C">
              <w:rPr>
                <w:b/>
              </w:rPr>
              <w:t>535,274,700</w:t>
            </w:r>
          </w:p>
        </w:tc>
      </w:tr>
      <w:tr w:rsidR="00F57E6C" w:rsidRPr="004C5667" w14:paraId="32C0FBF9" w14:textId="77777777" w:rsidTr="002D1BD3">
        <w:tc>
          <w:tcPr>
            <w:tcW w:w="2500" w:type="pct"/>
          </w:tcPr>
          <w:p w14:paraId="326E51AD" w14:textId="77777777" w:rsidR="00F57E6C" w:rsidRPr="00AA4789" w:rsidRDefault="00F57E6C" w:rsidP="002D1BD3">
            <w:pPr>
              <w:spacing w:after="0"/>
              <w:rPr>
                <w:b/>
              </w:rPr>
            </w:pPr>
            <w:r w:rsidRPr="00AA4789">
              <w:rPr>
                <w:b/>
              </w:rPr>
              <w:t>BCR</w:t>
            </w:r>
          </w:p>
        </w:tc>
        <w:tc>
          <w:tcPr>
            <w:tcW w:w="2500" w:type="pct"/>
          </w:tcPr>
          <w:p w14:paraId="4D4031BD" w14:textId="2EE9D052" w:rsidR="00F57E6C" w:rsidRPr="00240011" w:rsidRDefault="008D585C" w:rsidP="002D1BD3">
            <w:pPr>
              <w:keepNext/>
              <w:spacing w:after="0"/>
              <w:rPr>
                <w:b/>
              </w:rPr>
            </w:pPr>
            <w:r>
              <w:rPr>
                <w:b/>
              </w:rPr>
              <w:t>7.5</w:t>
            </w:r>
          </w:p>
        </w:tc>
      </w:tr>
    </w:tbl>
    <w:p w14:paraId="49C949FA" w14:textId="2278E54A" w:rsidR="002D1BD3" w:rsidRPr="0061240F" w:rsidRDefault="002D1BD3" w:rsidP="002D1BD3">
      <w:pPr>
        <w:rPr>
          <w:sz w:val="20"/>
          <w:szCs w:val="20"/>
          <w:lang w:eastAsia="en-US"/>
        </w:rPr>
      </w:pPr>
      <w:r w:rsidRPr="0061240F">
        <w:rPr>
          <w:sz w:val="20"/>
          <w:szCs w:val="20"/>
          <w:lang w:eastAsia="en-US"/>
        </w:rPr>
        <w:t>*</w:t>
      </w:r>
      <w:r>
        <w:rPr>
          <w:sz w:val="20"/>
          <w:szCs w:val="20"/>
          <w:lang w:eastAsia="en-US"/>
        </w:rPr>
        <w:t>In</w:t>
      </w:r>
      <w:r w:rsidRPr="0061240F">
        <w:rPr>
          <w:sz w:val="20"/>
          <w:szCs w:val="20"/>
          <w:lang w:eastAsia="en-US"/>
        </w:rPr>
        <w:t>crease due to modelled exchange rate fluctuations</w:t>
      </w:r>
    </w:p>
    <w:p w14:paraId="273A1976" w14:textId="35805E7A" w:rsidR="00AD63EB" w:rsidRPr="00AD63EB" w:rsidRDefault="003D218A" w:rsidP="00AD63EB">
      <w:pPr>
        <w:rPr>
          <w:lang w:eastAsia="en-US"/>
        </w:rPr>
      </w:pPr>
      <w:r>
        <w:rPr>
          <w:lang w:eastAsia="en-US"/>
        </w:rPr>
        <w:t xml:space="preserve">A significant increase in the value of carbon savings </w:t>
      </w:r>
      <w:r w:rsidR="004C6C46">
        <w:rPr>
          <w:lang w:eastAsia="en-US"/>
        </w:rPr>
        <w:t xml:space="preserve">and ecosystem service benefits, driven primarily by the increase in the additionality rating from 50% to 75%, </w:t>
      </w:r>
      <w:r>
        <w:rPr>
          <w:lang w:eastAsia="en-US"/>
        </w:rPr>
        <w:t>is offset</w:t>
      </w:r>
      <w:r w:rsidR="004C6C46">
        <w:rPr>
          <w:lang w:eastAsia="en-US"/>
        </w:rPr>
        <w:t xml:space="preserve"> to an extent</w:t>
      </w:r>
      <w:r>
        <w:rPr>
          <w:lang w:eastAsia="en-US"/>
        </w:rPr>
        <w:t xml:space="preserve"> by the </w:t>
      </w:r>
      <w:r w:rsidR="00B469C8">
        <w:rPr>
          <w:lang w:eastAsia="en-US"/>
        </w:rPr>
        <w:t>increase in leveraging</w:t>
      </w:r>
      <w:r w:rsidR="004C6C46">
        <w:rPr>
          <w:lang w:eastAsia="en-US"/>
        </w:rPr>
        <w:t xml:space="preserve"> costs</w:t>
      </w:r>
      <w:r>
        <w:rPr>
          <w:lang w:eastAsia="en-US"/>
        </w:rPr>
        <w:t xml:space="preserve">. </w:t>
      </w:r>
      <w:r w:rsidR="004C6C46">
        <w:rPr>
          <w:lang w:eastAsia="en-US"/>
        </w:rPr>
        <w:t>Both</w:t>
      </w:r>
      <w:r w:rsidDel="004C6C46">
        <w:rPr>
          <w:lang w:eastAsia="en-US"/>
        </w:rPr>
        <w:t xml:space="preserve"> </w:t>
      </w:r>
      <w:r>
        <w:rPr>
          <w:lang w:eastAsia="en-US"/>
        </w:rPr>
        <w:t xml:space="preserve">the NPV </w:t>
      </w:r>
      <w:r w:rsidR="004C6C46">
        <w:rPr>
          <w:lang w:eastAsia="en-US"/>
        </w:rPr>
        <w:t xml:space="preserve">and BCR </w:t>
      </w:r>
      <w:r>
        <w:rPr>
          <w:lang w:eastAsia="en-US"/>
        </w:rPr>
        <w:t>rise considerably from the central scenario</w:t>
      </w:r>
      <w:r w:rsidDel="004C6C46">
        <w:rPr>
          <w:lang w:eastAsia="en-US"/>
        </w:rPr>
        <w:t>.</w:t>
      </w:r>
    </w:p>
    <w:p w14:paraId="1C88FD67" w14:textId="6A4C576A" w:rsidR="00B20B55" w:rsidRPr="00F57E6C" w:rsidRDefault="00F57E6C" w:rsidP="00F57E6C">
      <w:pPr>
        <w:pStyle w:val="Heading2"/>
      </w:pPr>
      <w:bookmarkStart w:id="107" w:name="_Toc527027998"/>
      <w:r>
        <w:rPr>
          <w:noProof/>
          <w:lang w:eastAsia="en-GB"/>
        </w:rPr>
        <w:lastRenderedPageBreak/>
        <w:drawing>
          <wp:anchor distT="0" distB="0" distL="114300" distR="114300" simplePos="0" relativeHeight="251658243" behindDoc="0" locked="0" layoutInCell="1" allowOverlap="1" wp14:anchorId="20BC54E3" wp14:editId="17C782E1">
            <wp:simplePos x="0" y="0"/>
            <wp:positionH relativeFrom="margin">
              <wp:posOffset>-497840</wp:posOffset>
            </wp:positionH>
            <wp:positionV relativeFrom="paragraph">
              <wp:posOffset>466090</wp:posOffset>
            </wp:positionV>
            <wp:extent cx="6760845" cy="6193155"/>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B ToC.png"/>
                    <pic:cNvPicPr/>
                  </pic:nvPicPr>
                  <pic:blipFill>
                    <a:blip r:embed="rId45">
                      <a:extLst>
                        <a:ext uri="{28A0092B-C50C-407E-A947-70E740481C1C}">
                          <a14:useLocalDpi xmlns:a14="http://schemas.microsoft.com/office/drawing/2010/main" val="0"/>
                        </a:ext>
                      </a:extLst>
                    </a:blip>
                    <a:stretch>
                      <a:fillRect/>
                    </a:stretch>
                  </pic:blipFill>
                  <pic:spPr>
                    <a:xfrm>
                      <a:off x="0" y="0"/>
                      <a:ext cx="6760845" cy="6193155"/>
                    </a:xfrm>
                    <a:prstGeom prst="rect">
                      <a:avLst/>
                    </a:prstGeom>
                  </pic:spPr>
                </pic:pic>
              </a:graphicData>
            </a:graphic>
          </wp:anchor>
        </w:drawing>
      </w:r>
      <w:r w:rsidR="00BB1802">
        <w:t>Theory of Change – IDB</w:t>
      </w:r>
      <w:bookmarkEnd w:id="107"/>
      <w:r w:rsidR="00B20B55">
        <w:br w:type="page"/>
      </w:r>
    </w:p>
    <w:p w14:paraId="7651756C" w14:textId="77777777" w:rsidR="00B20B55" w:rsidRDefault="00B20B55" w:rsidP="00BB1802">
      <w:pPr>
        <w:pStyle w:val="Heading2"/>
        <w:sectPr w:rsidR="00B20B55" w:rsidSect="00551B36">
          <w:headerReference w:type="default" r:id="rId46"/>
          <w:footerReference w:type="default" r:id="rId47"/>
          <w:pgSz w:w="11906" w:h="16838"/>
          <w:pgMar w:top="1418" w:right="1247" w:bottom="1247" w:left="1247" w:header="709" w:footer="709" w:gutter="0"/>
          <w:cols w:space="708"/>
          <w:docGrid w:linePitch="360"/>
        </w:sectPr>
      </w:pPr>
    </w:p>
    <w:p w14:paraId="30C36A86" w14:textId="548102B3" w:rsidR="00BB1802" w:rsidRDefault="00BB1802" w:rsidP="00BB1802">
      <w:pPr>
        <w:pStyle w:val="Heading2"/>
      </w:pPr>
      <w:bookmarkStart w:id="108" w:name="_Toc527027999"/>
      <w:r>
        <w:lastRenderedPageBreak/>
        <w:t>Theory of Change – SMF</w:t>
      </w:r>
      <w:bookmarkEnd w:id="108"/>
    </w:p>
    <w:p w14:paraId="65BEE693" w14:textId="16395140" w:rsidR="00B20B55" w:rsidRPr="00B20B55" w:rsidRDefault="00B20B55" w:rsidP="00B20B55">
      <w:pPr>
        <w:rPr>
          <w:lang w:eastAsia="en-US"/>
        </w:rPr>
      </w:pPr>
      <w:r>
        <w:rPr>
          <w:noProof/>
        </w:rPr>
        <w:drawing>
          <wp:anchor distT="0" distB="0" distL="114300" distR="114300" simplePos="0" relativeHeight="251658244" behindDoc="0" locked="0" layoutInCell="1" allowOverlap="1" wp14:anchorId="3C1EFADF" wp14:editId="54525065">
            <wp:simplePos x="0" y="0"/>
            <wp:positionH relativeFrom="margin">
              <wp:align>center</wp:align>
            </wp:positionH>
            <wp:positionV relativeFrom="paragraph">
              <wp:posOffset>6721</wp:posOffset>
            </wp:positionV>
            <wp:extent cx="7806906" cy="5553255"/>
            <wp:effectExtent l="0" t="0" r="381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F ToC.png"/>
                    <pic:cNvPicPr/>
                  </pic:nvPicPr>
                  <pic:blipFill>
                    <a:blip r:embed="rId48">
                      <a:extLst>
                        <a:ext uri="{28A0092B-C50C-407E-A947-70E740481C1C}">
                          <a14:useLocalDpi xmlns:a14="http://schemas.microsoft.com/office/drawing/2010/main" val="0"/>
                        </a:ext>
                      </a:extLst>
                    </a:blip>
                    <a:stretch>
                      <a:fillRect/>
                    </a:stretch>
                  </pic:blipFill>
                  <pic:spPr>
                    <a:xfrm>
                      <a:off x="0" y="0"/>
                      <a:ext cx="7806906" cy="5553255"/>
                    </a:xfrm>
                    <a:prstGeom prst="rect">
                      <a:avLst/>
                    </a:prstGeom>
                  </pic:spPr>
                </pic:pic>
              </a:graphicData>
            </a:graphic>
          </wp:anchor>
        </w:drawing>
      </w:r>
    </w:p>
    <w:p w14:paraId="38858EF8" w14:textId="77777777" w:rsidR="00B20B55" w:rsidRDefault="00B20B55" w:rsidP="00BB1802">
      <w:pPr>
        <w:pStyle w:val="Heading2"/>
        <w:sectPr w:rsidR="00B20B55" w:rsidSect="00B20B55">
          <w:pgSz w:w="16838" w:h="11906" w:orient="landscape"/>
          <w:pgMar w:top="1247" w:right="1418" w:bottom="1247" w:left="1247" w:header="709" w:footer="709" w:gutter="0"/>
          <w:cols w:space="708"/>
          <w:docGrid w:linePitch="360"/>
        </w:sectPr>
      </w:pPr>
    </w:p>
    <w:p w14:paraId="711EEA5A" w14:textId="44382238" w:rsidR="00BB1802" w:rsidRDefault="00BB1802" w:rsidP="00BB1802">
      <w:pPr>
        <w:pStyle w:val="Heading2"/>
      </w:pPr>
      <w:bookmarkStart w:id="109" w:name="_Toc527028000"/>
      <w:r>
        <w:lastRenderedPageBreak/>
        <w:t>IDB Detailed Drawdown Schedule and Budget</w:t>
      </w:r>
      <w:bookmarkEnd w:id="109"/>
    </w:p>
    <w:p w14:paraId="461D02C7" w14:textId="2454B85D" w:rsidR="006A3A1F" w:rsidRDefault="00331093" w:rsidP="006A3A1F">
      <w:pPr>
        <w:rPr>
          <w:lang w:eastAsia="en-US"/>
        </w:rPr>
        <w:sectPr w:rsidR="006A3A1F" w:rsidSect="006A3A1F">
          <w:pgSz w:w="16838" w:h="11906" w:orient="landscape"/>
          <w:pgMar w:top="1247" w:right="1418" w:bottom="1247" w:left="1247" w:header="709" w:footer="709" w:gutter="0"/>
          <w:cols w:space="708"/>
          <w:docGrid w:linePitch="360"/>
        </w:sectPr>
      </w:pPr>
      <w:r>
        <w:rPr>
          <w:noProof/>
        </w:rPr>
        <w:drawing>
          <wp:inline distT="0" distB="0" distL="0" distR="0" wp14:anchorId="61318599" wp14:editId="67CD37E3">
            <wp:extent cx="8999855" cy="423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ailed budget and drawdown.png"/>
                    <pic:cNvPicPr/>
                  </pic:nvPicPr>
                  <pic:blipFill>
                    <a:blip r:embed="rId49">
                      <a:extLst>
                        <a:ext uri="{28A0092B-C50C-407E-A947-70E740481C1C}">
                          <a14:useLocalDpi xmlns:a14="http://schemas.microsoft.com/office/drawing/2010/main" val="0"/>
                        </a:ext>
                      </a:extLst>
                    </a:blip>
                    <a:stretch>
                      <a:fillRect/>
                    </a:stretch>
                  </pic:blipFill>
                  <pic:spPr>
                    <a:xfrm>
                      <a:off x="0" y="0"/>
                      <a:ext cx="8999855" cy="4235450"/>
                    </a:xfrm>
                    <a:prstGeom prst="rect">
                      <a:avLst/>
                    </a:prstGeom>
                  </pic:spPr>
                </pic:pic>
              </a:graphicData>
            </a:graphic>
          </wp:inline>
        </w:drawing>
      </w:r>
    </w:p>
    <w:p w14:paraId="06EAC8D2" w14:textId="5ECBAF23" w:rsidR="00A50E66" w:rsidRDefault="00A50E66" w:rsidP="00AC7642">
      <w:pPr>
        <w:pStyle w:val="Heading2"/>
      </w:pPr>
      <w:bookmarkStart w:id="110" w:name="_Toc527028001"/>
      <w:r>
        <w:lastRenderedPageBreak/>
        <w:t>Choice Matrix for ICF Mangroves Program Delivery Mechanism</w:t>
      </w:r>
      <w:bookmarkEnd w:id="110"/>
    </w:p>
    <w:tbl>
      <w:tblPr>
        <w:tblW w:w="12723" w:type="dxa"/>
        <w:jc w:val="center"/>
        <w:tblLook w:val="04A0" w:firstRow="1" w:lastRow="0" w:firstColumn="1" w:lastColumn="0" w:noHBand="0" w:noVBand="1"/>
      </w:tblPr>
      <w:tblGrid>
        <w:gridCol w:w="2159"/>
        <w:gridCol w:w="1904"/>
        <w:gridCol w:w="1905"/>
        <w:gridCol w:w="2107"/>
        <w:gridCol w:w="1985"/>
        <w:gridCol w:w="1623"/>
        <w:gridCol w:w="1040"/>
      </w:tblGrid>
      <w:tr w:rsidR="00AC7642" w:rsidRPr="00A50E66" w14:paraId="6E9CD9EA" w14:textId="77777777" w:rsidTr="00AC7642">
        <w:trPr>
          <w:trHeight w:val="600"/>
          <w:jc w:val="center"/>
        </w:trPr>
        <w:tc>
          <w:tcPr>
            <w:tcW w:w="21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3BEB73" w14:textId="77777777" w:rsidR="00A50E66" w:rsidRPr="00A50E66" w:rsidRDefault="00A50E66" w:rsidP="00A50E66">
            <w:pPr>
              <w:spacing w:after="0" w:line="240" w:lineRule="auto"/>
              <w:jc w:val="center"/>
              <w:rPr>
                <w:rFonts w:eastAsia="Times New Roman"/>
                <w:color w:val="000000"/>
              </w:rPr>
            </w:pPr>
            <w:r w:rsidRPr="00A50E66">
              <w:rPr>
                <w:rFonts w:eastAsia="Times New Roman"/>
                <w:color w:val="000000"/>
              </w:rPr>
              <w:t> </w:t>
            </w:r>
          </w:p>
        </w:tc>
        <w:tc>
          <w:tcPr>
            <w:tcW w:w="1904" w:type="dxa"/>
            <w:tcBorders>
              <w:top w:val="single" w:sz="4" w:space="0" w:color="auto"/>
              <w:left w:val="nil"/>
              <w:bottom w:val="single" w:sz="4" w:space="0" w:color="auto"/>
              <w:right w:val="single" w:sz="4" w:space="0" w:color="auto"/>
            </w:tcBorders>
            <w:shd w:val="clear" w:color="000000" w:fill="DDEBF7"/>
            <w:vAlign w:val="center"/>
            <w:hideMark/>
          </w:tcPr>
          <w:p w14:paraId="54C46734" w14:textId="5ED6F852" w:rsidR="00A50E66" w:rsidRPr="00A50E66" w:rsidRDefault="001622A5" w:rsidP="00A50E66">
            <w:pPr>
              <w:spacing w:after="0" w:line="240" w:lineRule="auto"/>
              <w:jc w:val="center"/>
              <w:rPr>
                <w:rFonts w:eastAsia="Times New Roman"/>
                <w:b/>
                <w:bCs/>
                <w:color w:val="000000"/>
              </w:rPr>
            </w:pPr>
            <w:r>
              <w:rPr>
                <w:rFonts w:eastAsia="Times New Roman"/>
                <w:b/>
                <w:bCs/>
                <w:color w:val="000000"/>
              </w:rPr>
              <w:t>Capacity to Absorb Finance</w:t>
            </w:r>
          </w:p>
        </w:tc>
        <w:tc>
          <w:tcPr>
            <w:tcW w:w="1905" w:type="dxa"/>
            <w:tcBorders>
              <w:top w:val="single" w:sz="4" w:space="0" w:color="auto"/>
              <w:left w:val="nil"/>
              <w:bottom w:val="single" w:sz="4" w:space="0" w:color="auto"/>
              <w:right w:val="single" w:sz="4" w:space="0" w:color="auto"/>
            </w:tcBorders>
            <w:shd w:val="clear" w:color="000000" w:fill="DDEBF7"/>
            <w:vAlign w:val="center"/>
            <w:hideMark/>
          </w:tcPr>
          <w:p w14:paraId="0DB81A39" w14:textId="77777777" w:rsidR="00A50E66" w:rsidRPr="00A50E66" w:rsidRDefault="00A50E66" w:rsidP="00A50E66">
            <w:pPr>
              <w:spacing w:after="0" w:line="240" w:lineRule="auto"/>
              <w:jc w:val="center"/>
              <w:rPr>
                <w:rFonts w:eastAsia="Times New Roman"/>
                <w:b/>
                <w:bCs/>
                <w:color w:val="000000"/>
              </w:rPr>
            </w:pPr>
            <w:r w:rsidRPr="00A50E66">
              <w:rPr>
                <w:rFonts w:eastAsia="Times New Roman"/>
                <w:b/>
                <w:bCs/>
                <w:color w:val="000000"/>
              </w:rPr>
              <w:t>Organisational Delivery Capacity</w:t>
            </w:r>
          </w:p>
        </w:tc>
        <w:tc>
          <w:tcPr>
            <w:tcW w:w="2107" w:type="dxa"/>
            <w:tcBorders>
              <w:top w:val="single" w:sz="4" w:space="0" w:color="auto"/>
              <w:left w:val="nil"/>
              <w:bottom w:val="single" w:sz="4" w:space="0" w:color="auto"/>
              <w:right w:val="single" w:sz="4" w:space="0" w:color="auto"/>
            </w:tcBorders>
            <w:shd w:val="clear" w:color="000000" w:fill="DDEBF7"/>
            <w:vAlign w:val="center"/>
            <w:hideMark/>
          </w:tcPr>
          <w:p w14:paraId="6AD2B87F" w14:textId="77777777" w:rsidR="00A50E66" w:rsidRPr="00A50E66" w:rsidRDefault="00A50E66" w:rsidP="00A50E66">
            <w:pPr>
              <w:spacing w:after="0" w:line="240" w:lineRule="auto"/>
              <w:jc w:val="center"/>
              <w:rPr>
                <w:rFonts w:eastAsia="Times New Roman"/>
                <w:b/>
                <w:bCs/>
                <w:color w:val="000000"/>
              </w:rPr>
            </w:pPr>
            <w:r w:rsidRPr="00A50E66">
              <w:rPr>
                <w:rFonts w:eastAsia="Times New Roman"/>
                <w:b/>
                <w:bCs/>
                <w:color w:val="000000"/>
              </w:rPr>
              <w:t>Experience of working with HMG</w:t>
            </w:r>
          </w:p>
        </w:tc>
        <w:tc>
          <w:tcPr>
            <w:tcW w:w="1985" w:type="dxa"/>
            <w:tcBorders>
              <w:top w:val="single" w:sz="4" w:space="0" w:color="auto"/>
              <w:left w:val="nil"/>
              <w:bottom w:val="single" w:sz="4" w:space="0" w:color="auto"/>
              <w:right w:val="single" w:sz="4" w:space="0" w:color="auto"/>
            </w:tcBorders>
            <w:shd w:val="clear" w:color="000000" w:fill="DDEBF7"/>
            <w:vAlign w:val="center"/>
            <w:hideMark/>
          </w:tcPr>
          <w:p w14:paraId="30FCDE64" w14:textId="77777777" w:rsidR="00A50E66" w:rsidRPr="00A50E66" w:rsidRDefault="00A50E66" w:rsidP="00A50E66">
            <w:pPr>
              <w:spacing w:after="0" w:line="240" w:lineRule="auto"/>
              <w:jc w:val="center"/>
              <w:rPr>
                <w:rFonts w:eastAsia="Times New Roman"/>
                <w:b/>
                <w:bCs/>
                <w:color w:val="000000"/>
              </w:rPr>
            </w:pPr>
            <w:r w:rsidRPr="00A50E66">
              <w:rPr>
                <w:rFonts w:eastAsia="Times New Roman"/>
                <w:b/>
                <w:bCs/>
                <w:color w:val="000000"/>
              </w:rPr>
              <w:t>In-country presence</w:t>
            </w:r>
          </w:p>
        </w:tc>
        <w:tc>
          <w:tcPr>
            <w:tcW w:w="1623" w:type="dxa"/>
            <w:tcBorders>
              <w:top w:val="single" w:sz="4" w:space="0" w:color="auto"/>
              <w:left w:val="nil"/>
              <w:bottom w:val="single" w:sz="4" w:space="0" w:color="auto"/>
              <w:right w:val="single" w:sz="4" w:space="0" w:color="auto"/>
            </w:tcBorders>
            <w:shd w:val="clear" w:color="000000" w:fill="DDEBF7"/>
            <w:vAlign w:val="center"/>
            <w:hideMark/>
          </w:tcPr>
          <w:p w14:paraId="6FEC7EB6" w14:textId="77777777" w:rsidR="00A50E66" w:rsidRPr="00A50E66" w:rsidRDefault="00A50E66" w:rsidP="00A50E66">
            <w:pPr>
              <w:spacing w:after="0" w:line="240" w:lineRule="auto"/>
              <w:jc w:val="center"/>
              <w:rPr>
                <w:rFonts w:eastAsia="Times New Roman"/>
                <w:b/>
                <w:bCs/>
                <w:color w:val="000000"/>
              </w:rPr>
            </w:pPr>
            <w:r w:rsidRPr="00A50E66">
              <w:rPr>
                <w:rFonts w:eastAsia="Times New Roman"/>
                <w:b/>
                <w:bCs/>
                <w:color w:val="000000"/>
              </w:rPr>
              <w:t>Operational costs</w:t>
            </w:r>
          </w:p>
        </w:tc>
        <w:tc>
          <w:tcPr>
            <w:tcW w:w="1040" w:type="dxa"/>
            <w:tcBorders>
              <w:top w:val="single" w:sz="4" w:space="0" w:color="auto"/>
              <w:left w:val="nil"/>
              <w:bottom w:val="single" w:sz="4" w:space="0" w:color="auto"/>
              <w:right w:val="single" w:sz="4" w:space="0" w:color="auto"/>
            </w:tcBorders>
            <w:shd w:val="clear" w:color="000000" w:fill="DDEBF7"/>
            <w:noWrap/>
            <w:vAlign w:val="center"/>
            <w:hideMark/>
          </w:tcPr>
          <w:p w14:paraId="5EC60AE5" w14:textId="77777777" w:rsidR="00A50E66" w:rsidRPr="00A50E66" w:rsidRDefault="00A50E66" w:rsidP="00A50E66">
            <w:pPr>
              <w:spacing w:after="0" w:line="240" w:lineRule="auto"/>
              <w:jc w:val="center"/>
              <w:rPr>
                <w:rFonts w:eastAsia="Times New Roman"/>
                <w:b/>
                <w:bCs/>
                <w:color w:val="000000"/>
              </w:rPr>
            </w:pPr>
            <w:r w:rsidRPr="00A50E66">
              <w:rPr>
                <w:rFonts w:eastAsia="Times New Roman"/>
                <w:b/>
                <w:bCs/>
                <w:color w:val="000000"/>
              </w:rPr>
              <w:t>Score</w:t>
            </w:r>
          </w:p>
        </w:tc>
      </w:tr>
      <w:tr w:rsidR="00AC7642" w:rsidRPr="00A50E66" w14:paraId="60053BDC" w14:textId="77777777" w:rsidTr="00AC7642">
        <w:trPr>
          <w:trHeight w:val="300"/>
          <w:jc w:val="center"/>
        </w:trPr>
        <w:tc>
          <w:tcPr>
            <w:tcW w:w="2159" w:type="dxa"/>
            <w:tcBorders>
              <w:top w:val="nil"/>
              <w:left w:val="single" w:sz="4" w:space="0" w:color="auto"/>
              <w:bottom w:val="single" w:sz="4" w:space="0" w:color="auto"/>
              <w:right w:val="single" w:sz="4" w:space="0" w:color="auto"/>
            </w:tcBorders>
            <w:shd w:val="clear" w:color="000000" w:fill="FFFFFF"/>
            <w:vAlign w:val="center"/>
            <w:hideMark/>
          </w:tcPr>
          <w:p w14:paraId="1260E756" w14:textId="77777777" w:rsidR="00A50E66" w:rsidRPr="00A50E66" w:rsidRDefault="00A50E66" w:rsidP="00A50E66">
            <w:pPr>
              <w:spacing w:after="0" w:line="240" w:lineRule="auto"/>
              <w:jc w:val="center"/>
              <w:rPr>
                <w:rFonts w:eastAsia="Times New Roman"/>
                <w:b/>
                <w:bCs/>
                <w:color w:val="000000"/>
              </w:rPr>
            </w:pPr>
            <w:r w:rsidRPr="00A50E66">
              <w:rPr>
                <w:rFonts w:eastAsia="Times New Roman"/>
                <w:b/>
                <w:bCs/>
                <w:color w:val="000000"/>
              </w:rPr>
              <w:t>Weighting</w:t>
            </w:r>
          </w:p>
        </w:tc>
        <w:tc>
          <w:tcPr>
            <w:tcW w:w="1904" w:type="dxa"/>
            <w:tcBorders>
              <w:top w:val="nil"/>
              <w:left w:val="nil"/>
              <w:bottom w:val="single" w:sz="4" w:space="0" w:color="auto"/>
              <w:right w:val="single" w:sz="4" w:space="0" w:color="auto"/>
            </w:tcBorders>
            <w:shd w:val="clear" w:color="000000" w:fill="DDEBF7"/>
            <w:vAlign w:val="center"/>
            <w:hideMark/>
          </w:tcPr>
          <w:p w14:paraId="2A979580" w14:textId="77777777" w:rsidR="00A50E66" w:rsidRPr="00A50E66" w:rsidRDefault="00A50E66" w:rsidP="00A50E66">
            <w:pPr>
              <w:spacing w:after="0" w:line="240" w:lineRule="auto"/>
              <w:jc w:val="center"/>
              <w:rPr>
                <w:rFonts w:eastAsia="Times New Roman"/>
                <w:b/>
                <w:bCs/>
                <w:color w:val="000000"/>
              </w:rPr>
            </w:pPr>
            <w:r w:rsidRPr="00A50E66">
              <w:rPr>
                <w:rFonts w:eastAsia="Times New Roman"/>
                <w:b/>
                <w:bCs/>
                <w:color w:val="000000"/>
              </w:rPr>
              <w:t>1.5</w:t>
            </w:r>
          </w:p>
        </w:tc>
        <w:tc>
          <w:tcPr>
            <w:tcW w:w="1905" w:type="dxa"/>
            <w:tcBorders>
              <w:top w:val="nil"/>
              <w:left w:val="nil"/>
              <w:bottom w:val="single" w:sz="4" w:space="0" w:color="auto"/>
              <w:right w:val="single" w:sz="4" w:space="0" w:color="auto"/>
            </w:tcBorders>
            <w:shd w:val="clear" w:color="000000" w:fill="DDEBF7"/>
            <w:vAlign w:val="center"/>
            <w:hideMark/>
          </w:tcPr>
          <w:p w14:paraId="144F1F60" w14:textId="77777777" w:rsidR="00A50E66" w:rsidRPr="00A50E66" w:rsidRDefault="00A50E66" w:rsidP="00A50E66">
            <w:pPr>
              <w:spacing w:after="0" w:line="240" w:lineRule="auto"/>
              <w:jc w:val="center"/>
              <w:rPr>
                <w:rFonts w:eastAsia="Times New Roman"/>
                <w:b/>
                <w:bCs/>
                <w:color w:val="000000"/>
              </w:rPr>
            </w:pPr>
            <w:r w:rsidRPr="00A50E66">
              <w:rPr>
                <w:rFonts w:eastAsia="Times New Roman"/>
                <w:b/>
                <w:bCs/>
                <w:color w:val="000000"/>
              </w:rPr>
              <w:t>1</w:t>
            </w:r>
          </w:p>
        </w:tc>
        <w:tc>
          <w:tcPr>
            <w:tcW w:w="2107" w:type="dxa"/>
            <w:tcBorders>
              <w:top w:val="nil"/>
              <w:left w:val="nil"/>
              <w:bottom w:val="single" w:sz="4" w:space="0" w:color="auto"/>
              <w:right w:val="single" w:sz="4" w:space="0" w:color="auto"/>
            </w:tcBorders>
            <w:shd w:val="clear" w:color="000000" w:fill="DDEBF7"/>
            <w:vAlign w:val="center"/>
            <w:hideMark/>
          </w:tcPr>
          <w:p w14:paraId="3A73717A" w14:textId="77777777" w:rsidR="00A50E66" w:rsidRPr="00A50E66" w:rsidRDefault="00A50E66" w:rsidP="00A50E66">
            <w:pPr>
              <w:spacing w:after="0" w:line="240" w:lineRule="auto"/>
              <w:jc w:val="center"/>
              <w:rPr>
                <w:rFonts w:eastAsia="Times New Roman"/>
                <w:b/>
                <w:bCs/>
                <w:color w:val="000000"/>
              </w:rPr>
            </w:pPr>
            <w:r w:rsidRPr="00A50E66">
              <w:rPr>
                <w:rFonts w:eastAsia="Times New Roman"/>
                <w:b/>
                <w:bCs/>
                <w:color w:val="000000"/>
              </w:rPr>
              <w:t>1</w:t>
            </w:r>
          </w:p>
        </w:tc>
        <w:tc>
          <w:tcPr>
            <w:tcW w:w="1985" w:type="dxa"/>
            <w:tcBorders>
              <w:top w:val="nil"/>
              <w:left w:val="nil"/>
              <w:bottom w:val="single" w:sz="4" w:space="0" w:color="auto"/>
              <w:right w:val="single" w:sz="4" w:space="0" w:color="auto"/>
            </w:tcBorders>
            <w:shd w:val="clear" w:color="000000" w:fill="DDEBF7"/>
            <w:vAlign w:val="center"/>
            <w:hideMark/>
          </w:tcPr>
          <w:p w14:paraId="79D539B9" w14:textId="77777777" w:rsidR="00A50E66" w:rsidRPr="00A50E66" w:rsidRDefault="00A50E66" w:rsidP="00A50E66">
            <w:pPr>
              <w:spacing w:after="0" w:line="240" w:lineRule="auto"/>
              <w:jc w:val="center"/>
              <w:rPr>
                <w:rFonts w:eastAsia="Times New Roman"/>
                <w:b/>
                <w:bCs/>
                <w:color w:val="000000"/>
              </w:rPr>
            </w:pPr>
            <w:r w:rsidRPr="00A50E66">
              <w:rPr>
                <w:rFonts w:eastAsia="Times New Roman"/>
                <w:b/>
                <w:bCs/>
                <w:color w:val="000000"/>
              </w:rPr>
              <w:t>0.5</w:t>
            </w:r>
          </w:p>
        </w:tc>
        <w:tc>
          <w:tcPr>
            <w:tcW w:w="1623" w:type="dxa"/>
            <w:tcBorders>
              <w:top w:val="nil"/>
              <w:left w:val="nil"/>
              <w:bottom w:val="single" w:sz="4" w:space="0" w:color="auto"/>
              <w:right w:val="single" w:sz="4" w:space="0" w:color="auto"/>
            </w:tcBorders>
            <w:shd w:val="clear" w:color="000000" w:fill="DDEBF7"/>
            <w:vAlign w:val="center"/>
            <w:hideMark/>
          </w:tcPr>
          <w:p w14:paraId="04145756" w14:textId="77777777" w:rsidR="00A50E66" w:rsidRPr="00A50E66" w:rsidRDefault="00A50E66" w:rsidP="00A50E66">
            <w:pPr>
              <w:spacing w:after="0" w:line="240" w:lineRule="auto"/>
              <w:jc w:val="center"/>
              <w:rPr>
                <w:rFonts w:eastAsia="Times New Roman"/>
                <w:b/>
                <w:bCs/>
                <w:color w:val="000000"/>
              </w:rPr>
            </w:pPr>
            <w:r w:rsidRPr="00A50E66">
              <w:rPr>
                <w:rFonts w:eastAsia="Times New Roman"/>
                <w:b/>
                <w:bCs/>
                <w:color w:val="000000"/>
              </w:rPr>
              <w:t>1</w:t>
            </w:r>
          </w:p>
        </w:tc>
        <w:tc>
          <w:tcPr>
            <w:tcW w:w="1040" w:type="dxa"/>
            <w:tcBorders>
              <w:top w:val="nil"/>
              <w:left w:val="nil"/>
              <w:bottom w:val="single" w:sz="4" w:space="0" w:color="auto"/>
              <w:right w:val="single" w:sz="4" w:space="0" w:color="auto"/>
            </w:tcBorders>
            <w:shd w:val="clear" w:color="auto" w:fill="F2F2F2" w:themeFill="background1" w:themeFillShade="F2"/>
            <w:noWrap/>
            <w:vAlign w:val="center"/>
            <w:hideMark/>
          </w:tcPr>
          <w:p w14:paraId="1B672BBA" w14:textId="77777777" w:rsidR="00A50E66" w:rsidRPr="00A50E66" w:rsidRDefault="00A50E66" w:rsidP="00A50E66">
            <w:pPr>
              <w:spacing w:after="0" w:line="240" w:lineRule="auto"/>
              <w:jc w:val="center"/>
              <w:rPr>
                <w:rFonts w:eastAsia="Times New Roman"/>
                <w:b/>
                <w:bCs/>
                <w:color w:val="000000"/>
              </w:rPr>
            </w:pPr>
            <w:r w:rsidRPr="00A50E66">
              <w:rPr>
                <w:rFonts w:eastAsia="Times New Roman"/>
                <w:b/>
                <w:bCs/>
                <w:color w:val="000000"/>
              </w:rPr>
              <w:t> </w:t>
            </w:r>
          </w:p>
        </w:tc>
      </w:tr>
      <w:tr w:rsidR="00AC7642" w:rsidRPr="00A50E66" w14:paraId="053EF57E" w14:textId="77777777" w:rsidTr="00AC7642">
        <w:trPr>
          <w:trHeight w:val="300"/>
          <w:jc w:val="center"/>
        </w:trPr>
        <w:tc>
          <w:tcPr>
            <w:tcW w:w="2159" w:type="dxa"/>
            <w:tcBorders>
              <w:top w:val="nil"/>
              <w:left w:val="single" w:sz="4" w:space="0" w:color="auto"/>
              <w:bottom w:val="single" w:sz="4" w:space="0" w:color="auto"/>
              <w:right w:val="single" w:sz="4" w:space="0" w:color="auto"/>
            </w:tcBorders>
            <w:shd w:val="clear" w:color="000000" w:fill="DDEBF7"/>
            <w:vAlign w:val="center"/>
            <w:hideMark/>
          </w:tcPr>
          <w:p w14:paraId="43D65717" w14:textId="77777777" w:rsidR="00A50E66" w:rsidRPr="00A50E66" w:rsidRDefault="00A50E66" w:rsidP="00A50E66">
            <w:pPr>
              <w:spacing w:after="0" w:line="240" w:lineRule="auto"/>
              <w:jc w:val="center"/>
              <w:rPr>
                <w:rFonts w:eastAsia="Times New Roman"/>
                <w:b/>
                <w:bCs/>
                <w:color w:val="000000"/>
              </w:rPr>
            </w:pPr>
            <w:r w:rsidRPr="00A50E66">
              <w:rPr>
                <w:rFonts w:eastAsia="Times New Roman"/>
                <w:b/>
                <w:bCs/>
                <w:color w:val="000000"/>
              </w:rPr>
              <w:t>NGOs</w:t>
            </w:r>
          </w:p>
        </w:tc>
        <w:tc>
          <w:tcPr>
            <w:tcW w:w="1904" w:type="dxa"/>
            <w:tcBorders>
              <w:top w:val="nil"/>
              <w:left w:val="nil"/>
              <w:bottom w:val="single" w:sz="4" w:space="0" w:color="auto"/>
              <w:right w:val="single" w:sz="4" w:space="0" w:color="auto"/>
            </w:tcBorders>
            <w:shd w:val="clear" w:color="auto" w:fill="FF0000"/>
            <w:vAlign w:val="center"/>
            <w:hideMark/>
          </w:tcPr>
          <w:p w14:paraId="10D7E3FA" w14:textId="13B81938" w:rsidR="00A50E66" w:rsidRPr="00AC7642" w:rsidRDefault="00977924" w:rsidP="00A50E66">
            <w:pPr>
              <w:spacing w:after="0" w:line="240" w:lineRule="auto"/>
              <w:jc w:val="center"/>
              <w:rPr>
                <w:rFonts w:eastAsia="Times New Roman"/>
                <w:b/>
                <w:color w:val="000000"/>
              </w:rPr>
            </w:pPr>
            <w:r>
              <w:rPr>
                <w:rFonts w:eastAsia="Times New Roman"/>
                <w:b/>
                <w:color w:val="000000"/>
              </w:rPr>
              <w:t>No capacity to absorb finance through HMG’s preferred structure</w:t>
            </w:r>
          </w:p>
        </w:tc>
        <w:tc>
          <w:tcPr>
            <w:tcW w:w="1905" w:type="dxa"/>
            <w:tcBorders>
              <w:top w:val="nil"/>
              <w:left w:val="nil"/>
              <w:bottom w:val="single" w:sz="4" w:space="0" w:color="auto"/>
              <w:right w:val="single" w:sz="4" w:space="0" w:color="auto"/>
            </w:tcBorders>
            <w:shd w:val="clear" w:color="auto" w:fill="FFC000" w:themeFill="accent4"/>
            <w:vAlign w:val="center"/>
            <w:hideMark/>
          </w:tcPr>
          <w:p w14:paraId="4551A066" w14:textId="31D7D16C" w:rsidR="00A50E66" w:rsidRPr="00AC7642" w:rsidRDefault="00A50E66" w:rsidP="00A50E66">
            <w:pPr>
              <w:spacing w:after="0" w:line="240" w:lineRule="auto"/>
              <w:jc w:val="center"/>
              <w:rPr>
                <w:rFonts w:eastAsia="Times New Roman"/>
                <w:b/>
                <w:color w:val="000000"/>
              </w:rPr>
            </w:pPr>
            <w:r w:rsidRPr="00AC7642">
              <w:rPr>
                <w:rFonts w:eastAsia="Times New Roman"/>
                <w:b/>
                <w:color w:val="000000"/>
              </w:rPr>
              <w:t>Little experience of large-scale programs </w:t>
            </w:r>
          </w:p>
        </w:tc>
        <w:tc>
          <w:tcPr>
            <w:tcW w:w="2107" w:type="dxa"/>
            <w:tcBorders>
              <w:top w:val="nil"/>
              <w:left w:val="nil"/>
              <w:bottom w:val="single" w:sz="4" w:space="0" w:color="auto"/>
              <w:right w:val="single" w:sz="4" w:space="0" w:color="auto"/>
            </w:tcBorders>
            <w:shd w:val="clear" w:color="auto" w:fill="FFC000" w:themeFill="accent4"/>
            <w:vAlign w:val="center"/>
            <w:hideMark/>
          </w:tcPr>
          <w:p w14:paraId="678333D5" w14:textId="36E2EB30" w:rsidR="00A50E66" w:rsidRPr="00AC7642" w:rsidRDefault="00A50E66" w:rsidP="00A50E66">
            <w:pPr>
              <w:spacing w:after="0" w:line="240" w:lineRule="auto"/>
              <w:jc w:val="center"/>
              <w:rPr>
                <w:rFonts w:eastAsia="Times New Roman"/>
                <w:b/>
                <w:color w:val="000000"/>
              </w:rPr>
            </w:pPr>
            <w:r w:rsidRPr="00AC7642">
              <w:rPr>
                <w:rFonts w:eastAsia="Times New Roman"/>
                <w:b/>
                <w:color w:val="000000"/>
              </w:rPr>
              <w:t> </w:t>
            </w:r>
            <w:r w:rsidR="00EB7C78" w:rsidRPr="00AC7642">
              <w:rPr>
                <w:rFonts w:eastAsia="Times New Roman"/>
                <w:b/>
                <w:color w:val="000000"/>
              </w:rPr>
              <w:t>Little experience of collaboration at this funding level</w:t>
            </w:r>
          </w:p>
        </w:tc>
        <w:tc>
          <w:tcPr>
            <w:tcW w:w="1985" w:type="dxa"/>
            <w:tcBorders>
              <w:top w:val="nil"/>
              <w:left w:val="nil"/>
              <w:bottom w:val="single" w:sz="4" w:space="0" w:color="auto"/>
              <w:right w:val="single" w:sz="4" w:space="0" w:color="auto"/>
            </w:tcBorders>
            <w:shd w:val="clear" w:color="auto" w:fill="92D050"/>
            <w:vAlign w:val="center"/>
            <w:hideMark/>
          </w:tcPr>
          <w:p w14:paraId="2F6856DC" w14:textId="3DC5A230" w:rsidR="00A50E66" w:rsidRPr="00AC7642" w:rsidRDefault="00A50E66" w:rsidP="00A50E66">
            <w:pPr>
              <w:spacing w:after="0" w:line="240" w:lineRule="auto"/>
              <w:jc w:val="center"/>
              <w:rPr>
                <w:rFonts w:eastAsia="Times New Roman"/>
                <w:b/>
                <w:color w:val="000000"/>
              </w:rPr>
            </w:pPr>
            <w:r w:rsidRPr="00AC7642">
              <w:rPr>
                <w:rFonts w:eastAsia="Times New Roman"/>
                <w:b/>
                <w:color w:val="000000"/>
              </w:rPr>
              <w:t> Significant</w:t>
            </w:r>
          </w:p>
        </w:tc>
        <w:tc>
          <w:tcPr>
            <w:tcW w:w="1623" w:type="dxa"/>
            <w:tcBorders>
              <w:top w:val="nil"/>
              <w:left w:val="nil"/>
              <w:bottom w:val="single" w:sz="4" w:space="0" w:color="auto"/>
              <w:right w:val="single" w:sz="4" w:space="0" w:color="auto"/>
            </w:tcBorders>
            <w:shd w:val="clear" w:color="auto" w:fill="92D050"/>
            <w:vAlign w:val="center"/>
            <w:hideMark/>
          </w:tcPr>
          <w:p w14:paraId="50D8FFA7" w14:textId="7B38FB15" w:rsidR="00A50E66" w:rsidRPr="00AC7642" w:rsidRDefault="00A50E66" w:rsidP="00A50E66">
            <w:pPr>
              <w:spacing w:after="0" w:line="240" w:lineRule="auto"/>
              <w:jc w:val="center"/>
              <w:rPr>
                <w:rFonts w:eastAsia="Times New Roman"/>
                <w:b/>
                <w:color w:val="000000"/>
              </w:rPr>
            </w:pPr>
            <w:r w:rsidRPr="00AC7642">
              <w:rPr>
                <w:rFonts w:eastAsia="Times New Roman"/>
                <w:b/>
                <w:color w:val="000000"/>
              </w:rPr>
              <w:t> &lt;5%</w:t>
            </w:r>
          </w:p>
        </w:tc>
        <w:tc>
          <w:tcPr>
            <w:tcW w:w="1040" w:type="dxa"/>
            <w:tcBorders>
              <w:top w:val="nil"/>
              <w:left w:val="nil"/>
              <w:bottom w:val="single" w:sz="4" w:space="0" w:color="auto"/>
              <w:right w:val="single" w:sz="4" w:space="0" w:color="auto"/>
            </w:tcBorders>
            <w:shd w:val="clear" w:color="000000" w:fill="FFFFFF"/>
            <w:noWrap/>
            <w:vAlign w:val="center"/>
            <w:hideMark/>
          </w:tcPr>
          <w:p w14:paraId="2FD47951" w14:textId="77777777" w:rsidR="00A50E66" w:rsidRPr="00A50E66" w:rsidRDefault="00A50E66" w:rsidP="00AC7642">
            <w:pPr>
              <w:spacing w:after="0" w:line="240" w:lineRule="auto"/>
              <w:jc w:val="center"/>
              <w:rPr>
                <w:rFonts w:eastAsia="Times New Roman"/>
                <w:b/>
                <w:bCs/>
                <w:color w:val="000000"/>
              </w:rPr>
            </w:pPr>
            <w:r w:rsidRPr="00A50E66">
              <w:rPr>
                <w:rFonts w:eastAsia="Times New Roman"/>
                <w:b/>
                <w:bCs/>
                <w:color w:val="000000"/>
              </w:rPr>
              <w:t>5</w:t>
            </w:r>
          </w:p>
        </w:tc>
      </w:tr>
      <w:tr w:rsidR="00AC7642" w:rsidRPr="00A50E66" w14:paraId="64491A7F" w14:textId="77777777" w:rsidTr="00AC7642">
        <w:trPr>
          <w:trHeight w:val="300"/>
          <w:jc w:val="center"/>
        </w:trPr>
        <w:tc>
          <w:tcPr>
            <w:tcW w:w="2159" w:type="dxa"/>
            <w:tcBorders>
              <w:top w:val="nil"/>
              <w:left w:val="single" w:sz="4" w:space="0" w:color="auto"/>
              <w:bottom w:val="single" w:sz="4" w:space="0" w:color="auto"/>
              <w:right w:val="single" w:sz="4" w:space="0" w:color="auto"/>
            </w:tcBorders>
            <w:shd w:val="clear" w:color="000000" w:fill="DDEBF7"/>
            <w:vAlign w:val="center"/>
            <w:hideMark/>
          </w:tcPr>
          <w:p w14:paraId="5B5C86D0" w14:textId="77777777" w:rsidR="00A50E66" w:rsidRPr="00A50E66" w:rsidRDefault="00A50E66" w:rsidP="00A50E66">
            <w:pPr>
              <w:spacing w:after="0" w:line="240" w:lineRule="auto"/>
              <w:jc w:val="center"/>
              <w:rPr>
                <w:rFonts w:eastAsia="Times New Roman"/>
                <w:b/>
                <w:bCs/>
                <w:color w:val="000000"/>
              </w:rPr>
            </w:pPr>
            <w:r w:rsidRPr="00A50E66">
              <w:rPr>
                <w:rFonts w:eastAsia="Times New Roman"/>
                <w:b/>
                <w:bCs/>
                <w:color w:val="000000"/>
              </w:rPr>
              <w:t>MDBs</w:t>
            </w:r>
          </w:p>
        </w:tc>
        <w:tc>
          <w:tcPr>
            <w:tcW w:w="1904" w:type="dxa"/>
            <w:tcBorders>
              <w:top w:val="nil"/>
              <w:left w:val="nil"/>
              <w:bottom w:val="single" w:sz="4" w:space="0" w:color="auto"/>
              <w:right w:val="single" w:sz="4" w:space="0" w:color="auto"/>
            </w:tcBorders>
            <w:shd w:val="clear" w:color="auto" w:fill="92D050"/>
            <w:vAlign w:val="center"/>
            <w:hideMark/>
          </w:tcPr>
          <w:p w14:paraId="07ACC191" w14:textId="4BDF692D" w:rsidR="00A50E66" w:rsidRPr="00AC7642" w:rsidRDefault="00A50E66" w:rsidP="00A50E66">
            <w:pPr>
              <w:spacing w:after="0" w:line="240" w:lineRule="auto"/>
              <w:jc w:val="center"/>
              <w:rPr>
                <w:rFonts w:eastAsia="Times New Roman"/>
                <w:b/>
                <w:color w:val="000000"/>
              </w:rPr>
            </w:pPr>
            <w:r w:rsidRPr="00AC7642">
              <w:rPr>
                <w:rFonts w:eastAsia="Times New Roman"/>
                <w:b/>
                <w:color w:val="000000"/>
              </w:rPr>
              <w:t>Able to receive promissory notes </w:t>
            </w:r>
          </w:p>
        </w:tc>
        <w:tc>
          <w:tcPr>
            <w:tcW w:w="1905" w:type="dxa"/>
            <w:tcBorders>
              <w:top w:val="nil"/>
              <w:left w:val="nil"/>
              <w:bottom w:val="single" w:sz="4" w:space="0" w:color="auto"/>
              <w:right w:val="single" w:sz="4" w:space="0" w:color="auto"/>
            </w:tcBorders>
            <w:shd w:val="clear" w:color="auto" w:fill="92D050"/>
            <w:vAlign w:val="center"/>
            <w:hideMark/>
          </w:tcPr>
          <w:p w14:paraId="098A8FA7" w14:textId="3F89EC7C" w:rsidR="00A50E66" w:rsidRPr="00AC7642" w:rsidRDefault="00A50E66" w:rsidP="00A50E66">
            <w:pPr>
              <w:spacing w:after="0" w:line="240" w:lineRule="auto"/>
              <w:jc w:val="center"/>
              <w:rPr>
                <w:rFonts w:eastAsia="Times New Roman"/>
                <w:b/>
                <w:color w:val="000000"/>
              </w:rPr>
            </w:pPr>
            <w:r w:rsidRPr="00AC7642">
              <w:rPr>
                <w:rFonts w:eastAsia="Times New Roman"/>
                <w:b/>
                <w:color w:val="000000"/>
              </w:rPr>
              <w:t> Significant experience of large-scale programs</w:t>
            </w:r>
          </w:p>
        </w:tc>
        <w:tc>
          <w:tcPr>
            <w:tcW w:w="2107" w:type="dxa"/>
            <w:tcBorders>
              <w:top w:val="nil"/>
              <w:left w:val="nil"/>
              <w:bottom w:val="single" w:sz="4" w:space="0" w:color="auto"/>
              <w:right w:val="single" w:sz="4" w:space="0" w:color="auto"/>
            </w:tcBorders>
            <w:shd w:val="clear" w:color="auto" w:fill="92D050"/>
            <w:vAlign w:val="center"/>
            <w:hideMark/>
          </w:tcPr>
          <w:p w14:paraId="23B5A115" w14:textId="075C5AA9" w:rsidR="00A50E66" w:rsidRPr="00AC7642" w:rsidRDefault="00EB7C78" w:rsidP="00A50E66">
            <w:pPr>
              <w:spacing w:after="0" w:line="240" w:lineRule="auto"/>
              <w:jc w:val="center"/>
              <w:rPr>
                <w:rFonts w:eastAsia="Times New Roman"/>
                <w:b/>
                <w:color w:val="000000"/>
              </w:rPr>
            </w:pPr>
            <w:r w:rsidRPr="00AC7642">
              <w:rPr>
                <w:rFonts w:eastAsia="Times New Roman"/>
                <w:b/>
                <w:color w:val="000000"/>
              </w:rPr>
              <w:t>Proven track record of delivery</w:t>
            </w:r>
            <w:r w:rsidR="00A50E66" w:rsidRPr="00AC7642">
              <w:rPr>
                <w:rFonts w:eastAsia="Times New Roman"/>
                <w:b/>
                <w:color w:val="000000"/>
              </w:rPr>
              <w:t> </w:t>
            </w:r>
          </w:p>
        </w:tc>
        <w:tc>
          <w:tcPr>
            <w:tcW w:w="1985" w:type="dxa"/>
            <w:tcBorders>
              <w:top w:val="nil"/>
              <w:left w:val="nil"/>
              <w:bottom w:val="single" w:sz="4" w:space="0" w:color="auto"/>
              <w:right w:val="single" w:sz="4" w:space="0" w:color="auto"/>
            </w:tcBorders>
            <w:shd w:val="clear" w:color="auto" w:fill="92D050"/>
            <w:vAlign w:val="center"/>
            <w:hideMark/>
          </w:tcPr>
          <w:p w14:paraId="09F16AF0" w14:textId="248C9520" w:rsidR="00A50E66" w:rsidRPr="00AC7642" w:rsidRDefault="00A50E66" w:rsidP="00A50E66">
            <w:pPr>
              <w:spacing w:after="0" w:line="240" w:lineRule="auto"/>
              <w:jc w:val="center"/>
              <w:rPr>
                <w:rFonts w:eastAsia="Times New Roman"/>
                <w:b/>
                <w:color w:val="000000"/>
              </w:rPr>
            </w:pPr>
            <w:r w:rsidRPr="00AC7642">
              <w:rPr>
                <w:rFonts w:eastAsia="Times New Roman"/>
                <w:b/>
                <w:color w:val="000000"/>
              </w:rPr>
              <w:t> Significant</w:t>
            </w:r>
          </w:p>
        </w:tc>
        <w:tc>
          <w:tcPr>
            <w:tcW w:w="1623" w:type="dxa"/>
            <w:tcBorders>
              <w:top w:val="nil"/>
              <w:left w:val="nil"/>
              <w:bottom w:val="single" w:sz="4" w:space="0" w:color="auto"/>
              <w:right w:val="single" w:sz="4" w:space="0" w:color="auto"/>
            </w:tcBorders>
            <w:shd w:val="clear" w:color="auto" w:fill="FFC000" w:themeFill="accent4"/>
            <w:vAlign w:val="center"/>
            <w:hideMark/>
          </w:tcPr>
          <w:p w14:paraId="0DA03788" w14:textId="116F706F" w:rsidR="00A50E66" w:rsidRPr="00AC7642" w:rsidRDefault="00A50E66" w:rsidP="00A50E66">
            <w:pPr>
              <w:spacing w:after="0" w:line="240" w:lineRule="auto"/>
              <w:jc w:val="center"/>
              <w:rPr>
                <w:rFonts w:eastAsia="Times New Roman"/>
                <w:b/>
                <w:color w:val="000000"/>
              </w:rPr>
            </w:pPr>
            <w:r w:rsidRPr="00AC7642">
              <w:rPr>
                <w:rFonts w:eastAsia="Times New Roman"/>
                <w:b/>
                <w:color w:val="000000"/>
              </w:rPr>
              <w:t> 5-10%</w:t>
            </w:r>
          </w:p>
        </w:tc>
        <w:tc>
          <w:tcPr>
            <w:tcW w:w="1040" w:type="dxa"/>
            <w:tcBorders>
              <w:top w:val="nil"/>
              <w:left w:val="nil"/>
              <w:bottom w:val="single" w:sz="4" w:space="0" w:color="auto"/>
              <w:right w:val="single" w:sz="4" w:space="0" w:color="auto"/>
            </w:tcBorders>
            <w:shd w:val="clear" w:color="000000" w:fill="FFFFFF"/>
            <w:noWrap/>
            <w:vAlign w:val="center"/>
            <w:hideMark/>
          </w:tcPr>
          <w:p w14:paraId="567F14AD" w14:textId="77777777" w:rsidR="00A50E66" w:rsidRPr="00A50E66" w:rsidRDefault="00A50E66" w:rsidP="00AC7642">
            <w:pPr>
              <w:spacing w:after="0" w:line="240" w:lineRule="auto"/>
              <w:jc w:val="center"/>
              <w:rPr>
                <w:rFonts w:eastAsia="Times New Roman"/>
                <w:b/>
                <w:bCs/>
                <w:color w:val="000000"/>
              </w:rPr>
            </w:pPr>
            <w:r w:rsidRPr="00A50E66">
              <w:rPr>
                <w:rFonts w:eastAsia="Times New Roman"/>
                <w:b/>
                <w:bCs/>
                <w:color w:val="000000"/>
              </w:rPr>
              <w:t>10</w:t>
            </w:r>
          </w:p>
        </w:tc>
      </w:tr>
      <w:tr w:rsidR="00AC7642" w:rsidRPr="00A50E66" w14:paraId="3CC06474" w14:textId="77777777" w:rsidTr="00AC7642">
        <w:trPr>
          <w:trHeight w:val="600"/>
          <w:jc w:val="center"/>
        </w:trPr>
        <w:tc>
          <w:tcPr>
            <w:tcW w:w="2159" w:type="dxa"/>
            <w:tcBorders>
              <w:top w:val="nil"/>
              <w:left w:val="single" w:sz="4" w:space="0" w:color="auto"/>
              <w:bottom w:val="single" w:sz="4" w:space="0" w:color="auto"/>
              <w:right w:val="single" w:sz="4" w:space="0" w:color="auto"/>
            </w:tcBorders>
            <w:shd w:val="clear" w:color="000000" w:fill="DDEBF7"/>
            <w:vAlign w:val="center"/>
            <w:hideMark/>
          </w:tcPr>
          <w:p w14:paraId="638A5852" w14:textId="77777777" w:rsidR="00A50E66" w:rsidRPr="00A50E66" w:rsidRDefault="00A50E66" w:rsidP="00A50E66">
            <w:pPr>
              <w:spacing w:after="0" w:line="240" w:lineRule="auto"/>
              <w:jc w:val="center"/>
              <w:rPr>
                <w:rFonts w:eastAsia="Times New Roman"/>
                <w:b/>
                <w:bCs/>
                <w:color w:val="000000"/>
              </w:rPr>
            </w:pPr>
            <w:r w:rsidRPr="00A50E66">
              <w:rPr>
                <w:rFonts w:eastAsia="Times New Roman"/>
                <w:b/>
                <w:bCs/>
                <w:color w:val="000000"/>
              </w:rPr>
              <w:t>Direct Operation</w:t>
            </w:r>
          </w:p>
        </w:tc>
        <w:tc>
          <w:tcPr>
            <w:tcW w:w="1904" w:type="dxa"/>
            <w:tcBorders>
              <w:top w:val="nil"/>
              <w:left w:val="nil"/>
              <w:bottom w:val="single" w:sz="4" w:space="0" w:color="auto"/>
              <w:right w:val="single" w:sz="4" w:space="0" w:color="auto"/>
            </w:tcBorders>
            <w:shd w:val="clear" w:color="auto" w:fill="FF0000"/>
            <w:vAlign w:val="center"/>
            <w:hideMark/>
          </w:tcPr>
          <w:p w14:paraId="4D6B27FE" w14:textId="18AC46D3" w:rsidR="00A50E66" w:rsidRPr="00AC7642" w:rsidRDefault="00A50E66" w:rsidP="00A50E66">
            <w:pPr>
              <w:spacing w:after="0" w:line="240" w:lineRule="auto"/>
              <w:jc w:val="center"/>
              <w:rPr>
                <w:rFonts w:eastAsia="Times New Roman"/>
                <w:b/>
                <w:color w:val="000000"/>
              </w:rPr>
            </w:pPr>
            <w:r w:rsidRPr="00AC7642">
              <w:rPr>
                <w:rFonts w:eastAsia="Times New Roman"/>
                <w:b/>
                <w:color w:val="000000"/>
              </w:rPr>
              <w:t> </w:t>
            </w:r>
            <w:r w:rsidR="00977924">
              <w:rPr>
                <w:rFonts w:eastAsia="Times New Roman"/>
                <w:b/>
                <w:color w:val="000000"/>
              </w:rPr>
              <w:t>Challenges with structure of ODA financing</w:t>
            </w:r>
          </w:p>
        </w:tc>
        <w:tc>
          <w:tcPr>
            <w:tcW w:w="1905" w:type="dxa"/>
            <w:tcBorders>
              <w:top w:val="nil"/>
              <w:left w:val="nil"/>
              <w:bottom w:val="single" w:sz="4" w:space="0" w:color="auto"/>
              <w:right w:val="single" w:sz="4" w:space="0" w:color="auto"/>
            </w:tcBorders>
            <w:shd w:val="clear" w:color="auto" w:fill="FF0000"/>
            <w:vAlign w:val="center"/>
            <w:hideMark/>
          </w:tcPr>
          <w:p w14:paraId="22EA0BD3" w14:textId="67CAD6C9" w:rsidR="00A50E66" w:rsidRPr="00AC7642" w:rsidRDefault="00A50E66" w:rsidP="00A50E66">
            <w:pPr>
              <w:spacing w:after="0" w:line="240" w:lineRule="auto"/>
              <w:jc w:val="center"/>
              <w:rPr>
                <w:rFonts w:eastAsia="Times New Roman"/>
                <w:b/>
                <w:color w:val="000000"/>
              </w:rPr>
            </w:pPr>
            <w:r w:rsidRPr="00AC7642">
              <w:rPr>
                <w:rFonts w:eastAsia="Times New Roman"/>
                <w:b/>
                <w:color w:val="000000"/>
              </w:rPr>
              <w:t> No experience of direct program delivery</w:t>
            </w:r>
          </w:p>
        </w:tc>
        <w:tc>
          <w:tcPr>
            <w:tcW w:w="2107" w:type="dxa"/>
            <w:tcBorders>
              <w:top w:val="nil"/>
              <w:left w:val="nil"/>
              <w:bottom w:val="single" w:sz="4" w:space="0" w:color="auto"/>
              <w:right w:val="single" w:sz="4" w:space="0" w:color="auto"/>
            </w:tcBorders>
            <w:shd w:val="clear" w:color="auto" w:fill="92D050"/>
            <w:vAlign w:val="center"/>
            <w:hideMark/>
          </w:tcPr>
          <w:p w14:paraId="07D45B3F" w14:textId="3A655DFD" w:rsidR="00A50E66" w:rsidRPr="00AC7642" w:rsidRDefault="00EB7C78" w:rsidP="00A50E66">
            <w:pPr>
              <w:spacing w:after="0" w:line="240" w:lineRule="auto"/>
              <w:jc w:val="center"/>
              <w:rPr>
                <w:rFonts w:eastAsia="Times New Roman"/>
                <w:b/>
                <w:color w:val="000000"/>
              </w:rPr>
            </w:pPr>
            <w:r w:rsidRPr="00AC7642">
              <w:rPr>
                <w:rFonts w:eastAsia="Times New Roman"/>
                <w:b/>
                <w:color w:val="000000"/>
              </w:rPr>
              <w:t>HMG</w:t>
            </w:r>
            <w:r w:rsidR="00A50E66" w:rsidRPr="00AC7642">
              <w:rPr>
                <w:rFonts w:eastAsia="Times New Roman"/>
                <w:b/>
                <w:color w:val="000000"/>
              </w:rPr>
              <w:t> </w:t>
            </w:r>
          </w:p>
        </w:tc>
        <w:tc>
          <w:tcPr>
            <w:tcW w:w="1985" w:type="dxa"/>
            <w:tcBorders>
              <w:top w:val="nil"/>
              <w:left w:val="nil"/>
              <w:bottom w:val="single" w:sz="4" w:space="0" w:color="auto"/>
              <w:right w:val="single" w:sz="4" w:space="0" w:color="auto"/>
            </w:tcBorders>
            <w:shd w:val="clear" w:color="auto" w:fill="FF0000"/>
            <w:vAlign w:val="center"/>
            <w:hideMark/>
          </w:tcPr>
          <w:p w14:paraId="78BD3F33" w14:textId="363F56B7" w:rsidR="00A50E66" w:rsidRPr="00AC7642" w:rsidRDefault="00A50E66" w:rsidP="00A50E66">
            <w:pPr>
              <w:spacing w:after="0" w:line="240" w:lineRule="auto"/>
              <w:jc w:val="center"/>
              <w:rPr>
                <w:rFonts w:eastAsia="Times New Roman"/>
                <w:b/>
                <w:color w:val="000000"/>
              </w:rPr>
            </w:pPr>
            <w:r w:rsidRPr="00AC7642">
              <w:rPr>
                <w:rFonts w:eastAsia="Times New Roman"/>
                <w:b/>
                <w:color w:val="000000"/>
              </w:rPr>
              <w:t> None</w:t>
            </w:r>
          </w:p>
        </w:tc>
        <w:tc>
          <w:tcPr>
            <w:tcW w:w="1623" w:type="dxa"/>
            <w:tcBorders>
              <w:top w:val="nil"/>
              <w:left w:val="nil"/>
              <w:bottom w:val="single" w:sz="4" w:space="0" w:color="auto"/>
              <w:right w:val="single" w:sz="4" w:space="0" w:color="auto"/>
            </w:tcBorders>
            <w:shd w:val="clear" w:color="auto" w:fill="92D050"/>
            <w:vAlign w:val="center"/>
            <w:hideMark/>
          </w:tcPr>
          <w:p w14:paraId="0F2E7407" w14:textId="6A804D8A" w:rsidR="00A50E66" w:rsidRPr="00AC7642" w:rsidRDefault="00A50E66" w:rsidP="00A50E66">
            <w:pPr>
              <w:spacing w:after="0" w:line="240" w:lineRule="auto"/>
              <w:jc w:val="center"/>
              <w:rPr>
                <w:rFonts w:eastAsia="Times New Roman"/>
                <w:b/>
                <w:color w:val="000000"/>
              </w:rPr>
            </w:pPr>
            <w:r w:rsidRPr="00AC7642">
              <w:rPr>
                <w:rFonts w:eastAsia="Times New Roman"/>
                <w:b/>
                <w:color w:val="000000"/>
              </w:rPr>
              <w:t> &lt;5%</w:t>
            </w:r>
          </w:p>
        </w:tc>
        <w:tc>
          <w:tcPr>
            <w:tcW w:w="1040" w:type="dxa"/>
            <w:tcBorders>
              <w:top w:val="nil"/>
              <w:left w:val="nil"/>
              <w:bottom w:val="single" w:sz="4" w:space="0" w:color="auto"/>
              <w:right w:val="single" w:sz="4" w:space="0" w:color="auto"/>
            </w:tcBorders>
            <w:shd w:val="clear" w:color="000000" w:fill="FFFFFF"/>
            <w:noWrap/>
            <w:vAlign w:val="center"/>
            <w:hideMark/>
          </w:tcPr>
          <w:p w14:paraId="0425E49F" w14:textId="77777777" w:rsidR="00A50E66" w:rsidRPr="00A50E66" w:rsidRDefault="00A50E66" w:rsidP="00AC7642">
            <w:pPr>
              <w:spacing w:after="0" w:line="240" w:lineRule="auto"/>
              <w:jc w:val="center"/>
              <w:rPr>
                <w:rFonts w:eastAsia="Times New Roman"/>
                <w:b/>
                <w:bCs/>
                <w:color w:val="000000"/>
              </w:rPr>
            </w:pPr>
            <w:r w:rsidRPr="00A50E66">
              <w:rPr>
                <w:rFonts w:eastAsia="Times New Roman"/>
                <w:b/>
                <w:bCs/>
                <w:color w:val="000000"/>
              </w:rPr>
              <w:t>4</w:t>
            </w:r>
          </w:p>
        </w:tc>
      </w:tr>
      <w:tr w:rsidR="00AC7642" w:rsidRPr="00A50E66" w14:paraId="466FA753" w14:textId="77777777" w:rsidTr="00AC7642">
        <w:trPr>
          <w:trHeight w:val="600"/>
          <w:jc w:val="center"/>
        </w:trPr>
        <w:tc>
          <w:tcPr>
            <w:tcW w:w="2159" w:type="dxa"/>
            <w:tcBorders>
              <w:top w:val="nil"/>
              <w:left w:val="single" w:sz="4" w:space="0" w:color="auto"/>
              <w:bottom w:val="single" w:sz="4" w:space="0" w:color="auto"/>
              <w:right w:val="single" w:sz="4" w:space="0" w:color="auto"/>
            </w:tcBorders>
            <w:shd w:val="clear" w:color="000000" w:fill="DDEBF7"/>
            <w:vAlign w:val="center"/>
            <w:hideMark/>
          </w:tcPr>
          <w:p w14:paraId="3BDA94ED" w14:textId="77777777" w:rsidR="00A50E66" w:rsidRPr="00A50E66" w:rsidRDefault="00A50E66" w:rsidP="00A50E66">
            <w:pPr>
              <w:spacing w:after="0" w:line="240" w:lineRule="auto"/>
              <w:jc w:val="center"/>
              <w:rPr>
                <w:rFonts w:eastAsia="Times New Roman"/>
                <w:b/>
                <w:bCs/>
                <w:color w:val="000000"/>
              </w:rPr>
            </w:pPr>
            <w:r w:rsidRPr="00A50E66">
              <w:rPr>
                <w:rFonts w:eastAsia="Times New Roman"/>
                <w:b/>
                <w:bCs/>
                <w:color w:val="000000"/>
              </w:rPr>
              <w:t>Blended Finance</w:t>
            </w:r>
          </w:p>
        </w:tc>
        <w:tc>
          <w:tcPr>
            <w:tcW w:w="1904" w:type="dxa"/>
            <w:tcBorders>
              <w:top w:val="nil"/>
              <w:left w:val="nil"/>
              <w:bottom w:val="single" w:sz="4" w:space="0" w:color="auto"/>
              <w:right w:val="single" w:sz="4" w:space="0" w:color="auto"/>
            </w:tcBorders>
            <w:shd w:val="clear" w:color="auto" w:fill="92D050"/>
            <w:vAlign w:val="center"/>
            <w:hideMark/>
          </w:tcPr>
          <w:p w14:paraId="4B901952" w14:textId="54D2B0DC" w:rsidR="00A50E66" w:rsidRPr="00AC7642" w:rsidRDefault="00A50E66" w:rsidP="00A50E66">
            <w:pPr>
              <w:spacing w:after="0" w:line="240" w:lineRule="auto"/>
              <w:jc w:val="center"/>
              <w:rPr>
                <w:rFonts w:eastAsia="Times New Roman"/>
                <w:b/>
                <w:color w:val="000000"/>
              </w:rPr>
            </w:pPr>
            <w:r w:rsidRPr="00AC7642">
              <w:rPr>
                <w:rFonts w:eastAsia="Times New Roman"/>
                <w:b/>
                <w:color w:val="000000"/>
              </w:rPr>
              <w:t>Able to receive promissory notes </w:t>
            </w:r>
          </w:p>
        </w:tc>
        <w:tc>
          <w:tcPr>
            <w:tcW w:w="1905" w:type="dxa"/>
            <w:tcBorders>
              <w:top w:val="nil"/>
              <w:left w:val="nil"/>
              <w:bottom w:val="single" w:sz="4" w:space="0" w:color="auto"/>
              <w:right w:val="single" w:sz="4" w:space="0" w:color="auto"/>
            </w:tcBorders>
            <w:shd w:val="clear" w:color="auto" w:fill="92D050"/>
            <w:vAlign w:val="center"/>
            <w:hideMark/>
          </w:tcPr>
          <w:p w14:paraId="722834BB" w14:textId="29421921" w:rsidR="00A50E66" w:rsidRPr="00AC7642" w:rsidRDefault="00A50E66" w:rsidP="00A50E66">
            <w:pPr>
              <w:spacing w:after="0" w:line="240" w:lineRule="auto"/>
              <w:jc w:val="center"/>
              <w:rPr>
                <w:rFonts w:eastAsia="Times New Roman"/>
                <w:b/>
                <w:color w:val="000000"/>
              </w:rPr>
            </w:pPr>
            <w:r w:rsidRPr="00AC7642">
              <w:rPr>
                <w:rFonts w:eastAsia="Times New Roman"/>
                <w:b/>
                <w:color w:val="000000"/>
              </w:rPr>
              <w:t> Experience of large-scale programming</w:t>
            </w:r>
          </w:p>
        </w:tc>
        <w:tc>
          <w:tcPr>
            <w:tcW w:w="2107" w:type="dxa"/>
            <w:tcBorders>
              <w:top w:val="nil"/>
              <w:left w:val="nil"/>
              <w:bottom w:val="single" w:sz="4" w:space="0" w:color="auto"/>
              <w:right w:val="single" w:sz="4" w:space="0" w:color="auto"/>
            </w:tcBorders>
            <w:shd w:val="clear" w:color="auto" w:fill="FF0000"/>
            <w:vAlign w:val="center"/>
            <w:hideMark/>
          </w:tcPr>
          <w:p w14:paraId="0B7BD0E3" w14:textId="7D0EABD4" w:rsidR="00A50E66" w:rsidRPr="00AC7642" w:rsidRDefault="00EB7C78" w:rsidP="00A50E66">
            <w:pPr>
              <w:spacing w:after="0" w:line="240" w:lineRule="auto"/>
              <w:jc w:val="center"/>
              <w:rPr>
                <w:rFonts w:eastAsia="Times New Roman"/>
                <w:b/>
                <w:color w:val="000000"/>
              </w:rPr>
            </w:pPr>
            <w:r w:rsidRPr="00AC7642">
              <w:rPr>
                <w:rFonts w:eastAsia="Times New Roman"/>
                <w:b/>
                <w:color w:val="000000"/>
              </w:rPr>
              <w:t>Little track record of delivery</w:t>
            </w:r>
            <w:r w:rsidR="00A50E66" w:rsidRPr="00AC7642">
              <w:rPr>
                <w:rFonts w:eastAsia="Times New Roman"/>
                <w:b/>
                <w:color w:val="000000"/>
              </w:rPr>
              <w:t> </w:t>
            </w:r>
          </w:p>
        </w:tc>
        <w:tc>
          <w:tcPr>
            <w:tcW w:w="1985" w:type="dxa"/>
            <w:tcBorders>
              <w:top w:val="nil"/>
              <w:left w:val="nil"/>
              <w:bottom w:val="single" w:sz="4" w:space="0" w:color="auto"/>
              <w:right w:val="single" w:sz="4" w:space="0" w:color="auto"/>
            </w:tcBorders>
            <w:shd w:val="clear" w:color="auto" w:fill="FFC000" w:themeFill="accent4"/>
            <w:vAlign w:val="center"/>
            <w:hideMark/>
          </w:tcPr>
          <w:p w14:paraId="28095E1F" w14:textId="4041C56A" w:rsidR="00A50E66" w:rsidRPr="00AC7642" w:rsidRDefault="00A50E66" w:rsidP="00A50E66">
            <w:pPr>
              <w:spacing w:after="0" w:line="240" w:lineRule="auto"/>
              <w:jc w:val="center"/>
              <w:rPr>
                <w:rFonts w:eastAsia="Times New Roman"/>
                <w:b/>
                <w:color w:val="000000"/>
              </w:rPr>
            </w:pPr>
            <w:r w:rsidRPr="00AC7642">
              <w:rPr>
                <w:rFonts w:eastAsia="Times New Roman"/>
                <w:b/>
                <w:color w:val="000000"/>
              </w:rPr>
              <w:t> Variable</w:t>
            </w:r>
          </w:p>
        </w:tc>
        <w:tc>
          <w:tcPr>
            <w:tcW w:w="1623" w:type="dxa"/>
            <w:tcBorders>
              <w:top w:val="nil"/>
              <w:left w:val="nil"/>
              <w:bottom w:val="single" w:sz="4" w:space="0" w:color="auto"/>
              <w:right w:val="single" w:sz="4" w:space="0" w:color="auto"/>
            </w:tcBorders>
            <w:shd w:val="clear" w:color="auto" w:fill="92D050"/>
            <w:vAlign w:val="center"/>
            <w:hideMark/>
          </w:tcPr>
          <w:p w14:paraId="0A6C93F2" w14:textId="572B937A" w:rsidR="00A50E66" w:rsidRPr="00AC7642" w:rsidRDefault="00A50E66" w:rsidP="00A50E66">
            <w:pPr>
              <w:spacing w:after="0" w:line="240" w:lineRule="auto"/>
              <w:jc w:val="center"/>
              <w:rPr>
                <w:rFonts w:eastAsia="Times New Roman"/>
                <w:b/>
                <w:color w:val="000000"/>
              </w:rPr>
            </w:pPr>
            <w:r w:rsidRPr="00AC7642">
              <w:rPr>
                <w:rFonts w:eastAsia="Times New Roman"/>
                <w:b/>
                <w:color w:val="000000"/>
              </w:rPr>
              <w:t> &lt;5%</w:t>
            </w:r>
          </w:p>
        </w:tc>
        <w:tc>
          <w:tcPr>
            <w:tcW w:w="1040" w:type="dxa"/>
            <w:tcBorders>
              <w:top w:val="nil"/>
              <w:left w:val="nil"/>
              <w:bottom w:val="single" w:sz="4" w:space="0" w:color="auto"/>
              <w:right w:val="single" w:sz="4" w:space="0" w:color="auto"/>
            </w:tcBorders>
            <w:shd w:val="clear" w:color="000000" w:fill="FFFFFF"/>
            <w:noWrap/>
            <w:vAlign w:val="center"/>
            <w:hideMark/>
          </w:tcPr>
          <w:p w14:paraId="027465BD" w14:textId="77777777" w:rsidR="00A50E66" w:rsidRPr="00A50E66" w:rsidRDefault="00A50E66" w:rsidP="00AC7642">
            <w:pPr>
              <w:spacing w:after="0" w:line="240" w:lineRule="auto"/>
              <w:jc w:val="center"/>
              <w:rPr>
                <w:rFonts w:eastAsia="Times New Roman"/>
                <w:b/>
                <w:bCs/>
                <w:color w:val="000000"/>
              </w:rPr>
            </w:pPr>
            <w:r w:rsidRPr="00A50E66">
              <w:rPr>
                <w:rFonts w:eastAsia="Times New Roman"/>
                <w:b/>
                <w:bCs/>
                <w:color w:val="000000"/>
              </w:rPr>
              <w:t>6.5</w:t>
            </w:r>
          </w:p>
        </w:tc>
      </w:tr>
    </w:tbl>
    <w:p w14:paraId="42D0C96A" w14:textId="77777777" w:rsidR="00A50E66" w:rsidRDefault="00A50E66">
      <w:pPr>
        <w:rPr>
          <w:lang w:eastAsia="en-US"/>
        </w:rPr>
      </w:pPr>
    </w:p>
    <w:p w14:paraId="447306AD" w14:textId="0C7F79C7" w:rsidR="00A50E66" w:rsidRDefault="00A50E66">
      <w:pPr>
        <w:rPr>
          <w:lang w:eastAsia="en-US"/>
        </w:rPr>
      </w:pPr>
      <w:r>
        <w:rPr>
          <w:lang w:eastAsia="en-US"/>
        </w:rPr>
        <w:t>Four delivery mechanisms were assessed on the criteria in the above table, with MDBs assessed as the most effective delivery mechanism for the size of the program, given a) Defra ICF’s skill set and delivery capacity, and b) Bank of England financing rules prohibiting the service of promissory notes to NGOs.</w:t>
      </w:r>
    </w:p>
    <w:p w14:paraId="1553E71A" w14:textId="7D6A3A5D" w:rsidR="00E4736E" w:rsidRDefault="00E4736E">
      <w:pPr>
        <w:rPr>
          <w:lang w:eastAsia="en-US"/>
        </w:rPr>
      </w:pPr>
    </w:p>
    <w:p w14:paraId="3532EAE6" w14:textId="77777777" w:rsidR="00E4736E" w:rsidRDefault="00E4736E">
      <w:pPr>
        <w:rPr>
          <w:lang w:eastAsia="en-US"/>
        </w:rPr>
      </w:pPr>
    </w:p>
    <w:p w14:paraId="3CF9E9C8" w14:textId="77777777" w:rsidR="00E4736E" w:rsidRDefault="00E4736E">
      <w:pPr>
        <w:rPr>
          <w:lang w:eastAsia="en-US"/>
        </w:rPr>
      </w:pPr>
    </w:p>
    <w:p w14:paraId="5CF3FE82" w14:textId="77777777" w:rsidR="00E4736E" w:rsidRDefault="00E4736E">
      <w:pPr>
        <w:rPr>
          <w:lang w:eastAsia="en-US"/>
        </w:rPr>
      </w:pPr>
    </w:p>
    <w:p w14:paraId="618F4182" w14:textId="77777777" w:rsidR="00E4736E" w:rsidRDefault="00E4736E">
      <w:pPr>
        <w:rPr>
          <w:lang w:eastAsia="en-US"/>
        </w:rPr>
      </w:pPr>
    </w:p>
    <w:p w14:paraId="3DA1EF32" w14:textId="77777777" w:rsidR="00E4736E" w:rsidRDefault="00E4736E">
      <w:pPr>
        <w:rPr>
          <w:lang w:eastAsia="en-US"/>
        </w:rPr>
      </w:pPr>
    </w:p>
    <w:p w14:paraId="471B0961" w14:textId="6079AC1B" w:rsidR="00E4736E" w:rsidRDefault="00E4736E" w:rsidP="00AC7642">
      <w:pPr>
        <w:pStyle w:val="Heading2"/>
      </w:pPr>
      <w:bookmarkStart w:id="111" w:name="_Toc527028002"/>
      <w:r>
        <w:t>Results of Multi-Criteria Analysis on Mangrove Country-level Prioritisation</w:t>
      </w:r>
      <w:bookmarkEnd w:id="111"/>
    </w:p>
    <w:tbl>
      <w:tblPr>
        <w:tblW w:w="15181" w:type="dxa"/>
        <w:tblLayout w:type="fixed"/>
        <w:tblLook w:val="04A0" w:firstRow="1" w:lastRow="0" w:firstColumn="1" w:lastColumn="0" w:noHBand="0" w:noVBand="1"/>
      </w:tblPr>
      <w:tblGrid>
        <w:gridCol w:w="1084"/>
        <w:gridCol w:w="1084"/>
        <w:gridCol w:w="1085"/>
        <w:gridCol w:w="1084"/>
        <w:gridCol w:w="1084"/>
        <w:gridCol w:w="1085"/>
        <w:gridCol w:w="1084"/>
        <w:gridCol w:w="1084"/>
        <w:gridCol w:w="1085"/>
        <w:gridCol w:w="1084"/>
        <w:gridCol w:w="1084"/>
        <w:gridCol w:w="1085"/>
        <w:gridCol w:w="1084"/>
        <w:gridCol w:w="1085"/>
      </w:tblGrid>
      <w:tr w:rsidR="00AC7642" w:rsidRPr="00E4736E" w14:paraId="2BD75E8D" w14:textId="77777777" w:rsidTr="00E4736E">
        <w:trPr>
          <w:trHeight w:val="1200"/>
        </w:trPr>
        <w:tc>
          <w:tcPr>
            <w:tcW w:w="1084"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4C9F568D" w14:textId="77777777"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COUNTRY</w:t>
            </w:r>
          </w:p>
        </w:tc>
        <w:tc>
          <w:tcPr>
            <w:tcW w:w="1084" w:type="dxa"/>
            <w:tcBorders>
              <w:top w:val="single" w:sz="4" w:space="0" w:color="auto"/>
              <w:left w:val="nil"/>
              <w:bottom w:val="single" w:sz="4" w:space="0" w:color="auto"/>
              <w:right w:val="single" w:sz="4" w:space="0" w:color="auto"/>
            </w:tcBorders>
            <w:shd w:val="clear" w:color="000000" w:fill="D0CECE"/>
            <w:vAlign w:val="center"/>
            <w:hideMark/>
          </w:tcPr>
          <w:p w14:paraId="17C830AC" w14:textId="4BFB0C43" w:rsidR="00E4736E" w:rsidRPr="00AC7642" w:rsidRDefault="00E4736E">
            <w:pPr>
              <w:spacing w:after="0" w:line="240" w:lineRule="auto"/>
              <w:jc w:val="center"/>
              <w:rPr>
                <w:rFonts w:eastAsia="Times New Roman"/>
                <w:b/>
                <w:bCs/>
                <w:sz w:val="20"/>
                <w:szCs w:val="20"/>
              </w:rPr>
            </w:pPr>
            <w:r w:rsidRPr="00AC7642">
              <w:rPr>
                <w:rFonts w:eastAsia="Times New Roman"/>
                <w:b/>
                <w:bCs/>
                <w:sz w:val="20"/>
                <w:szCs w:val="20"/>
              </w:rPr>
              <w:t xml:space="preserve">2014 Mangrove Extent </w:t>
            </w:r>
          </w:p>
        </w:tc>
        <w:tc>
          <w:tcPr>
            <w:tcW w:w="1085" w:type="dxa"/>
            <w:tcBorders>
              <w:top w:val="single" w:sz="4" w:space="0" w:color="auto"/>
              <w:left w:val="nil"/>
              <w:bottom w:val="single" w:sz="4" w:space="0" w:color="auto"/>
              <w:right w:val="single" w:sz="4" w:space="0" w:color="auto"/>
            </w:tcBorders>
            <w:shd w:val="clear" w:color="000000" w:fill="D0CECE"/>
            <w:vAlign w:val="center"/>
            <w:hideMark/>
          </w:tcPr>
          <w:p w14:paraId="75FFFAF7" w14:textId="5CCA8F53" w:rsidR="00E4736E" w:rsidRPr="00AC7642" w:rsidRDefault="00E4736E">
            <w:pPr>
              <w:spacing w:after="0" w:line="240" w:lineRule="auto"/>
              <w:jc w:val="center"/>
              <w:rPr>
                <w:rFonts w:eastAsia="Times New Roman"/>
                <w:b/>
                <w:bCs/>
                <w:sz w:val="20"/>
                <w:szCs w:val="20"/>
              </w:rPr>
            </w:pPr>
            <w:r w:rsidRPr="00AC7642">
              <w:rPr>
                <w:rFonts w:eastAsia="Times New Roman"/>
                <w:b/>
                <w:bCs/>
                <w:sz w:val="20"/>
                <w:szCs w:val="20"/>
              </w:rPr>
              <w:t xml:space="preserve">2000-2014 Area Mangrove Loss </w:t>
            </w:r>
          </w:p>
        </w:tc>
        <w:tc>
          <w:tcPr>
            <w:tcW w:w="1084" w:type="dxa"/>
            <w:tcBorders>
              <w:top w:val="single" w:sz="4" w:space="0" w:color="auto"/>
              <w:left w:val="nil"/>
              <w:bottom w:val="single" w:sz="4" w:space="0" w:color="auto"/>
              <w:right w:val="single" w:sz="4" w:space="0" w:color="auto"/>
            </w:tcBorders>
            <w:shd w:val="clear" w:color="000000" w:fill="D0CECE"/>
            <w:vAlign w:val="center"/>
            <w:hideMark/>
          </w:tcPr>
          <w:p w14:paraId="784BD6AE" w14:textId="28338D90" w:rsidR="00E4736E" w:rsidRPr="00AC7642" w:rsidRDefault="00E4736E">
            <w:pPr>
              <w:spacing w:after="0" w:line="240" w:lineRule="auto"/>
              <w:jc w:val="center"/>
              <w:rPr>
                <w:rFonts w:eastAsia="Times New Roman"/>
                <w:b/>
                <w:bCs/>
                <w:sz w:val="20"/>
                <w:szCs w:val="20"/>
              </w:rPr>
            </w:pPr>
            <w:r w:rsidRPr="00AC7642">
              <w:rPr>
                <w:rFonts w:eastAsia="Times New Roman"/>
                <w:b/>
                <w:bCs/>
                <w:sz w:val="20"/>
                <w:szCs w:val="20"/>
              </w:rPr>
              <w:t xml:space="preserve">% Mangrove Loss </w:t>
            </w:r>
          </w:p>
        </w:tc>
        <w:tc>
          <w:tcPr>
            <w:tcW w:w="1084" w:type="dxa"/>
            <w:tcBorders>
              <w:top w:val="single" w:sz="4" w:space="0" w:color="auto"/>
              <w:left w:val="nil"/>
              <w:bottom w:val="single" w:sz="4" w:space="0" w:color="auto"/>
              <w:right w:val="single" w:sz="4" w:space="0" w:color="auto"/>
            </w:tcBorders>
            <w:shd w:val="clear" w:color="000000" w:fill="D0CECE"/>
            <w:vAlign w:val="center"/>
            <w:hideMark/>
          </w:tcPr>
          <w:p w14:paraId="1077C248" w14:textId="3A8C01F3" w:rsidR="00E4736E" w:rsidRPr="00AC7642" w:rsidRDefault="00E4736E">
            <w:pPr>
              <w:spacing w:after="0" w:line="240" w:lineRule="auto"/>
              <w:jc w:val="center"/>
              <w:rPr>
                <w:rFonts w:eastAsia="Times New Roman"/>
                <w:b/>
                <w:bCs/>
                <w:sz w:val="20"/>
                <w:szCs w:val="20"/>
              </w:rPr>
            </w:pPr>
            <w:r w:rsidRPr="00AC7642">
              <w:rPr>
                <w:rFonts w:eastAsia="Times New Roman"/>
                <w:b/>
                <w:bCs/>
                <w:sz w:val="20"/>
                <w:szCs w:val="20"/>
              </w:rPr>
              <w:t xml:space="preserve">Mangroves as % of Territory </w:t>
            </w:r>
          </w:p>
        </w:tc>
        <w:tc>
          <w:tcPr>
            <w:tcW w:w="1085" w:type="dxa"/>
            <w:tcBorders>
              <w:top w:val="single" w:sz="4" w:space="0" w:color="auto"/>
              <w:left w:val="nil"/>
              <w:bottom w:val="single" w:sz="4" w:space="0" w:color="auto"/>
              <w:right w:val="single" w:sz="4" w:space="0" w:color="auto"/>
            </w:tcBorders>
            <w:shd w:val="clear" w:color="000000" w:fill="D0CECE"/>
            <w:vAlign w:val="center"/>
            <w:hideMark/>
          </w:tcPr>
          <w:p w14:paraId="5D64FB60" w14:textId="5E0680E7" w:rsidR="00E4736E" w:rsidRPr="00AC7642" w:rsidRDefault="00E4736E">
            <w:pPr>
              <w:spacing w:after="0" w:line="240" w:lineRule="auto"/>
              <w:jc w:val="center"/>
              <w:rPr>
                <w:rFonts w:eastAsia="Times New Roman"/>
                <w:b/>
                <w:bCs/>
                <w:sz w:val="20"/>
                <w:szCs w:val="20"/>
              </w:rPr>
            </w:pPr>
            <w:r w:rsidRPr="00AC7642">
              <w:rPr>
                <w:rFonts w:eastAsia="Times New Roman"/>
                <w:b/>
                <w:bCs/>
                <w:sz w:val="20"/>
                <w:szCs w:val="20"/>
              </w:rPr>
              <w:t xml:space="preserve">Mangrove Diversity </w:t>
            </w:r>
          </w:p>
        </w:tc>
        <w:tc>
          <w:tcPr>
            <w:tcW w:w="1084" w:type="dxa"/>
            <w:tcBorders>
              <w:top w:val="single" w:sz="4" w:space="0" w:color="auto"/>
              <w:left w:val="nil"/>
              <w:bottom w:val="single" w:sz="4" w:space="0" w:color="auto"/>
              <w:right w:val="single" w:sz="4" w:space="0" w:color="auto"/>
            </w:tcBorders>
            <w:shd w:val="clear" w:color="000000" w:fill="D0CECE"/>
            <w:vAlign w:val="center"/>
            <w:hideMark/>
          </w:tcPr>
          <w:p w14:paraId="060C8D10" w14:textId="4A594706" w:rsidR="00E4736E" w:rsidRPr="00AC7642" w:rsidRDefault="00E4736E">
            <w:pPr>
              <w:spacing w:after="0" w:line="240" w:lineRule="auto"/>
              <w:jc w:val="center"/>
              <w:rPr>
                <w:rFonts w:eastAsia="Times New Roman"/>
                <w:b/>
                <w:bCs/>
                <w:sz w:val="20"/>
                <w:szCs w:val="20"/>
              </w:rPr>
            </w:pPr>
            <w:r w:rsidRPr="00AC7642">
              <w:rPr>
                <w:rFonts w:eastAsia="Times New Roman"/>
                <w:b/>
                <w:bCs/>
                <w:sz w:val="20"/>
                <w:szCs w:val="20"/>
              </w:rPr>
              <w:t xml:space="preserve">Diversity of Associated Species </w:t>
            </w:r>
          </w:p>
        </w:tc>
        <w:tc>
          <w:tcPr>
            <w:tcW w:w="1084" w:type="dxa"/>
            <w:tcBorders>
              <w:top w:val="single" w:sz="4" w:space="0" w:color="auto"/>
              <w:left w:val="nil"/>
              <w:bottom w:val="single" w:sz="4" w:space="0" w:color="auto"/>
              <w:right w:val="single" w:sz="4" w:space="0" w:color="auto"/>
            </w:tcBorders>
            <w:shd w:val="clear" w:color="000000" w:fill="D0CECE"/>
            <w:vAlign w:val="center"/>
            <w:hideMark/>
          </w:tcPr>
          <w:p w14:paraId="2A8C439B" w14:textId="5F7298B5" w:rsidR="00E4736E" w:rsidRPr="00AC7642" w:rsidRDefault="00E4736E">
            <w:pPr>
              <w:spacing w:after="0" w:line="240" w:lineRule="auto"/>
              <w:jc w:val="center"/>
              <w:rPr>
                <w:rFonts w:eastAsia="Times New Roman"/>
                <w:b/>
                <w:bCs/>
                <w:sz w:val="20"/>
                <w:szCs w:val="20"/>
              </w:rPr>
            </w:pPr>
            <w:r w:rsidRPr="00AC7642">
              <w:rPr>
                <w:rFonts w:eastAsia="Times New Roman"/>
                <w:b/>
                <w:bCs/>
                <w:sz w:val="20"/>
                <w:szCs w:val="20"/>
              </w:rPr>
              <w:t xml:space="preserve">Low Income </w:t>
            </w:r>
          </w:p>
        </w:tc>
        <w:tc>
          <w:tcPr>
            <w:tcW w:w="1085" w:type="dxa"/>
            <w:tcBorders>
              <w:top w:val="single" w:sz="4" w:space="0" w:color="auto"/>
              <w:left w:val="nil"/>
              <w:bottom w:val="single" w:sz="4" w:space="0" w:color="auto"/>
              <w:right w:val="single" w:sz="4" w:space="0" w:color="auto"/>
            </w:tcBorders>
            <w:shd w:val="clear" w:color="000000" w:fill="D0CECE"/>
            <w:vAlign w:val="center"/>
            <w:hideMark/>
          </w:tcPr>
          <w:p w14:paraId="620A4BE7" w14:textId="47FA1132" w:rsidR="00E4736E" w:rsidRPr="00AC7642" w:rsidRDefault="00E4736E">
            <w:pPr>
              <w:spacing w:after="0" w:line="240" w:lineRule="auto"/>
              <w:jc w:val="center"/>
              <w:rPr>
                <w:rFonts w:eastAsia="Times New Roman"/>
                <w:b/>
                <w:bCs/>
                <w:sz w:val="20"/>
                <w:szCs w:val="20"/>
              </w:rPr>
            </w:pPr>
            <w:r w:rsidRPr="00AC7642">
              <w:rPr>
                <w:rFonts w:eastAsia="Times New Roman"/>
                <w:b/>
                <w:bCs/>
                <w:sz w:val="20"/>
                <w:szCs w:val="20"/>
              </w:rPr>
              <w:t xml:space="preserve">Corruption </w:t>
            </w:r>
          </w:p>
        </w:tc>
        <w:tc>
          <w:tcPr>
            <w:tcW w:w="1084" w:type="dxa"/>
            <w:tcBorders>
              <w:top w:val="single" w:sz="4" w:space="0" w:color="auto"/>
              <w:left w:val="nil"/>
              <w:bottom w:val="single" w:sz="4" w:space="0" w:color="auto"/>
              <w:right w:val="single" w:sz="4" w:space="0" w:color="auto"/>
            </w:tcBorders>
            <w:shd w:val="clear" w:color="000000" w:fill="D0CECE"/>
            <w:vAlign w:val="center"/>
            <w:hideMark/>
          </w:tcPr>
          <w:p w14:paraId="400EB868" w14:textId="791256E1" w:rsidR="00E4736E" w:rsidRPr="00AC7642" w:rsidRDefault="00E4736E">
            <w:pPr>
              <w:spacing w:after="0" w:line="240" w:lineRule="auto"/>
              <w:jc w:val="center"/>
              <w:rPr>
                <w:rFonts w:eastAsia="Times New Roman"/>
                <w:b/>
                <w:bCs/>
                <w:sz w:val="20"/>
                <w:szCs w:val="20"/>
              </w:rPr>
            </w:pPr>
            <w:r w:rsidRPr="00AC7642">
              <w:rPr>
                <w:rFonts w:eastAsia="Times New Roman"/>
                <w:b/>
                <w:bCs/>
                <w:sz w:val="20"/>
                <w:szCs w:val="20"/>
              </w:rPr>
              <w:t xml:space="preserve">World Risk Index </w:t>
            </w:r>
          </w:p>
        </w:tc>
        <w:tc>
          <w:tcPr>
            <w:tcW w:w="1084" w:type="dxa"/>
            <w:tcBorders>
              <w:top w:val="single" w:sz="4" w:space="0" w:color="auto"/>
              <w:left w:val="nil"/>
              <w:bottom w:val="single" w:sz="4" w:space="0" w:color="auto"/>
              <w:right w:val="single" w:sz="4" w:space="0" w:color="auto"/>
            </w:tcBorders>
            <w:shd w:val="clear" w:color="000000" w:fill="D0CECE"/>
            <w:vAlign w:val="center"/>
            <w:hideMark/>
          </w:tcPr>
          <w:p w14:paraId="0FC53F4E" w14:textId="4F9BEF32" w:rsidR="00E4736E" w:rsidRPr="00AC7642" w:rsidRDefault="00E4736E">
            <w:pPr>
              <w:spacing w:after="0" w:line="240" w:lineRule="auto"/>
              <w:jc w:val="center"/>
              <w:rPr>
                <w:rFonts w:eastAsia="Times New Roman"/>
                <w:b/>
                <w:bCs/>
                <w:sz w:val="20"/>
                <w:szCs w:val="20"/>
              </w:rPr>
            </w:pPr>
            <w:r w:rsidRPr="00AC7642">
              <w:rPr>
                <w:rFonts w:eastAsia="Times New Roman"/>
                <w:b/>
                <w:bCs/>
                <w:sz w:val="20"/>
                <w:szCs w:val="20"/>
              </w:rPr>
              <w:t xml:space="preserve">Soil C-Stocks </w:t>
            </w:r>
          </w:p>
        </w:tc>
        <w:tc>
          <w:tcPr>
            <w:tcW w:w="1085" w:type="dxa"/>
            <w:tcBorders>
              <w:top w:val="single" w:sz="4" w:space="0" w:color="auto"/>
              <w:left w:val="nil"/>
              <w:bottom w:val="single" w:sz="4" w:space="0" w:color="auto"/>
              <w:right w:val="single" w:sz="4" w:space="0" w:color="auto"/>
            </w:tcBorders>
            <w:shd w:val="clear" w:color="000000" w:fill="D0CECE"/>
            <w:vAlign w:val="center"/>
            <w:hideMark/>
          </w:tcPr>
          <w:p w14:paraId="1D1A5ECB" w14:textId="77777777"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CC Adaptation and Mangroves</w:t>
            </w:r>
          </w:p>
        </w:tc>
        <w:tc>
          <w:tcPr>
            <w:tcW w:w="1084" w:type="dxa"/>
            <w:tcBorders>
              <w:top w:val="single" w:sz="4" w:space="0" w:color="auto"/>
              <w:left w:val="nil"/>
              <w:bottom w:val="single" w:sz="4" w:space="0" w:color="auto"/>
              <w:right w:val="single" w:sz="4" w:space="0" w:color="auto"/>
            </w:tcBorders>
            <w:shd w:val="clear" w:color="000000" w:fill="D0CECE"/>
            <w:vAlign w:val="center"/>
            <w:hideMark/>
          </w:tcPr>
          <w:p w14:paraId="17B341DA" w14:textId="6D77FBAD" w:rsidR="00E4736E" w:rsidRPr="00AC7642" w:rsidRDefault="00E4736E">
            <w:pPr>
              <w:spacing w:after="0" w:line="240" w:lineRule="auto"/>
              <w:jc w:val="center"/>
              <w:rPr>
                <w:rFonts w:eastAsia="Times New Roman"/>
                <w:b/>
                <w:bCs/>
                <w:sz w:val="20"/>
                <w:szCs w:val="20"/>
              </w:rPr>
            </w:pPr>
            <w:r w:rsidRPr="00AC7642">
              <w:rPr>
                <w:rFonts w:eastAsia="Times New Roman"/>
                <w:b/>
                <w:bCs/>
                <w:sz w:val="20"/>
                <w:szCs w:val="20"/>
              </w:rPr>
              <w:t>LECZs – Population, Area</w:t>
            </w:r>
          </w:p>
        </w:tc>
        <w:tc>
          <w:tcPr>
            <w:tcW w:w="1085" w:type="dxa"/>
            <w:tcBorders>
              <w:top w:val="single" w:sz="4" w:space="0" w:color="auto"/>
              <w:left w:val="nil"/>
              <w:bottom w:val="single" w:sz="4" w:space="0" w:color="auto"/>
              <w:right w:val="single" w:sz="4" w:space="0" w:color="auto"/>
            </w:tcBorders>
            <w:shd w:val="clear" w:color="000000" w:fill="D0CECE"/>
            <w:vAlign w:val="center"/>
            <w:hideMark/>
          </w:tcPr>
          <w:p w14:paraId="52F21333" w14:textId="77777777"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Overall Score</w:t>
            </w:r>
          </w:p>
        </w:tc>
      </w:tr>
      <w:tr w:rsidR="00AC7642" w:rsidRPr="00E4736E" w14:paraId="1D3FABE4" w14:textId="77777777" w:rsidTr="00AC7642">
        <w:trPr>
          <w:trHeight w:val="60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00530498" w14:textId="77777777"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Indonesia</w:t>
            </w:r>
          </w:p>
        </w:tc>
        <w:tc>
          <w:tcPr>
            <w:tcW w:w="1084" w:type="dxa"/>
            <w:tcBorders>
              <w:top w:val="nil"/>
              <w:left w:val="nil"/>
              <w:bottom w:val="single" w:sz="4" w:space="0" w:color="auto"/>
              <w:right w:val="single" w:sz="4" w:space="0" w:color="auto"/>
            </w:tcBorders>
            <w:shd w:val="clear" w:color="auto" w:fill="auto"/>
            <w:noWrap/>
            <w:vAlign w:val="bottom"/>
            <w:hideMark/>
          </w:tcPr>
          <w:p w14:paraId="0BE3E5A2" w14:textId="7777777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100</w:t>
            </w:r>
          </w:p>
        </w:tc>
        <w:tc>
          <w:tcPr>
            <w:tcW w:w="1085" w:type="dxa"/>
            <w:tcBorders>
              <w:top w:val="nil"/>
              <w:left w:val="nil"/>
              <w:bottom w:val="single" w:sz="4" w:space="0" w:color="auto"/>
              <w:right w:val="single" w:sz="4" w:space="0" w:color="auto"/>
            </w:tcBorders>
            <w:shd w:val="clear" w:color="auto" w:fill="auto"/>
            <w:noWrap/>
            <w:vAlign w:val="bottom"/>
            <w:hideMark/>
          </w:tcPr>
          <w:p w14:paraId="40ED23FC" w14:textId="7777777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100</w:t>
            </w:r>
          </w:p>
        </w:tc>
        <w:tc>
          <w:tcPr>
            <w:tcW w:w="1084" w:type="dxa"/>
            <w:tcBorders>
              <w:top w:val="nil"/>
              <w:left w:val="nil"/>
              <w:bottom w:val="single" w:sz="4" w:space="0" w:color="auto"/>
              <w:right w:val="single" w:sz="4" w:space="0" w:color="auto"/>
            </w:tcBorders>
            <w:shd w:val="clear" w:color="auto" w:fill="auto"/>
            <w:noWrap/>
            <w:vAlign w:val="bottom"/>
            <w:hideMark/>
          </w:tcPr>
          <w:p w14:paraId="648A623D" w14:textId="7777777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38.4</w:t>
            </w:r>
          </w:p>
        </w:tc>
        <w:tc>
          <w:tcPr>
            <w:tcW w:w="1084" w:type="dxa"/>
            <w:tcBorders>
              <w:top w:val="nil"/>
              <w:left w:val="nil"/>
              <w:bottom w:val="single" w:sz="4" w:space="0" w:color="auto"/>
              <w:right w:val="single" w:sz="4" w:space="0" w:color="auto"/>
            </w:tcBorders>
            <w:shd w:val="clear" w:color="auto" w:fill="auto"/>
            <w:noWrap/>
            <w:vAlign w:val="bottom"/>
            <w:hideMark/>
          </w:tcPr>
          <w:p w14:paraId="2BE797B3" w14:textId="7777777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11.7</w:t>
            </w:r>
          </w:p>
        </w:tc>
        <w:tc>
          <w:tcPr>
            <w:tcW w:w="1085" w:type="dxa"/>
            <w:tcBorders>
              <w:top w:val="nil"/>
              <w:left w:val="nil"/>
              <w:bottom w:val="single" w:sz="4" w:space="0" w:color="auto"/>
              <w:right w:val="single" w:sz="4" w:space="0" w:color="auto"/>
            </w:tcBorders>
            <w:shd w:val="clear" w:color="auto" w:fill="auto"/>
            <w:noWrap/>
            <w:vAlign w:val="bottom"/>
            <w:hideMark/>
          </w:tcPr>
          <w:p w14:paraId="6EB38A30" w14:textId="7777777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100.0</w:t>
            </w:r>
          </w:p>
        </w:tc>
        <w:tc>
          <w:tcPr>
            <w:tcW w:w="1084" w:type="dxa"/>
            <w:tcBorders>
              <w:top w:val="nil"/>
              <w:left w:val="nil"/>
              <w:bottom w:val="single" w:sz="4" w:space="0" w:color="auto"/>
              <w:right w:val="single" w:sz="4" w:space="0" w:color="auto"/>
            </w:tcBorders>
            <w:shd w:val="clear" w:color="000000" w:fill="FFFFFF"/>
            <w:noWrap/>
            <w:vAlign w:val="bottom"/>
            <w:hideMark/>
          </w:tcPr>
          <w:p w14:paraId="78C93D4F" w14:textId="7777777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86.5</w:t>
            </w:r>
          </w:p>
        </w:tc>
        <w:tc>
          <w:tcPr>
            <w:tcW w:w="1084" w:type="dxa"/>
            <w:tcBorders>
              <w:top w:val="nil"/>
              <w:left w:val="nil"/>
              <w:bottom w:val="single" w:sz="4" w:space="0" w:color="auto"/>
              <w:right w:val="single" w:sz="4" w:space="0" w:color="auto"/>
            </w:tcBorders>
            <w:shd w:val="clear" w:color="000000" w:fill="FFE699"/>
            <w:noWrap/>
            <w:vAlign w:val="bottom"/>
            <w:hideMark/>
          </w:tcPr>
          <w:p w14:paraId="5B41F2DD" w14:textId="77777777"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79.2</w:t>
            </w:r>
          </w:p>
        </w:tc>
        <w:tc>
          <w:tcPr>
            <w:tcW w:w="1085" w:type="dxa"/>
            <w:tcBorders>
              <w:top w:val="nil"/>
              <w:left w:val="nil"/>
              <w:bottom w:val="single" w:sz="4" w:space="0" w:color="auto"/>
              <w:right w:val="single" w:sz="4" w:space="0" w:color="auto"/>
            </w:tcBorders>
            <w:shd w:val="clear" w:color="000000" w:fill="FFFFFF"/>
            <w:noWrap/>
            <w:vAlign w:val="bottom"/>
            <w:hideMark/>
          </w:tcPr>
          <w:p w14:paraId="0C0EE92C" w14:textId="7777777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61.7</w:t>
            </w:r>
          </w:p>
        </w:tc>
        <w:tc>
          <w:tcPr>
            <w:tcW w:w="1084" w:type="dxa"/>
            <w:tcBorders>
              <w:top w:val="nil"/>
              <w:left w:val="nil"/>
              <w:bottom w:val="single" w:sz="4" w:space="0" w:color="auto"/>
              <w:right w:val="single" w:sz="4" w:space="0" w:color="auto"/>
            </w:tcBorders>
            <w:shd w:val="clear" w:color="000000" w:fill="FFFFFF"/>
            <w:noWrap/>
            <w:vAlign w:val="bottom"/>
            <w:hideMark/>
          </w:tcPr>
          <w:p w14:paraId="3313EB24" w14:textId="7777777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28.8</w:t>
            </w:r>
          </w:p>
        </w:tc>
        <w:tc>
          <w:tcPr>
            <w:tcW w:w="1084" w:type="dxa"/>
            <w:tcBorders>
              <w:top w:val="nil"/>
              <w:left w:val="nil"/>
              <w:bottom w:val="single" w:sz="4" w:space="0" w:color="auto"/>
              <w:right w:val="single" w:sz="4" w:space="0" w:color="auto"/>
            </w:tcBorders>
            <w:shd w:val="clear" w:color="000000" w:fill="FFFFFF"/>
            <w:noWrap/>
            <w:vAlign w:val="bottom"/>
            <w:hideMark/>
          </w:tcPr>
          <w:p w14:paraId="1E3099B9" w14:textId="7777777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58.9</w:t>
            </w:r>
          </w:p>
        </w:tc>
        <w:tc>
          <w:tcPr>
            <w:tcW w:w="1085" w:type="dxa"/>
            <w:tcBorders>
              <w:top w:val="nil"/>
              <w:left w:val="nil"/>
              <w:bottom w:val="single" w:sz="4" w:space="0" w:color="auto"/>
              <w:right w:val="single" w:sz="4" w:space="0" w:color="auto"/>
            </w:tcBorders>
            <w:shd w:val="clear" w:color="auto" w:fill="auto"/>
            <w:noWrap/>
            <w:vAlign w:val="bottom"/>
            <w:hideMark/>
          </w:tcPr>
          <w:p w14:paraId="49861949" w14:textId="7777777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31.4</w:t>
            </w:r>
          </w:p>
        </w:tc>
        <w:tc>
          <w:tcPr>
            <w:tcW w:w="1084" w:type="dxa"/>
            <w:tcBorders>
              <w:top w:val="nil"/>
              <w:left w:val="nil"/>
              <w:bottom w:val="single" w:sz="4" w:space="0" w:color="auto"/>
              <w:right w:val="single" w:sz="4" w:space="0" w:color="auto"/>
            </w:tcBorders>
            <w:shd w:val="clear" w:color="auto" w:fill="auto"/>
            <w:noWrap/>
            <w:vAlign w:val="bottom"/>
            <w:hideMark/>
          </w:tcPr>
          <w:p w14:paraId="3884DF82" w14:textId="7777777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19.2</w:t>
            </w:r>
          </w:p>
        </w:tc>
        <w:tc>
          <w:tcPr>
            <w:tcW w:w="1085" w:type="dxa"/>
            <w:tcBorders>
              <w:top w:val="nil"/>
              <w:left w:val="nil"/>
              <w:bottom w:val="single" w:sz="4" w:space="0" w:color="auto"/>
              <w:right w:val="single" w:sz="4" w:space="0" w:color="auto"/>
            </w:tcBorders>
            <w:shd w:val="clear" w:color="000000" w:fill="DDEBF7"/>
            <w:noWrap/>
            <w:vAlign w:val="bottom"/>
            <w:hideMark/>
          </w:tcPr>
          <w:p w14:paraId="5C7F5DD5" w14:textId="77777777"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70.3</w:t>
            </w:r>
          </w:p>
        </w:tc>
      </w:tr>
      <w:tr w:rsidR="00E4736E" w:rsidRPr="00E4736E" w14:paraId="15D951B3" w14:textId="77777777" w:rsidTr="00373F42">
        <w:trPr>
          <w:trHeight w:val="315"/>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2EB218CE" w14:textId="6B622703"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Myanmar</w:t>
            </w:r>
          </w:p>
        </w:tc>
        <w:tc>
          <w:tcPr>
            <w:tcW w:w="1084" w:type="dxa"/>
            <w:tcBorders>
              <w:top w:val="nil"/>
              <w:left w:val="nil"/>
              <w:bottom w:val="single" w:sz="4" w:space="0" w:color="auto"/>
              <w:right w:val="single" w:sz="4" w:space="0" w:color="auto"/>
            </w:tcBorders>
            <w:shd w:val="clear" w:color="auto" w:fill="auto"/>
            <w:noWrap/>
            <w:vAlign w:val="bottom"/>
            <w:hideMark/>
          </w:tcPr>
          <w:p w14:paraId="016E5B8D" w14:textId="4AD7B860"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10.9</w:t>
            </w:r>
          </w:p>
        </w:tc>
        <w:tc>
          <w:tcPr>
            <w:tcW w:w="1085" w:type="dxa"/>
            <w:tcBorders>
              <w:top w:val="nil"/>
              <w:left w:val="nil"/>
              <w:bottom w:val="single" w:sz="4" w:space="0" w:color="auto"/>
              <w:right w:val="single" w:sz="4" w:space="0" w:color="auto"/>
            </w:tcBorders>
            <w:shd w:val="clear" w:color="auto" w:fill="auto"/>
            <w:noWrap/>
            <w:vAlign w:val="bottom"/>
            <w:hideMark/>
          </w:tcPr>
          <w:p w14:paraId="01BAD2FE" w14:textId="4B52377E"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30.3</w:t>
            </w:r>
          </w:p>
        </w:tc>
        <w:tc>
          <w:tcPr>
            <w:tcW w:w="1084" w:type="dxa"/>
            <w:tcBorders>
              <w:top w:val="nil"/>
              <w:left w:val="nil"/>
              <w:bottom w:val="single" w:sz="4" w:space="0" w:color="auto"/>
              <w:right w:val="single" w:sz="4" w:space="0" w:color="auto"/>
            </w:tcBorders>
            <w:shd w:val="clear" w:color="auto" w:fill="auto"/>
            <w:noWrap/>
            <w:vAlign w:val="bottom"/>
            <w:hideMark/>
          </w:tcPr>
          <w:p w14:paraId="773D1889" w14:textId="08EEE9B9"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100.0</w:t>
            </w:r>
          </w:p>
        </w:tc>
        <w:tc>
          <w:tcPr>
            <w:tcW w:w="1084" w:type="dxa"/>
            <w:tcBorders>
              <w:top w:val="nil"/>
              <w:left w:val="nil"/>
              <w:bottom w:val="single" w:sz="4" w:space="0" w:color="auto"/>
              <w:right w:val="single" w:sz="4" w:space="0" w:color="auto"/>
            </w:tcBorders>
            <w:shd w:val="clear" w:color="auto" w:fill="auto"/>
            <w:noWrap/>
            <w:vAlign w:val="bottom"/>
            <w:hideMark/>
          </w:tcPr>
          <w:p w14:paraId="7DE3494B" w14:textId="343366DC"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3.6</w:t>
            </w:r>
          </w:p>
        </w:tc>
        <w:tc>
          <w:tcPr>
            <w:tcW w:w="1085" w:type="dxa"/>
            <w:tcBorders>
              <w:top w:val="nil"/>
              <w:left w:val="nil"/>
              <w:bottom w:val="single" w:sz="4" w:space="0" w:color="auto"/>
              <w:right w:val="single" w:sz="4" w:space="0" w:color="auto"/>
            </w:tcBorders>
            <w:shd w:val="clear" w:color="auto" w:fill="auto"/>
            <w:noWrap/>
            <w:vAlign w:val="bottom"/>
            <w:hideMark/>
          </w:tcPr>
          <w:p w14:paraId="137FCE24" w14:textId="5138E51B"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52.8</w:t>
            </w:r>
          </w:p>
        </w:tc>
        <w:tc>
          <w:tcPr>
            <w:tcW w:w="1084" w:type="dxa"/>
            <w:tcBorders>
              <w:top w:val="nil"/>
              <w:left w:val="nil"/>
              <w:bottom w:val="single" w:sz="4" w:space="0" w:color="auto"/>
              <w:right w:val="single" w:sz="4" w:space="0" w:color="auto"/>
            </w:tcBorders>
            <w:shd w:val="clear" w:color="000000" w:fill="FFFFFF"/>
            <w:noWrap/>
            <w:vAlign w:val="bottom"/>
            <w:hideMark/>
          </w:tcPr>
          <w:p w14:paraId="2913F35A" w14:textId="140C4F9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56.8</w:t>
            </w:r>
          </w:p>
        </w:tc>
        <w:tc>
          <w:tcPr>
            <w:tcW w:w="1084" w:type="dxa"/>
            <w:tcBorders>
              <w:top w:val="nil"/>
              <w:left w:val="nil"/>
              <w:bottom w:val="single" w:sz="4" w:space="0" w:color="auto"/>
              <w:right w:val="single" w:sz="4" w:space="0" w:color="auto"/>
            </w:tcBorders>
            <w:shd w:val="clear" w:color="000000" w:fill="A9D08E"/>
            <w:noWrap/>
            <w:vAlign w:val="bottom"/>
            <w:hideMark/>
          </w:tcPr>
          <w:p w14:paraId="7D6B86FA" w14:textId="7E384D72"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94.7</w:t>
            </w:r>
          </w:p>
        </w:tc>
        <w:tc>
          <w:tcPr>
            <w:tcW w:w="1085" w:type="dxa"/>
            <w:tcBorders>
              <w:top w:val="nil"/>
              <w:left w:val="nil"/>
              <w:bottom w:val="single" w:sz="4" w:space="0" w:color="auto"/>
              <w:right w:val="single" w:sz="4" w:space="0" w:color="auto"/>
            </w:tcBorders>
            <w:shd w:val="clear" w:color="000000" w:fill="FFFFFF"/>
            <w:noWrap/>
            <w:vAlign w:val="bottom"/>
            <w:hideMark/>
          </w:tcPr>
          <w:p w14:paraId="2126295F" w14:textId="0C4B9D8F"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46.7</w:t>
            </w:r>
          </w:p>
        </w:tc>
        <w:tc>
          <w:tcPr>
            <w:tcW w:w="1084" w:type="dxa"/>
            <w:tcBorders>
              <w:top w:val="nil"/>
              <w:left w:val="nil"/>
              <w:bottom w:val="single" w:sz="4" w:space="0" w:color="auto"/>
              <w:right w:val="single" w:sz="4" w:space="0" w:color="auto"/>
            </w:tcBorders>
            <w:shd w:val="clear" w:color="000000" w:fill="FFFFFF"/>
            <w:noWrap/>
            <w:vAlign w:val="bottom"/>
            <w:hideMark/>
          </w:tcPr>
          <w:p w14:paraId="500DE16D" w14:textId="22ED1D93"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24.9</w:t>
            </w:r>
          </w:p>
        </w:tc>
        <w:tc>
          <w:tcPr>
            <w:tcW w:w="1084" w:type="dxa"/>
            <w:tcBorders>
              <w:top w:val="nil"/>
              <w:left w:val="nil"/>
              <w:bottom w:val="single" w:sz="4" w:space="0" w:color="auto"/>
              <w:right w:val="single" w:sz="4" w:space="0" w:color="auto"/>
            </w:tcBorders>
            <w:shd w:val="clear" w:color="000000" w:fill="FFFFFF"/>
            <w:noWrap/>
            <w:vAlign w:val="bottom"/>
            <w:hideMark/>
          </w:tcPr>
          <w:p w14:paraId="3F8DEA1D" w14:textId="40E507E5"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20.3</w:t>
            </w:r>
          </w:p>
        </w:tc>
        <w:tc>
          <w:tcPr>
            <w:tcW w:w="1085" w:type="dxa"/>
            <w:tcBorders>
              <w:top w:val="nil"/>
              <w:left w:val="nil"/>
              <w:bottom w:val="single" w:sz="4" w:space="0" w:color="auto"/>
              <w:right w:val="single" w:sz="4" w:space="0" w:color="auto"/>
            </w:tcBorders>
            <w:shd w:val="clear" w:color="auto" w:fill="auto"/>
            <w:noWrap/>
            <w:vAlign w:val="bottom"/>
            <w:hideMark/>
          </w:tcPr>
          <w:p w14:paraId="425B3A5E" w14:textId="3ED51F7A"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34.0</w:t>
            </w:r>
          </w:p>
        </w:tc>
        <w:tc>
          <w:tcPr>
            <w:tcW w:w="1084" w:type="dxa"/>
            <w:tcBorders>
              <w:top w:val="nil"/>
              <w:left w:val="nil"/>
              <w:bottom w:val="single" w:sz="4" w:space="0" w:color="auto"/>
              <w:right w:val="single" w:sz="4" w:space="0" w:color="auto"/>
            </w:tcBorders>
            <w:shd w:val="clear" w:color="auto" w:fill="auto"/>
            <w:noWrap/>
            <w:vAlign w:val="bottom"/>
            <w:hideMark/>
          </w:tcPr>
          <w:p w14:paraId="40DB0E33" w14:textId="5F428E9F"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16.0</w:t>
            </w:r>
          </w:p>
        </w:tc>
        <w:tc>
          <w:tcPr>
            <w:tcW w:w="1085" w:type="dxa"/>
            <w:tcBorders>
              <w:top w:val="nil"/>
              <w:left w:val="nil"/>
              <w:bottom w:val="single" w:sz="4" w:space="0" w:color="auto"/>
              <w:right w:val="single" w:sz="4" w:space="0" w:color="auto"/>
            </w:tcBorders>
            <w:shd w:val="clear" w:color="000000" w:fill="DDEBF7"/>
            <w:noWrap/>
            <w:vAlign w:val="bottom"/>
            <w:hideMark/>
          </w:tcPr>
          <w:p w14:paraId="2EBCA381" w14:textId="4BB4A02A"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47.1</w:t>
            </w:r>
          </w:p>
        </w:tc>
      </w:tr>
      <w:tr w:rsidR="00AC7642" w:rsidRPr="00E4736E" w14:paraId="002B546B" w14:textId="77777777" w:rsidTr="00AC7642">
        <w:trPr>
          <w:trHeight w:val="900"/>
        </w:trPr>
        <w:tc>
          <w:tcPr>
            <w:tcW w:w="1084" w:type="dxa"/>
            <w:tcBorders>
              <w:top w:val="nil"/>
              <w:left w:val="single" w:sz="4" w:space="0" w:color="auto"/>
              <w:bottom w:val="single" w:sz="4" w:space="0" w:color="auto"/>
              <w:right w:val="single" w:sz="4" w:space="0" w:color="auto"/>
            </w:tcBorders>
            <w:shd w:val="thinDiagStripe" w:color="FF0000" w:fill="FFFFFF"/>
            <w:vAlign w:val="center"/>
            <w:hideMark/>
          </w:tcPr>
          <w:p w14:paraId="4D1FFE98" w14:textId="757FCA37"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India</w:t>
            </w:r>
          </w:p>
        </w:tc>
        <w:tc>
          <w:tcPr>
            <w:tcW w:w="1084" w:type="dxa"/>
            <w:tcBorders>
              <w:top w:val="nil"/>
              <w:left w:val="nil"/>
              <w:bottom w:val="single" w:sz="4" w:space="0" w:color="auto"/>
              <w:right w:val="single" w:sz="4" w:space="0" w:color="auto"/>
            </w:tcBorders>
            <w:shd w:val="clear" w:color="auto" w:fill="auto"/>
            <w:noWrap/>
            <w:vAlign w:val="bottom"/>
            <w:hideMark/>
          </w:tcPr>
          <w:p w14:paraId="5F76DA65" w14:textId="653B2211"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3.4</w:t>
            </w:r>
          </w:p>
        </w:tc>
        <w:tc>
          <w:tcPr>
            <w:tcW w:w="1085" w:type="dxa"/>
            <w:tcBorders>
              <w:top w:val="nil"/>
              <w:left w:val="nil"/>
              <w:bottom w:val="single" w:sz="4" w:space="0" w:color="auto"/>
              <w:right w:val="single" w:sz="4" w:space="0" w:color="auto"/>
            </w:tcBorders>
            <w:shd w:val="clear" w:color="auto" w:fill="auto"/>
            <w:noWrap/>
            <w:vAlign w:val="bottom"/>
            <w:hideMark/>
          </w:tcPr>
          <w:p w14:paraId="6DA531FA" w14:textId="3AEF4403"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3.6</w:t>
            </w:r>
          </w:p>
        </w:tc>
        <w:tc>
          <w:tcPr>
            <w:tcW w:w="1084" w:type="dxa"/>
            <w:tcBorders>
              <w:top w:val="nil"/>
              <w:left w:val="nil"/>
              <w:bottom w:val="single" w:sz="4" w:space="0" w:color="auto"/>
              <w:right w:val="single" w:sz="4" w:space="0" w:color="auto"/>
            </w:tcBorders>
            <w:shd w:val="clear" w:color="auto" w:fill="auto"/>
            <w:noWrap/>
            <w:vAlign w:val="bottom"/>
            <w:hideMark/>
          </w:tcPr>
          <w:p w14:paraId="757B2320" w14:textId="0FD356D5"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40.2</w:t>
            </w:r>
          </w:p>
        </w:tc>
        <w:tc>
          <w:tcPr>
            <w:tcW w:w="1084" w:type="dxa"/>
            <w:tcBorders>
              <w:top w:val="nil"/>
              <w:left w:val="nil"/>
              <w:bottom w:val="single" w:sz="4" w:space="0" w:color="auto"/>
              <w:right w:val="single" w:sz="4" w:space="0" w:color="auto"/>
            </w:tcBorders>
            <w:shd w:val="clear" w:color="auto" w:fill="auto"/>
            <w:noWrap/>
            <w:vAlign w:val="bottom"/>
            <w:hideMark/>
          </w:tcPr>
          <w:p w14:paraId="0FFF84A1" w14:textId="3A9F0890"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0.2</w:t>
            </w:r>
          </w:p>
        </w:tc>
        <w:tc>
          <w:tcPr>
            <w:tcW w:w="1085" w:type="dxa"/>
            <w:tcBorders>
              <w:top w:val="nil"/>
              <w:left w:val="nil"/>
              <w:bottom w:val="single" w:sz="4" w:space="0" w:color="auto"/>
              <w:right w:val="single" w:sz="4" w:space="0" w:color="auto"/>
            </w:tcBorders>
            <w:shd w:val="clear" w:color="auto" w:fill="auto"/>
            <w:noWrap/>
            <w:vAlign w:val="bottom"/>
            <w:hideMark/>
          </w:tcPr>
          <w:p w14:paraId="588FCDA8" w14:textId="79ED5080"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52.8</w:t>
            </w:r>
          </w:p>
        </w:tc>
        <w:tc>
          <w:tcPr>
            <w:tcW w:w="1084" w:type="dxa"/>
            <w:tcBorders>
              <w:top w:val="nil"/>
              <w:left w:val="nil"/>
              <w:bottom w:val="single" w:sz="4" w:space="0" w:color="auto"/>
              <w:right w:val="single" w:sz="4" w:space="0" w:color="auto"/>
            </w:tcBorders>
            <w:shd w:val="clear" w:color="000000" w:fill="FFFFFF"/>
            <w:noWrap/>
            <w:vAlign w:val="bottom"/>
            <w:hideMark/>
          </w:tcPr>
          <w:p w14:paraId="1FD19693" w14:textId="5D217BDA"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51.4</w:t>
            </w:r>
          </w:p>
        </w:tc>
        <w:tc>
          <w:tcPr>
            <w:tcW w:w="1084" w:type="dxa"/>
            <w:tcBorders>
              <w:top w:val="nil"/>
              <w:left w:val="nil"/>
              <w:bottom w:val="single" w:sz="4" w:space="0" w:color="auto"/>
              <w:right w:val="single" w:sz="4" w:space="0" w:color="auto"/>
            </w:tcBorders>
            <w:shd w:val="clear" w:color="000000" w:fill="FFE699"/>
            <w:noWrap/>
            <w:vAlign w:val="bottom"/>
            <w:hideMark/>
          </w:tcPr>
          <w:p w14:paraId="468A587F" w14:textId="5C9E3EB4"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91.3</w:t>
            </w:r>
          </w:p>
        </w:tc>
        <w:tc>
          <w:tcPr>
            <w:tcW w:w="1085" w:type="dxa"/>
            <w:tcBorders>
              <w:top w:val="nil"/>
              <w:left w:val="nil"/>
              <w:bottom w:val="single" w:sz="4" w:space="0" w:color="auto"/>
              <w:right w:val="single" w:sz="4" w:space="0" w:color="auto"/>
            </w:tcBorders>
            <w:shd w:val="clear" w:color="000000" w:fill="FFFFFF"/>
            <w:noWrap/>
            <w:vAlign w:val="bottom"/>
            <w:hideMark/>
          </w:tcPr>
          <w:p w14:paraId="4471EAD6" w14:textId="2F6E2369"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66.7</w:t>
            </w:r>
          </w:p>
        </w:tc>
        <w:tc>
          <w:tcPr>
            <w:tcW w:w="1084" w:type="dxa"/>
            <w:tcBorders>
              <w:top w:val="nil"/>
              <w:left w:val="nil"/>
              <w:bottom w:val="single" w:sz="4" w:space="0" w:color="auto"/>
              <w:right w:val="single" w:sz="4" w:space="0" w:color="auto"/>
            </w:tcBorders>
            <w:shd w:val="clear" w:color="000000" w:fill="FFFFFF"/>
            <w:noWrap/>
            <w:vAlign w:val="bottom"/>
            <w:hideMark/>
          </w:tcPr>
          <w:p w14:paraId="614AE064" w14:textId="59853970"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19.2</w:t>
            </w:r>
          </w:p>
        </w:tc>
        <w:tc>
          <w:tcPr>
            <w:tcW w:w="1084" w:type="dxa"/>
            <w:tcBorders>
              <w:top w:val="nil"/>
              <w:left w:val="nil"/>
              <w:bottom w:val="single" w:sz="4" w:space="0" w:color="auto"/>
              <w:right w:val="single" w:sz="4" w:space="0" w:color="auto"/>
            </w:tcBorders>
            <w:shd w:val="clear" w:color="000000" w:fill="FFFFFF"/>
            <w:noWrap/>
            <w:vAlign w:val="bottom"/>
            <w:hideMark/>
          </w:tcPr>
          <w:p w14:paraId="108F5591" w14:textId="08E72D7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18.8</w:t>
            </w:r>
          </w:p>
        </w:tc>
        <w:tc>
          <w:tcPr>
            <w:tcW w:w="1085" w:type="dxa"/>
            <w:tcBorders>
              <w:top w:val="nil"/>
              <w:left w:val="nil"/>
              <w:bottom w:val="single" w:sz="4" w:space="0" w:color="auto"/>
              <w:right w:val="single" w:sz="4" w:space="0" w:color="auto"/>
            </w:tcBorders>
            <w:shd w:val="clear" w:color="auto" w:fill="auto"/>
            <w:noWrap/>
            <w:vAlign w:val="bottom"/>
            <w:hideMark/>
          </w:tcPr>
          <w:p w14:paraId="65D24B1A" w14:textId="3B360266"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55.9</w:t>
            </w:r>
          </w:p>
        </w:tc>
        <w:tc>
          <w:tcPr>
            <w:tcW w:w="1084" w:type="dxa"/>
            <w:tcBorders>
              <w:top w:val="nil"/>
              <w:left w:val="nil"/>
              <w:bottom w:val="single" w:sz="4" w:space="0" w:color="auto"/>
              <w:right w:val="single" w:sz="4" w:space="0" w:color="auto"/>
            </w:tcBorders>
            <w:shd w:val="clear" w:color="auto" w:fill="auto"/>
            <w:noWrap/>
            <w:vAlign w:val="bottom"/>
            <w:hideMark/>
          </w:tcPr>
          <w:p w14:paraId="4F9823D3" w14:textId="7C522EFD"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18.1</w:t>
            </w:r>
          </w:p>
        </w:tc>
        <w:tc>
          <w:tcPr>
            <w:tcW w:w="1085" w:type="dxa"/>
            <w:tcBorders>
              <w:top w:val="nil"/>
              <w:left w:val="nil"/>
              <w:bottom w:val="single" w:sz="4" w:space="0" w:color="auto"/>
              <w:right w:val="single" w:sz="4" w:space="0" w:color="auto"/>
            </w:tcBorders>
            <w:shd w:val="clear" w:color="000000" w:fill="DDEBF7"/>
            <w:noWrap/>
            <w:vAlign w:val="bottom"/>
            <w:hideMark/>
          </w:tcPr>
          <w:p w14:paraId="1AA32767" w14:textId="265523DF"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37.7</w:t>
            </w:r>
          </w:p>
        </w:tc>
      </w:tr>
      <w:tr w:rsidR="00AC7642" w:rsidRPr="00E4736E" w14:paraId="4EC23244" w14:textId="77777777" w:rsidTr="00AC7642">
        <w:trPr>
          <w:trHeight w:val="315"/>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1952309D" w14:textId="68313DF8"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Philippines</w:t>
            </w:r>
          </w:p>
        </w:tc>
        <w:tc>
          <w:tcPr>
            <w:tcW w:w="1084" w:type="dxa"/>
            <w:tcBorders>
              <w:top w:val="nil"/>
              <w:left w:val="nil"/>
              <w:bottom w:val="single" w:sz="4" w:space="0" w:color="auto"/>
              <w:right w:val="single" w:sz="4" w:space="0" w:color="auto"/>
            </w:tcBorders>
            <w:shd w:val="clear" w:color="auto" w:fill="auto"/>
            <w:noWrap/>
            <w:vAlign w:val="bottom"/>
            <w:hideMark/>
          </w:tcPr>
          <w:p w14:paraId="011FC32B" w14:textId="1A679A79"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8.9</w:t>
            </w:r>
          </w:p>
        </w:tc>
        <w:tc>
          <w:tcPr>
            <w:tcW w:w="1085" w:type="dxa"/>
            <w:tcBorders>
              <w:top w:val="nil"/>
              <w:left w:val="nil"/>
              <w:bottom w:val="single" w:sz="4" w:space="0" w:color="auto"/>
              <w:right w:val="single" w:sz="4" w:space="0" w:color="auto"/>
            </w:tcBorders>
            <w:shd w:val="clear" w:color="auto" w:fill="auto"/>
            <w:noWrap/>
            <w:vAlign w:val="bottom"/>
            <w:hideMark/>
          </w:tcPr>
          <w:p w14:paraId="3A8EF915" w14:textId="29C19EED"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3.3</w:t>
            </w:r>
          </w:p>
        </w:tc>
        <w:tc>
          <w:tcPr>
            <w:tcW w:w="1084" w:type="dxa"/>
            <w:tcBorders>
              <w:top w:val="nil"/>
              <w:left w:val="nil"/>
              <w:bottom w:val="single" w:sz="4" w:space="0" w:color="auto"/>
              <w:right w:val="single" w:sz="4" w:space="0" w:color="auto"/>
            </w:tcBorders>
            <w:shd w:val="clear" w:color="auto" w:fill="auto"/>
            <w:noWrap/>
            <w:vAlign w:val="bottom"/>
            <w:hideMark/>
          </w:tcPr>
          <w:p w14:paraId="19F669F7" w14:textId="427B8B0E"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14.8</w:t>
            </w:r>
          </w:p>
        </w:tc>
        <w:tc>
          <w:tcPr>
            <w:tcW w:w="1084" w:type="dxa"/>
            <w:tcBorders>
              <w:top w:val="nil"/>
              <w:left w:val="nil"/>
              <w:bottom w:val="single" w:sz="4" w:space="0" w:color="auto"/>
              <w:right w:val="single" w:sz="4" w:space="0" w:color="auto"/>
            </w:tcBorders>
            <w:shd w:val="clear" w:color="auto" w:fill="auto"/>
            <w:noWrap/>
            <w:vAlign w:val="bottom"/>
            <w:hideMark/>
          </w:tcPr>
          <w:p w14:paraId="1D4BD6E4" w14:textId="4465EB90"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6.6</w:t>
            </w:r>
          </w:p>
        </w:tc>
        <w:tc>
          <w:tcPr>
            <w:tcW w:w="1085" w:type="dxa"/>
            <w:tcBorders>
              <w:top w:val="nil"/>
              <w:left w:val="nil"/>
              <w:bottom w:val="single" w:sz="4" w:space="0" w:color="auto"/>
              <w:right w:val="single" w:sz="4" w:space="0" w:color="auto"/>
            </w:tcBorders>
            <w:shd w:val="clear" w:color="auto" w:fill="auto"/>
            <w:noWrap/>
            <w:vAlign w:val="bottom"/>
            <w:hideMark/>
          </w:tcPr>
          <w:p w14:paraId="017F981D" w14:textId="5C1C4F71"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30.6</w:t>
            </w:r>
          </w:p>
        </w:tc>
        <w:tc>
          <w:tcPr>
            <w:tcW w:w="1084" w:type="dxa"/>
            <w:tcBorders>
              <w:top w:val="nil"/>
              <w:left w:val="nil"/>
              <w:bottom w:val="single" w:sz="4" w:space="0" w:color="auto"/>
              <w:right w:val="single" w:sz="4" w:space="0" w:color="auto"/>
            </w:tcBorders>
            <w:shd w:val="clear" w:color="000000" w:fill="FFFFFF"/>
            <w:noWrap/>
            <w:vAlign w:val="bottom"/>
            <w:hideMark/>
          </w:tcPr>
          <w:p w14:paraId="16FB3541" w14:textId="0985B3C8"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70.3</w:t>
            </w:r>
          </w:p>
        </w:tc>
        <w:tc>
          <w:tcPr>
            <w:tcW w:w="1084" w:type="dxa"/>
            <w:tcBorders>
              <w:top w:val="nil"/>
              <w:left w:val="nil"/>
              <w:bottom w:val="single" w:sz="4" w:space="0" w:color="auto"/>
              <w:right w:val="single" w:sz="4" w:space="0" w:color="auto"/>
            </w:tcBorders>
            <w:shd w:val="clear" w:color="000000" w:fill="FFE699"/>
            <w:noWrap/>
            <w:vAlign w:val="bottom"/>
            <w:hideMark/>
          </w:tcPr>
          <w:p w14:paraId="3E36B23E" w14:textId="0A71BA14"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83.2</w:t>
            </w:r>
          </w:p>
        </w:tc>
        <w:tc>
          <w:tcPr>
            <w:tcW w:w="1085" w:type="dxa"/>
            <w:tcBorders>
              <w:top w:val="nil"/>
              <w:left w:val="nil"/>
              <w:bottom w:val="single" w:sz="4" w:space="0" w:color="auto"/>
              <w:right w:val="single" w:sz="4" w:space="0" w:color="auto"/>
            </w:tcBorders>
            <w:shd w:val="clear" w:color="000000" w:fill="FFFFFF"/>
            <w:noWrap/>
            <w:vAlign w:val="bottom"/>
            <w:hideMark/>
          </w:tcPr>
          <w:p w14:paraId="5360B945" w14:textId="36D15D12"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58.3</w:t>
            </w:r>
          </w:p>
        </w:tc>
        <w:tc>
          <w:tcPr>
            <w:tcW w:w="1084" w:type="dxa"/>
            <w:tcBorders>
              <w:top w:val="nil"/>
              <w:left w:val="nil"/>
              <w:bottom w:val="single" w:sz="4" w:space="0" w:color="auto"/>
              <w:right w:val="single" w:sz="4" w:space="0" w:color="auto"/>
            </w:tcBorders>
            <w:shd w:val="clear" w:color="000000" w:fill="FFFFFF"/>
            <w:noWrap/>
            <w:vAlign w:val="bottom"/>
            <w:hideMark/>
          </w:tcPr>
          <w:p w14:paraId="40B06BD3" w14:textId="3DEA7808"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76.0</w:t>
            </w:r>
          </w:p>
        </w:tc>
        <w:tc>
          <w:tcPr>
            <w:tcW w:w="1084" w:type="dxa"/>
            <w:tcBorders>
              <w:top w:val="nil"/>
              <w:left w:val="nil"/>
              <w:bottom w:val="single" w:sz="4" w:space="0" w:color="auto"/>
              <w:right w:val="single" w:sz="4" w:space="0" w:color="auto"/>
            </w:tcBorders>
            <w:shd w:val="clear" w:color="000000" w:fill="FFFFFF"/>
            <w:noWrap/>
            <w:vAlign w:val="bottom"/>
            <w:hideMark/>
          </w:tcPr>
          <w:p w14:paraId="4B255CBC" w14:textId="43631494"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18.1</w:t>
            </w:r>
          </w:p>
        </w:tc>
        <w:tc>
          <w:tcPr>
            <w:tcW w:w="1085" w:type="dxa"/>
            <w:tcBorders>
              <w:top w:val="nil"/>
              <w:left w:val="nil"/>
              <w:bottom w:val="single" w:sz="4" w:space="0" w:color="auto"/>
              <w:right w:val="single" w:sz="4" w:space="0" w:color="auto"/>
            </w:tcBorders>
            <w:shd w:val="clear" w:color="auto" w:fill="auto"/>
            <w:noWrap/>
            <w:vAlign w:val="bottom"/>
            <w:hideMark/>
          </w:tcPr>
          <w:p w14:paraId="73638564" w14:textId="23C41300"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32.9</w:t>
            </w:r>
          </w:p>
        </w:tc>
        <w:tc>
          <w:tcPr>
            <w:tcW w:w="1084" w:type="dxa"/>
            <w:tcBorders>
              <w:top w:val="nil"/>
              <w:left w:val="nil"/>
              <w:bottom w:val="single" w:sz="4" w:space="0" w:color="auto"/>
              <w:right w:val="single" w:sz="4" w:space="0" w:color="auto"/>
            </w:tcBorders>
            <w:shd w:val="clear" w:color="auto" w:fill="auto"/>
            <w:noWrap/>
            <w:vAlign w:val="bottom"/>
            <w:hideMark/>
          </w:tcPr>
          <w:p w14:paraId="4C013926" w14:textId="5902610E"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8.9</w:t>
            </w:r>
          </w:p>
        </w:tc>
        <w:tc>
          <w:tcPr>
            <w:tcW w:w="1085" w:type="dxa"/>
            <w:tcBorders>
              <w:top w:val="nil"/>
              <w:left w:val="nil"/>
              <w:bottom w:val="single" w:sz="4" w:space="0" w:color="auto"/>
              <w:right w:val="single" w:sz="4" w:space="0" w:color="auto"/>
            </w:tcBorders>
            <w:shd w:val="clear" w:color="000000" w:fill="DDEBF7"/>
            <w:noWrap/>
            <w:vAlign w:val="bottom"/>
            <w:hideMark/>
          </w:tcPr>
          <w:p w14:paraId="65FA4F54" w14:textId="2CE2934E"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36.8</w:t>
            </w:r>
          </w:p>
        </w:tc>
      </w:tr>
      <w:tr w:rsidR="00AC7642" w:rsidRPr="00E4736E" w14:paraId="415BED0F" w14:textId="77777777" w:rsidTr="00AC7642">
        <w:trPr>
          <w:trHeight w:val="60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0B0F3200" w14:textId="440C54E3"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Vietnam</w:t>
            </w:r>
          </w:p>
        </w:tc>
        <w:tc>
          <w:tcPr>
            <w:tcW w:w="1084" w:type="dxa"/>
            <w:tcBorders>
              <w:top w:val="nil"/>
              <w:left w:val="nil"/>
              <w:bottom w:val="single" w:sz="4" w:space="0" w:color="auto"/>
              <w:right w:val="single" w:sz="4" w:space="0" w:color="auto"/>
            </w:tcBorders>
            <w:shd w:val="clear" w:color="auto" w:fill="auto"/>
            <w:noWrap/>
            <w:vAlign w:val="bottom"/>
            <w:hideMark/>
          </w:tcPr>
          <w:p w14:paraId="60FDCE90" w14:textId="2609C1E3"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w:t>
            </w:r>
          </w:p>
        </w:tc>
        <w:tc>
          <w:tcPr>
            <w:tcW w:w="1085" w:type="dxa"/>
            <w:tcBorders>
              <w:top w:val="nil"/>
              <w:left w:val="nil"/>
              <w:bottom w:val="single" w:sz="4" w:space="0" w:color="auto"/>
              <w:right w:val="single" w:sz="4" w:space="0" w:color="auto"/>
            </w:tcBorders>
            <w:shd w:val="clear" w:color="auto" w:fill="auto"/>
            <w:noWrap/>
            <w:vAlign w:val="bottom"/>
            <w:hideMark/>
          </w:tcPr>
          <w:p w14:paraId="03EA5CBB" w14:textId="7C226014"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1.1</w:t>
            </w:r>
          </w:p>
        </w:tc>
        <w:tc>
          <w:tcPr>
            <w:tcW w:w="1084" w:type="dxa"/>
            <w:tcBorders>
              <w:top w:val="nil"/>
              <w:left w:val="nil"/>
              <w:bottom w:val="single" w:sz="4" w:space="0" w:color="auto"/>
              <w:right w:val="single" w:sz="4" w:space="0" w:color="auto"/>
            </w:tcBorders>
            <w:shd w:val="clear" w:color="auto" w:fill="auto"/>
            <w:noWrap/>
            <w:vAlign w:val="bottom"/>
            <w:hideMark/>
          </w:tcPr>
          <w:p w14:paraId="50F4336C" w14:textId="482A0A64"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13.8</w:t>
            </w:r>
          </w:p>
        </w:tc>
        <w:tc>
          <w:tcPr>
            <w:tcW w:w="1084" w:type="dxa"/>
            <w:tcBorders>
              <w:top w:val="nil"/>
              <w:left w:val="nil"/>
              <w:bottom w:val="single" w:sz="4" w:space="0" w:color="auto"/>
              <w:right w:val="single" w:sz="4" w:space="0" w:color="auto"/>
            </w:tcBorders>
            <w:shd w:val="clear" w:color="auto" w:fill="auto"/>
            <w:noWrap/>
            <w:vAlign w:val="bottom"/>
            <w:hideMark/>
          </w:tcPr>
          <w:p w14:paraId="436586A2" w14:textId="3FA82C2A"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2.0</w:t>
            </w:r>
          </w:p>
        </w:tc>
        <w:tc>
          <w:tcPr>
            <w:tcW w:w="1085" w:type="dxa"/>
            <w:tcBorders>
              <w:top w:val="nil"/>
              <w:left w:val="nil"/>
              <w:bottom w:val="single" w:sz="4" w:space="0" w:color="auto"/>
              <w:right w:val="single" w:sz="4" w:space="0" w:color="auto"/>
            </w:tcBorders>
            <w:shd w:val="clear" w:color="auto" w:fill="auto"/>
            <w:noWrap/>
            <w:vAlign w:val="bottom"/>
            <w:hideMark/>
          </w:tcPr>
          <w:p w14:paraId="28EACADF" w14:textId="3CB3D42A"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11.1</w:t>
            </w:r>
          </w:p>
        </w:tc>
        <w:tc>
          <w:tcPr>
            <w:tcW w:w="1084" w:type="dxa"/>
            <w:tcBorders>
              <w:top w:val="nil"/>
              <w:left w:val="nil"/>
              <w:bottom w:val="single" w:sz="4" w:space="0" w:color="auto"/>
              <w:right w:val="single" w:sz="4" w:space="0" w:color="auto"/>
            </w:tcBorders>
            <w:shd w:val="clear" w:color="000000" w:fill="FFFFFF"/>
            <w:noWrap/>
            <w:vAlign w:val="bottom"/>
            <w:hideMark/>
          </w:tcPr>
          <w:p w14:paraId="52759491" w14:textId="609A5CDD"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32.4</w:t>
            </w:r>
          </w:p>
        </w:tc>
        <w:tc>
          <w:tcPr>
            <w:tcW w:w="1084" w:type="dxa"/>
            <w:tcBorders>
              <w:top w:val="nil"/>
              <w:left w:val="nil"/>
              <w:bottom w:val="single" w:sz="4" w:space="0" w:color="auto"/>
              <w:right w:val="single" w:sz="4" w:space="0" w:color="auto"/>
            </w:tcBorders>
            <w:shd w:val="clear" w:color="000000" w:fill="FFE699"/>
            <w:noWrap/>
            <w:vAlign w:val="bottom"/>
            <w:hideMark/>
          </w:tcPr>
          <w:p w14:paraId="03D16A6D" w14:textId="45DA55F0"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88.0</w:t>
            </w:r>
          </w:p>
        </w:tc>
        <w:tc>
          <w:tcPr>
            <w:tcW w:w="1085" w:type="dxa"/>
            <w:tcBorders>
              <w:top w:val="nil"/>
              <w:left w:val="nil"/>
              <w:bottom w:val="single" w:sz="4" w:space="0" w:color="auto"/>
              <w:right w:val="single" w:sz="4" w:space="0" w:color="auto"/>
            </w:tcBorders>
            <w:shd w:val="clear" w:color="000000" w:fill="FFFFFF"/>
            <w:noWrap/>
            <w:vAlign w:val="bottom"/>
            <w:hideMark/>
          </w:tcPr>
          <w:p w14:paraId="13EC92B8" w14:textId="2D28FD4C"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55.0</w:t>
            </w:r>
          </w:p>
        </w:tc>
        <w:tc>
          <w:tcPr>
            <w:tcW w:w="1084" w:type="dxa"/>
            <w:tcBorders>
              <w:top w:val="nil"/>
              <w:left w:val="nil"/>
              <w:bottom w:val="single" w:sz="4" w:space="0" w:color="auto"/>
              <w:right w:val="single" w:sz="4" w:space="0" w:color="auto"/>
            </w:tcBorders>
            <w:shd w:val="clear" w:color="000000" w:fill="FFFFFF"/>
            <w:noWrap/>
            <w:vAlign w:val="bottom"/>
            <w:hideMark/>
          </w:tcPr>
          <w:p w14:paraId="75C55C61" w14:textId="040F1CB1"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35.2</w:t>
            </w:r>
          </w:p>
        </w:tc>
        <w:tc>
          <w:tcPr>
            <w:tcW w:w="1084" w:type="dxa"/>
            <w:tcBorders>
              <w:top w:val="nil"/>
              <w:left w:val="nil"/>
              <w:bottom w:val="single" w:sz="4" w:space="0" w:color="auto"/>
              <w:right w:val="single" w:sz="4" w:space="0" w:color="auto"/>
            </w:tcBorders>
            <w:shd w:val="clear" w:color="000000" w:fill="FFFFFF"/>
            <w:noWrap/>
            <w:vAlign w:val="bottom"/>
            <w:hideMark/>
          </w:tcPr>
          <w:p w14:paraId="2F75F6A4" w14:textId="04164FBD"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12.9</w:t>
            </w:r>
          </w:p>
        </w:tc>
        <w:tc>
          <w:tcPr>
            <w:tcW w:w="1085" w:type="dxa"/>
            <w:tcBorders>
              <w:top w:val="nil"/>
              <w:left w:val="nil"/>
              <w:bottom w:val="single" w:sz="4" w:space="0" w:color="auto"/>
              <w:right w:val="single" w:sz="4" w:space="0" w:color="auto"/>
            </w:tcBorders>
            <w:shd w:val="clear" w:color="auto" w:fill="auto"/>
            <w:noWrap/>
            <w:vAlign w:val="bottom"/>
            <w:hideMark/>
          </w:tcPr>
          <w:p w14:paraId="5B83BFBA" w14:textId="2FFED684"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63.6</w:t>
            </w:r>
          </w:p>
        </w:tc>
        <w:tc>
          <w:tcPr>
            <w:tcW w:w="1084" w:type="dxa"/>
            <w:tcBorders>
              <w:top w:val="nil"/>
              <w:left w:val="nil"/>
              <w:bottom w:val="single" w:sz="4" w:space="0" w:color="auto"/>
              <w:right w:val="single" w:sz="4" w:space="0" w:color="auto"/>
            </w:tcBorders>
            <w:shd w:val="clear" w:color="auto" w:fill="auto"/>
            <w:noWrap/>
            <w:vAlign w:val="bottom"/>
            <w:hideMark/>
          </w:tcPr>
          <w:p w14:paraId="685F2DB7" w14:textId="48E6389A"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56.5</w:t>
            </w:r>
          </w:p>
        </w:tc>
        <w:tc>
          <w:tcPr>
            <w:tcW w:w="1085" w:type="dxa"/>
            <w:tcBorders>
              <w:top w:val="nil"/>
              <w:left w:val="nil"/>
              <w:bottom w:val="single" w:sz="4" w:space="0" w:color="auto"/>
              <w:right w:val="single" w:sz="4" w:space="0" w:color="auto"/>
            </w:tcBorders>
            <w:shd w:val="clear" w:color="000000" w:fill="DDEBF7"/>
            <w:noWrap/>
            <w:vAlign w:val="bottom"/>
            <w:hideMark/>
          </w:tcPr>
          <w:p w14:paraId="2669BBF2" w14:textId="48F01CA6"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34.9</w:t>
            </w:r>
          </w:p>
        </w:tc>
      </w:tr>
      <w:tr w:rsidR="00AC7642" w:rsidRPr="00E4736E" w14:paraId="16AFFE05" w14:textId="77777777" w:rsidTr="00AC7642">
        <w:trPr>
          <w:trHeight w:val="315"/>
        </w:trPr>
        <w:tc>
          <w:tcPr>
            <w:tcW w:w="1084" w:type="dxa"/>
            <w:tcBorders>
              <w:top w:val="nil"/>
              <w:left w:val="single" w:sz="4" w:space="0" w:color="auto"/>
              <w:bottom w:val="single" w:sz="4" w:space="0" w:color="auto"/>
              <w:right w:val="single" w:sz="4" w:space="0" w:color="auto"/>
            </w:tcBorders>
            <w:shd w:val="thinDiagStripe" w:color="FF0000" w:fill="C6E0B4"/>
            <w:vAlign w:val="center"/>
            <w:hideMark/>
          </w:tcPr>
          <w:p w14:paraId="7EA2307D" w14:textId="7D6CD86E"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Vanuatu</w:t>
            </w:r>
          </w:p>
        </w:tc>
        <w:tc>
          <w:tcPr>
            <w:tcW w:w="1084" w:type="dxa"/>
            <w:tcBorders>
              <w:top w:val="nil"/>
              <w:left w:val="nil"/>
              <w:bottom w:val="single" w:sz="4" w:space="0" w:color="auto"/>
              <w:right w:val="single" w:sz="4" w:space="0" w:color="auto"/>
            </w:tcBorders>
            <w:shd w:val="clear" w:color="auto" w:fill="auto"/>
            <w:noWrap/>
            <w:vAlign w:val="bottom"/>
            <w:hideMark/>
          </w:tcPr>
          <w:p w14:paraId="2F2B15A9" w14:textId="536C5D96"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bottom"/>
            <w:hideMark/>
          </w:tcPr>
          <w:p w14:paraId="22EABDC0" w14:textId="1BBD19AE"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w:t>
            </w:r>
          </w:p>
        </w:tc>
        <w:tc>
          <w:tcPr>
            <w:tcW w:w="1084" w:type="dxa"/>
            <w:tcBorders>
              <w:top w:val="nil"/>
              <w:left w:val="nil"/>
              <w:bottom w:val="single" w:sz="4" w:space="0" w:color="auto"/>
              <w:right w:val="single" w:sz="4" w:space="0" w:color="auto"/>
            </w:tcBorders>
            <w:shd w:val="clear" w:color="auto" w:fill="auto"/>
            <w:noWrap/>
            <w:vAlign w:val="bottom"/>
            <w:hideMark/>
          </w:tcPr>
          <w:p w14:paraId="227E41EC" w14:textId="449174F8"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w:t>
            </w:r>
          </w:p>
        </w:tc>
        <w:tc>
          <w:tcPr>
            <w:tcW w:w="1084" w:type="dxa"/>
            <w:tcBorders>
              <w:top w:val="nil"/>
              <w:left w:val="nil"/>
              <w:bottom w:val="single" w:sz="4" w:space="0" w:color="auto"/>
              <w:right w:val="single" w:sz="4" w:space="0" w:color="auto"/>
            </w:tcBorders>
            <w:shd w:val="clear" w:color="auto" w:fill="auto"/>
            <w:noWrap/>
            <w:vAlign w:val="bottom"/>
            <w:hideMark/>
          </w:tcPr>
          <w:p w14:paraId="60B3C609" w14:textId="2F7D384A"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0.8</w:t>
            </w:r>
          </w:p>
        </w:tc>
        <w:tc>
          <w:tcPr>
            <w:tcW w:w="1085" w:type="dxa"/>
            <w:tcBorders>
              <w:top w:val="nil"/>
              <w:left w:val="nil"/>
              <w:bottom w:val="single" w:sz="4" w:space="0" w:color="auto"/>
              <w:right w:val="single" w:sz="4" w:space="0" w:color="auto"/>
            </w:tcBorders>
            <w:shd w:val="clear" w:color="auto" w:fill="auto"/>
            <w:noWrap/>
            <w:vAlign w:val="bottom"/>
            <w:hideMark/>
          </w:tcPr>
          <w:p w14:paraId="6BC13629" w14:textId="00861C8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8.3</w:t>
            </w:r>
          </w:p>
        </w:tc>
        <w:tc>
          <w:tcPr>
            <w:tcW w:w="1084" w:type="dxa"/>
            <w:tcBorders>
              <w:top w:val="nil"/>
              <w:left w:val="nil"/>
              <w:bottom w:val="single" w:sz="4" w:space="0" w:color="auto"/>
              <w:right w:val="single" w:sz="4" w:space="0" w:color="auto"/>
            </w:tcBorders>
            <w:shd w:val="clear" w:color="000000" w:fill="FFFFFF"/>
            <w:noWrap/>
            <w:vAlign w:val="bottom"/>
            <w:hideMark/>
          </w:tcPr>
          <w:p w14:paraId="6E47BC80" w14:textId="26F64DED"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10.8</w:t>
            </w:r>
          </w:p>
        </w:tc>
        <w:tc>
          <w:tcPr>
            <w:tcW w:w="1084" w:type="dxa"/>
            <w:tcBorders>
              <w:top w:val="nil"/>
              <w:left w:val="nil"/>
              <w:bottom w:val="single" w:sz="4" w:space="0" w:color="auto"/>
              <w:right w:val="single" w:sz="4" w:space="0" w:color="auto"/>
            </w:tcBorders>
            <w:shd w:val="clear" w:color="000000" w:fill="A9D08E"/>
            <w:noWrap/>
            <w:vAlign w:val="bottom"/>
            <w:hideMark/>
          </w:tcPr>
          <w:p w14:paraId="51177335" w14:textId="07DF388D"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83.8</w:t>
            </w:r>
          </w:p>
        </w:tc>
        <w:tc>
          <w:tcPr>
            <w:tcW w:w="1085" w:type="dxa"/>
            <w:tcBorders>
              <w:top w:val="nil"/>
              <w:left w:val="nil"/>
              <w:bottom w:val="single" w:sz="4" w:space="0" w:color="auto"/>
              <w:right w:val="single" w:sz="4" w:space="0" w:color="auto"/>
            </w:tcBorders>
            <w:shd w:val="clear" w:color="000000" w:fill="FFFFFF"/>
            <w:noWrap/>
            <w:vAlign w:val="bottom"/>
            <w:hideMark/>
          </w:tcPr>
          <w:p w14:paraId="0BABAA13" w14:textId="41396188"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58.3</w:t>
            </w:r>
          </w:p>
        </w:tc>
        <w:tc>
          <w:tcPr>
            <w:tcW w:w="1084" w:type="dxa"/>
            <w:tcBorders>
              <w:top w:val="nil"/>
              <w:left w:val="nil"/>
              <w:bottom w:val="single" w:sz="4" w:space="0" w:color="auto"/>
              <w:right w:val="single" w:sz="4" w:space="0" w:color="auto"/>
            </w:tcBorders>
            <w:shd w:val="clear" w:color="000000" w:fill="FFFFFF"/>
            <w:noWrap/>
            <w:vAlign w:val="bottom"/>
            <w:hideMark/>
          </w:tcPr>
          <w:p w14:paraId="53A84B01" w14:textId="572773F6"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100.0</w:t>
            </w:r>
          </w:p>
        </w:tc>
        <w:tc>
          <w:tcPr>
            <w:tcW w:w="1084" w:type="dxa"/>
            <w:tcBorders>
              <w:top w:val="nil"/>
              <w:left w:val="nil"/>
              <w:bottom w:val="single" w:sz="4" w:space="0" w:color="auto"/>
              <w:right w:val="single" w:sz="4" w:space="0" w:color="auto"/>
            </w:tcBorders>
            <w:shd w:val="clear" w:color="000000" w:fill="FFFFFF"/>
            <w:noWrap/>
            <w:vAlign w:val="bottom"/>
            <w:hideMark/>
          </w:tcPr>
          <w:p w14:paraId="7A5256BA" w14:textId="3B1CC72C"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25.5</w:t>
            </w:r>
          </w:p>
        </w:tc>
        <w:tc>
          <w:tcPr>
            <w:tcW w:w="1085" w:type="dxa"/>
            <w:tcBorders>
              <w:top w:val="nil"/>
              <w:left w:val="nil"/>
              <w:bottom w:val="single" w:sz="4" w:space="0" w:color="auto"/>
              <w:right w:val="single" w:sz="4" w:space="0" w:color="auto"/>
            </w:tcBorders>
            <w:shd w:val="clear" w:color="auto" w:fill="auto"/>
            <w:noWrap/>
            <w:vAlign w:val="bottom"/>
            <w:hideMark/>
          </w:tcPr>
          <w:p w14:paraId="43D616F4" w14:textId="753DDF8E"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65.6</w:t>
            </w:r>
          </w:p>
        </w:tc>
        <w:tc>
          <w:tcPr>
            <w:tcW w:w="1084" w:type="dxa"/>
            <w:tcBorders>
              <w:top w:val="nil"/>
              <w:left w:val="nil"/>
              <w:bottom w:val="single" w:sz="4" w:space="0" w:color="auto"/>
              <w:right w:val="single" w:sz="4" w:space="0" w:color="auto"/>
            </w:tcBorders>
            <w:shd w:val="clear" w:color="auto" w:fill="auto"/>
            <w:noWrap/>
            <w:vAlign w:val="bottom"/>
            <w:hideMark/>
          </w:tcPr>
          <w:p w14:paraId="073B7260" w14:textId="277FEEA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1.5</w:t>
            </w:r>
          </w:p>
        </w:tc>
        <w:tc>
          <w:tcPr>
            <w:tcW w:w="1085" w:type="dxa"/>
            <w:tcBorders>
              <w:top w:val="nil"/>
              <w:left w:val="nil"/>
              <w:bottom w:val="single" w:sz="4" w:space="0" w:color="auto"/>
              <w:right w:val="single" w:sz="4" w:space="0" w:color="auto"/>
            </w:tcBorders>
            <w:shd w:val="clear" w:color="000000" w:fill="DDEBF7"/>
            <w:noWrap/>
            <w:vAlign w:val="bottom"/>
            <w:hideMark/>
          </w:tcPr>
          <w:p w14:paraId="0E9F774A" w14:textId="1EE02FB0"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33.7</w:t>
            </w:r>
          </w:p>
        </w:tc>
      </w:tr>
      <w:tr w:rsidR="00E4736E" w:rsidRPr="00E4736E" w14:paraId="02D72EE8" w14:textId="77777777" w:rsidTr="00E4736E">
        <w:trPr>
          <w:trHeight w:val="60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78B0B8C4" w14:textId="16A4C483"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Thailand</w:t>
            </w:r>
          </w:p>
        </w:tc>
        <w:tc>
          <w:tcPr>
            <w:tcW w:w="1084" w:type="dxa"/>
            <w:tcBorders>
              <w:top w:val="nil"/>
              <w:left w:val="nil"/>
              <w:bottom w:val="single" w:sz="4" w:space="0" w:color="auto"/>
              <w:right w:val="single" w:sz="4" w:space="0" w:color="auto"/>
            </w:tcBorders>
            <w:shd w:val="clear" w:color="auto" w:fill="auto"/>
            <w:noWrap/>
            <w:vAlign w:val="bottom"/>
            <w:hideMark/>
          </w:tcPr>
          <w:p w14:paraId="2EAD24D3" w14:textId="6A0B2805"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8.1</w:t>
            </w:r>
          </w:p>
        </w:tc>
        <w:tc>
          <w:tcPr>
            <w:tcW w:w="1085" w:type="dxa"/>
            <w:tcBorders>
              <w:top w:val="nil"/>
              <w:left w:val="nil"/>
              <w:bottom w:val="single" w:sz="4" w:space="0" w:color="auto"/>
              <w:right w:val="single" w:sz="4" w:space="0" w:color="auto"/>
            </w:tcBorders>
            <w:shd w:val="clear" w:color="auto" w:fill="auto"/>
            <w:noWrap/>
            <w:vAlign w:val="bottom"/>
            <w:hideMark/>
          </w:tcPr>
          <w:p w14:paraId="436A829A" w14:textId="4CBAA8D2"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6.2</w:t>
            </w:r>
          </w:p>
        </w:tc>
        <w:tc>
          <w:tcPr>
            <w:tcW w:w="1084" w:type="dxa"/>
            <w:tcBorders>
              <w:top w:val="nil"/>
              <w:left w:val="nil"/>
              <w:bottom w:val="single" w:sz="4" w:space="0" w:color="auto"/>
              <w:right w:val="single" w:sz="4" w:space="0" w:color="auto"/>
            </w:tcBorders>
            <w:shd w:val="clear" w:color="auto" w:fill="auto"/>
            <w:noWrap/>
            <w:vAlign w:val="bottom"/>
            <w:hideMark/>
          </w:tcPr>
          <w:p w14:paraId="68212084" w14:textId="74ADE17B"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29.5</w:t>
            </w:r>
          </w:p>
        </w:tc>
        <w:tc>
          <w:tcPr>
            <w:tcW w:w="1084" w:type="dxa"/>
            <w:tcBorders>
              <w:top w:val="nil"/>
              <w:left w:val="nil"/>
              <w:bottom w:val="single" w:sz="4" w:space="0" w:color="auto"/>
              <w:right w:val="single" w:sz="4" w:space="0" w:color="auto"/>
            </w:tcBorders>
            <w:shd w:val="clear" w:color="auto" w:fill="auto"/>
            <w:noWrap/>
            <w:vAlign w:val="bottom"/>
            <w:hideMark/>
          </w:tcPr>
          <w:p w14:paraId="59E9483C" w14:textId="7BE3A5F3"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3.5</w:t>
            </w:r>
          </w:p>
        </w:tc>
        <w:tc>
          <w:tcPr>
            <w:tcW w:w="1085" w:type="dxa"/>
            <w:tcBorders>
              <w:top w:val="nil"/>
              <w:left w:val="nil"/>
              <w:bottom w:val="single" w:sz="4" w:space="0" w:color="auto"/>
              <w:right w:val="single" w:sz="4" w:space="0" w:color="auto"/>
            </w:tcBorders>
            <w:shd w:val="clear" w:color="auto" w:fill="auto"/>
            <w:noWrap/>
            <w:vAlign w:val="bottom"/>
            <w:hideMark/>
          </w:tcPr>
          <w:p w14:paraId="65850F4B" w14:textId="4073D0DA"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83.3</w:t>
            </w:r>
          </w:p>
        </w:tc>
        <w:tc>
          <w:tcPr>
            <w:tcW w:w="1084" w:type="dxa"/>
            <w:tcBorders>
              <w:top w:val="nil"/>
              <w:left w:val="nil"/>
              <w:bottom w:val="single" w:sz="4" w:space="0" w:color="auto"/>
              <w:right w:val="single" w:sz="4" w:space="0" w:color="auto"/>
            </w:tcBorders>
            <w:shd w:val="clear" w:color="000000" w:fill="FFFFFF"/>
            <w:noWrap/>
            <w:vAlign w:val="bottom"/>
            <w:hideMark/>
          </w:tcPr>
          <w:p w14:paraId="3CA8A6DC" w14:textId="06BCF87D"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70.3</w:t>
            </w:r>
          </w:p>
        </w:tc>
        <w:tc>
          <w:tcPr>
            <w:tcW w:w="1084" w:type="dxa"/>
            <w:tcBorders>
              <w:top w:val="nil"/>
              <w:left w:val="nil"/>
              <w:bottom w:val="single" w:sz="4" w:space="0" w:color="auto"/>
              <w:right w:val="single" w:sz="4" w:space="0" w:color="auto"/>
            </w:tcBorders>
            <w:shd w:val="clear" w:color="000000" w:fill="F4B084"/>
            <w:noWrap/>
            <w:vAlign w:val="bottom"/>
            <w:hideMark/>
          </w:tcPr>
          <w:p w14:paraId="2D160E01" w14:textId="77BD491B"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63.9</w:t>
            </w:r>
          </w:p>
        </w:tc>
        <w:tc>
          <w:tcPr>
            <w:tcW w:w="1085" w:type="dxa"/>
            <w:tcBorders>
              <w:top w:val="nil"/>
              <w:left w:val="nil"/>
              <w:bottom w:val="single" w:sz="4" w:space="0" w:color="auto"/>
              <w:right w:val="single" w:sz="4" w:space="0" w:color="auto"/>
            </w:tcBorders>
            <w:shd w:val="clear" w:color="000000" w:fill="FFFFFF"/>
            <w:noWrap/>
            <w:vAlign w:val="bottom"/>
            <w:hideMark/>
          </w:tcPr>
          <w:p w14:paraId="42240C29" w14:textId="2EE0B090"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58.3</w:t>
            </w:r>
          </w:p>
        </w:tc>
        <w:tc>
          <w:tcPr>
            <w:tcW w:w="1084" w:type="dxa"/>
            <w:tcBorders>
              <w:top w:val="nil"/>
              <w:left w:val="nil"/>
              <w:bottom w:val="single" w:sz="4" w:space="0" w:color="auto"/>
              <w:right w:val="single" w:sz="4" w:space="0" w:color="auto"/>
            </w:tcBorders>
            <w:shd w:val="clear" w:color="000000" w:fill="FFFFFF"/>
            <w:noWrap/>
            <w:vAlign w:val="bottom"/>
            <w:hideMark/>
          </w:tcPr>
          <w:p w14:paraId="7BF36BE4" w14:textId="122BFC63"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17.4</w:t>
            </w:r>
          </w:p>
        </w:tc>
        <w:tc>
          <w:tcPr>
            <w:tcW w:w="1084" w:type="dxa"/>
            <w:tcBorders>
              <w:top w:val="nil"/>
              <w:left w:val="nil"/>
              <w:bottom w:val="single" w:sz="4" w:space="0" w:color="auto"/>
              <w:right w:val="single" w:sz="4" w:space="0" w:color="auto"/>
            </w:tcBorders>
            <w:shd w:val="clear" w:color="000000" w:fill="FFFFFF"/>
            <w:noWrap/>
            <w:vAlign w:val="bottom"/>
            <w:hideMark/>
          </w:tcPr>
          <w:p w14:paraId="447EF25A" w14:textId="4E650690"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19.4</w:t>
            </w:r>
          </w:p>
        </w:tc>
        <w:tc>
          <w:tcPr>
            <w:tcW w:w="1085" w:type="dxa"/>
            <w:tcBorders>
              <w:top w:val="nil"/>
              <w:left w:val="nil"/>
              <w:bottom w:val="single" w:sz="4" w:space="0" w:color="auto"/>
              <w:right w:val="single" w:sz="4" w:space="0" w:color="auto"/>
            </w:tcBorders>
            <w:shd w:val="clear" w:color="auto" w:fill="FFFFFF" w:themeFill="background1"/>
            <w:noWrap/>
            <w:vAlign w:val="bottom"/>
            <w:hideMark/>
          </w:tcPr>
          <w:p w14:paraId="55244F85" w14:textId="3220B964"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18.7</w:t>
            </w:r>
          </w:p>
        </w:tc>
        <w:tc>
          <w:tcPr>
            <w:tcW w:w="1084" w:type="dxa"/>
            <w:tcBorders>
              <w:top w:val="nil"/>
              <w:left w:val="nil"/>
              <w:bottom w:val="single" w:sz="4" w:space="0" w:color="auto"/>
              <w:right w:val="single" w:sz="4" w:space="0" w:color="auto"/>
            </w:tcBorders>
            <w:shd w:val="clear" w:color="auto" w:fill="FFFFFF" w:themeFill="background1"/>
            <w:noWrap/>
            <w:vAlign w:val="bottom"/>
            <w:hideMark/>
          </w:tcPr>
          <w:p w14:paraId="6D0B7F93" w14:textId="1D85ACF9"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14.1</w:t>
            </w:r>
          </w:p>
        </w:tc>
        <w:tc>
          <w:tcPr>
            <w:tcW w:w="1085" w:type="dxa"/>
            <w:tcBorders>
              <w:top w:val="nil"/>
              <w:left w:val="nil"/>
              <w:bottom w:val="single" w:sz="4" w:space="0" w:color="auto"/>
              <w:right w:val="single" w:sz="4" w:space="0" w:color="auto"/>
            </w:tcBorders>
            <w:shd w:val="clear" w:color="000000" w:fill="DDEBF7"/>
            <w:noWrap/>
            <w:vAlign w:val="bottom"/>
            <w:hideMark/>
          </w:tcPr>
          <w:p w14:paraId="6D2A1792" w14:textId="1D41A888"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33.3</w:t>
            </w:r>
          </w:p>
        </w:tc>
      </w:tr>
      <w:tr w:rsidR="00E4736E" w:rsidRPr="00E4736E" w14:paraId="6B0292F4" w14:textId="77777777" w:rsidTr="00E4736E">
        <w:trPr>
          <w:trHeight w:val="315"/>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142F3F4B" w14:textId="2852A0B1"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Guatemala</w:t>
            </w:r>
          </w:p>
        </w:tc>
        <w:tc>
          <w:tcPr>
            <w:tcW w:w="1084" w:type="dxa"/>
            <w:tcBorders>
              <w:top w:val="nil"/>
              <w:left w:val="nil"/>
              <w:bottom w:val="single" w:sz="4" w:space="0" w:color="auto"/>
              <w:right w:val="single" w:sz="4" w:space="0" w:color="auto"/>
            </w:tcBorders>
            <w:shd w:val="clear" w:color="auto" w:fill="auto"/>
            <w:noWrap/>
            <w:vAlign w:val="bottom"/>
            <w:hideMark/>
          </w:tcPr>
          <w:p w14:paraId="739BDEE3" w14:textId="5447744F"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1.1</w:t>
            </w:r>
          </w:p>
        </w:tc>
        <w:tc>
          <w:tcPr>
            <w:tcW w:w="1085" w:type="dxa"/>
            <w:tcBorders>
              <w:top w:val="nil"/>
              <w:left w:val="nil"/>
              <w:bottom w:val="single" w:sz="4" w:space="0" w:color="auto"/>
              <w:right w:val="single" w:sz="4" w:space="0" w:color="auto"/>
            </w:tcBorders>
            <w:shd w:val="clear" w:color="auto" w:fill="auto"/>
            <w:noWrap/>
            <w:vAlign w:val="bottom"/>
            <w:hideMark/>
          </w:tcPr>
          <w:p w14:paraId="3DC2959D" w14:textId="16A9BBCA"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2.3</w:t>
            </w:r>
          </w:p>
        </w:tc>
        <w:tc>
          <w:tcPr>
            <w:tcW w:w="1084" w:type="dxa"/>
            <w:tcBorders>
              <w:top w:val="nil"/>
              <w:left w:val="nil"/>
              <w:bottom w:val="single" w:sz="4" w:space="0" w:color="auto"/>
              <w:right w:val="single" w:sz="4" w:space="0" w:color="auto"/>
            </w:tcBorders>
            <w:shd w:val="clear" w:color="auto" w:fill="auto"/>
            <w:noWrap/>
            <w:vAlign w:val="bottom"/>
            <w:hideMark/>
          </w:tcPr>
          <w:p w14:paraId="6CF27848" w14:textId="7BCF9EDD"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77.9</w:t>
            </w:r>
          </w:p>
        </w:tc>
        <w:tc>
          <w:tcPr>
            <w:tcW w:w="1084" w:type="dxa"/>
            <w:tcBorders>
              <w:top w:val="nil"/>
              <w:left w:val="nil"/>
              <w:bottom w:val="single" w:sz="4" w:space="0" w:color="auto"/>
              <w:right w:val="single" w:sz="4" w:space="0" w:color="auto"/>
            </w:tcBorders>
            <w:shd w:val="clear" w:color="auto" w:fill="auto"/>
            <w:noWrap/>
            <w:vAlign w:val="bottom"/>
            <w:hideMark/>
          </w:tcPr>
          <w:p w14:paraId="2CFD509A" w14:textId="32A7450A"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2.2</w:t>
            </w:r>
          </w:p>
        </w:tc>
        <w:tc>
          <w:tcPr>
            <w:tcW w:w="1085" w:type="dxa"/>
            <w:tcBorders>
              <w:top w:val="nil"/>
              <w:left w:val="nil"/>
              <w:bottom w:val="single" w:sz="4" w:space="0" w:color="auto"/>
              <w:right w:val="single" w:sz="4" w:space="0" w:color="auto"/>
            </w:tcBorders>
            <w:shd w:val="clear" w:color="auto" w:fill="auto"/>
            <w:noWrap/>
            <w:vAlign w:val="bottom"/>
            <w:hideMark/>
          </w:tcPr>
          <w:p w14:paraId="0D09F3E6" w14:textId="4B537DD9"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5.6</w:t>
            </w:r>
          </w:p>
        </w:tc>
        <w:tc>
          <w:tcPr>
            <w:tcW w:w="1084" w:type="dxa"/>
            <w:tcBorders>
              <w:top w:val="nil"/>
              <w:left w:val="nil"/>
              <w:bottom w:val="single" w:sz="4" w:space="0" w:color="auto"/>
              <w:right w:val="single" w:sz="4" w:space="0" w:color="auto"/>
            </w:tcBorders>
            <w:shd w:val="clear" w:color="000000" w:fill="FFFFFF"/>
            <w:noWrap/>
            <w:vAlign w:val="bottom"/>
            <w:hideMark/>
          </w:tcPr>
          <w:p w14:paraId="51DE6AC3" w14:textId="43B368E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35.1</w:t>
            </w:r>
          </w:p>
        </w:tc>
        <w:tc>
          <w:tcPr>
            <w:tcW w:w="1084" w:type="dxa"/>
            <w:tcBorders>
              <w:top w:val="nil"/>
              <w:left w:val="nil"/>
              <w:bottom w:val="single" w:sz="4" w:space="0" w:color="auto"/>
              <w:right w:val="single" w:sz="4" w:space="0" w:color="auto"/>
            </w:tcBorders>
            <w:shd w:val="clear" w:color="000000" w:fill="FFE699"/>
            <w:noWrap/>
            <w:vAlign w:val="bottom"/>
            <w:hideMark/>
          </w:tcPr>
          <w:p w14:paraId="5CB29B1F" w14:textId="3BC21B1F"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75.4</w:t>
            </w:r>
          </w:p>
        </w:tc>
        <w:tc>
          <w:tcPr>
            <w:tcW w:w="1085" w:type="dxa"/>
            <w:tcBorders>
              <w:top w:val="nil"/>
              <w:left w:val="nil"/>
              <w:bottom w:val="single" w:sz="4" w:space="0" w:color="auto"/>
              <w:right w:val="single" w:sz="4" w:space="0" w:color="auto"/>
            </w:tcBorders>
            <w:shd w:val="clear" w:color="000000" w:fill="FFFFFF"/>
            <w:noWrap/>
            <w:vAlign w:val="bottom"/>
            <w:hideMark/>
          </w:tcPr>
          <w:p w14:paraId="4AF5DDC3" w14:textId="67992D3F"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46.7</w:t>
            </w:r>
          </w:p>
        </w:tc>
        <w:tc>
          <w:tcPr>
            <w:tcW w:w="1084" w:type="dxa"/>
            <w:tcBorders>
              <w:top w:val="nil"/>
              <w:left w:val="nil"/>
              <w:bottom w:val="single" w:sz="4" w:space="0" w:color="auto"/>
              <w:right w:val="single" w:sz="4" w:space="0" w:color="auto"/>
            </w:tcBorders>
            <w:shd w:val="clear" w:color="000000" w:fill="FFFFFF"/>
            <w:noWrap/>
            <w:vAlign w:val="bottom"/>
            <w:hideMark/>
          </w:tcPr>
          <w:p w14:paraId="55495216" w14:textId="4247C1E8"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56.1</w:t>
            </w:r>
          </w:p>
        </w:tc>
        <w:tc>
          <w:tcPr>
            <w:tcW w:w="1084" w:type="dxa"/>
            <w:tcBorders>
              <w:top w:val="nil"/>
              <w:left w:val="nil"/>
              <w:bottom w:val="single" w:sz="4" w:space="0" w:color="auto"/>
              <w:right w:val="single" w:sz="4" w:space="0" w:color="auto"/>
            </w:tcBorders>
            <w:shd w:val="clear" w:color="000000" w:fill="FFFFFF"/>
            <w:noWrap/>
            <w:vAlign w:val="bottom"/>
            <w:hideMark/>
          </w:tcPr>
          <w:p w14:paraId="78DF046F" w14:textId="0E12F80B"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30.3</w:t>
            </w:r>
          </w:p>
        </w:tc>
        <w:tc>
          <w:tcPr>
            <w:tcW w:w="1085" w:type="dxa"/>
            <w:tcBorders>
              <w:top w:val="nil"/>
              <w:left w:val="nil"/>
              <w:bottom w:val="single" w:sz="4" w:space="0" w:color="auto"/>
              <w:right w:val="single" w:sz="4" w:space="0" w:color="auto"/>
            </w:tcBorders>
            <w:shd w:val="clear" w:color="auto" w:fill="FFFFFF" w:themeFill="background1"/>
            <w:noWrap/>
            <w:vAlign w:val="bottom"/>
            <w:hideMark/>
          </w:tcPr>
          <w:p w14:paraId="1EBA0C7D" w14:textId="26B03ED2"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0.4</w:t>
            </w:r>
          </w:p>
        </w:tc>
        <w:tc>
          <w:tcPr>
            <w:tcW w:w="1084" w:type="dxa"/>
            <w:tcBorders>
              <w:top w:val="nil"/>
              <w:left w:val="nil"/>
              <w:bottom w:val="single" w:sz="4" w:space="0" w:color="auto"/>
              <w:right w:val="single" w:sz="4" w:space="0" w:color="auto"/>
            </w:tcBorders>
            <w:shd w:val="clear" w:color="auto" w:fill="FFFFFF" w:themeFill="background1"/>
            <w:noWrap/>
            <w:vAlign w:val="bottom"/>
            <w:hideMark/>
          </w:tcPr>
          <w:p w14:paraId="627DDC1E" w14:textId="4B875DCD"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0.4</w:t>
            </w:r>
          </w:p>
        </w:tc>
        <w:tc>
          <w:tcPr>
            <w:tcW w:w="1085" w:type="dxa"/>
            <w:tcBorders>
              <w:top w:val="nil"/>
              <w:left w:val="nil"/>
              <w:bottom w:val="single" w:sz="4" w:space="0" w:color="auto"/>
              <w:right w:val="single" w:sz="4" w:space="0" w:color="auto"/>
            </w:tcBorders>
            <w:shd w:val="clear" w:color="000000" w:fill="DDEBF7"/>
            <w:noWrap/>
            <w:vAlign w:val="bottom"/>
            <w:hideMark/>
          </w:tcPr>
          <w:p w14:paraId="11725A65" w14:textId="138986B8"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32.9</w:t>
            </w:r>
          </w:p>
        </w:tc>
      </w:tr>
      <w:tr w:rsidR="00E4736E" w:rsidRPr="00E4736E" w14:paraId="3838D3E0" w14:textId="77777777" w:rsidTr="00E4736E">
        <w:trPr>
          <w:trHeight w:val="315"/>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56A0998B" w14:textId="3D5D36D5"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Suriname</w:t>
            </w:r>
          </w:p>
        </w:tc>
        <w:tc>
          <w:tcPr>
            <w:tcW w:w="1084" w:type="dxa"/>
            <w:tcBorders>
              <w:top w:val="nil"/>
              <w:left w:val="nil"/>
              <w:bottom w:val="single" w:sz="4" w:space="0" w:color="auto"/>
              <w:right w:val="single" w:sz="4" w:space="0" w:color="auto"/>
            </w:tcBorders>
            <w:shd w:val="clear" w:color="auto" w:fill="auto"/>
            <w:noWrap/>
            <w:vAlign w:val="bottom"/>
            <w:hideMark/>
          </w:tcPr>
          <w:p w14:paraId="6A2F4129" w14:textId="691447F8"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2.2</w:t>
            </w:r>
          </w:p>
        </w:tc>
        <w:tc>
          <w:tcPr>
            <w:tcW w:w="1085" w:type="dxa"/>
            <w:tcBorders>
              <w:top w:val="nil"/>
              <w:left w:val="nil"/>
              <w:bottom w:val="single" w:sz="4" w:space="0" w:color="auto"/>
              <w:right w:val="single" w:sz="4" w:space="0" w:color="auto"/>
            </w:tcBorders>
            <w:shd w:val="clear" w:color="auto" w:fill="auto"/>
            <w:noWrap/>
            <w:vAlign w:val="bottom"/>
            <w:hideMark/>
          </w:tcPr>
          <w:p w14:paraId="31E3AFAA" w14:textId="5FBC239A"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1.5</w:t>
            </w:r>
          </w:p>
        </w:tc>
        <w:tc>
          <w:tcPr>
            <w:tcW w:w="1084" w:type="dxa"/>
            <w:tcBorders>
              <w:top w:val="nil"/>
              <w:left w:val="nil"/>
              <w:bottom w:val="single" w:sz="4" w:space="0" w:color="auto"/>
              <w:right w:val="single" w:sz="4" w:space="0" w:color="auto"/>
            </w:tcBorders>
            <w:shd w:val="clear" w:color="auto" w:fill="auto"/>
            <w:noWrap/>
            <w:vAlign w:val="bottom"/>
            <w:hideMark/>
          </w:tcPr>
          <w:p w14:paraId="06D6EA92" w14:textId="7A422132"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26.1</w:t>
            </w:r>
          </w:p>
        </w:tc>
        <w:tc>
          <w:tcPr>
            <w:tcW w:w="1084" w:type="dxa"/>
            <w:tcBorders>
              <w:top w:val="nil"/>
              <w:left w:val="nil"/>
              <w:bottom w:val="single" w:sz="4" w:space="0" w:color="auto"/>
              <w:right w:val="single" w:sz="4" w:space="0" w:color="auto"/>
            </w:tcBorders>
            <w:shd w:val="clear" w:color="auto" w:fill="auto"/>
            <w:noWrap/>
            <w:vAlign w:val="bottom"/>
            <w:hideMark/>
          </w:tcPr>
          <w:p w14:paraId="7DF1A665" w14:textId="6C0AF100"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3.0</w:t>
            </w:r>
          </w:p>
        </w:tc>
        <w:tc>
          <w:tcPr>
            <w:tcW w:w="1085" w:type="dxa"/>
            <w:tcBorders>
              <w:top w:val="nil"/>
              <w:left w:val="nil"/>
              <w:bottom w:val="single" w:sz="4" w:space="0" w:color="auto"/>
              <w:right w:val="single" w:sz="4" w:space="0" w:color="auto"/>
            </w:tcBorders>
            <w:shd w:val="clear" w:color="auto" w:fill="auto"/>
            <w:noWrap/>
            <w:vAlign w:val="bottom"/>
            <w:hideMark/>
          </w:tcPr>
          <w:p w14:paraId="3A897C35" w14:textId="0F752DB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5.6</w:t>
            </w:r>
          </w:p>
        </w:tc>
        <w:tc>
          <w:tcPr>
            <w:tcW w:w="1084" w:type="dxa"/>
            <w:tcBorders>
              <w:top w:val="nil"/>
              <w:left w:val="nil"/>
              <w:bottom w:val="single" w:sz="4" w:space="0" w:color="auto"/>
              <w:right w:val="single" w:sz="4" w:space="0" w:color="auto"/>
            </w:tcBorders>
            <w:shd w:val="clear" w:color="000000" w:fill="FFFFFF"/>
            <w:noWrap/>
            <w:vAlign w:val="bottom"/>
            <w:hideMark/>
          </w:tcPr>
          <w:p w14:paraId="476EDF7C" w14:textId="24D4A979"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27.0</w:t>
            </w:r>
          </w:p>
        </w:tc>
        <w:tc>
          <w:tcPr>
            <w:tcW w:w="1084" w:type="dxa"/>
            <w:tcBorders>
              <w:top w:val="nil"/>
              <w:left w:val="nil"/>
              <w:bottom w:val="single" w:sz="4" w:space="0" w:color="auto"/>
              <w:right w:val="single" w:sz="4" w:space="0" w:color="auto"/>
            </w:tcBorders>
            <w:shd w:val="clear" w:color="000000" w:fill="F4B084"/>
            <w:noWrap/>
            <w:vAlign w:val="bottom"/>
            <w:hideMark/>
          </w:tcPr>
          <w:p w14:paraId="038076E9" w14:textId="0D5BB29A"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64.1</w:t>
            </w:r>
          </w:p>
        </w:tc>
        <w:tc>
          <w:tcPr>
            <w:tcW w:w="1085" w:type="dxa"/>
            <w:tcBorders>
              <w:top w:val="nil"/>
              <w:left w:val="nil"/>
              <w:bottom w:val="single" w:sz="4" w:space="0" w:color="auto"/>
              <w:right w:val="single" w:sz="4" w:space="0" w:color="auto"/>
            </w:tcBorders>
            <w:shd w:val="clear" w:color="000000" w:fill="FFFFFF"/>
            <w:noWrap/>
            <w:vAlign w:val="bottom"/>
            <w:hideMark/>
          </w:tcPr>
          <w:p w14:paraId="725E7A78" w14:textId="4357162F"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75.0</w:t>
            </w:r>
          </w:p>
        </w:tc>
        <w:tc>
          <w:tcPr>
            <w:tcW w:w="1084" w:type="dxa"/>
            <w:tcBorders>
              <w:top w:val="nil"/>
              <w:left w:val="nil"/>
              <w:bottom w:val="single" w:sz="4" w:space="0" w:color="auto"/>
              <w:right w:val="single" w:sz="4" w:space="0" w:color="auto"/>
            </w:tcBorders>
            <w:shd w:val="clear" w:color="000000" w:fill="FFFFFF"/>
            <w:noWrap/>
            <w:vAlign w:val="bottom"/>
            <w:hideMark/>
          </w:tcPr>
          <w:p w14:paraId="2D8D45C8" w14:textId="7916C5BB"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23.3</w:t>
            </w:r>
          </w:p>
        </w:tc>
        <w:tc>
          <w:tcPr>
            <w:tcW w:w="1084" w:type="dxa"/>
            <w:tcBorders>
              <w:top w:val="nil"/>
              <w:left w:val="nil"/>
              <w:bottom w:val="single" w:sz="4" w:space="0" w:color="auto"/>
              <w:right w:val="single" w:sz="4" w:space="0" w:color="auto"/>
            </w:tcBorders>
            <w:shd w:val="clear" w:color="000000" w:fill="FFFFFF"/>
            <w:noWrap/>
            <w:vAlign w:val="bottom"/>
            <w:hideMark/>
          </w:tcPr>
          <w:p w14:paraId="1FBACA9F" w14:textId="6A5A8C0D"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25.5</w:t>
            </w:r>
          </w:p>
        </w:tc>
        <w:tc>
          <w:tcPr>
            <w:tcW w:w="1085" w:type="dxa"/>
            <w:tcBorders>
              <w:top w:val="nil"/>
              <w:left w:val="nil"/>
              <w:bottom w:val="single" w:sz="4" w:space="0" w:color="auto"/>
              <w:right w:val="single" w:sz="4" w:space="0" w:color="auto"/>
            </w:tcBorders>
            <w:shd w:val="clear" w:color="auto" w:fill="FFFFFF" w:themeFill="background1"/>
            <w:noWrap/>
            <w:vAlign w:val="bottom"/>
            <w:hideMark/>
          </w:tcPr>
          <w:p w14:paraId="5BFBFBBE" w14:textId="71A2DDF2"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33.5</w:t>
            </w:r>
          </w:p>
        </w:tc>
        <w:tc>
          <w:tcPr>
            <w:tcW w:w="1084" w:type="dxa"/>
            <w:tcBorders>
              <w:top w:val="nil"/>
              <w:left w:val="nil"/>
              <w:bottom w:val="single" w:sz="4" w:space="0" w:color="auto"/>
              <w:right w:val="single" w:sz="4" w:space="0" w:color="auto"/>
            </w:tcBorders>
            <w:shd w:val="clear" w:color="auto" w:fill="FFFFFF" w:themeFill="background1"/>
            <w:noWrap/>
            <w:vAlign w:val="bottom"/>
            <w:hideMark/>
          </w:tcPr>
          <w:p w14:paraId="6CF59AE3" w14:textId="232EDFA2"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52.0</w:t>
            </w:r>
          </w:p>
        </w:tc>
        <w:tc>
          <w:tcPr>
            <w:tcW w:w="1085" w:type="dxa"/>
            <w:tcBorders>
              <w:top w:val="nil"/>
              <w:left w:val="nil"/>
              <w:bottom w:val="single" w:sz="4" w:space="0" w:color="auto"/>
              <w:right w:val="single" w:sz="4" w:space="0" w:color="auto"/>
            </w:tcBorders>
            <w:shd w:val="clear" w:color="000000" w:fill="DDEBF7"/>
            <w:noWrap/>
            <w:vAlign w:val="bottom"/>
            <w:hideMark/>
          </w:tcPr>
          <w:p w14:paraId="2543E1C4" w14:textId="128F949C"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32.2</w:t>
            </w:r>
          </w:p>
        </w:tc>
      </w:tr>
      <w:tr w:rsidR="00E4736E" w:rsidRPr="00E4736E" w14:paraId="649336E0" w14:textId="77777777" w:rsidTr="00E4736E">
        <w:trPr>
          <w:trHeight w:val="60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772510A3" w14:textId="52920B0D"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China</w:t>
            </w:r>
          </w:p>
        </w:tc>
        <w:tc>
          <w:tcPr>
            <w:tcW w:w="1084" w:type="dxa"/>
            <w:tcBorders>
              <w:top w:val="nil"/>
              <w:left w:val="nil"/>
              <w:bottom w:val="single" w:sz="4" w:space="0" w:color="auto"/>
              <w:right w:val="single" w:sz="4" w:space="0" w:color="auto"/>
            </w:tcBorders>
            <w:shd w:val="clear" w:color="auto" w:fill="auto"/>
            <w:noWrap/>
            <w:vAlign w:val="bottom"/>
            <w:hideMark/>
          </w:tcPr>
          <w:p w14:paraId="63FC3C5E" w14:textId="7F90EE1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0.1</w:t>
            </w:r>
          </w:p>
        </w:tc>
        <w:tc>
          <w:tcPr>
            <w:tcW w:w="1085" w:type="dxa"/>
            <w:tcBorders>
              <w:top w:val="nil"/>
              <w:left w:val="nil"/>
              <w:bottom w:val="single" w:sz="4" w:space="0" w:color="auto"/>
              <w:right w:val="single" w:sz="4" w:space="0" w:color="auto"/>
            </w:tcBorders>
            <w:shd w:val="clear" w:color="auto" w:fill="auto"/>
            <w:noWrap/>
            <w:vAlign w:val="bottom"/>
            <w:hideMark/>
          </w:tcPr>
          <w:p w14:paraId="5EA4C56D" w14:textId="1B632974"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0.1</w:t>
            </w:r>
          </w:p>
        </w:tc>
        <w:tc>
          <w:tcPr>
            <w:tcW w:w="1084" w:type="dxa"/>
            <w:tcBorders>
              <w:top w:val="nil"/>
              <w:left w:val="nil"/>
              <w:bottom w:val="single" w:sz="4" w:space="0" w:color="auto"/>
              <w:right w:val="single" w:sz="4" w:space="0" w:color="auto"/>
            </w:tcBorders>
            <w:shd w:val="clear" w:color="auto" w:fill="auto"/>
            <w:noWrap/>
            <w:vAlign w:val="bottom"/>
            <w:hideMark/>
          </w:tcPr>
          <w:p w14:paraId="7236DA49" w14:textId="3DA01F69"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22.4</w:t>
            </w:r>
          </w:p>
        </w:tc>
        <w:tc>
          <w:tcPr>
            <w:tcW w:w="1084" w:type="dxa"/>
            <w:tcBorders>
              <w:top w:val="nil"/>
              <w:left w:val="nil"/>
              <w:bottom w:val="single" w:sz="4" w:space="0" w:color="auto"/>
              <w:right w:val="single" w:sz="4" w:space="0" w:color="auto"/>
            </w:tcBorders>
            <w:shd w:val="clear" w:color="auto" w:fill="auto"/>
            <w:noWrap/>
            <w:vAlign w:val="bottom"/>
            <w:hideMark/>
          </w:tcPr>
          <w:p w14:paraId="3D610DBE" w14:textId="6BCCDE8C"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0.0</w:t>
            </w:r>
          </w:p>
        </w:tc>
        <w:tc>
          <w:tcPr>
            <w:tcW w:w="1085" w:type="dxa"/>
            <w:tcBorders>
              <w:top w:val="nil"/>
              <w:left w:val="nil"/>
              <w:bottom w:val="single" w:sz="4" w:space="0" w:color="auto"/>
              <w:right w:val="single" w:sz="4" w:space="0" w:color="auto"/>
            </w:tcBorders>
            <w:shd w:val="clear" w:color="auto" w:fill="auto"/>
            <w:noWrap/>
            <w:vAlign w:val="bottom"/>
            <w:hideMark/>
          </w:tcPr>
          <w:p w14:paraId="4F59092A" w14:textId="03DD5D6E"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5.6</w:t>
            </w:r>
          </w:p>
        </w:tc>
        <w:tc>
          <w:tcPr>
            <w:tcW w:w="1084" w:type="dxa"/>
            <w:tcBorders>
              <w:top w:val="nil"/>
              <w:left w:val="nil"/>
              <w:bottom w:val="single" w:sz="4" w:space="0" w:color="auto"/>
              <w:right w:val="single" w:sz="4" w:space="0" w:color="auto"/>
            </w:tcBorders>
            <w:shd w:val="clear" w:color="000000" w:fill="FFFFFF"/>
            <w:noWrap/>
            <w:vAlign w:val="bottom"/>
            <w:hideMark/>
          </w:tcPr>
          <w:p w14:paraId="25C1739D" w14:textId="23D24ABB"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10.8</w:t>
            </w:r>
          </w:p>
        </w:tc>
        <w:tc>
          <w:tcPr>
            <w:tcW w:w="1084" w:type="dxa"/>
            <w:tcBorders>
              <w:top w:val="nil"/>
              <w:left w:val="nil"/>
              <w:bottom w:val="single" w:sz="4" w:space="0" w:color="auto"/>
              <w:right w:val="single" w:sz="4" w:space="0" w:color="auto"/>
            </w:tcBorders>
            <w:shd w:val="clear" w:color="000000" w:fill="F4B084"/>
            <w:noWrap/>
            <w:vAlign w:val="bottom"/>
            <w:hideMark/>
          </w:tcPr>
          <w:p w14:paraId="097D2255" w14:textId="1ED911C1"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49.4</w:t>
            </w:r>
          </w:p>
        </w:tc>
        <w:tc>
          <w:tcPr>
            <w:tcW w:w="1085" w:type="dxa"/>
            <w:tcBorders>
              <w:top w:val="nil"/>
              <w:left w:val="nil"/>
              <w:bottom w:val="single" w:sz="4" w:space="0" w:color="auto"/>
              <w:right w:val="single" w:sz="4" w:space="0" w:color="auto"/>
            </w:tcBorders>
            <w:shd w:val="clear" w:color="000000" w:fill="FFFFFF"/>
            <w:noWrap/>
            <w:vAlign w:val="bottom"/>
            <w:hideMark/>
          </w:tcPr>
          <w:p w14:paraId="209AD79F" w14:textId="5116A02C"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66.7</w:t>
            </w:r>
          </w:p>
        </w:tc>
        <w:tc>
          <w:tcPr>
            <w:tcW w:w="1084" w:type="dxa"/>
            <w:tcBorders>
              <w:top w:val="nil"/>
              <w:left w:val="nil"/>
              <w:bottom w:val="single" w:sz="4" w:space="0" w:color="auto"/>
              <w:right w:val="single" w:sz="4" w:space="0" w:color="auto"/>
            </w:tcBorders>
            <w:shd w:val="clear" w:color="000000" w:fill="FFFFFF"/>
            <w:noWrap/>
            <w:vAlign w:val="bottom"/>
            <w:hideMark/>
          </w:tcPr>
          <w:p w14:paraId="6F4E9FD6" w14:textId="1344F90F"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18.7</w:t>
            </w:r>
          </w:p>
        </w:tc>
        <w:tc>
          <w:tcPr>
            <w:tcW w:w="1084" w:type="dxa"/>
            <w:tcBorders>
              <w:top w:val="nil"/>
              <w:left w:val="nil"/>
              <w:bottom w:val="single" w:sz="4" w:space="0" w:color="auto"/>
              <w:right w:val="single" w:sz="4" w:space="0" w:color="auto"/>
            </w:tcBorders>
            <w:shd w:val="clear" w:color="000000" w:fill="FFFFFF"/>
            <w:noWrap/>
            <w:vAlign w:val="bottom"/>
            <w:hideMark/>
          </w:tcPr>
          <w:p w14:paraId="3656D3F9" w14:textId="7E162348"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13.3</w:t>
            </w:r>
          </w:p>
        </w:tc>
        <w:tc>
          <w:tcPr>
            <w:tcW w:w="1085" w:type="dxa"/>
            <w:tcBorders>
              <w:top w:val="nil"/>
              <w:left w:val="nil"/>
              <w:bottom w:val="single" w:sz="4" w:space="0" w:color="auto"/>
              <w:right w:val="single" w:sz="4" w:space="0" w:color="auto"/>
            </w:tcBorders>
            <w:shd w:val="clear" w:color="auto" w:fill="FFFFFF" w:themeFill="background1"/>
            <w:noWrap/>
            <w:vAlign w:val="bottom"/>
            <w:hideMark/>
          </w:tcPr>
          <w:p w14:paraId="3C0EBB6B" w14:textId="6C0DD988"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100.0</w:t>
            </w:r>
          </w:p>
        </w:tc>
        <w:tc>
          <w:tcPr>
            <w:tcW w:w="1084" w:type="dxa"/>
            <w:tcBorders>
              <w:top w:val="nil"/>
              <w:left w:val="nil"/>
              <w:bottom w:val="single" w:sz="4" w:space="0" w:color="auto"/>
              <w:right w:val="single" w:sz="4" w:space="0" w:color="auto"/>
            </w:tcBorders>
            <w:shd w:val="clear" w:color="auto" w:fill="FFFFFF" w:themeFill="background1"/>
            <w:noWrap/>
            <w:vAlign w:val="bottom"/>
            <w:hideMark/>
          </w:tcPr>
          <w:p w14:paraId="1C38C80C" w14:textId="611537F9"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44.0</w:t>
            </w:r>
          </w:p>
        </w:tc>
        <w:tc>
          <w:tcPr>
            <w:tcW w:w="1085" w:type="dxa"/>
            <w:tcBorders>
              <w:top w:val="nil"/>
              <w:left w:val="nil"/>
              <w:bottom w:val="single" w:sz="4" w:space="0" w:color="auto"/>
              <w:right w:val="single" w:sz="4" w:space="0" w:color="auto"/>
            </w:tcBorders>
            <w:shd w:val="clear" w:color="000000" w:fill="DDEBF7"/>
            <w:noWrap/>
            <w:vAlign w:val="bottom"/>
            <w:hideMark/>
          </w:tcPr>
          <w:p w14:paraId="495F3579" w14:textId="5CB0B0AF"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32.1</w:t>
            </w:r>
          </w:p>
        </w:tc>
      </w:tr>
      <w:tr w:rsidR="00AC7642" w:rsidRPr="00E4736E" w14:paraId="67549781" w14:textId="77777777" w:rsidTr="00AC7642">
        <w:trPr>
          <w:trHeight w:val="315"/>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7EAD19FF" w14:textId="4E12A7F2"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Cuba</w:t>
            </w:r>
          </w:p>
        </w:tc>
        <w:tc>
          <w:tcPr>
            <w:tcW w:w="1084" w:type="dxa"/>
            <w:tcBorders>
              <w:top w:val="nil"/>
              <w:left w:val="nil"/>
              <w:bottom w:val="single" w:sz="4" w:space="0" w:color="auto"/>
              <w:right w:val="single" w:sz="4" w:space="0" w:color="auto"/>
            </w:tcBorders>
            <w:shd w:val="clear" w:color="auto" w:fill="auto"/>
            <w:noWrap/>
            <w:vAlign w:val="bottom"/>
            <w:hideMark/>
          </w:tcPr>
          <w:p w14:paraId="51CB37AF" w14:textId="72FCFD33"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7</w:t>
            </w:r>
          </w:p>
        </w:tc>
        <w:tc>
          <w:tcPr>
            <w:tcW w:w="1085" w:type="dxa"/>
            <w:tcBorders>
              <w:top w:val="nil"/>
              <w:left w:val="nil"/>
              <w:bottom w:val="single" w:sz="4" w:space="0" w:color="auto"/>
              <w:right w:val="single" w:sz="4" w:space="0" w:color="auto"/>
            </w:tcBorders>
            <w:shd w:val="clear" w:color="auto" w:fill="auto"/>
            <w:noWrap/>
            <w:vAlign w:val="bottom"/>
            <w:hideMark/>
          </w:tcPr>
          <w:p w14:paraId="7C240BB6" w14:textId="5529C825"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3.9</w:t>
            </w:r>
          </w:p>
        </w:tc>
        <w:tc>
          <w:tcPr>
            <w:tcW w:w="1084" w:type="dxa"/>
            <w:tcBorders>
              <w:top w:val="nil"/>
              <w:left w:val="nil"/>
              <w:bottom w:val="single" w:sz="4" w:space="0" w:color="auto"/>
              <w:right w:val="single" w:sz="4" w:space="0" w:color="auto"/>
            </w:tcBorders>
            <w:shd w:val="clear" w:color="auto" w:fill="auto"/>
            <w:noWrap/>
            <w:vAlign w:val="bottom"/>
            <w:hideMark/>
          </w:tcPr>
          <w:p w14:paraId="0DE24ED7" w14:textId="1AB30F66"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21.6</w:t>
            </w:r>
          </w:p>
        </w:tc>
        <w:tc>
          <w:tcPr>
            <w:tcW w:w="1084" w:type="dxa"/>
            <w:tcBorders>
              <w:top w:val="nil"/>
              <w:left w:val="nil"/>
              <w:bottom w:val="single" w:sz="4" w:space="0" w:color="auto"/>
              <w:right w:val="single" w:sz="4" w:space="0" w:color="auto"/>
            </w:tcBorders>
            <w:shd w:val="clear" w:color="auto" w:fill="auto"/>
            <w:noWrap/>
            <w:vAlign w:val="bottom"/>
            <w:hideMark/>
          </w:tcPr>
          <w:p w14:paraId="3DF73C30" w14:textId="781AE685"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14.1</w:t>
            </w:r>
          </w:p>
        </w:tc>
        <w:tc>
          <w:tcPr>
            <w:tcW w:w="1085" w:type="dxa"/>
            <w:tcBorders>
              <w:top w:val="nil"/>
              <w:left w:val="nil"/>
              <w:bottom w:val="single" w:sz="4" w:space="0" w:color="auto"/>
              <w:right w:val="single" w:sz="4" w:space="0" w:color="auto"/>
            </w:tcBorders>
            <w:shd w:val="clear" w:color="auto" w:fill="auto"/>
            <w:noWrap/>
            <w:vAlign w:val="bottom"/>
            <w:hideMark/>
          </w:tcPr>
          <w:p w14:paraId="50CCCC1D" w14:textId="1B101ACF"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5.6</w:t>
            </w:r>
          </w:p>
        </w:tc>
        <w:tc>
          <w:tcPr>
            <w:tcW w:w="1084" w:type="dxa"/>
            <w:tcBorders>
              <w:top w:val="nil"/>
              <w:left w:val="nil"/>
              <w:bottom w:val="single" w:sz="4" w:space="0" w:color="auto"/>
              <w:right w:val="single" w:sz="4" w:space="0" w:color="auto"/>
            </w:tcBorders>
            <w:shd w:val="clear" w:color="000000" w:fill="FFFFFF"/>
            <w:noWrap/>
            <w:vAlign w:val="bottom"/>
            <w:hideMark/>
          </w:tcPr>
          <w:p w14:paraId="5BBF43BC" w14:textId="029344FA"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97.3</w:t>
            </w:r>
          </w:p>
        </w:tc>
        <w:tc>
          <w:tcPr>
            <w:tcW w:w="1084" w:type="dxa"/>
            <w:tcBorders>
              <w:top w:val="nil"/>
              <w:left w:val="nil"/>
              <w:bottom w:val="single" w:sz="4" w:space="0" w:color="auto"/>
              <w:right w:val="single" w:sz="4" w:space="0" w:color="auto"/>
            </w:tcBorders>
            <w:shd w:val="clear" w:color="000000" w:fill="F4B084"/>
            <w:noWrap/>
            <w:vAlign w:val="bottom"/>
            <w:hideMark/>
          </w:tcPr>
          <w:p w14:paraId="53965CE9" w14:textId="69FFF42B"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52.8</w:t>
            </w:r>
          </w:p>
        </w:tc>
        <w:tc>
          <w:tcPr>
            <w:tcW w:w="1085" w:type="dxa"/>
            <w:tcBorders>
              <w:top w:val="nil"/>
              <w:left w:val="nil"/>
              <w:bottom w:val="single" w:sz="4" w:space="0" w:color="auto"/>
              <w:right w:val="single" w:sz="4" w:space="0" w:color="auto"/>
            </w:tcBorders>
            <w:shd w:val="clear" w:color="000000" w:fill="FFFFFF"/>
            <w:noWrap/>
            <w:vAlign w:val="bottom"/>
            <w:hideMark/>
          </w:tcPr>
          <w:p w14:paraId="4A7739C6" w14:textId="0F45A689"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78.3</w:t>
            </w:r>
          </w:p>
        </w:tc>
        <w:tc>
          <w:tcPr>
            <w:tcW w:w="1084" w:type="dxa"/>
            <w:tcBorders>
              <w:top w:val="nil"/>
              <w:left w:val="nil"/>
              <w:bottom w:val="single" w:sz="4" w:space="0" w:color="auto"/>
              <w:right w:val="single" w:sz="4" w:space="0" w:color="auto"/>
            </w:tcBorders>
            <w:shd w:val="clear" w:color="000000" w:fill="FFFFFF"/>
            <w:noWrap/>
            <w:vAlign w:val="bottom"/>
            <w:hideMark/>
          </w:tcPr>
          <w:p w14:paraId="5AF046AE" w14:textId="2BA31F78"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17.4</w:t>
            </w:r>
          </w:p>
        </w:tc>
        <w:tc>
          <w:tcPr>
            <w:tcW w:w="1084" w:type="dxa"/>
            <w:tcBorders>
              <w:top w:val="nil"/>
              <w:left w:val="nil"/>
              <w:bottom w:val="single" w:sz="4" w:space="0" w:color="auto"/>
              <w:right w:val="single" w:sz="4" w:space="0" w:color="auto"/>
            </w:tcBorders>
            <w:shd w:val="clear" w:color="000000" w:fill="FFFFFF"/>
            <w:noWrap/>
            <w:vAlign w:val="bottom"/>
            <w:hideMark/>
          </w:tcPr>
          <w:p w14:paraId="4ED474AD" w14:textId="591940B0"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27.1</w:t>
            </w:r>
          </w:p>
        </w:tc>
        <w:tc>
          <w:tcPr>
            <w:tcW w:w="1085" w:type="dxa"/>
            <w:tcBorders>
              <w:top w:val="nil"/>
              <w:left w:val="nil"/>
              <w:bottom w:val="single" w:sz="4" w:space="0" w:color="auto"/>
              <w:right w:val="single" w:sz="4" w:space="0" w:color="auto"/>
            </w:tcBorders>
            <w:shd w:val="clear" w:color="auto" w:fill="FFFFFF" w:themeFill="background1"/>
            <w:noWrap/>
            <w:vAlign w:val="bottom"/>
            <w:hideMark/>
          </w:tcPr>
          <w:p w14:paraId="478CE72A" w14:textId="24F64D54"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26.0</w:t>
            </w:r>
          </w:p>
        </w:tc>
        <w:tc>
          <w:tcPr>
            <w:tcW w:w="1084" w:type="dxa"/>
            <w:tcBorders>
              <w:top w:val="nil"/>
              <w:left w:val="nil"/>
              <w:bottom w:val="single" w:sz="4" w:space="0" w:color="auto"/>
              <w:right w:val="single" w:sz="4" w:space="0" w:color="auto"/>
            </w:tcBorders>
            <w:shd w:val="clear" w:color="auto" w:fill="FFFFFF" w:themeFill="background1"/>
            <w:noWrap/>
            <w:vAlign w:val="bottom"/>
            <w:hideMark/>
          </w:tcPr>
          <w:p w14:paraId="038D19B1" w14:textId="054B46BD"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8.4</w:t>
            </w:r>
          </w:p>
        </w:tc>
        <w:tc>
          <w:tcPr>
            <w:tcW w:w="1085" w:type="dxa"/>
            <w:tcBorders>
              <w:top w:val="nil"/>
              <w:left w:val="nil"/>
              <w:bottom w:val="single" w:sz="4" w:space="0" w:color="auto"/>
              <w:right w:val="single" w:sz="4" w:space="0" w:color="auto"/>
            </w:tcBorders>
            <w:shd w:val="clear" w:color="000000" w:fill="DDEBF7"/>
            <w:noWrap/>
            <w:vAlign w:val="bottom"/>
            <w:hideMark/>
          </w:tcPr>
          <w:p w14:paraId="571F5033" w14:textId="06C75BD2"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32.0</w:t>
            </w:r>
          </w:p>
        </w:tc>
      </w:tr>
      <w:tr w:rsidR="00E4736E" w:rsidRPr="00E4736E" w14:paraId="79A9CEE4" w14:textId="77777777" w:rsidTr="00E4736E">
        <w:trPr>
          <w:trHeight w:val="66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33452E0B" w14:textId="6BE05ECF"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Cambodia</w:t>
            </w:r>
          </w:p>
        </w:tc>
        <w:tc>
          <w:tcPr>
            <w:tcW w:w="1084" w:type="dxa"/>
            <w:tcBorders>
              <w:top w:val="nil"/>
              <w:left w:val="nil"/>
              <w:bottom w:val="single" w:sz="4" w:space="0" w:color="auto"/>
              <w:right w:val="single" w:sz="4" w:space="0" w:color="auto"/>
            </w:tcBorders>
            <w:shd w:val="clear" w:color="auto" w:fill="auto"/>
            <w:noWrap/>
            <w:vAlign w:val="bottom"/>
            <w:hideMark/>
          </w:tcPr>
          <w:p w14:paraId="00043158" w14:textId="78C1D5B4"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1.4</w:t>
            </w:r>
          </w:p>
        </w:tc>
        <w:tc>
          <w:tcPr>
            <w:tcW w:w="1085" w:type="dxa"/>
            <w:tcBorders>
              <w:top w:val="nil"/>
              <w:left w:val="nil"/>
              <w:bottom w:val="single" w:sz="4" w:space="0" w:color="auto"/>
              <w:right w:val="single" w:sz="4" w:space="0" w:color="auto"/>
            </w:tcBorders>
            <w:shd w:val="clear" w:color="auto" w:fill="auto"/>
            <w:noWrap/>
            <w:vAlign w:val="bottom"/>
            <w:hideMark/>
          </w:tcPr>
          <w:p w14:paraId="3BE5AC2D" w14:textId="3B02428F"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w:t>
            </w:r>
          </w:p>
        </w:tc>
        <w:tc>
          <w:tcPr>
            <w:tcW w:w="1084" w:type="dxa"/>
            <w:tcBorders>
              <w:top w:val="nil"/>
              <w:left w:val="nil"/>
              <w:bottom w:val="single" w:sz="4" w:space="0" w:color="auto"/>
              <w:right w:val="single" w:sz="4" w:space="0" w:color="auto"/>
            </w:tcBorders>
            <w:shd w:val="clear" w:color="auto" w:fill="auto"/>
            <w:noWrap/>
            <w:vAlign w:val="bottom"/>
            <w:hideMark/>
          </w:tcPr>
          <w:p w14:paraId="750AFE75" w14:textId="48A06B76"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53.4</w:t>
            </w:r>
          </w:p>
        </w:tc>
        <w:tc>
          <w:tcPr>
            <w:tcW w:w="1084" w:type="dxa"/>
            <w:tcBorders>
              <w:top w:val="nil"/>
              <w:left w:val="nil"/>
              <w:bottom w:val="single" w:sz="4" w:space="0" w:color="auto"/>
              <w:right w:val="single" w:sz="4" w:space="0" w:color="auto"/>
            </w:tcBorders>
            <w:shd w:val="clear" w:color="auto" w:fill="auto"/>
            <w:noWrap/>
            <w:vAlign w:val="bottom"/>
            <w:hideMark/>
          </w:tcPr>
          <w:p w14:paraId="41D0BA7A" w14:textId="49DD9FD8"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1.7</w:t>
            </w:r>
          </w:p>
        </w:tc>
        <w:tc>
          <w:tcPr>
            <w:tcW w:w="1085" w:type="dxa"/>
            <w:tcBorders>
              <w:top w:val="nil"/>
              <w:left w:val="nil"/>
              <w:bottom w:val="single" w:sz="4" w:space="0" w:color="auto"/>
              <w:right w:val="single" w:sz="4" w:space="0" w:color="auto"/>
            </w:tcBorders>
            <w:shd w:val="clear" w:color="auto" w:fill="auto"/>
            <w:noWrap/>
            <w:vAlign w:val="bottom"/>
            <w:hideMark/>
          </w:tcPr>
          <w:p w14:paraId="7F8EAA6A" w14:textId="70A7E6F2"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11.1</w:t>
            </w:r>
          </w:p>
        </w:tc>
        <w:tc>
          <w:tcPr>
            <w:tcW w:w="1084" w:type="dxa"/>
            <w:tcBorders>
              <w:top w:val="nil"/>
              <w:left w:val="nil"/>
              <w:bottom w:val="single" w:sz="4" w:space="0" w:color="auto"/>
              <w:right w:val="single" w:sz="4" w:space="0" w:color="auto"/>
            </w:tcBorders>
            <w:shd w:val="clear" w:color="000000" w:fill="FFFFFF"/>
            <w:noWrap/>
            <w:vAlign w:val="bottom"/>
            <w:hideMark/>
          </w:tcPr>
          <w:p w14:paraId="1F2CAB62" w14:textId="4AEDA5E5"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32.4</w:t>
            </w:r>
          </w:p>
        </w:tc>
        <w:tc>
          <w:tcPr>
            <w:tcW w:w="1084" w:type="dxa"/>
            <w:tcBorders>
              <w:top w:val="nil"/>
              <w:left w:val="nil"/>
              <w:bottom w:val="single" w:sz="4" w:space="0" w:color="auto"/>
              <w:right w:val="single" w:sz="4" w:space="0" w:color="auto"/>
            </w:tcBorders>
            <w:shd w:val="clear" w:color="000000" w:fill="A9D08E"/>
            <w:noWrap/>
            <w:vAlign w:val="bottom"/>
            <w:hideMark/>
          </w:tcPr>
          <w:p w14:paraId="0FB78048" w14:textId="5DD7B221"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78.1</w:t>
            </w:r>
          </w:p>
        </w:tc>
        <w:tc>
          <w:tcPr>
            <w:tcW w:w="1085" w:type="dxa"/>
            <w:tcBorders>
              <w:top w:val="nil"/>
              <w:left w:val="nil"/>
              <w:bottom w:val="single" w:sz="4" w:space="0" w:color="auto"/>
              <w:right w:val="single" w:sz="4" w:space="0" w:color="auto"/>
            </w:tcBorders>
            <w:shd w:val="clear" w:color="000000" w:fill="FFFFFF"/>
            <w:noWrap/>
            <w:vAlign w:val="bottom"/>
            <w:hideMark/>
          </w:tcPr>
          <w:p w14:paraId="0DC10E0B" w14:textId="51224553"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35.0</w:t>
            </w:r>
          </w:p>
        </w:tc>
        <w:tc>
          <w:tcPr>
            <w:tcW w:w="1084" w:type="dxa"/>
            <w:tcBorders>
              <w:top w:val="nil"/>
              <w:left w:val="nil"/>
              <w:bottom w:val="single" w:sz="4" w:space="0" w:color="auto"/>
              <w:right w:val="single" w:sz="4" w:space="0" w:color="auto"/>
            </w:tcBorders>
            <w:shd w:val="clear" w:color="000000" w:fill="FFFFFF"/>
            <w:noWrap/>
            <w:vAlign w:val="bottom"/>
            <w:hideMark/>
          </w:tcPr>
          <w:p w14:paraId="42448534" w14:textId="2E8AA589"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46.4</w:t>
            </w:r>
          </w:p>
        </w:tc>
        <w:tc>
          <w:tcPr>
            <w:tcW w:w="1084" w:type="dxa"/>
            <w:tcBorders>
              <w:top w:val="nil"/>
              <w:left w:val="nil"/>
              <w:bottom w:val="single" w:sz="4" w:space="0" w:color="auto"/>
              <w:right w:val="single" w:sz="4" w:space="0" w:color="auto"/>
            </w:tcBorders>
            <w:shd w:val="clear" w:color="000000" w:fill="FFFFFF"/>
            <w:noWrap/>
            <w:vAlign w:val="bottom"/>
            <w:hideMark/>
          </w:tcPr>
          <w:p w14:paraId="59B6E120" w14:textId="6A06D6FC"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18.1</w:t>
            </w:r>
          </w:p>
        </w:tc>
        <w:tc>
          <w:tcPr>
            <w:tcW w:w="1085" w:type="dxa"/>
            <w:tcBorders>
              <w:top w:val="nil"/>
              <w:left w:val="nil"/>
              <w:bottom w:val="single" w:sz="4" w:space="0" w:color="auto"/>
              <w:right w:val="single" w:sz="4" w:space="0" w:color="auto"/>
            </w:tcBorders>
            <w:shd w:val="clear" w:color="auto" w:fill="FFFFFF" w:themeFill="background1"/>
            <w:noWrap/>
            <w:vAlign w:val="bottom"/>
            <w:hideMark/>
          </w:tcPr>
          <w:p w14:paraId="57E75C2B" w14:textId="75D52EE0"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33.5</w:t>
            </w:r>
          </w:p>
        </w:tc>
        <w:tc>
          <w:tcPr>
            <w:tcW w:w="1084" w:type="dxa"/>
            <w:tcBorders>
              <w:top w:val="nil"/>
              <w:left w:val="nil"/>
              <w:bottom w:val="single" w:sz="4" w:space="0" w:color="auto"/>
              <w:right w:val="single" w:sz="4" w:space="0" w:color="auto"/>
            </w:tcBorders>
            <w:shd w:val="clear" w:color="auto" w:fill="FFFFFF" w:themeFill="background1"/>
            <w:noWrap/>
            <w:vAlign w:val="bottom"/>
            <w:hideMark/>
          </w:tcPr>
          <w:p w14:paraId="61C7CBC4" w14:textId="1B4A28C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8.1</w:t>
            </w:r>
          </w:p>
        </w:tc>
        <w:tc>
          <w:tcPr>
            <w:tcW w:w="1085" w:type="dxa"/>
            <w:tcBorders>
              <w:top w:val="nil"/>
              <w:left w:val="nil"/>
              <w:bottom w:val="single" w:sz="4" w:space="0" w:color="auto"/>
              <w:right w:val="single" w:sz="4" w:space="0" w:color="auto"/>
            </w:tcBorders>
            <w:shd w:val="clear" w:color="000000" w:fill="DDEBF7"/>
            <w:noWrap/>
            <w:vAlign w:val="bottom"/>
            <w:hideMark/>
          </w:tcPr>
          <w:p w14:paraId="48E0F87E" w14:textId="4FDF5BEF"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30.9</w:t>
            </w:r>
          </w:p>
        </w:tc>
      </w:tr>
      <w:tr w:rsidR="00E4736E" w:rsidRPr="00E4736E" w14:paraId="596BABF7" w14:textId="77777777" w:rsidTr="00E4736E">
        <w:trPr>
          <w:trHeight w:val="315"/>
        </w:trPr>
        <w:tc>
          <w:tcPr>
            <w:tcW w:w="1084" w:type="dxa"/>
            <w:tcBorders>
              <w:top w:val="nil"/>
              <w:left w:val="single" w:sz="4" w:space="0" w:color="auto"/>
              <w:bottom w:val="single" w:sz="4" w:space="0" w:color="auto"/>
              <w:right w:val="single" w:sz="4" w:space="0" w:color="auto"/>
            </w:tcBorders>
            <w:shd w:val="thinDiagStripe" w:color="FFFFFF" w:fill="C6E0B4"/>
            <w:vAlign w:val="center"/>
            <w:hideMark/>
          </w:tcPr>
          <w:p w14:paraId="0272E7DC" w14:textId="37529848"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Bangladesh</w:t>
            </w:r>
          </w:p>
        </w:tc>
        <w:tc>
          <w:tcPr>
            <w:tcW w:w="1084" w:type="dxa"/>
            <w:tcBorders>
              <w:top w:val="nil"/>
              <w:left w:val="nil"/>
              <w:bottom w:val="single" w:sz="4" w:space="0" w:color="auto"/>
              <w:right w:val="single" w:sz="4" w:space="0" w:color="auto"/>
            </w:tcBorders>
            <w:shd w:val="clear" w:color="auto" w:fill="auto"/>
            <w:noWrap/>
            <w:vAlign w:val="bottom"/>
            <w:hideMark/>
          </w:tcPr>
          <w:p w14:paraId="0D358D1C" w14:textId="485168B2"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7.6</w:t>
            </w:r>
          </w:p>
        </w:tc>
        <w:tc>
          <w:tcPr>
            <w:tcW w:w="1085" w:type="dxa"/>
            <w:tcBorders>
              <w:top w:val="nil"/>
              <w:left w:val="nil"/>
              <w:bottom w:val="single" w:sz="4" w:space="0" w:color="auto"/>
              <w:right w:val="single" w:sz="4" w:space="0" w:color="auto"/>
            </w:tcBorders>
            <w:shd w:val="clear" w:color="auto" w:fill="auto"/>
            <w:noWrap/>
            <w:vAlign w:val="bottom"/>
            <w:hideMark/>
          </w:tcPr>
          <w:p w14:paraId="5A7328C4" w14:textId="4F38065D"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0.1</w:t>
            </w:r>
          </w:p>
        </w:tc>
        <w:tc>
          <w:tcPr>
            <w:tcW w:w="1084" w:type="dxa"/>
            <w:tcBorders>
              <w:top w:val="nil"/>
              <w:left w:val="nil"/>
              <w:bottom w:val="single" w:sz="4" w:space="0" w:color="auto"/>
              <w:right w:val="single" w:sz="4" w:space="0" w:color="auto"/>
            </w:tcBorders>
            <w:shd w:val="clear" w:color="auto" w:fill="auto"/>
            <w:noWrap/>
            <w:vAlign w:val="bottom"/>
            <w:hideMark/>
          </w:tcPr>
          <w:p w14:paraId="0EEFBD84" w14:textId="78067C73"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0.7</w:t>
            </w:r>
          </w:p>
        </w:tc>
        <w:tc>
          <w:tcPr>
            <w:tcW w:w="1084" w:type="dxa"/>
            <w:tcBorders>
              <w:top w:val="nil"/>
              <w:left w:val="nil"/>
              <w:bottom w:val="single" w:sz="4" w:space="0" w:color="auto"/>
              <w:right w:val="single" w:sz="4" w:space="0" w:color="auto"/>
            </w:tcBorders>
            <w:shd w:val="clear" w:color="auto" w:fill="auto"/>
            <w:noWrap/>
            <w:vAlign w:val="bottom"/>
            <w:hideMark/>
          </w:tcPr>
          <w:p w14:paraId="1E461EBD" w14:textId="79182205"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11.4</w:t>
            </w:r>
          </w:p>
        </w:tc>
        <w:tc>
          <w:tcPr>
            <w:tcW w:w="1085" w:type="dxa"/>
            <w:tcBorders>
              <w:top w:val="nil"/>
              <w:left w:val="nil"/>
              <w:bottom w:val="single" w:sz="4" w:space="0" w:color="auto"/>
              <w:right w:val="single" w:sz="4" w:space="0" w:color="auto"/>
            </w:tcBorders>
            <w:shd w:val="clear" w:color="auto" w:fill="auto"/>
            <w:noWrap/>
            <w:vAlign w:val="bottom"/>
            <w:hideMark/>
          </w:tcPr>
          <w:p w14:paraId="0315EB77" w14:textId="398E0689"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52.8</w:t>
            </w:r>
          </w:p>
        </w:tc>
        <w:tc>
          <w:tcPr>
            <w:tcW w:w="1084" w:type="dxa"/>
            <w:tcBorders>
              <w:top w:val="nil"/>
              <w:left w:val="nil"/>
              <w:bottom w:val="single" w:sz="4" w:space="0" w:color="auto"/>
              <w:right w:val="single" w:sz="4" w:space="0" w:color="auto"/>
            </w:tcBorders>
            <w:shd w:val="clear" w:color="000000" w:fill="FFFFFF"/>
            <w:noWrap/>
            <w:vAlign w:val="bottom"/>
            <w:hideMark/>
          </w:tcPr>
          <w:p w14:paraId="7AF6ED8C" w14:textId="702DBEBF"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45.9</w:t>
            </w:r>
          </w:p>
        </w:tc>
        <w:tc>
          <w:tcPr>
            <w:tcW w:w="1084" w:type="dxa"/>
            <w:tcBorders>
              <w:top w:val="nil"/>
              <w:left w:val="nil"/>
              <w:bottom w:val="single" w:sz="4" w:space="0" w:color="auto"/>
              <w:right w:val="single" w:sz="4" w:space="0" w:color="auto"/>
            </w:tcBorders>
            <w:shd w:val="clear" w:color="000000" w:fill="A9D08E"/>
            <w:noWrap/>
            <w:vAlign w:val="bottom"/>
            <w:hideMark/>
          </w:tcPr>
          <w:p w14:paraId="6E041257" w14:textId="3F3AE3FD"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93.6</w:t>
            </w:r>
          </w:p>
        </w:tc>
        <w:tc>
          <w:tcPr>
            <w:tcW w:w="1085" w:type="dxa"/>
            <w:tcBorders>
              <w:top w:val="nil"/>
              <w:left w:val="nil"/>
              <w:bottom w:val="single" w:sz="4" w:space="0" w:color="auto"/>
              <w:right w:val="single" w:sz="4" w:space="0" w:color="auto"/>
            </w:tcBorders>
            <w:shd w:val="clear" w:color="000000" w:fill="FFFFFF"/>
            <w:noWrap/>
            <w:vAlign w:val="bottom"/>
            <w:hideMark/>
          </w:tcPr>
          <w:p w14:paraId="2D40758A" w14:textId="0117CCA9"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43.3</w:t>
            </w:r>
          </w:p>
        </w:tc>
        <w:tc>
          <w:tcPr>
            <w:tcW w:w="1084" w:type="dxa"/>
            <w:tcBorders>
              <w:top w:val="nil"/>
              <w:left w:val="nil"/>
              <w:bottom w:val="single" w:sz="4" w:space="0" w:color="auto"/>
              <w:right w:val="single" w:sz="4" w:space="0" w:color="auto"/>
            </w:tcBorders>
            <w:shd w:val="clear" w:color="000000" w:fill="FFFFFF"/>
            <w:noWrap/>
            <w:vAlign w:val="bottom"/>
            <w:hideMark/>
          </w:tcPr>
          <w:p w14:paraId="1CE9F232" w14:textId="3C4D8C48"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53.7</w:t>
            </w:r>
          </w:p>
        </w:tc>
        <w:tc>
          <w:tcPr>
            <w:tcW w:w="1084" w:type="dxa"/>
            <w:tcBorders>
              <w:top w:val="nil"/>
              <w:left w:val="nil"/>
              <w:bottom w:val="single" w:sz="4" w:space="0" w:color="auto"/>
              <w:right w:val="single" w:sz="4" w:space="0" w:color="auto"/>
            </w:tcBorders>
            <w:shd w:val="clear" w:color="000000" w:fill="FFFFFF"/>
            <w:noWrap/>
            <w:vAlign w:val="bottom"/>
            <w:hideMark/>
          </w:tcPr>
          <w:p w14:paraId="55FD3171" w14:textId="03890C35"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9.2</w:t>
            </w:r>
          </w:p>
        </w:tc>
        <w:tc>
          <w:tcPr>
            <w:tcW w:w="1085" w:type="dxa"/>
            <w:tcBorders>
              <w:top w:val="nil"/>
              <w:left w:val="nil"/>
              <w:bottom w:val="single" w:sz="4" w:space="0" w:color="auto"/>
              <w:right w:val="single" w:sz="4" w:space="0" w:color="auto"/>
            </w:tcBorders>
            <w:shd w:val="clear" w:color="auto" w:fill="FFFFFF" w:themeFill="background1"/>
            <w:noWrap/>
            <w:vAlign w:val="bottom"/>
            <w:hideMark/>
          </w:tcPr>
          <w:p w14:paraId="6D5EAE9D" w14:textId="6CAA3E41"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11.8</w:t>
            </w:r>
          </w:p>
        </w:tc>
        <w:tc>
          <w:tcPr>
            <w:tcW w:w="1084" w:type="dxa"/>
            <w:tcBorders>
              <w:top w:val="nil"/>
              <w:left w:val="nil"/>
              <w:bottom w:val="single" w:sz="4" w:space="0" w:color="auto"/>
              <w:right w:val="single" w:sz="4" w:space="0" w:color="auto"/>
            </w:tcBorders>
            <w:shd w:val="clear" w:color="auto" w:fill="FFFFFF" w:themeFill="background1"/>
            <w:noWrap/>
            <w:vAlign w:val="bottom"/>
            <w:hideMark/>
          </w:tcPr>
          <w:p w14:paraId="645DB2D2" w14:textId="158BBF13"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18.5</w:t>
            </w:r>
          </w:p>
        </w:tc>
        <w:tc>
          <w:tcPr>
            <w:tcW w:w="1085" w:type="dxa"/>
            <w:tcBorders>
              <w:top w:val="nil"/>
              <w:left w:val="nil"/>
              <w:bottom w:val="single" w:sz="4" w:space="0" w:color="auto"/>
              <w:right w:val="single" w:sz="4" w:space="0" w:color="auto"/>
            </w:tcBorders>
            <w:shd w:val="clear" w:color="000000" w:fill="DDEBF7"/>
            <w:noWrap/>
            <w:vAlign w:val="bottom"/>
            <w:hideMark/>
          </w:tcPr>
          <w:p w14:paraId="79A210CE" w14:textId="553F99AE"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30.0</w:t>
            </w:r>
          </w:p>
        </w:tc>
      </w:tr>
      <w:tr w:rsidR="00E4736E" w:rsidRPr="00E4736E" w14:paraId="38AB9294" w14:textId="77777777" w:rsidTr="00E4736E">
        <w:trPr>
          <w:trHeight w:val="600"/>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12B109C3" w14:textId="47E92E0B"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lastRenderedPageBreak/>
              <w:t>Nicaragua</w:t>
            </w:r>
          </w:p>
        </w:tc>
        <w:tc>
          <w:tcPr>
            <w:tcW w:w="1084" w:type="dxa"/>
            <w:tcBorders>
              <w:top w:val="nil"/>
              <w:left w:val="nil"/>
              <w:bottom w:val="single" w:sz="4" w:space="0" w:color="auto"/>
              <w:right w:val="single" w:sz="4" w:space="0" w:color="auto"/>
            </w:tcBorders>
            <w:shd w:val="clear" w:color="auto" w:fill="auto"/>
            <w:noWrap/>
            <w:vAlign w:val="bottom"/>
            <w:hideMark/>
          </w:tcPr>
          <w:p w14:paraId="2CD027F3" w14:textId="05420553"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2.4</w:t>
            </w:r>
          </w:p>
        </w:tc>
        <w:tc>
          <w:tcPr>
            <w:tcW w:w="1085" w:type="dxa"/>
            <w:tcBorders>
              <w:top w:val="nil"/>
              <w:left w:val="nil"/>
              <w:bottom w:val="single" w:sz="4" w:space="0" w:color="auto"/>
              <w:right w:val="single" w:sz="4" w:space="0" w:color="auto"/>
            </w:tcBorders>
            <w:shd w:val="clear" w:color="auto" w:fill="auto"/>
            <w:noWrap/>
            <w:vAlign w:val="bottom"/>
            <w:hideMark/>
          </w:tcPr>
          <w:p w14:paraId="48997243" w14:textId="4681475C"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0.6</w:t>
            </w:r>
          </w:p>
        </w:tc>
        <w:tc>
          <w:tcPr>
            <w:tcW w:w="1084" w:type="dxa"/>
            <w:tcBorders>
              <w:top w:val="nil"/>
              <w:left w:val="nil"/>
              <w:bottom w:val="single" w:sz="4" w:space="0" w:color="auto"/>
              <w:right w:val="single" w:sz="4" w:space="0" w:color="auto"/>
            </w:tcBorders>
            <w:shd w:val="clear" w:color="auto" w:fill="auto"/>
            <w:noWrap/>
            <w:vAlign w:val="bottom"/>
            <w:hideMark/>
          </w:tcPr>
          <w:p w14:paraId="41C15E24" w14:textId="2F771FC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9.6</w:t>
            </w:r>
          </w:p>
        </w:tc>
        <w:tc>
          <w:tcPr>
            <w:tcW w:w="1084" w:type="dxa"/>
            <w:tcBorders>
              <w:top w:val="nil"/>
              <w:left w:val="nil"/>
              <w:bottom w:val="single" w:sz="4" w:space="0" w:color="auto"/>
              <w:right w:val="single" w:sz="4" w:space="0" w:color="auto"/>
            </w:tcBorders>
            <w:shd w:val="clear" w:color="auto" w:fill="auto"/>
            <w:noWrap/>
            <w:vAlign w:val="bottom"/>
            <w:hideMark/>
          </w:tcPr>
          <w:p w14:paraId="324550D6" w14:textId="259BE780"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4.1</w:t>
            </w:r>
          </w:p>
        </w:tc>
        <w:tc>
          <w:tcPr>
            <w:tcW w:w="1085" w:type="dxa"/>
            <w:tcBorders>
              <w:top w:val="nil"/>
              <w:left w:val="nil"/>
              <w:bottom w:val="single" w:sz="4" w:space="0" w:color="auto"/>
              <w:right w:val="single" w:sz="4" w:space="0" w:color="auto"/>
            </w:tcBorders>
            <w:shd w:val="clear" w:color="auto" w:fill="auto"/>
            <w:noWrap/>
            <w:vAlign w:val="bottom"/>
            <w:hideMark/>
          </w:tcPr>
          <w:p w14:paraId="283AFFB4" w14:textId="2F1716D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8.3</w:t>
            </w:r>
          </w:p>
        </w:tc>
        <w:tc>
          <w:tcPr>
            <w:tcW w:w="1084" w:type="dxa"/>
            <w:tcBorders>
              <w:top w:val="nil"/>
              <w:left w:val="nil"/>
              <w:bottom w:val="single" w:sz="4" w:space="0" w:color="auto"/>
              <w:right w:val="single" w:sz="4" w:space="0" w:color="auto"/>
            </w:tcBorders>
            <w:shd w:val="clear" w:color="000000" w:fill="FFFFFF"/>
            <w:noWrap/>
            <w:vAlign w:val="bottom"/>
            <w:hideMark/>
          </w:tcPr>
          <w:p w14:paraId="7A706DAF" w14:textId="19D92410"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37.8</w:t>
            </w:r>
          </w:p>
        </w:tc>
        <w:tc>
          <w:tcPr>
            <w:tcW w:w="1084" w:type="dxa"/>
            <w:tcBorders>
              <w:top w:val="nil"/>
              <w:left w:val="nil"/>
              <w:bottom w:val="single" w:sz="4" w:space="0" w:color="auto"/>
              <w:right w:val="single" w:sz="4" w:space="0" w:color="auto"/>
            </w:tcBorders>
            <w:shd w:val="clear" w:color="000000" w:fill="FFE699"/>
            <w:noWrap/>
            <w:vAlign w:val="bottom"/>
            <w:hideMark/>
          </w:tcPr>
          <w:p w14:paraId="462CD5D9" w14:textId="25AB926D"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88.4</w:t>
            </w:r>
          </w:p>
        </w:tc>
        <w:tc>
          <w:tcPr>
            <w:tcW w:w="1085" w:type="dxa"/>
            <w:tcBorders>
              <w:top w:val="nil"/>
              <w:left w:val="nil"/>
              <w:bottom w:val="single" w:sz="4" w:space="0" w:color="auto"/>
              <w:right w:val="single" w:sz="4" w:space="0" w:color="auto"/>
            </w:tcBorders>
            <w:shd w:val="clear" w:color="000000" w:fill="FFFFFF"/>
            <w:noWrap/>
            <w:vAlign w:val="bottom"/>
            <w:hideMark/>
          </w:tcPr>
          <w:p w14:paraId="4114C8AA" w14:textId="72DB95C4"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43.3</w:t>
            </w:r>
          </w:p>
        </w:tc>
        <w:tc>
          <w:tcPr>
            <w:tcW w:w="1084" w:type="dxa"/>
            <w:tcBorders>
              <w:top w:val="nil"/>
              <w:left w:val="nil"/>
              <w:bottom w:val="single" w:sz="4" w:space="0" w:color="auto"/>
              <w:right w:val="single" w:sz="4" w:space="0" w:color="auto"/>
            </w:tcBorders>
            <w:shd w:val="clear" w:color="000000" w:fill="FFFFFF"/>
            <w:noWrap/>
            <w:vAlign w:val="bottom"/>
            <w:hideMark/>
          </w:tcPr>
          <w:p w14:paraId="5562EBA3" w14:textId="3965CE91"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40.8</w:t>
            </w:r>
          </w:p>
        </w:tc>
        <w:tc>
          <w:tcPr>
            <w:tcW w:w="1084" w:type="dxa"/>
            <w:tcBorders>
              <w:top w:val="nil"/>
              <w:left w:val="nil"/>
              <w:bottom w:val="single" w:sz="4" w:space="0" w:color="auto"/>
              <w:right w:val="single" w:sz="4" w:space="0" w:color="auto"/>
            </w:tcBorders>
            <w:shd w:val="clear" w:color="000000" w:fill="FFFFFF"/>
            <w:noWrap/>
            <w:vAlign w:val="bottom"/>
            <w:hideMark/>
          </w:tcPr>
          <w:p w14:paraId="4EF6A9CD" w14:textId="0417A25B"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30.8</w:t>
            </w:r>
          </w:p>
        </w:tc>
        <w:tc>
          <w:tcPr>
            <w:tcW w:w="1085" w:type="dxa"/>
            <w:tcBorders>
              <w:top w:val="nil"/>
              <w:left w:val="nil"/>
              <w:bottom w:val="single" w:sz="4" w:space="0" w:color="auto"/>
              <w:right w:val="single" w:sz="4" w:space="0" w:color="auto"/>
            </w:tcBorders>
            <w:shd w:val="clear" w:color="auto" w:fill="FFFFFF" w:themeFill="background1"/>
            <w:noWrap/>
            <w:vAlign w:val="bottom"/>
            <w:hideMark/>
          </w:tcPr>
          <w:p w14:paraId="67DCF24A" w14:textId="612C25A2"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53.1</w:t>
            </w:r>
          </w:p>
        </w:tc>
        <w:tc>
          <w:tcPr>
            <w:tcW w:w="1084" w:type="dxa"/>
            <w:tcBorders>
              <w:top w:val="nil"/>
              <w:left w:val="nil"/>
              <w:bottom w:val="single" w:sz="4" w:space="0" w:color="auto"/>
              <w:right w:val="single" w:sz="4" w:space="0" w:color="auto"/>
            </w:tcBorders>
            <w:shd w:val="clear" w:color="auto" w:fill="FFFFFF" w:themeFill="background1"/>
            <w:noWrap/>
            <w:vAlign w:val="bottom"/>
            <w:hideMark/>
          </w:tcPr>
          <w:p w14:paraId="2247F267" w14:textId="7AB3EA12"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2.9</w:t>
            </w:r>
          </w:p>
        </w:tc>
        <w:tc>
          <w:tcPr>
            <w:tcW w:w="1085" w:type="dxa"/>
            <w:tcBorders>
              <w:top w:val="nil"/>
              <w:left w:val="nil"/>
              <w:bottom w:val="single" w:sz="4" w:space="0" w:color="auto"/>
              <w:right w:val="single" w:sz="4" w:space="0" w:color="auto"/>
            </w:tcBorders>
            <w:shd w:val="clear" w:color="000000" w:fill="DDEBF7"/>
            <w:noWrap/>
            <w:vAlign w:val="bottom"/>
            <w:hideMark/>
          </w:tcPr>
          <w:p w14:paraId="3D2B1403" w14:textId="0348460E"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29.9</w:t>
            </w:r>
          </w:p>
        </w:tc>
      </w:tr>
      <w:tr w:rsidR="00E4736E" w:rsidRPr="00E4736E" w14:paraId="053EF60D" w14:textId="77777777" w:rsidTr="00E4736E">
        <w:trPr>
          <w:trHeight w:val="435"/>
        </w:trPr>
        <w:tc>
          <w:tcPr>
            <w:tcW w:w="1084" w:type="dxa"/>
            <w:tcBorders>
              <w:top w:val="nil"/>
              <w:left w:val="single" w:sz="4" w:space="0" w:color="auto"/>
              <w:bottom w:val="single" w:sz="4" w:space="0" w:color="auto"/>
              <w:right w:val="single" w:sz="4" w:space="0" w:color="auto"/>
            </w:tcBorders>
            <w:shd w:val="thinDiagStripe" w:color="FFFFFF" w:fill="C6E0B4"/>
            <w:vAlign w:val="center"/>
            <w:hideMark/>
          </w:tcPr>
          <w:p w14:paraId="2923094A" w14:textId="486038B5"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Jamaica</w:t>
            </w:r>
          </w:p>
        </w:tc>
        <w:tc>
          <w:tcPr>
            <w:tcW w:w="1084" w:type="dxa"/>
            <w:tcBorders>
              <w:top w:val="nil"/>
              <w:left w:val="nil"/>
              <w:bottom w:val="single" w:sz="4" w:space="0" w:color="auto"/>
              <w:right w:val="single" w:sz="4" w:space="0" w:color="auto"/>
            </w:tcBorders>
            <w:shd w:val="clear" w:color="auto" w:fill="auto"/>
            <w:noWrap/>
            <w:vAlign w:val="bottom"/>
            <w:hideMark/>
          </w:tcPr>
          <w:p w14:paraId="40282756" w14:textId="0B29B96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0.2</w:t>
            </w:r>
          </w:p>
        </w:tc>
        <w:tc>
          <w:tcPr>
            <w:tcW w:w="1085" w:type="dxa"/>
            <w:tcBorders>
              <w:top w:val="nil"/>
              <w:left w:val="nil"/>
              <w:bottom w:val="single" w:sz="4" w:space="0" w:color="auto"/>
              <w:right w:val="single" w:sz="4" w:space="0" w:color="auto"/>
            </w:tcBorders>
            <w:shd w:val="clear" w:color="auto" w:fill="auto"/>
            <w:noWrap/>
            <w:vAlign w:val="bottom"/>
            <w:hideMark/>
          </w:tcPr>
          <w:p w14:paraId="5F79E4B5" w14:textId="38C80981"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0.1</w:t>
            </w:r>
          </w:p>
        </w:tc>
        <w:tc>
          <w:tcPr>
            <w:tcW w:w="1084" w:type="dxa"/>
            <w:tcBorders>
              <w:top w:val="nil"/>
              <w:left w:val="nil"/>
              <w:bottom w:val="single" w:sz="4" w:space="0" w:color="auto"/>
              <w:right w:val="single" w:sz="4" w:space="0" w:color="auto"/>
            </w:tcBorders>
            <w:shd w:val="clear" w:color="auto" w:fill="auto"/>
            <w:noWrap/>
            <w:vAlign w:val="bottom"/>
            <w:hideMark/>
          </w:tcPr>
          <w:p w14:paraId="6247E51E" w14:textId="3566A8D3"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19</w:t>
            </w:r>
          </w:p>
        </w:tc>
        <w:tc>
          <w:tcPr>
            <w:tcW w:w="1084" w:type="dxa"/>
            <w:tcBorders>
              <w:top w:val="nil"/>
              <w:left w:val="nil"/>
              <w:bottom w:val="single" w:sz="4" w:space="0" w:color="auto"/>
              <w:right w:val="single" w:sz="4" w:space="0" w:color="auto"/>
            </w:tcBorders>
            <w:shd w:val="clear" w:color="auto" w:fill="auto"/>
            <w:noWrap/>
            <w:vAlign w:val="bottom"/>
            <w:hideMark/>
          </w:tcPr>
          <w:p w14:paraId="7B2DA947" w14:textId="2323BA2C"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3.8</w:t>
            </w:r>
          </w:p>
        </w:tc>
        <w:tc>
          <w:tcPr>
            <w:tcW w:w="1085" w:type="dxa"/>
            <w:tcBorders>
              <w:top w:val="nil"/>
              <w:left w:val="nil"/>
              <w:bottom w:val="single" w:sz="4" w:space="0" w:color="auto"/>
              <w:right w:val="single" w:sz="4" w:space="0" w:color="auto"/>
            </w:tcBorders>
            <w:shd w:val="clear" w:color="auto" w:fill="auto"/>
            <w:noWrap/>
            <w:vAlign w:val="bottom"/>
            <w:hideMark/>
          </w:tcPr>
          <w:p w14:paraId="21C412E3" w14:textId="0EEEE385"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5.6</w:t>
            </w:r>
          </w:p>
        </w:tc>
        <w:tc>
          <w:tcPr>
            <w:tcW w:w="1084" w:type="dxa"/>
            <w:tcBorders>
              <w:top w:val="nil"/>
              <w:left w:val="nil"/>
              <w:bottom w:val="single" w:sz="4" w:space="0" w:color="auto"/>
              <w:right w:val="single" w:sz="4" w:space="0" w:color="auto"/>
            </w:tcBorders>
            <w:shd w:val="clear" w:color="000000" w:fill="FFFFFF"/>
            <w:noWrap/>
            <w:vAlign w:val="bottom"/>
            <w:hideMark/>
          </w:tcPr>
          <w:p w14:paraId="7A155F4F" w14:textId="4468DA85"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37.8</w:t>
            </w:r>
          </w:p>
        </w:tc>
        <w:tc>
          <w:tcPr>
            <w:tcW w:w="1084" w:type="dxa"/>
            <w:tcBorders>
              <w:top w:val="nil"/>
              <w:left w:val="nil"/>
              <w:bottom w:val="single" w:sz="4" w:space="0" w:color="auto"/>
              <w:right w:val="single" w:sz="4" w:space="0" w:color="auto"/>
            </w:tcBorders>
            <w:shd w:val="clear" w:color="000000" w:fill="F4B084"/>
            <w:noWrap/>
            <w:vAlign w:val="bottom"/>
            <w:hideMark/>
          </w:tcPr>
          <w:p w14:paraId="20F65987" w14:textId="16EB397C"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70.6</w:t>
            </w:r>
          </w:p>
        </w:tc>
        <w:tc>
          <w:tcPr>
            <w:tcW w:w="1085" w:type="dxa"/>
            <w:tcBorders>
              <w:top w:val="nil"/>
              <w:left w:val="nil"/>
              <w:bottom w:val="single" w:sz="4" w:space="0" w:color="auto"/>
              <w:right w:val="single" w:sz="4" w:space="0" w:color="auto"/>
            </w:tcBorders>
            <w:shd w:val="clear" w:color="000000" w:fill="FFFFFF"/>
            <w:noWrap/>
            <w:vAlign w:val="bottom"/>
            <w:hideMark/>
          </w:tcPr>
          <w:p w14:paraId="25D56563" w14:textId="4ACFF9E2"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65.0</w:t>
            </w:r>
          </w:p>
        </w:tc>
        <w:tc>
          <w:tcPr>
            <w:tcW w:w="1084" w:type="dxa"/>
            <w:tcBorders>
              <w:top w:val="nil"/>
              <w:left w:val="nil"/>
              <w:bottom w:val="single" w:sz="4" w:space="0" w:color="auto"/>
              <w:right w:val="single" w:sz="4" w:space="0" w:color="auto"/>
            </w:tcBorders>
            <w:shd w:val="clear" w:color="000000" w:fill="FFFFFF"/>
            <w:noWrap/>
            <w:vAlign w:val="bottom"/>
            <w:hideMark/>
          </w:tcPr>
          <w:p w14:paraId="069F5C89" w14:textId="7A58E0E0"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33.1</w:t>
            </w:r>
          </w:p>
        </w:tc>
        <w:tc>
          <w:tcPr>
            <w:tcW w:w="1084" w:type="dxa"/>
            <w:tcBorders>
              <w:top w:val="nil"/>
              <w:left w:val="nil"/>
              <w:bottom w:val="single" w:sz="4" w:space="0" w:color="auto"/>
              <w:right w:val="single" w:sz="4" w:space="0" w:color="auto"/>
            </w:tcBorders>
            <w:shd w:val="clear" w:color="000000" w:fill="FFFFFF"/>
            <w:noWrap/>
            <w:vAlign w:val="bottom"/>
            <w:hideMark/>
          </w:tcPr>
          <w:p w14:paraId="2AADB7E2" w14:textId="2E40749B"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24.9</w:t>
            </w:r>
          </w:p>
        </w:tc>
        <w:tc>
          <w:tcPr>
            <w:tcW w:w="1085" w:type="dxa"/>
            <w:tcBorders>
              <w:top w:val="nil"/>
              <w:left w:val="nil"/>
              <w:bottom w:val="single" w:sz="4" w:space="0" w:color="auto"/>
              <w:right w:val="single" w:sz="4" w:space="0" w:color="auto"/>
            </w:tcBorders>
            <w:shd w:val="clear" w:color="auto" w:fill="FFFFFF" w:themeFill="background1"/>
            <w:noWrap/>
            <w:vAlign w:val="bottom"/>
            <w:hideMark/>
          </w:tcPr>
          <w:p w14:paraId="657410D9" w14:textId="4159DE86"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54.6</w:t>
            </w:r>
          </w:p>
        </w:tc>
        <w:tc>
          <w:tcPr>
            <w:tcW w:w="1084" w:type="dxa"/>
            <w:tcBorders>
              <w:top w:val="nil"/>
              <w:left w:val="nil"/>
              <w:bottom w:val="single" w:sz="4" w:space="0" w:color="auto"/>
              <w:right w:val="single" w:sz="4" w:space="0" w:color="auto"/>
            </w:tcBorders>
            <w:shd w:val="clear" w:color="auto" w:fill="FFFFFF" w:themeFill="background1"/>
            <w:noWrap/>
            <w:vAlign w:val="bottom"/>
            <w:hideMark/>
          </w:tcPr>
          <w:p w14:paraId="30B73411" w14:textId="2475FD44"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5.3</w:t>
            </w:r>
          </w:p>
        </w:tc>
        <w:tc>
          <w:tcPr>
            <w:tcW w:w="1085" w:type="dxa"/>
            <w:tcBorders>
              <w:top w:val="nil"/>
              <w:left w:val="nil"/>
              <w:bottom w:val="single" w:sz="4" w:space="0" w:color="auto"/>
              <w:right w:val="single" w:sz="4" w:space="0" w:color="auto"/>
            </w:tcBorders>
            <w:shd w:val="clear" w:color="000000" w:fill="DDEBF7"/>
            <w:noWrap/>
            <w:vAlign w:val="bottom"/>
            <w:hideMark/>
          </w:tcPr>
          <w:p w14:paraId="7F5544D7" w14:textId="59F954BE"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29.7</w:t>
            </w:r>
          </w:p>
        </w:tc>
      </w:tr>
      <w:tr w:rsidR="00E4736E" w:rsidRPr="00E4736E" w14:paraId="56093BBC" w14:textId="77777777" w:rsidTr="00E4736E">
        <w:trPr>
          <w:trHeight w:val="315"/>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5B7213A2" w14:textId="7E54B744"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Timor-Leste</w:t>
            </w:r>
          </w:p>
        </w:tc>
        <w:tc>
          <w:tcPr>
            <w:tcW w:w="1084" w:type="dxa"/>
            <w:tcBorders>
              <w:top w:val="nil"/>
              <w:left w:val="nil"/>
              <w:bottom w:val="single" w:sz="4" w:space="0" w:color="auto"/>
              <w:right w:val="single" w:sz="4" w:space="0" w:color="auto"/>
            </w:tcBorders>
            <w:shd w:val="clear" w:color="auto" w:fill="auto"/>
            <w:noWrap/>
            <w:vAlign w:val="bottom"/>
            <w:hideMark/>
          </w:tcPr>
          <w:p w14:paraId="42680F8F" w14:textId="26C28765"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bottom"/>
            <w:hideMark/>
          </w:tcPr>
          <w:p w14:paraId="2D29B565" w14:textId="5DCAC43A"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w:t>
            </w:r>
          </w:p>
        </w:tc>
        <w:tc>
          <w:tcPr>
            <w:tcW w:w="1084" w:type="dxa"/>
            <w:tcBorders>
              <w:top w:val="nil"/>
              <w:left w:val="nil"/>
              <w:bottom w:val="single" w:sz="4" w:space="0" w:color="auto"/>
              <w:right w:val="single" w:sz="4" w:space="0" w:color="auto"/>
            </w:tcBorders>
            <w:shd w:val="clear" w:color="auto" w:fill="auto"/>
            <w:noWrap/>
            <w:vAlign w:val="bottom"/>
            <w:hideMark/>
          </w:tcPr>
          <w:p w14:paraId="3420B25E" w14:textId="3B4C3571"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14.9</w:t>
            </w:r>
          </w:p>
        </w:tc>
        <w:tc>
          <w:tcPr>
            <w:tcW w:w="1084" w:type="dxa"/>
            <w:tcBorders>
              <w:top w:val="nil"/>
              <w:left w:val="nil"/>
              <w:bottom w:val="single" w:sz="4" w:space="0" w:color="auto"/>
              <w:right w:val="single" w:sz="4" w:space="0" w:color="auto"/>
            </w:tcBorders>
            <w:shd w:val="clear" w:color="auto" w:fill="auto"/>
            <w:noWrap/>
            <w:vAlign w:val="bottom"/>
            <w:hideMark/>
          </w:tcPr>
          <w:p w14:paraId="65678F58" w14:textId="3C00B483"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0.5</w:t>
            </w:r>
          </w:p>
        </w:tc>
        <w:tc>
          <w:tcPr>
            <w:tcW w:w="1085" w:type="dxa"/>
            <w:tcBorders>
              <w:top w:val="nil"/>
              <w:left w:val="nil"/>
              <w:bottom w:val="single" w:sz="4" w:space="0" w:color="auto"/>
              <w:right w:val="single" w:sz="4" w:space="0" w:color="auto"/>
            </w:tcBorders>
            <w:shd w:val="clear" w:color="auto" w:fill="auto"/>
            <w:noWrap/>
            <w:vAlign w:val="bottom"/>
            <w:hideMark/>
          </w:tcPr>
          <w:p w14:paraId="50F322F2" w14:textId="345B5F1E"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5.6</w:t>
            </w:r>
          </w:p>
        </w:tc>
        <w:tc>
          <w:tcPr>
            <w:tcW w:w="1084" w:type="dxa"/>
            <w:tcBorders>
              <w:top w:val="nil"/>
              <w:left w:val="nil"/>
              <w:bottom w:val="single" w:sz="4" w:space="0" w:color="auto"/>
              <w:right w:val="single" w:sz="4" w:space="0" w:color="auto"/>
            </w:tcBorders>
            <w:shd w:val="clear" w:color="000000" w:fill="FFFFFF"/>
            <w:noWrap/>
            <w:vAlign w:val="bottom"/>
            <w:hideMark/>
          </w:tcPr>
          <w:p w14:paraId="1A90810C" w14:textId="7583890A"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10.8</w:t>
            </w:r>
          </w:p>
        </w:tc>
        <w:tc>
          <w:tcPr>
            <w:tcW w:w="1084" w:type="dxa"/>
            <w:tcBorders>
              <w:top w:val="nil"/>
              <w:left w:val="nil"/>
              <w:bottom w:val="single" w:sz="4" w:space="0" w:color="auto"/>
              <w:right w:val="single" w:sz="4" w:space="0" w:color="auto"/>
            </w:tcBorders>
            <w:shd w:val="clear" w:color="000000" w:fill="A9D08E"/>
            <w:noWrap/>
            <w:vAlign w:val="bottom"/>
            <w:hideMark/>
          </w:tcPr>
          <w:p w14:paraId="34B368C0" w14:textId="2BDC4CE7"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93.3</w:t>
            </w:r>
          </w:p>
        </w:tc>
        <w:tc>
          <w:tcPr>
            <w:tcW w:w="1085" w:type="dxa"/>
            <w:tcBorders>
              <w:top w:val="nil"/>
              <w:left w:val="nil"/>
              <w:bottom w:val="single" w:sz="4" w:space="0" w:color="auto"/>
              <w:right w:val="single" w:sz="4" w:space="0" w:color="auto"/>
            </w:tcBorders>
            <w:shd w:val="clear" w:color="000000" w:fill="FFFFFF"/>
            <w:noWrap/>
            <w:vAlign w:val="bottom"/>
            <w:hideMark/>
          </w:tcPr>
          <w:p w14:paraId="61C65AD9" w14:textId="4F95E61B"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58.3</w:t>
            </w:r>
          </w:p>
        </w:tc>
        <w:tc>
          <w:tcPr>
            <w:tcW w:w="1084" w:type="dxa"/>
            <w:tcBorders>
              <w:top w:val="nil"/>
              <w:left w:val="nil"/>
              <w:bottom w:val="single" w:sz="4" w:space="0" w:color="auto"/>
              <w:right w:val="single" w:sz="4" w:space="0" w:color="auto"/>
            </w:tcBorders>
            <w:shd w:val="clear" w:color="000000" w:fill="FFFFFF"/>
            <w:noWrap/>
            <w:vAlign w:val="bottom"/>
            <w:hideMark/>
          </w:tcPr>
          <w:p w14:paraId="11983384" w14:textId="329E664C"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44.9</w:t>
            </w:r>
          </w:p>
        </w:tc>
        <w:tc>
          <w:tcPr>
            <w:tcW w:w="1084" w:type="dxa"/>
            <w:tcBorders>
              <w:top w:val="nil"/>
              <w:left w:val="nil"/>
              <w:bottom w:val="single" w:sz="4" w:space="0" w:color="auto"/>
              <w:right w:val="single" w:sz="4" w:space="0" w:color="auto"/>
            </w:tcBorders>
            <w:shd w:val="clear" w:color="000000" w:fill="FFFFFF"/>
            <w:noWrap/>
            <w:vAlign w:val="bottom"/>
            <w:hideMark/>
          </w:tcPr>
          <w:p w14:paraId="16FD0C06" w14:textId="55F3E8F5"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15.1</w:t>
            </w:r>
          </w:p>
        </w:tc>
        <w:tc>
          <w:tcPr>
            <w:tcW w:w="1085" w:type="dxa"/>
            <w:tcBorders>
              <w:top w:val="nil"/>
              <w:left w:val="nil"/>
              <w:bottom w:val="single" w:sz="4" w:space="0" w:color="auto"/>
              <w:right w:val="single" w:sz="4" w:space="0" w:color="auto"/>
            </w:tcBorders>
            <w:shd w:val="clear" w:color="auto" w:fill="FFFFFF" w:themeFill="background1"/>
            <w:noWrap/>
            <w:vAlign w:val="bottom"/>
            <w:hideMark/>
          </w:tcPr>
          <w:p w14:paraId="04C2F715" w14:textId="7ED91952"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68.4</w:t>
            </w:r>
          </w:p>
        </w:tc>
        <w:tc>
          <w:tcPr>
            <w:tcW w:w="1084" w:type="dxa"/>
            <w:tcBorders>
              <w:top w:val="nil"/>
              <w:left w:val="nil"/>
              <w:bottom w:val="single" w:sz="4" w:space="0" w:color="auto"/>
              <w:right w:val="single" w:sz="4" w:space="0" w:color="auto"/>
            </w:tcBorders>
            <w:shd w:val="clear" w:color="auto" w:fill="FFFFFF" w:themeFill="background1"/>
            <w:noWrap/>
            <w:vAlign w:val="bottom"/>
            <w:hideMark/>
          </w:tcPr>
          <w:p w14:paraId="468D9D3F" w14:textId="3AA94D74"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1.2</w:t>
            </w:r>
          </w:p>
        </w:tc>
        <w:tc>
          <w:tcPr>
            <w:tcW w:w="1085" w:type="dxa"/>
            <w:tcBorders>
              <w:top w:val="nil"/>
              <w:left w:val="nil"/>
              <w:bottom w:val="single" w:sz="4" w:space="0" w:color="auto"/>
              <w:right w:val="single" w:sz="4" w:space="0" w:color="auto"/>
            </w:tcBorders>
            <w:shd w:val="clear" w:color="000000" w:fill="DDEBF7"/>
            <w:noWrap/>
            <w:vAlign w:val="bottom"/>
            <w:hideMark/>
          </w:tcPr>
          <w:p w14:paraId="41D651B4" w14:textId="6FE1C7EF"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29.4</w:t>
            </w:r>
          </w:p>
        </w:tc>
      </w:tr>
      <w:tr w:rsidR="00E4736E" w:rsidRPr="00E4736E" w14:paraId="069A0F48" w14:textId="77777777" w:rsidTr="00E4736E">
        <w:trPr>
          <w:trHeight w:val="315"/>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3B4570DE" w14:textId="391D4B9A"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Honduras</w:t>
            </w:r>
          </w:p>
        </w:tc>
        <w:tc>
          <w:tcPr>
            <w:tcW w:w="1084" w:type="dxa"/>
            <w:tcBorders>
              <w:top w:val="nil"/>
              <w:left w:val="nil"/>
              <w:bottom w:val="single" w:sz="4" w:space="0" w:color="auto"/>
              <w:right w:val="single" w:sz="4" w:space="0" w:color="auto"/>
            </w:tcBorders>
            <w:shd w:val="clear" w:color="auto" w:fill="auto"/>
            <w:noWrap/>
            <w:vAlign w:val="bottom"/>
            <w:hideMark/>
          </w:tcPr>
          <w:p w14:paraId="7207B8C1" w14:textId="39888F68"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2.3</w:t>
            </w:r>
          </w:p>
        </w:tc>
        <w:tc>
          <w:tcPr>
            <w:tcW w:w="1085" w:type="dxa"/>
            <w:tcBorders>
              <w:top w:val="nil"/>
              <w:left w:val="nil"/>
              <w:bottom w:val="single" w:sz="4" w:space="0" w:color="auto"/>
              <w:right w:val="single" w:sz="4" w:space="0" w:color="auto"/>
            </w:tcBorders>
            <w:shd w:val="clear" w:color="auto" w:fill="auto"/>
            <w:noWrap/>
            <w:vAlign w:val="bottom"/>
            <w:hideMark/>
          </w:tcPr>
          <w:p w14:paraId="2D47C897" w14:textId="5D258F44"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1.3</w:t>
            </w:r>
          </w:p>
        </w:tc>
        <w:tc>
          <w:tcPr>
            <w:tcW w:w="1084" w:type="dxa"/>
            <w:tcBorders>
              <w:top w:val="nil"/>
              <w:left w:val="nil"/>
              <w:bottom w:val="single" w:sz="4" w:space="0" w:color="auto"/>
              <w:right w:val="single" w:sz="4" w:space="0" w:color="auto"/>
            </w:tcBorders>
            <w:shd w:val="clear" w:color="auto" w:fill="auto"/>
            <w:noWrap/>
            <w:vAlign w:val="bottom"/>
            <w:hideMark/>
          </w:tcPr>
          <w:p w14:paraId="35E701BA" w14:textId="6F458A0D"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22.7</w:t>
            </w:r>
          </w:p>
        </w:tc>
        <w:tc>
          <w:tcPr>
            <w:tcW w:w="1084" w:type="dxa"/>
            <w:tcBorders>
              <w:top w:val="nil"/>
              <w:left w:val="nil"/>
              <w:bottom w:val="single" w:sz="4" w:space="0" w:color="auto"/>
              <w:right w:val="single" w:sz="4" w:space="0" w:color="auto"/>
            </w:tcBorders>
            <w:shd w:val="clear" w:color="auto" w:fill="auto"/>
            <w:noWrap/>
            <w:vAlign w:val="bottom"/>
            <w:hideMark/>
          </w:tcPr>
          <w:p w14:paraId="7A3A113C" w14:textId="4D2EB182"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4.5</w:t>
            </w:r>
          </w:p>
        </w:tc>
        <w:tc>
          <w:tcPr>
            <w:tcW w:w="1085" w:type="dxa"/>
            <w:tcBorders>
              <w:top w:val="nil"/>
              <w:left w:val="nil"/>
              <w:bottom w:val="single" w:sz="4" w:space="0" w:color="auto"/>
              <w:right w:val="single" w:sz="4" w:space="0" w:color="auto"/>
            </w:tcBorders>
            <w:shd w:val="clear" w:color="auto" w:fill="auto"/>
            <w:noWrap/>
            <w:vAlign w:val="bottom"/>
            <w:hideMark/>
          </w:tcPr>
          <w:p w14:paraId="20B434BE" w14:textId="6568C4D6"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8.3</w:t>
            </w:r>
          </w:p>
        </w:tc>
        <w:tc>
          <w:tcPr>
            <w:tcW w:w="1084" w:type="dxa"/>
            <w:tcBorders>
              <w:top w:val="nil"/>
              <w:left w:val="nil"/>
              <w:bottom w:val="single" w:sz="4" w:space="0" w:color="auto"/>
              <w:right w:val="single" w:sz="4" w:space="0" w:color="auto"/>
            </w:tcBorders>
            <w:shd w:val="clear" w:color="000000" w:fill="FFFFFF"/>
            <w:noWrap/>
            <w:vAlign w:val="bottom"/>
            <w:hideMark/>
          </w:tcPr>
          <w:p w14:paraId="3C581FEF" w14:textId="5A6EBBBD"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35.1</w:t>
            </w:r>
          </w:p>
        </w:tc>
        <w:tc>
          <w:tcPr>
            <w:tcW w:w="1084" w:type="dxa"/>
            <w:tcBorders>
              <w:top w:val="nil"/>
              <w:left w:val="nil"/>
              <w:bottom w:val="single" w:sz="4" w:space="0" w:color="auto"/>
              <w:right w:val="single" w:sz="4" w:space="0" w:color="auto"/>
            </w:tcBorders>
            <w:shd w:val="clear" w:color="000000" w:fill="FFE699"/>
            <w:noWrap/>
            <w:vAlign w:val="bottom"/>
            <w:hideMark/>
          </w:tcPr>
          <w:p w14:paraId="1BCDF589" w14:textId="5C6BC5DC"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87.1</w:t>
            </w:r>
          </w:p>
        </w:tc>
        <w:tc>
          <w:tcPr>
            <w:tcW w:w="1085" w:type="dxa"/>
            <w:tcBorders>
              <w:top w:val="nil"/>
              <w:left w:val="nil"/>
              <w:bottom w:val="single" w:sz="4" w:space="0" w:color="auto"/>
              <w:right w:val="single" w:sz="4" w:space="0" w:color="auto"/>
            </w:tcBorders>
            <w:shd w:val="clear" w:color="000000" w:fill="FFFFFF"/>
            <w:noWrap/>
            <w:vAlign w:val="bottom"/>
            <w:hideMark/>
          </w:tcPr>
          <w:p w14:paraId="475136DA" w14:textId="655953B3"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50.0</w:t>
            </w:r>
          </w:p>
        </w:tc>
        <w:tc>
          <w:tcPr>
            <w:tcW w:w="1084" w:type="dxa"/>
            <w:tcBorders>
              <w:top w:val="nil"/>
              <w:left w:val="nil"/>
              <w:bottom w:val="single" w:sz="4" w:space="0" w:color="auto"/>
              <w:right w:val="single" w:sz="4" w:space="0" w:color="auto"/>
            </w:tcBorders>
            <w:shd w:val="clear" w:color="000000" w:fill="FFFFFF"/>
            <w:noWrap/>
            <w:vAlign w:val="bottom"/>
            <w:hideMark/>
          </w:tcPr>
          <w:p w14:paraId="11B217E0" w14:textId="4EAB3BC5"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29.7</w:t>
            </w:r>
          </w:p>
        </w:tc>
        <w:tc>
          <w:tcPr>
            <w:tcW w:w="1084" w:type="dxa"/>
            <w:tcBorders>
              <w:top w:val="nil"/>
              <w:left w:val="nil"/>
              <w:bottom w:val="single" w:sz="4" w:space="0" w:color="auto"/>
              <w:right w:val="single" w:sz="4" w:space="0" w:color="auto"/>
            </w:tcBorders>
            <w:shd w:val="clear" w:color="000000" w:fill="FFFFFF"/>
            <w:noWrap/>
            <w:vAlign w:val="bottom"/>
            <w:hideMark/>
          </w:tcPr>
          <w:p w14:paraId="784A9535" w14:textId="75E0915E"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29.2</w:t>
            </w:r>
          </w:p>
        </w:tc>
        <w:tc>
          <w:tcPr>
            <w:tcW w:w="1085" w:type="dxa"/>
            <w:tcBorders>
              <w:top w:val="nil"/>
              <w:left w:val="nil"/>
              <w:bottom w:val="single" w:sz="4" w:space="0" w:color="auto"/>
              <w:right w:val="single" w:sz="4" w:space="0" w:color="auto"/>
            </w:tcBorders>
            <w:shd w:val="clear" w:color="auto" w:fill="FFFFFF" w:themeFill="background1"/>
            <w:noWrap/>
            <w:vAlign w:val="bottom"/>
            <w:hideMark/>
          </w:tcPr>
          <w:p w14:paraId="604B123B" w14:textId="7DE2447A"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41.2</w:t>
            </w:r>
          </w:p>
        </w:tc>
        <w:tc>
          <w:tcPr>
            <w:tcW w:w="1084" w:type="dxa"/>
            <w:tcBorders>
              <w:top w:val="nil"/>
              <w:left w:val="nil"/>
              <w:bottom w:val="single" w:sz="4" w:space="0" w:color="auto"/>
              <w:right w:val="single" w:sz="4" w:space="0" w:color="auto"/>
            </w:tcBorders>
            <w:shd w:val="clear" w:color="auto" w:fill="FFFFFF" w:themeFill="background1"/>
            <w:noWrap/>
            <w:vAlign w:val="bottom"/>
            <w:hideMark/>
          </w:tcPr>
          <w:p w14:paraId="3B074490" w14:textId="38C195BC"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2.2</w:t>
            </w:r>
          </w:p>
        </w:tc>
        <w:tc>
          <w:tcPr>
            <w:tcW w:w="1085" w:type="dxa"/>
            <w:tcBorders>
              <w:top w:val="nil"/>
              <w:left w:val="nil"/>
              <w:bottom w:val="single" w:sz="4" w:space="0" w:color="auto"/>
              <w:right w:val="single" w:sz="4" w:space="0" w:color="auto"/>
            </w:tcBorders>
            <w:shd w:val="clear" w:color="000000" w:fill="DDEBF7"/>
            <w:noWrap/>
            <w:vAlign w:val="bottom"/>
            <w:hideMark/>
          </w:tcPr>
          <w:p w14:paraId="20DE2E11" w14:textId="3615B8CD"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29.3</w:t>
            </w:r>
          </w:p>
        </w:tc>
      </w:tr>
      <w:tr w:rsidR="00E4736E" w:rsidRPr="00E4736E" w14:paraId="558F42E3" w14:textId="77777777" w:rsidTr="00E4736E">
        <w:trPr>
          <w:trHeight w:val="315"/>
        </w:trPr>
        <w:tc>
          <w:tcPr>
            <w:tcW w:w="1084" w:type="dxa"/>
            <w:tcBorders>
              <w:top w:val="nil"/>
              <w:left w:val="single" w:sz="4" w:space="0" w:color="auto"/>
              <w:bottom w:val="single" w:sz="4" w:space="0" w:color="auto"/>
              <w:right w:val="single" w:sz="4" w:space="0" w:color="auto"/>
            </w:tcBorders>
            <w:shd w:val="thinDiagStripe" w:color="FFFFFF" w:fill="C6E0B4"/>
            <w:vAlign w:val="center"/>
            <w:hideMark/>
          </w:tcPr>
          <w:p w14:paraId="5F48ED1C" w14:textId="38985B15"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Solomon Islands</w:t>
            </w:r>
          </w:p>
        </w:tc>
        <w:tc>
          <w:tcPr>
            <w:tcW w:w="1084" w:type="dxa"/>
            <w:tcBorders>
              <w:top w:val="nil"/>
              <w:left w:val="nil"/>
              <w:bottom w:val="single" w:sz="4" w:space="0" w:color="auto"/>
              <w:right w:val="single" w:sz="4" w:space="0" w:color="auto"/>
            </w:tcBorders>
            <w:shd w:val="clear" w:color="auto" w:fill="auto"/>
            <w:noWrap/>
            <w:vAlign w:val="bottom"/>
            <w:hideMark/>
          </w:tcPr>
          <w:p w14:paraId="0BBD2E9B" w14:textId="1D357EAF"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1.7</w:t>
            </w:r>
          </w:p>
        </w:tc>
        <w:tc>
          <w:tcPr>
            <w:tcW w:w="1085" w:type="dxa"/>
            <w:tcBorders>
              <w:top w:val="nil"/>
              <w:left w:val="nil"/>
              <w:bottom w:val="single" w:sz="4" w:space="0" w:color="auto"/>
              <w:right w:val="single" w:sz="4" w:space="0" w:color="auto"/>
            </w:tcBorders>
            <w:shd w:val="clear" w:color="auto" w:fill="auto"/>
            <w:noWrap/>
            <w:vAlign w:val="bottom"/>
            <w:hideMark/>
          </w:tcPr>
          <w:p w14:paraId="73B1A535" w14:textId="32C7D8F5"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0.2</w:t>
            </w:r>
          </w:p>
        </w:tc>
        <w:tc>
          <w:tcPr>
            <w:tcW w:w="1084" w:type="dxa"/>
            <w:tcBorders>
              <w:top w:val="nil"/>
              <w:left w:val="nil"/>
              <w:bottom w:val="single" w:sz="4" w:space="0" w:color="auto"/>
              <w:right w:val="single" w:sz="4" w:space="0" w:color="auto"/>
            </w:tcBorders>
            <w:shd w:val="clear" w:color="auto" w:fill="auto"/>
            <w:noWrap/>
            <w:vAlign w:val="bottom"/>
            <w:hideMark/>
          </w:tcPr>
          <w:p w14:paraId="011BC53D" w14:textId="697911EE"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5.8</w:t>
            </w:r>
          </w:p>
        </w:tc>
        <w:tc>
          <w:tcPr>
            <w:tcW w:w="1084" w:type="dxa"/>
            <w:tcBorders>
              <w:top w:val="nil"/>
              <w:left w:val="nil"/>
              <w:bottom w:val="single" w:sz="4" w:space="0" w:color="auto"/>
              <w:right w:val="single" w:sz="4" w:space="0" w:color="auto"/>
            </w:tcBorders>
            <w:shd w:val="clear" w:color="auto" w:fill="auto"/>
            <w:noWrap/>
            <w:vAlign w:val="bottom"/>
            <w:hideMark/>
          </w:tcPr>
          <w:p w14:paraId="216A66B1" w14:textId="14B4318E"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13.3</w:t>
            </w:r>
          </w:p>
        </w:tc>
        <w:tc>
          <w:tcPr>
            <w:tcW w:w="1085" w:type="dxa"/>
            <w:tcBorders>
              <w:top w:val="nil"/>
              <w:left w:val="nil"/>
              <w:bottom w:val="single" w:sz="4" w:space="0" w:color="auto"/>
              <w:right w:val="single" w:sz="4" w:space="0" w:color="auto"/>
            </w:tcBorders>
            <w:shd w:val="clear" w:color="auto" w:fill="auto"/>
            <w:noWrap/>
            <w:vAlign w:val="bottom"/>
            <w:hideMark/>
          </w:tcPr>
          <w:p w14:paraId="09F24A41" w14:textId="5B9E507B"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8.3</w:t>
            </w:r>
          </w:p>
        </w:tc>
        <w:tc>
          <w:tcPr>
            <w:tcW w:w="1084" w:type="dxa"/>
            <w:tcBorders>
              <w:top w:val="nil"/>
              <w:left w:val="nil"/>
              <w:bottom w:val="single" w:sz="4" w:space="0" w:color="auto"/>
              <w:right w:val="single" w:sz="4" w:space="0" w:color="auto"/>
            </w:tcBorders>
            <w:shd w:val="clear" w:color="000000" w:fill="FFFFFF"/>
            <w:noWrap/>
            <w:vAlign w:val="bottom"/>
            <w:hideMark/>
          </w:tcPr>
          <w:p w14:paraId="2F175633" w14:textId="1D92FB70"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13.5</w:t>
            </w:r>
          </w:p>
        </w:tc>
        <w:tc>
          <w:tcPr>
            <w:tcW w:w="1084" w:type="dxa"/>
            <w:tcBorders>
              <w:top w:val="nil"/>
              <w:left w:val="nil"/>
              <w:bottom w:val="single" w:sz="4" w:space="0" w:color="auto"/>
              <w:right w:val="single" w:sz="4" w:space="0" w:color="auto"/>
            </w:tcBorders>
            <w:shd w:val="clear" w:color="000000" w:fill="A9D08E"/>
            <w:noWrap/>
            <w:vAlign w:val="bottom"/>
            <w:hideMark/>
          </w:tcPr>
          <w:p w14:paraId="2D52B5A9" w14:textId="55D03CF7"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89.4</w:t>
            </w:r>
          </w:p>
        </w:tc>
        <w:tc>
          <w:tcPr>
            <w:tcW w:w="1085" w:type="dxa"/>
            <w:tcBorders>
              <w:top w:val="nil"/>
              <w:left w:val="nil"/>
              <w:bottom w:val="single" w:sz="4" w:space="0" w:color="auto"/>
              <w:right w:val="single" w:sz="4" w:space="0" w:color="auto"/>
            </w:tcBorders>
            <w:shd w:val="clear" w:color="000000" w:fill="FFFFFF"/>
            <w:noWrap/>
            <w:vAlign w:val="bottom"/>
            <w:hideMark/>
          </w:tcPr>
          <w:p w14:paraId="590FEF65" w14:textId="42F8E1CC"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70.0</w:t>
            </w:r>
          </w:p>
        </w:tc>
        <w:tc>
          <w:tcPr>
            <w:tcW w:w="1084" w:type="dxa"/>
            <w:tcBorders>
              <w:top w:val="nil"/>
              <w:left w:val="nil"/>
              <w:bottom w:val="single" w:sz="4" w:space="0" w:color="auto"/>
              <w:right w:val="single" w:sz="4" w:space="0" w:color="auto"/>
            </w:tcBorders>
            <w:shd w:val="clear" w:color="000000" w:fill="FFFFFF"/>
            <w:noWrap/>
            <w:vAlign w:val="bottom"/>
            <w:hideMark/>
          </w:tcPr>
          <w:p w14:paraId="535FD377" w14:textId="207B2BA3"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51.5</w:t>
            </w:r>
          </w:p>
        </w:tc>
        <w:tc>
          <w:tcPr>
            <w:tcW w:w="1084" w:type="dxa"/>
            <w:tcBorders>
              <w:top w:val="nil"/>
              <w:left w:val="nil"/>
              <w:bottom w:val="single" w:sz="4" w:space="0" w:color="auto"/>
              <w:right w:val="single" w:sz="4" w:space="0" w:color="auto"/>
            </w:tcBorders>
            <w:shd w:val="clear" w:color="000000" w:fill="FFFFFF"/>
            <w:noWrap/>
            <w:vAlign w:val="bottom"/>
            <w:hideMark/>
          </w:tcPr>
          <w:p w14:paraId="1E404F41" w14:textId="0366C678"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26.1</w:t>
            </w:r>
          </w:p>
        </w:tc>
        <w:tc>
          <w:tcPr>
            <w:tcW w:w="1085" w:type="dxa"/>
            <w:tcBorders>
              <w:top w:val="nil"/>
              <w:left w:val="nil"/>
              <w:bottom w:val="single" w:sz="4" w:space="0" w:color="auto"/>
              <w:right w:val="single" w:sz="4" w:space="0" w:color="auto"/>
            </w:tcBorders>
            <w:shd w:val="clear" w:color="auto" w:fill="FFFFFF" w:themeFill="background1"/>
            <w:noWrap/>
            <w:vAlign w:val="bottom"/>
            <w:hideMark/>
          </w:tcPr>
          <w:p w14:paraId="242D2DFB" w14:textId="4B367461"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27.1</w:t>
            </w:r>
          </w:p>
        </w:tc>
        <w:tc>
          <w:tcPr>
            <w:tcW w:w="1084" w:type="dxa"/>
            <w:tcBorders>
              <w:top w:val="nil"/>
              <w:left w:val="nil"/>
              <w:bottom w:val="single" w:sz="4" w:space="0" w:color="auto"/>
              <w:right w:val="single" w:sz="4" w:space="0" w:color="auto"/>
            </w:tcBorders>
            <w:shd w:val="clear" w:color="auto" w:fill="FFFFFF" w:themeFill="background1"/>
            <w:noWrap/>
            <w:vAlign w:val="bottom"/>
            <w:hideMark/>
          </w:tcPr>
          <w:p w14:paraId="7449C6F4" w14:textId="543083E2"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3.5</w:t>
            </w:r>
          </w:p>
        </w:tc>
        <w:tc>
          <w:tcPr>
            <w:tcW w:w="1085" w:type="dxa"/>
            <w:tcBorders>
              <w:top w:val="nil"/>
              <w:left w:val="nil"/>
              <w:bottom w:val="single" w:sz="4" w:space="0" w:color="auto"/>
              <w:right w:val="single" w:sz="4" w:space="0" w:color="auto"/>
            </w:tcBorders>
            <w:shd w:val="clear" w:color="000000" w:fill="DDEBF7"/>
            <w:noWrap/>
            <w:vAlign w:val="bottom"/>
            <w:hideMark/>
          </w:tcPr>
          <w:p w14:paraId="4D627780" w14:textId="122CDBB6"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29.1</w:t>
            </w:r>
          </w:p>
        </w:tc>
      </w:tr>
      <w:tr w:rsidR="00E4736E" w:rsidRPr="00E4736E" w14:paraId="643AB029" w14:textId="77777777" w:rsidTr="00E4736E">
        <w:trPr>
          <w:trHeight w:val="315"/>
        </w:trPr>
        <w:tc>
          <w:tcPr>
            <w:tcW w:w="1084" w:type="dxa"/>
            <w:tcBorders>
              <w:top w:val="nil"/>
              <w:left w:val="single" w:sz="4" w:space="0" w:color="auto"/>
              <w:bottom w:val="single" w:sz="4" w:space="0" w:color="auto"/>
              <w:right w:val="single" w:sz="4" w:space="0" w:color="auto"/>
            </w:tcBorders>
            <w:shd w:val="thinDiagStripe" w:color="FFFFFF" w:fill="C6E0B4"/>
            <w:vAlign w:val="center"/>
            <w:hideMark/>
          </w:tcPr>
          <w:p w14:paraId="7405F30D" w14:textId="31604B8E"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Belize</w:t>
            </w:r>
          </w:p>
        </w:tc>
        <w:tc>
          <w:tcPr>
            <w:tcW w:w="1084" w:type="dxa"/>
            <w:tcBorders>
              <w:top w:val="nil"/>
              <w:left w:val="nil"/>
              <w:bottom w:val="single" w:sz="4" w:space="0" w:color="auto"/>
              <w:right w:val="single" w:sz="4" w:space="0" w:color="auto"/>
            </w:tcBorders>
            <w:shd w:val="clear" w:color="auto" w:fill="auto"/>
            <w:noWrap/>
            <w:vAlign w:val="bottom"/>
            <w:hideMark/>
          </w:tcPr>
          <w:p w14:paraId="234A2BD7" w14:textId="54275806"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1.3</w:t>
            </w:r>
          </w:p>
        </w:tc>
        <w:tc>
          <w:tcPr>
            <w:tcW w:w="1085" w:type="dxa"/>
            <w:tcBorders>
              <w:top w:val="nil"/>
              <w:left w:val="nil"/>
              <w:bottom w:val="single" w:sz="4" w:space="0" w:color="auto"/>
              <w:right w:val="single" w:sz="4" w:space="0" w:color="auto"/>
            </w:tcBorders>
            <w:shd w:val="clear" w:color="auto" w:fill="auto"/>
            <w:noWrap/>
            <w:vAlign w:val="bottom"/>
            <w:hideMark/>
          </w:tcPr>
          <w:p w14:paraId="6F80A328" w14:textId="43342949"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0.4</w:t>
            </w:r>
          </w:p>
        </w:tc>
        <w:tc>
          <w:tcPr>
            <w:tcW w:w="1084" w:type="dxa"/>
            <w:tcBorders>
              <w:top w:val="nil"/>
              <w:left w:val="nil"/>
              <w:bottom w:val="single" w:sz="4" w:space="0" w:color="auto"/>
              <w:right w:val="single" w:sz="4" w:space="0" w:color="auto"/>
            </w:tcBorders>
            <w:shd w:val="clear" w:color="auto" w:fill="auto"/>
            <w:noWrap/>
            <w:vAlign w:val="bottom"/>
            <w:hideMark/>
          </w:tcPr>
          <w:p w14:paraId="35001D62" w14:textId="5955BE2F"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13.5</w:t>
            </w:r>
          </w:p>
        </w:tc>
        <w:tc>
          <w:tcPr>
            <w:tcW w:w="1084" w:type="dxa"/>
            <w:tcBorders>
              <w:top w:val="nil"/>
              <w:left w:val="nil"/>
              <w:bottom w:val="single" w:sz="4" w:space="0" w:color="auto"/>
              <w:right w:val="single" w:sz="4" w:space="0" w:color="auto"/>
            </w:tcBorders>
            <w:shd w:val="clear" w:color="auto" w:fill="auto"/>
            <w:noWrap/>
            <w:vAlign w:val="bottom"/>
            <w:hideMark/>
          </w:tcPr>
          <w:p w14:paraId="60740926" w14:textId="1D4F115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12.6</w:t>
            </w:r>
          </w:p>
        </w:tc>
        <w:tc>
          <w:tcPr>
            <w:tcW w:w="1085" w:type="dxa"/>
            <w:tcBorders>
              <w:top w:val="nil"/>
              <w:left w:val="nil"/>
              <w:bottom w:val="single" w:sz="4" w:space="0" w:color="auto"/>
              <w:right w:val="single" w:sz="4" w:space="0" w:color="auto"/>
            </w:tcBorders>
            <w:shd w:val="clear" w:color="auto" w:fill="auto"/>
            <w:noWrap/>
            <w:vAlign w:val="bottom"/>
            <w:hideMark/>
          </w:tcPr>
          <w:p w14:paraId="5E8FDAC2" w14:textId="591002AB"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5.6</w:t>
            </w:r>
          </w:p>
        </w:tc>
        <w:tc>
          <w:tcPr>
            <w:tcW w:w="1084" w:type="dxa"/>
            <w:tcBorders>
              <w:top w:val="nil"/>
              <w:left w:val="nil"/>
              <w:bottom w:val="single" w:sz="4" w:space="0" w:color="auto"/>
              <w:right w:val="single" w:sz="4" w:space="0" w:color="auto"/>
            </w:tcBorders>
            <w:shd w:val="clear" w:color="000000" w:fill="FFFFFF"/>
            <w:noWrap/>
            <w:vAlign w:val="bottom"/>
            <w:hideMark/>
          </w:tcPr>
          <w:p w14:paraId="4FC82A27" w14:textId="6C46E95D"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37.8</w:t>
            </w:r>
          </w:p>
        </w:tc>
        <w:tc>
          <w:tcPr>
            <w:tcW w:w="1084" w:type="dxa"/>
            <w:tcBorders>
              <w:top w:val="nil"/>
              <w:left w:val="nil"/>
              <w:bottom w:val="single" w:sz="4" w:space="0" w:color="auto"/>
              <w:right w:val="single" w:sz="4" w:space="0" w:color="auto"/>
            </w:tcBorders>
            <w:shd w:val="clear" w:color="000000" w:fill="F4B084"/>
            <w:noWrap/>
            <w:vAlign w:val="bottom"/>
            <w:hideMark/>
          </w:tcPr>
          <w:p w14:paraId="4D0606AA" w14:textId="250E235A"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71.5</w:t>
            </w:r>
          </w:p>
        </w:tc>
        <w:tc>
          <w:tcPr>
            <w:tcW w:w="1085" w:type="dxa"/>
            <w:tcBorders>
              <w:top w:val="nil"/>
              <w:left w:val="nil"/>
              <w:bottom w:val="single" w:sz="4" w:space="0" w:color="auto"/>
              <w:right w:val="single" w:sz="4" w:space="0" w:color="auto"/>
            </w:tcBorders>
            <w:shd w:val="clear" w:color="000000" w:fill="FFFFFF"/>
            <w:noWrap/>
            <w:vAlign w:val="bottom"/>
            <w:hideMark/>
          </w:tcPr>
          <w:p w14:paraId="7B3A8231" w14:textId="005E9E58"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48.3</w:t>
            </w:r>
          </w:p>
        </w:tc>
        <w:tc>
          <w:tcPr>
            <w:tcW w:w="1084" w:type="dxa"/>
            <w:tcBorders>
              <w:top w:val="nil"/>
              <w:left w:val="nil"/>
              <w:bottom w:val="single" w:sz="4" w:space="0" w:color="auto"/>
              <w:right w:val="single" w:sz="4" w:space="0" w:color="auto"/>
            </w:tcBorders>
            <w:shd w:val="clear" w:color="000000" w:fill="FFFFFF"/>
            <w:noWrap/>
            <w:vAlign w:val="bottom"/>
            <w:hideMark/>
          </w:tcPr>
          <w:p w14:paraId="0EA19B39" w14:textId="5169B49F"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18.1</w:t>
            </w:r>
          </w:p>
        </w:tc>
        <w:tc>
          <w:tcPr>
            <w:tcW w:w="1084" w:type="dxa"/>
            <w:tcBorders>
              <w:top w:val="nil"/>
              <w:left w:val="nil"/>
              <w:bottom w:val="single" w:sz="4" w:space="0" w:color="auto"/>
              <w:right w:val="single" w:sz="4" w:space="0" w:color="auto"/>
            </w:tcBorders>
            <w:shd w:val="clear" w:color="000000" w:fill="FFFFFF"/>
            <w:noWrap/>
            <w:vAlign w:val="bottom"/>
            <w:hideMark/>
          </w:tcPr>
          <w:p w14:paraId="68CC9247" w14:textId="2DA1F49D"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46.9</w:t>
            </w:r>
          </w:p>
        </w:tc>
        <w:tc>
          <w:tcPr>
            <w:tcW w:w="1085" w:type="dxa"/>
            <w:tcBorders>
              <w:top w:val="nil"/>
              <w:left w:val="nil"/>
              <w:bottom w:val="single" w:sz="4" w:space="0" w:color="auto"/>
              <w:right w:val="single" w:sz="4" w:space="0" w:color="auto"/>
            </w:tcBorders>
            <w:shd w:val="clear" w:color="auto" w:fill="FFFFFF" w:themeFill="background1"/>
            <w:noWrap/>
            <w:vAlign w:val="bottom"/>
            <w:hideMark/>
          </w:tcPr>
          <w:p w14:paraId="0B148CF5" w14:textId="4F5392A6"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23.4</w:t>
            </w:r>
          </w:p>
        </w:tc>
        <w:tc>
          <w:tcPr>
            <w:tcW w:w="1084" w:type="dxa"/>
            <w:tcBorders>
              <w:top w:val="nil"/>
              <w:left w:val="nil"/>
              <w:bottom w:val="single" w:sz="4" w:space="0" w:color="auto"/>
              <w:right w:val="single" w:sz="4" w:space="0" w:color="auto"/>
            </w:tcBorders>
            <w:shd w:val="clear" w:color="auto" w:fill="FFFFFF" w:themeFill="background1"/>
            <w:noWrap/>
            <w:vAlign w:val="bottom"/>
            <w:hideMark/>
          </w:tcPr>
          <w:p w14:paraId="2E703A58" w14:textId="7CB8FADE"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21.7</w:t>
            </w:r>
          </w:p>
        </w:tc>
        <w:tc>
          <w:tcPr>
            <w:tcW w:w="1085" w:type="dxa"/>
            <w:tcBorders>
              <w:top w:val="nil"/>
              <w:left w:val="nil"/>
              <w:bottom w:val="single" w:sz="4" w:space="0" w:color="auto"/>
              <w:right w:val="single" w:sz="4" w:space="0" w:color="auto"/>
            </w:tcBorders>
            <w:shd w:val="clear" w:color="000000" w:fill="DDEBF7"/>
            <w:noWrap/>
            <w:vAlign w:val="bottom"/>
            <w:hideMark/>
          </w:tcPr>
          <w:p w14:paraId="227B034F" w14:textId="5A13DB46"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28.6</w:t>
            </w:r>
          </w:p>
        </w:tc>
      </w:tr>
      <w:tr w:rsidR="00E4736E" w:rsidRPr="00E4736E" w14:paraId="786BF82F" w14:textId="77777777" w:rsidTr="00E4736E">
        <w:trPr>
          <w:trHeight w:val="315"/>
        </w:trPr>
        <w:tc>
          <w:tcPr>
            <w:tcW w:w="1084" w:type="dxa"/>
            <w:tcBorders>
              <w:top w:val="nil"/>
              <w:left w:val="single" w:sz="4" w:space="0" w:color="auto"/>
              <w:bottom w:val="single" w:sz="4" w:space="0" w:color="auto"/>
              <w:right w:val="single" w:sz="4" w:space="0" w:color="auto"/>
            </w:tcBorders>
            <w:shd w:val="thinDiagStripe" w:color="FFFFFF" w:fill="C6E0B4"/>
            <w:vAlign w:val="center"/>
            <w:hideMark/>
          </w:tcPr>
          <w:p w14:paraId="3A84F328" w14:textId="30E7150F"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Ghana</w:t>
            </w:r>
          </w:p>
        </w:tc>
        <w:tc>
          <w:tcPr>
            <w:tcW w:w="1084" w:type="dxa"/>
            <w:tcBorders>
              <w:top w:val="nil"/>
              <w:left w:val="nil"/>
              <w:bottom w:val="single" w:sz="4" w:space="0" w:color="auto"/>
              <w:right w:val="single" w:sz="4" w:space="0" w:color="auto"/>
            </w:tcBorders>
            <w:shd w:val="clear" w:color="auto" w:fill="auto"/>
            <w:noWrap/>
            <w:vAlign w:val="bottom"/>
            <w:hideMark/>
          </w:tcPr>
          <w:p w14:paraId="19710C57" w14:textId="55E1B595"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0.1</w:t>
            </w:r>
          </w:p>
        </w:tc>
        <w:tc>
          <w:tcPr>
            <w:tcW w:w="1085" w:type="dxa"/>
            <w:tcBorders>
              <w:top w:val="nil"/>
              <w:left w:val="nil"/>
              <w:bottom w:val="single" w:sz="4" w:space="0" w:color="auto"/>
              <w:right w:val="single" w:sz="4" w:space="0" w:color="auto"/>
            </w:tcBorders>
            <w:shd w:val="clear" w:color="auto" w:fill="auto"/>
            <w:noWrap/>
            <w:vAlign w:val="bottom"/>
            <w:hideMark/>
          </w:tcPr>
          <w:p w14:paraId="20F33209" w14:textId="4E0634AB"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0.1</w:t>
            </w:r>
          </w:p>
        </w:tc>
        <w:tc>
          <w:tcPr>
            <w:tcW w:w="1084" w:type="dxa"/>
            <w:tcBorders>
              <w:top w:val="nil"/>
              <w:left w:val="nil"/>
              <w:bottom w:val="single" w:sz="4" w:space="0" w:color="auto"/>
              <w:right w:val="single" w:sz="4" w:space="0" w:color="auto"/>
            </w:tcBorders>
            <w:shd w:val="clear" w:color="auto" w:fill="auto"/>
            <w:noWrap/>
            <w:vAlign w:val="bottom"/>
            <w:hideMark/>
          </w:tcPr>
          <w:p w14:paraId="2CD3413D" w14:textId="50592411"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45.5</w:t>
            </w:r>
          </w:p>
        </w:tc>
        <w:tc>
          <w:tcPr>
            <w:tcW w:w="1084" w:type="dxa"/>
            <w:tcBorders>
              <w:top w:val="nil"/>
              <w:left w:val="nil"/>
              <w:bottom w:val="single" w:sz="4" w:space="0" w:color="auto"/>
              <w:right w:val="single" w:sz="4" w:space="0" w:color="auto"/>
            </w:tcBorders>
            <w:shd w:val="clear" w:color="auto" w:fill="auto"/>
            <w:noWrap/>
            <w:vAlign w:val="bottom"/>
            <w:hideMark/>
          </w:tcPr>
          <w:p w14:paraId="3F7A7CF4" w14:textId="7A3B1E8B"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0.1</w:t>
            </w:r>
          </w:p>
        </w:tc>
        <w:tc>
          <w:tcPr>
            <w:tcW w:w="1085" w:type="dxa"/>
            <w:tcBorders>
              <w:top w:val="nil"/>
              <w:left w:val="nil"/>
              <w:bottom w:val="single" w:sz="4" w:space="0" w:color="auto"/>
              <w:right w:val="single" w:sz="4" w:space="0" w:color="auto"/>
            </w:tcBorders>
            <w:shd w:val="clear" w:color="auto" w:fill="auto"/>
            <w:noWrap/>
            <w:vAlign w:val="bottom"/>
            <w:hideMark/>
          </w:tcPr>
          <w:p w14:paraId="59187488" w14:textId="7C744B98"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5.6</w:t>
            </w:r>
          </w:p>
        </w:tc>
        <w:tc>
          <w:tcPr>
            <w:tcW w:w="1084" w:type="dxa"/>
            <w:tcBorders>
              <w:top w:val="nil"/>
              <w:left w:val="nil"/>
              <w:bottom w:val="single" w:sz="4" w:space="0" w:color="auto"/>
              <w:right w:val="single" w:sz="4" w:space="0" w:color="auto"/>
            </w:tcBorders>
            <w:shd w:val="clear" w:color="000000" w:fill="FFFFFF"/>
            <w:noWrap/>
            <w:vAlign w:val="bottom"/>
            <w:hideMark/>
          </w:tcPr>
          <w:p w14:paraId="1A3B61B8" w14:textId="4E5CCEAB"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5.4</w:t>
            </w:r>
          </w:p>
        </w:tc>
        <w:tc>
          <w:tcPr>
            <w:tcW w:w="1084" w:type="dxa"/>
            <w:tcBorders>
              <w:top w:val="nil"/>
              <w:left w:val="nil"/>
              <w:bottom w:val="single" w:sz="4" w:space="0" w:color="auto"/>
              <w:right w:val="single" w:sz="4" w:space="0" w:color="auto"/>
            </w:tcBorders>
            <w:shd w:val="clear" w:color="000000" w:fill="FFE699"/>
            <w:noWrap/>
            <w:vAlign w:val="bottom"/>
            <w:hideMark/>
          </w:tcPr>
          <w:p w14:paraId="7320A14A" w14:textId="6B408019"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92.6</w:t>
            </w:r>
          </w:p>
        </w:tc>
        <w:tc>
          <w:tcPr>
            <w:tcW w:w="1085" w:type="dxa"/>
            <w:tcBorders>
              <w:top w:val="nil"/>
              <w:left w:val="nil"/>
              <w:bottom w:val="single" w:sz="4" w:space="0" w:color="auto"/>
              <w:right w:val="single" w:sz="4" w:space="0" w:color="auto"/>
            </w:tcBorders>
            <w:shd w:val="clear" w:color="000000" w:fill="FFFFFF"/>
            <w:noWrap/>
            <w:vAlign w:val="bottom"/>
            <w:hideMark/>
          </w:tcPr>
          <w:p w14:paraId="45D87EBB" w14:textId="3D16AE72"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71.7</w:t>
            </w:r>
          </w:p>
        </w:tc>
        <w:tc>
          <w:tcPr>
            <w:tcW w:w="1084" w:type="dxa"/>
            <w:tcBorders>
              <w:top w:val="nil"/>
              <w:left w:val="nil"/>
              <w:bottom w:val="single" w:sz="4" w:space="0" w:color="auto"/>
              <w:right w:val="single" w:sz="4" w:space="0" w:color="auto"/>
            </w:tcBorders>
            <w:shd w:val="clear" w:color="000000" w:fill="FFFFFF"/>
            <w:noWrap/>
            <w:vAlign w:val="bottom"/>
            <w:hideMark/>
          </w:tcPr>
          <w:p w14:paraId="1D82A6AD" w14:textId="6F2D8F5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23.8</w:t>
            </w:r>
          </w:p>
        </w:tc>
        <w:tc>
          <w:tcPr>
            <w:tcW w:w="1084" w:type="dxa"/>
            <w:tcBorders>
              <w:top w:val="nil"/>
              <w:left w:val="nil"/>
              <w:bottom w:val="single" w:sz="4" w:space="0" w:color="auto"/>
              <w:right w:val="single" w:sz="4" w:space="0" w:color="auto"/>
            </w:tcBorders>
            <w:shd w:val="clear" w:color="000000" w:fill="FFFFFF"/>
            <w:noWrap/>
            <w:vAlign w:val="bottom"/>
            <w:hideMark/>
          </w:tcPr>
          <w:p w14:paraId="3840ED0D" w14:textId="6ED3C86E"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17.5</w:t>
            </w:r>
          </w:p>
        </w:tc>
        <w:tc>
          <w:tcPr>
            <w:tcW w:w="1085" w:type="dxa"/>
            <w:tcBorders>
              <w:top w:val="nil"/>
              <w:left w:val="nil"/>
              <w:bottom w:val="single" w:sz="4" w:space="0" w:color="auto"/>
              <w:right w:val="single" w:sz="4" w:space="0" w:color="auto"/>
            </w:tcBorders>
            <w:shd w:val="clear" w:color="auto" w:fill="FFFFFF" w:themeFill="background1"/>
            <w:noWrap/>
            <w:vAlign w:val="bottom"/>
            <w:hideMark/>
          </w:tcPr>
          <w:p w14:paraId="2DD2DA06" w14:textId="69DF6B12"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33.5</w:t>
            </w:r>
          </w:p>
        </w:tc>
        <w:tc>
          <w:tcPr>
            <w:tcW w:w="1084" w:type="dxa"/>
            <w:tcBorders>
              <w:top w:val="nil"/>
              <w:left w:val="nil"/>
              <w:bottom w:val="single" w:sz="4" w:space="0" w:color="auto"/>
              <w:right w:val="single" w:sz="4" w:space="0" w:color="auto"/>
            </w:tcBorders>
            <w:shd w:val="clear" w:color="auto" w:fill="FFFFFF" w:themeFill="background1"/>
            <w:noWrap/>
            <w:vAlign w:val="bottom"/>
            <w:hideMark/>
          </w:tcPr>
          <w:p w14:paraId="0D02EAE7" w14:textId="2B5F9B73"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3.0</w:t>
            </w:r>
          </w:p>
        </w:tc>
        <w:tc>
          <w:tcPr>
            <w:tcW w:w="1085" w:type="dxa"/>
            <w:tcBorders>
              <w:top w:val="nil"/>
              <w:left w:val="nil"/>
              <w:bottom w:val="single" w:sz="4" w:space="0" w:color="auto"/>
              <w:right w:val="single" w:sz="4" w:space="0" w:color="auto"/>
            </w:tcBorders>
            <w:shd w:val="clear" w:color="000000" w:fill="DDEBF7"/>
            <w:noWrap/>
            <w:vAlign w:val="bottom"/>
            <w:hideMark/>
          </w:tcPr>
          <w:p w14:paraId="43FA67C6" w14:textId="2F886E6F"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28.6</w:t>
            </w:r>
          </w:p>
        </w:tc>
      </w:tr>
      <w:tr w:rsidR="00E4736E" w:rsidRPr="00E4736E" w14:paraId="75FB53A3" w14:textId="77777777" w:rsidTr="00E4736E">
        <w:trPr>
          <w:trHeight w:val="630"/>
        </w:trPr>
        <w:tc>
          <w:tcPr>
            <w:tcW w:w="1084" w:type="dxa"/>
            <w:tcBorders>
              <w:top w:val="nil"/>
              <w:left w:val="single" w:sz="4" w:space="0" w:color="auto"/>
              <w:bottom w:val="single" w:sz="4" w:space="0" w:color="auto"/>
              <w:right w:val="single" w:sz="4" w:space="0" w:color="auto"/>
            </w:tcBorders>
            <w:shd w:val="thinDiagStripe" w:color="FFFFFF" w:fill="C6E0B4"/>
            <w:vAlign w:val="center"/>
            <w:hideMark/>
          </w:tcPr>
          <w:p w14:paraId="611D1A6F" w14:textId="6E77D59D"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Papua New Guinea</w:t>
            </w:r>
          </w:p>
        </w:tc>
        <w:tc>
          <w:tcPr>
            <w:tcW w:w="1084" w:type="dxa"/>
            <w:tcBorders>
              <w:top w:val="nil"/>
              <w:left w:val="nil"/>
              <w:bottom w:val="single" w:sz="4" w:space="0" w:color="auto"/>
              <w:right w:val="single" w:sz="4" w:space="0" w:color="auto"/>
            </w:tcBorders>
            <w:shd w:val="clear" w:color="auto" w:fill="auto"/>
            <w:noWrap/>
            <w:vAlign w:val="bottom"/>
            <w:hideMark/>
          </w:tcPr>
          <w:p w14:paraId="348BFBCD" w14:textId="01662D3A"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18</w:t>
            </w:r>
          </w:p>
        </w:tc>
        <w:tc>
          <w:tcPr>
            <w:tcW w:w="1085" w:type="dxa"/>
            <w:tcBorders>
              <w:top w:val="nil"/>
              <w:left w:val="nil"/>
              <w:bottom w:val="single" w:sz="4" w:space="0" w:color="auto"/>
              <w:right w:val="single" w:sz="4" w:space="0" w:color="auto"/>
            </w:tcBorders>
            <w:shd w:val="clear" w:color="auto" w:fill="auto"/>
            <w:noWrap/>
            <w:vAlign w:val="bottom"/>
            <w:hideMark/>
          </w:tcPr>
          <w:p w14:paraId="7947BB64" w14:textId="38E124AA"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2.2</w:t>
            </w:r>
          </w:p>
        </w:tc>
        <w:tc>
          <w:tcPr>
            <w:tcW w:w="1084" w:type="dxa"/>
            <w:tcBorders>
              <w:top w:val="nil"/>
              <w:left w:val="nil"/>
              <w:bottom w:val="single" w:sz="4" w:space="0" w:color="auto"/>
              <w:right w:val="single" w:sz="4" w:space="0" w:color="auto"/>
            </w:tcBorders>
            <w:shd w:val="clear" w:color="auto" w:fill="auto"/>
            <w:noWrap/>
            <w:vAlign w:val="bottom"/>
            <w:hideMark/>
          </w:tcPr>
          <w:p w14:paraId="4FECD5F3" w14:textId="63E673D2"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4.9</w:t>
            </w:r>
          </w:p>
        </w:tc>
        <w:tc>
          <w:tcPr>
            <w:tcW w:w="1084" w:type="dxa"/>
            <w:tcBorders>
              <w:top w:val="nil"/>
              <w:left w:val="nil"/>
              <w:bottom w:val="single" w:sz="4" w:space="0" w:color="auto"/>
              <w:right w:val="single" w:sz="4" w:space="0" w:color="auto"/>
            </w:tcBorders>
            <w:shd w:val="clear" w:color="auto" w:fill="auto"/>
            <w:noWrap/>
            <w:vAlign w:val="bottom"/>
            <w:hideMark/>
          </w:tcPr>
          <w:p w14:paraId="4BD8B766" w14:textId="73929A95"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8.6</w:t>
            </w:r>
          </w:p>
        </w:tc>
        <w:tc>
          <w:tcPr>
            <w:tcW w:w="1085" w:type="dxa"/>
            <w:tcBorders>
              <w:top w:val="nil"/>
              <w:left w:val="nil"/>
              <w:bottom w:val="single" w:sz="4" w:space="0" w:color="auto"/>
              <w:right w:val="single" w:sz="4" w:space="0" w:color="auto"/>
            </w:tcBorders>
            <w:shd w:val="clear" w:color="auto" w:fill="auto"/>
            <w:noWrap/>
            <w:vAlign w:val="bottom"/>
            <w:hideMark/>
          </w:tcPr>
          <w:p w14:paraId="5400A204" w14:textId="11E6E2A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44.4</w:t>
            </w:r>
          </w:p>
        </w:tc>
        <w:tc>
          <w:tcPr>
            <w:tcW w:w="1084" w:type="dxa"/>
            <w:tcBorders>
              <w:top w:val="nil"/>
              <w:left w:val="nil"/>
              <w:bottom w:val="single" w:sz="4" w:space="0" w:color="auto"/>
              <w:right w:val="single" w:sz="4" w:space="0" w:color="auto"/>
            </w:tcBorders>
            <w:shd w:val="clear" w:color="000000" w:fill="FFFFFF"/>
            <w:noWrap/>
            <w:vAlign w:val="bottom"/>
            <w:hideMark/>
          </w:tcPr>
          <w:p w14:paraId="375444C0" w14:textId="3117518A"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51.4</w:t>
            </w:r>
          </w:p>
        </w:tc>
        <w:tc>
          <w:tcPr>
            <w:tcW w:w="1084" w:type="dxa"/>
            <w:tcBorders>
              <w:top w:val="nil"/>
              <w:left w:val="nil"/>
              <w:bottom w:val="single" w:sz="4" w:space="0" w:color="auto"/>
              <w:right w:val="single" w:sz="4" w:space="0" w:color="auto"/>
            </w:tcBorders>
            <w:shd w:val="clear" w:color="000000" w:fill="FFE699"/>
            <w:noWrap/>
            <w:vAlign w:val="bottom"/>
            <w:hideMark/>
          </w:tcPr>
          <w:p w14:paraId="36DE56A9" w14:textId="1F667E93"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86.2</w:t>
            </w:r>
          </w:p>
        </w:tc>
        <w:tc>
          <w:tcPr>
            <w:tcW w:w="1085" w:type="dxa"/>
            <w:tcBorders>
              <w:top w:val="nil"/>
              <w:left w:val="nil"/>
              <w:bottom w:val="single" w:sz="4" w:space="0" w:color="auto"/>
              <w:right w:val="single" w:sz="4" w:space="0" w:color="auto"/>
            </w:tcBorders>
            <w:shd w:val="clear" w:color="000000" w:fill="FFFFFF"/>
            <w:noWrap/>
            <w:vAlign w:val="bottom"/>
            <w:hideMark/>
          </w:tcPr>
          <w:p w14:paraId="0AAF743B" w14:textId="74935623"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46.7</w:t>
            </w:r>
          </w:p>
        </w:tc>
        <w:tc>
          <w:tcPr>
            <w:tcW w:w="1084" w:type="dxa"/>
            <w:tcBorders>
              <w:top w:val="nil"/>
              <w:left w:val="nil"/>
              <w:bottom w:val="single" w:sz="4" w:space="0" w:color="auto"/>
              <w:right w:val="single" w:sz="4" w:space="0" w:color="auto"/>
            </w:tcBorders>
            <w:shd w:val="clear" w:color="000000" w:fill="FFFFFF"/>
            <w:noWrap/>
            <w:vAlign w:val="bottom"/>
            <w:hideMark/>
          </w:tcPr>
          <w:p w14:paraId="080A9EF4" w14:textId="1E17365C"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44.8</w:t>
            </w:r>
          </w:p>
        </w:tc>
        <w:tc>
          <w:tcPr>
            <w:tcW w:w="1084" w:type="dxa"/>
            <w:tcBorders>
              <w:top w:val="nil"/>
              <w:left w:val="nil"/>
              <w:bottom w:val="single" w:sz="4" w:space="0" w:color="auto"/>
              <w:right w:val="single" w:sz="4" w:space="0" w:color="auto"/>
            </w:tcBorders>
            <w:shd w:val="clear" w:color="000000" w:fill="FFFFFF"/>
            <w:noWrap/>
            <w:vAlign w:val="bottom"/>
            <w:hideMark/>
          </w:tcPr>
          <w:p w14:paraId="1A80ADDE" w14:textId="71224625"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12.3</w:t>
            </w:r>
          </w:p>
        </w:tc>
        <w:tc>
          <w:tcPr>
            <w:tcW w:w="1085" w:type="dxa"/>
            <w:tcBorders>
              <w:top w:val="nil"/>
              <w:left w:val="nil"/>
              <w:bottom w:val="single" w:sz="4" w:space="0" w:color="auto"/>
              <w:right w:val="single" w:sz="4" w:space="0" w:color="auto"/>
            </w:tcBorders>
            <w:shd w:val="clear" w:color="auto" w:fill="FFFFFF" w:themeFill="background1"/>
            <w:noWrap/>
            <w:vAlign w:val="bottom"/>
            <w:hideMark/>
          </w:tcPr>
          <w:p w14:paraId="559ACC1A" w14:textId="0A1E6318"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8.3</w:t>
            </w:r>
          </w:p>
        </w:tc>
        <w:tc>
          <w:tcPr>
            <w:tcW w:w="1084" w:type="dxa"/>
            <w:tcBorders>
              <w:top w:val="nil"/>
              <w:left w:val="nil"/>
              <w:bottom w:val="single" w:sz="4" w:space="0" w:color="auto"/>
              <w:right w:val="single" w:sz="4" w:space="0" w:color="auto"/>
            </w:tcBorders>
            <w:shd w:val="clear" w:color="auto" w:fill="FFFFFF" w:themeFill="background1"/>
            <w:noWrap/>
            <w:vAlign w:val="bottom"/>
            <w:hideMark/>
          </w:tcPr>
          <w:p w14:paraId="2E94F2F7" w14:textId="17C217C8"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1.0</w:t>
            </w:r>
          </w:p>
        </w:tc>
        <w:tc>
          <w:tcPr>
            <w:tcW w:w="1085" w:type="dxa"/>
            <w:tcBorders>
              <w:top w:val="nil"/>
              <w:left w:val="nil"/>
              <w:bottom w:val="single" w:sz="4" w:space="0" w:color="auto"/>
              <w:right w:val="single" w:sz="4" w:space="0" w:color="auto"/>
            </w:tcBorders>
            <w:shd w:val="clear" w:color="000000" w:fill="DDEBF7"/>
            <w:noWrap/>
            <w:vAlign w:val="bottom"/>
            <w:hideMark/>
          </w:tcPr>
          <w:p w14:paraId="2339A854" w14:textId="6AD29103"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28.4</w:t>
            </w:r>
          </w:p>
        </w:tc>
      </w:tr>
      <w:tr w:rsidR="00E4736E" w:rsidRPr="00E4736E" w14:paraId="7556307C" w14:textId="77777777" w:rsidTr="00E4736E">
        <w:trPr>
          <w:trHeight w:val="315"/>
        </w:trPr>
        <w:tc>
          <w:tcPr>
            <w:tcW w:w="1084" w:type="dxa"/>
            <w:tcBorders>
              <w:top w:val="nil"/>
              <w:left w:val="single" w:sz="4" w:space="0" w:color="auto"/>
              <w:bottom w:val="single" w:sz="4" w:space="0" w:color="auto"/>
              <w:right w:val="single" w:sz="4" w:space="0" w:color="auto"/>
            </w:tcBorders>
            <w:shd w:val="thinDiagStripe" w:color="FFFFFF" w:fill="C6E0B4"/>
            <w:vAlign w:val="center"/>
            <w:hideMark/>
          </w:tcPr>
          <w:p w14:paraId="45C48C1A" w14:textId="6F76A58C"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Saint Vincent &amp; Grenadines</w:t>
            </w:r>
          </w:p>
        </w:tc>
        <w:tc>
          <w:tcPr>
            <w:tcW w:w="1084" w:type="dxa"/>
            <w:tcBorders>
              <w:top w:val="nil"/>
              <w:left w:val="nil"/>
              <w:bottom w:val="single" w:sz="4" w:space="0" w:color="auto"/>
              <w:right w:val="single" w:sz="4" w:space="0" w:color="auto"/>
            </w:tcBorders>
            <w:shd w:val="clear" w:color="auto" w:fill="auto"/>
            <w:noWrap/>
            <w:vAlign w:val="bottom"/>
            <w:hideMark/>
          </w:tcPr>
          <w:p w14:paraId="203F8CE6" w14:textId="3768A1BB"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bottom"/>
            <w:hideMark/>
          </w:tcPr>
          <w:p w14:paraId="410D2A06" w14:textId="697A059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w:t>
            </w:r>
          </w:p>
        </w:tc>
        <w:tc>
          <w:tcPr>
            <w:tcW w:w="1084" w:type="dxa"/>
            <w:tcBorders>
              <w:top w:val="nil"/>
              <w:left w:val="nil"/>
              <w:bottom w:val="single" w:sz="4" w:space="0" w:color="auto"/>
              <w:right w:val="single" w:sz="4" w:space="0" w:color="auto"/>
            </w:tcBorders>
            <w:shd w:val="clear" w:color="auto" w:fill="auto"/>
            <w:noWrap/>
            <w:vAlign w:val="bottom"/>
            <w:hideMark/>
          </w:tcPr>
          <w:p w14:paraId="3111F32F" w14:textId="606E71C0"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w:t>
            </w:r>
          </w:p>
        </w:tc>
        <w:tc>
          <w:tcPr>
            <w:tcW w:w="1084" w:type="dxa"/>
            <w:tcBorders>
              <w:top w:val="nil"/>
              <w:left w:val="nil"/>
              <w:bottom w:val="single" w:sz="4" w:space="0" w:color="auto"/>
              <w:right w:val="single" w:sz="4" w:space="0" w:color="auto"/>
            </w:tcBorders>
            <w:shd w:val="clear" w:color="auto" w:fill="auto"/>
            <w:noWrap/>
            <w:vAlign w:val="bottom"/>
            <w:hideMark/>
          </w:tcPr>
          <w:p w14:paraId="18AB2519" w14:textId="3A865A69"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0.5</w:t>
            </w:r>
          </w:p>
        </w:tc>
        <w:tc>
          <w:tcPr>
            <w:tcW w:w="1085" w:type="dxa"/>
            <w:tcBorders>
              <w:top w:val="nil"/>
              <w:left w:val="nil"/>
              <w:bottom w:val="single" w:sz="4" w:space="0" w:color="auto"/>
              <w:right w:val="single" w:sz="4" w:space="0" w:color="auto"/>
            </w:tcBorders>
            <w:shd w:val="clear" w:color="auto" w:fill="auto"/>
            <w:noWrap/>
            <w:vAlign w:val="bottom"/>
            <w:hideMark/>
          </w:tcPr>
          <w:p w14:paraId="78BAED72" w14:textId="7AE3D443"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5.6</w:t>
            </w:r>
          </w:p>
        </w:tc>
        <w:tc>
          <w:tcPr>
            <w:tcW w:w="1084" w:type="dxa"/>
            <w:tcBorders>
              <w:top w:val="nil"/>
              <w:left w:val="nil"/>
              <w:bottom w:val="single" w:sz="4" w:space="0" w:color="auto"/>
              <w:right w:val="single" w:sz="4" w:space="0" w:color="auto"/>
            </w:tcBorders>
            <w:shd w:val="clear" w:color="000000" w:fill="FFFFFF"/>
            <w:noWrap/>
            <w:vAlign w:val="bottom"/>
            <w:hideMark/>
          </w:tcPr>
          <w:p w14:paraId="3634258D" w14:textId="384DF43E"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27.0</w:t>
            </w:r>
          </w:p>
        </w:tc>
        <w:tc>
          <w:tcPr>
            <w:tcW w:w="1084" w:type="dxa"/>
            <w:tcBorders>
              <w:top w:val="nil"/>
              <w:left w:val="nil"/>
              <w:bottom w:val="single" w:sz="4" w:space="0" w:color="auto"/>
              <w:right w:val="single" w:sz="4" w:space="0" w:color="auto"/>
            </w:tcBorders>
            <w:shd w:val="clear" w:color="000000" w:fill="F4B084"/>
            <w:noWrap/>
            <w:vAlign w:val="bottom"/>
            <w:hideMark/>
          </w:tcPr>
          <w:p w14:paraId="099164DF" w14:textId="0B20FA97"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56.7</w:t>
            </w:r>
          </w:p>
        </w:tc>
        <w:tc>
          <w:tcPr>
            <w:tcW w:w="1085" w:type="dxa"/>
            <w:tcBorders>
              <w:top w:val="nil"/>
              <w:left w:val="nil"/>
              <w:bottom w:val="single" w:sz="4" w:space="0" w:color="auto"/>
              <w:right w:val="single" w:sz="4" w:space="0" w:color="auto"/>
            </w:tcBorders>
            <w:shd w:val="clear" w:color="000000" w:fill="FFFFFF"/>
            <w:noWrap/>
            <w:vAlign w:val="bottom"/>
            <w:hideMark/>
          </w:tcPr>
          <w:p w14:paraId="29D77FE7" w14:textId="4EC3D4BC"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100.0</w:t>
            </w:r>
          </w:p>
        </w:tc>
        <w:tc>
          <w:tcPr>
            <w:tcW w:w="1084" w:type="dxa"/>
            <w:tcBorders>
              <w:top w:val="nil"/>
              <w:left w:val="nil"/>
              <w:bottom w:val="single" w:sz="4" w:space="0" w:color="auto"/>
              <w:right w:val="single" w:sz="4" w:space="0" w:color="auto"/>
            </w:tcBorders>
            <w:shd w:val="clear" w:color="000000" w:fill="FFFFFF"/>
            <w:noWrap/>
            <w:vAlign w:val="bottom"/>
            <w:hideMark/>
          </w:tcPr>
          <w:p w14:paraId="4B527FEF" w14:textId="2792CD58"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9.3</w:t>
            </w:r>
          </w:p>
        </w:tc>
        <w:tc>
          <w:tcPr>
            <w:tcW w:w="1084" w:type="dxa"/>
            <w:tcBorders>
              <w:top w:val="nil"/>
              <w:left w:val="nil"/>
              <w:bottom w:val="single" w:sz="4" w:space="0" w:color="auto"/>
              <w:right w:val="single" w:sz="4" w:space="0" w:color="auto"/>
            </w:tcBorders>
            <w:shd w:val="clear" w:color="000000" w:fill="FFFFFF"/>
            <w:noWrap/>
            <w:vAlign w:val="bottom"/>
            <w:hideMark/>
          </w:tcPr>
          <w:p w14:paraId="3702C473" w14:textId="366AFE31"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24.8</w:t>
            </w:r>
          </w:p>
        </w:tc>
        <w:tc>
          <w:tcPr>
            <w:tcW w:w="1085" w:type="dxa"/>
            <w:tcBorders>
              <w:top w:val="nil"/>
              <w:left w:val="nil"/>
              <w:bottom w:val="single" w:sz="4" w:space="0" w:color="auto"/>
              <w:right w:val="single" w:sz="4" w:space="0" w:color="auto"/>
            </w:tcBorders>
            <w:shd w:val="clear" w:color="auto" w:fill="FFFFFF" w:themeFill="background1"/>
            <w:noWrap/>
            <w:vAlign w:val="bottom"/>
            <w:hideMark/>
          </w:tcPr>
          <w:p w14:paraId="00373457" w14:textId="2A963CC3"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83.2</w:t>
            </w:r>
          </w:p>
        </w:tc>
        <w:tc>
          <w:tcPr>
            <w:tcW w:w="1084" w:type="dxa"/>
            <w:tcBorders>
              <w:top w:val="nil"/>
              <w:left w:val="nil"/>
              <w:bottom w:val="single" w:sz="4" w:space="0" w:color="auto"/>
              <w:right w:val="single" w:sz="4" w:space="0" w:color="auto"/>
            </w:tcBorders>
            <w:shd w:val="clear" w:color="auto" w:fill="FFFFFF" w:themeFill="background1"/>
            <w:noWrap/>
            <w:vAlign w:val="bottom"/>
            <w:hideMark/>
          </w:tcPr>
          <w:p w14:paraId="60DFA8CC" w14:textId="511E274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5.2</w:t>
            </w:r>
          </w:p>
        </w:tc>
        <w:tc>
          <w:tcPr>
            <w:tcW w:w="1085" w:type="dxa"/>
            <w:tcBorders>
              <w:top w:val="nil"/>
              <w:left w:val="nil"/>
              <w:bottom w:val="single" w:sz="4" w:space="0" w:color="auto"/>
              <w:right w:val="single" w:sz="4" w:space="0" w:color="auto"/>
            </w:tcBorders>
            <w:shd w:val="clear" w:color="000000" w:fill="DDEBF7"/>
            <w:noWrap/>
            <w:vAlign w:val="bottom"/>
            <w:hideMark/>
          </w:tcPr>
          <w:p w14:paraId="7F5B86FA" w14:textId="7C96364E"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28.4</w:t>
            </w:r>
          </w:p>
        </w:tc>
      </w:tr>
      <w:tr w:rsidR="00AC7642" w:rsidRPr="00E4736E" w14:paraId="10A83856" w14:textId="77777777" w:rsidTr="00AC7642">
        <w:trPr>
          <w:trHeight w:val="315"/>
        </w:trPr>
        <w:tc>
          <w:tcPr>
            <w:tcW w:w="1084" w:type="dxa"/>
            <w:tcBorders>
              <w:top w:val="nil"/>
              <w:left w:val="single" w:sz="4" w:space="0" w:color="auto"/>
              <w:bottom w:val="single" w:sz="4" w:space="0" w:color="auto"/>
              <w:right w:val="single" w:sz="4" w:space="0" w:color="auto"/>
            </w:tcBorders>
            <w:shd w:val="clear" w:color="auto" w:fill="auto"/>
            <w:vAlign w:val="center"/>
            <w:hideMark/>
          </w:tcPr>
          <w:p w14:paraId="068EF512" w14:textId="1C2AD6C9" w:rsidR="00E4736E" w:rsidRPr="00AC7642" w:rsidRDefault="00E4736E" w:rsidP="00E4736E">
            <w:pPr>
              <w:spacing w:after="0" w:line="240" w:lineRule="auto"/>
              <w:jc w:val="center"/>
              <w:rPr>
                <w:rFonts w:eastAsia="Times New Roman"/>
                <w:b/>
                <w:bCs/>
                <w:sz w:val="20"/>
                <w:szCs w:val="20"/>
              </w:rPr>
            </w:pPr>
            <w:r w:rsidRPr="00AC7642">
              <w:rPr>
                <w:rFonts w:eastAsia="Times New Roman"/>
                <w:b/>
                <w:bCs/>
                <w:sz w:val="20"/>
                <w:szCs w:val="20"/>
              </w:rPr>
              <w:t>Micronesia, FS</w:t>
            </w:r>
          </w:p>
        </w:tc>
        <w:tc>
          <w:tcPr>
            <w:tcW w:w="1084" w:type="dxa"/>
            <w:tcBorders>
              <w:top w:val="nil"/>
              <w:left w:val="nil"/>
              <w:bottom w:val="single" w:sz="4" w:space="0" w:color="auto"/>
              <w:right w:val="single" w:sz="4" w:space="0" w:color="auto"/>
            </w:tcBorders>
            <w:shd w:val="clear" w:color="auto" w:fill="auto"/>
            <w:noWrap/>
            <w:vAlign w:val="bottom"/>
            <w:hideMark/>
          </w:tcPr>
          <w:p w14:paraId="355C55EF" w14:textId="3EAAB09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w:t>
            </w:r>
          </w:p>
        </w:tc>
        <w:tc>
          <w:tcPr>
            <w:tcW w:w="1085" w:type="dxa"/>
            <w:tcBorders>
              <w:top w:val="nil"/>
              <w:left w:val="nil"/>
              <w:bottom w:val="single" w:sz="4" w:space="0" w:color="auto"/>
              <w:right w:val="single" w:sz="4" w:space="0" w:color="auto"/>
            </w:tcBorders>
            <w:shd w:val="clear" w:color="auto" w:fill="auto"/>
            <w:noWrap/>
            <w:vAlign w:val="bottom"/>
            <w:hideMark/>
          </w:tcPr>
          <w:p w14:paraId="3259739D" w14:textId="43575D9F"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0</w:t>
            </w:r>
          </w:p>
        </w:tc>
        <w:tc>
          <w:tcPr>
            <w:tcW w:w="1084" w:type="dxa"/>
            <w:tcBorders>
              <w:top w:val="nil"/>
              <w:left w:val="nil"/>
              <w:bottom w:val="single" w:sz="4" w:space="0" w:color="auto"/>
              <w:right w:val="single" w:sz="4" w:space="0" w:color="auto"/>
            </w:tcBorders>
            <w:shd w:val="clear" w:color="auto" w:fill="auto"/>
            <w:noWrap/>
            <w:vAlign w:val="bottom"/>
            <w:hideMark/>
          </w:tcPr>
          <w:p w14:paraId="2CB513F2" w14:textId="29DBF556"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4</w:t>
            </w:r>
          </w:p>
        </w:tc>
        <w:tc>
          <w:tcPr>
            <w:tcW w:w="1084" w:type="dxa"/>
            <w:tcBorders>
              <w:top w:val="nil"/>
              <w:left w:val="nil"/>
              <w:bottom w:val="single" w:sz="4" w:space="0" w:color="auto"/>
              <w:right w:val="single" w:sz="4" w:space="0" w:color="auto"/>
            </w:tcBorders>
            <w:shd w:val="clear" w:color="auto" w:fill="auto"/>
            <w:noWrap/>
            <w:vAlign w:val="bottom"/>
            <w:hideMark/>
          </w:tcPr>
          <w:p w14:paraId="39CAF073" w14:textId="5059F0D4"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9.5</w:t>
            </w:r>
          </w:p>
        </w:tc>
        <w:tc>
          <w:tcPr>
            <w:tcW w:w="1085" w:type="dxa"/>
            <w:tcBorders>
              <w:top w:val="nil"/>
              <w:left w:val="nil"/>
              <w:bottom w:val="single" w:sz="4" w:space="0" w:color="auto"/>
              <w:right w:val="single" w:sz="4" w:space="0" w:color="auto"/>
            </w:tcBorders>
            <w:shd w:val="clear" w:color="auto" w:fill="auto"/>
            <w:noWrap/>
            <w:vAlign w:val="bottom"/>
            <w:hideMark/>
          </w:tcPr>
          <w:p w14:paraId="397734D5" w14:textId="27DAEB44"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5.6</w:t>
            </w:r>
          </w:p>
        </w:tc>
        <w:tc>
          <w:tcPr>
            <w:tcW w:w="1084" w:type="dxa"/>
            <w:tcBorders>
              <w:top w:val="nil"/>
              <w:left w:val="nil"/>
              <w:bottom w:val="single" w:sz="4" w:space="0" w:color="auto"/>
              <w:right w:val="single" w:sz="4" w:space="0" w:color="auto"/>
            </w:tcBorders>
            <w:shd w:val="clear" w:color="000000" w:fill="FFFFFF"/>
            <w:noWrap/>
            <w:vAlign w:val="bottom"/>
            <w:hideMark/>
          </w:tcPr>
          <w:p w14:paraId="2D32AD0A" w14:textId="19D733C7"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5.4</w:t>
            </w:r>
          </w:p>
        </w:tc>
        <w:tc>
          <w:tcPr>
            <w:tcW w:w="1084" w:type="dxa"/>
            <w:tcBorders>
              <w:top w:val="nil"/>
              <w:left w:val="nil"/>
              <w:bottom w:val="single" w:sz="4" w:space="0" w:color="auto"/>
              <w:right w:val="single" w:sz="4" w:space="0" w:color="auto"/>
            </w:tcBorders>
            <w:shd w:val="clear" w:color="000000" w:fill="FFE699"/>
            <w:noWrap/>
            <w:vAlign w:val="bottom"/>
            <w:hideMark/>
          </w:tcPr>
          <w:p w14:paraId="0C25346C" w14:textId="051A83A6" w:rsidR="00E4736E" w:rsidRPr="00AC7642" w:rsidRDefault="00E4736E" w:rsidP="00E4736E">
            <w:pPr>
              <w:spacing w:after="0" w:line="240" w:lineRule="auto"/>
              <w:jc w:val="right"/>
              <w:rPr>
                <w:rFonts w:eastAsia="Times New Roman"/>
                <w:sz w:val="20"/>
                <w:szCs w:val="20"/>
              </w:rPr>
            </w:pPr>
            <w:r w:rsidRPr="00AC7642">
              <w:rPr>
                <w:rFonts w:eastAsia="Times New Roman"/>
                <w:sz w:val="20"/>
                <w:szCs w:val="20"/>
              </w:rPr>
              <w:t>82.0</w:t>
            </w:r>
          </w:p>
        </w:tc>
        <w:tc>
          <w:tcPr>
            <w:tcW w:w="1085" w:type="dxa"/>
            <w:tcBorders>
              <w:top w:val="nil"/>
              <w:left w:val="nil"/>
              <w:bottom w:val="single" w:sz="4" w:space="0" w:color="auto"/>
              <w:right w:val="single" w:sz="4" w:space="0" w:color="auto"/>
            </w:tcBorders>
            <w:shd w:val="clear" w:color="000000" w:fill="FFFFFF"/>
            <w:noWrap/>
            <w:vAlign w:val="bottom"/>
            <w:hideMark/>
          </w:tcPr>
          <w:p w14:paraId="0A58DA45" w14:textId="5FD16DCE"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63.3</w:t>
            </w:r>
          </w:p>
        </w:tc>
        <w:tc>
          <w:tcPr>
            <w:tcW w:w="1084" w:type="dxa"/>
            <w:tcBorders>
              <w:top w:val="nil"/>
              <w:left w:val="nil"/>
              <w:bottom w:val="single" w:sz="4" w:space="0" w:color="auto"/>
              <w:right w:val="single" w:sz="4" w:space="0" w:color="auto"/>
            </w:tcBorders>
            <w:shd w:val="clear" w:color="000000" w:fill="FFFFFF"/>
            <w:noWrap/>
            <w:vAlign w:val="bottom"/>
            <w:hideMark/>
          </w:tcPr>
          <w:p w14:paraId="0DBA440A" w14:textId="26E9415C"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75.7</w:t>
            </w:r>
          </w:p>
        </w:tc>
        <w:tc>
          <w:tcPr>
            <w:tcW w:w="1084" w:type="dxa"/>
            <w:tcBorders>
              <w:top w:val="nil"/>
              <w:left w:val="nil"/>
              <w:bottom w:val="single" w:sz="4" w:space="0" w:color="auto"/>
              <w:right w:val="single" w:sz="4" w:space="0" w:color="auto"/>
            </w:tcBorders>
            <w:shd w:val="clear" w:color="000000" w:fill="FFFFFF"/>
            <w:noWrap/>
            <w:vAlign w:val="bottom"/>
            <w:hideMark/>
          </w:tcPr>
          <w:p w14:paraId="3DD0E53C" w14:textId="28E92996"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32.3</w:t>
            </w:r>
          </w:p>
        </w:tc>
        <w:tc>
          <w:tcPr>
            <w:tcW w:w="1085" w:type="dxa"/>
            <w:tcBorders>
              <w:top w:val="nil"/>
              <w:left w:val="nil"/>
              <w:bottom w:val="single" w:sz="4" w:space="0" w:color="auto"/>
              <w:right w:val="single" w:sz="4" w:space="0" w:color="auto"/>
            </w:tcBorders>
            <w:shd w:val="clear" w:color="auto" w:fill="auto"/>
            <w:noWrap/>
            <w:vAlign w:val="bottom"/>
            <w:hideMark/>
          </w:tcPr>
          <w:p w14:paraId="11F71214" w14:textId="097EDFF3"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6.9</w:t>
            </w:r>
          </w:p>
        </w:tc>
        <w:tc>
          <w:tcPr>
            <w:tcW w:w="1084" w:type="dxa"/>
            <w:tcBorders>
              <w:top w:val="nil"/>
              <w:left w:val="nil"/>
              <w:bottom w:val="single" w:sz="4" w:space="0" w:color="auto"/>
              <w:right w:val="single" w:sz="4" w:space="0" w:color="auto"/>
            </w:tcBorders>
            <w:shd w:val="clear" w:color="auto" w:fill="auto"/>
            <w:noWrap/>
            <w:vAlign w:val="bottom"/>
            <w:hideMark/>
          </w:tcPr>
          <w:p w14:paraId="4E7D5697" w14:textId="47727391" w:rsidR="00E4736E" w:rsidRPr="00AC7642" w:rsidRDefault="00E4736E" w:rsidP="00E4736E">
            <w:pPr>
              <w:spacing w:after="0" w:line="240" w:lineRule="auto"/>
              <w:jc w:val="right"/>
              <w:rPr>
                <w:rFonts w:eastAsia="Times New Roman"/>
                <w:color w:val="000000"/>
                <w:sz w:val="20"/>
                <w:szCs w:val="20"/>
              </w:rPr>
            </w:pPr>
            <w:r w:rsidRPr="00AC7642">
              <w:rPr>
                <w:rFonts w:eastAsia="Times New Roman"/>
                <w:color w:val="000000"/>
                <w:sz w:val="20"/>
                <w:szCs w:val="20"/>
              </w:rPr>
              <w:t>11.4</w:t>
            </w:r>
          </w:p>
        </w:tc>
        <w:tc>
          <w:tcPr>
            <w:tcW w:w="1085" w:type="dxa"/>
            <w:tcBorders>
              <w:top w:val="nil"/>
              <w:left w:val="nil"/>
              <w:bottom w:val="single" w:sz="4" w:space="0" w:color="auto"/>
              <w:right w:val="single" w:sz="4" w:space="0" w:color="auto"/>
            </w:tcBorders>
            <w:shd w:val="clear" w:color="000000" w:fill="DDEBF7"/>
            <w:noWrap/>
            <w:vAlign w:val="bottom"/>
            <w:hideMark/>
          </w:tcPr>
          <w:p w14:paraId="396FCA14" w14:textId="004E6764" w:rsidR="00E4736E" w:rsidRPr="00AC7642" w:rsidRDefault="00E4736E" w:rsidP="00E4736E">
            <w:pPr>
              <w:spacing w:after="0" w:line="240" w:lineRule="auto"/>
              <w:jc w:val="right"/>
              <w:rPr>
                <w:rFonts w:eastAsia="Times New Roman"/>
                <w:b/>
                <w:bCs/>
                <w:color w:val="000000"/>
                <w:sz w:val="20"/>
                <w:szCs w:val="20"/>
              </w:rPr>
            </w:pPr>
            <w:r w:rsidRPr="00AC7642">
              <w:rPr>
                <w:rFonts w:eastAsia="Times New Roman"/>
                <w:b/>
                <w:bCs/>
                <w:color w:val="000000"/>
                <w:sz w:val="20"/>
                <w:szCs w:val="20"/>
              </w:rPr>
              <w:t>28.3</w:t>
            </w:r>
          </w:p>
        </w:tc>
      </w:tr>
    </w:tbl>
    <w:p w14:paraId="4A59575F" w14:textId="77777777" w:rsidR="00E4736E" w:rsidRPr="00E4736E" w:rsidRDefault="00E4736E">
      <w:pPr>
        <w:rPr>
          <w:lang w:eastAsia="en-US"/>
        </w:rPr>
      </w:pPr>
    </w:p>
    <w:sectPr w:rsidR="00E4736E" w:rsidRPr="00E4736E" w:rsidSect="006A3A1F">
      <w:pgSz w:w="16838" w:h="11906" w:orient="landscape"/>
      <w:pgMar w:top="1247" w:right="1418" w:bottom="1247"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08D23A" w14:textId="77777777" w:rsidR="009D672A" w:rsidRDefault="009D672A" w:rsidP="007E0FF3">
      <w:pPr>
        <w:spacing w:after="0" w:line="240" w:lineRule="auto"/>
      </w:pPr>
      <w:r>
        <w:separator/>
      </w:r>
    </w:p>
  </w:endnote>
  <w:endnote w:type="continuationSeparator" w:id="0">
    <w:p w14:paraId="2005FC62" w14:textId="77777777" w:rsidR="009D672A" w:rsidRDefault="009D672A" w:rsidP="007E0FF3">
      <w:pPr>
        <w:spacing w:after="0" w:line="240" w:lineRule="auto"/>
      </w:pPr>
      <w:r>
        <w:continuationSeparator/>
      </w:r>
    </w:p>
  </w:endnote>
  <w:endnote w:type="continuationNotice" w:id="1">
    <w:p w14:paraId="1A2E5006" w14:textId="77777777" w:rsidR="009D672A" w:rsidRDefault="009D67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3585594"/>
      <w:docPartObj>
        <w:docPartGallery w:val="Page Numbers (Bottom of Page)"/>
        <w:docPartUnique/>
      </w:docPartObj>
    </w:sdtPr>
    <w:sdtEndPr>
      <w:rPr>
        <w:noProof/>
      </w:rPr>
    </w:sdtEndPr>
    <w:sdtContent>
      <w:p w14:paraId="03B147F1" w14:textId="78DC27B3" w:rsidR="009D672A" w:rsidRDefault="009D672A">
        <w:pPr>
          <w:pStyle w:val="Footer"/>
          <w:jc w:val="center"/>
        </w:pPr>
        <w:r>
          <w:fldChar w:fldCharType="begin"/>
        </w:r>
        <w:r>
          <w:instrText xml:space="preserve"> PAGE   \* MERGEFORMAT </w:instrText>
        </w:r>
        <w:r>
          <w:fldChar w:fldCharType="separate"/>
        </w:r>
        <w:r w:rsidR="00B01A15">
          <w:rPr>
            <w:noProof/>
          </w:rPr>
          <w:t>5</w:t>
        </w:r>
        <w:r>
          <w:rPr>
            <w:noProof/>
          </w:rPr>
          <w:fldChar w:fldCharType="end"/>
        </w:r>
      </w:p>
    </w:sdtContent>
  </w:sdt>
  <w:p w14:paraId="03474F19" w14:textId="77777777" w:rsidR="009D672A" w:rsidRDefault="009D67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170F5C" w14:textId="77777777" w:rsidR="009D672A" w:rsidRDefault="009D672A" w:rsidP="007E0FF3">
      <w:pPr>
        <w:spacing w:after="0" w:line="240" w:lineRule="auto"/>
      </w:pPr>
      <w:r>
        <w:separator/>
      </w:r>
    </w:p>
  </w:footnote>
  <w:footnote w:type="continuationSeparator" w:id="0">
    <w:p w14:paraId="26AFAEC4" w14:textId="77777777" w:rsidR="009D672A" w:rsidRDefault="009D672A" w:rsidP="007E0FF3">
      <w:pPr>
        <w:spacing w:after="0" w:line="240" w:lineRule="auto"/>
      </w:pPr>
      <w:r>
        <w:continuationSeparator/>
      </w:r>
    </w:p>
  </w:footnote>
  <w:footnote w:type="continuationNotice" w:id="1">
    <w:p w14:paraId="21AB7CE8" w14:textId="77777777" w:rsidR="009D672A" w:rsidRDefault="009D672A">
      <w:pPr>
        <w:spacing w:after="0" w:line="240" w:lineRule="auto"/>
      </w:pPr>
    </w:p>
  </w:footnote>
  <w:footnote w:id="2">
    <w:p w14:paraId="0F4ECD96" w14:textId="2C70269F" w:rsidR="009D672A" w:rsidRPr="0075228B" w:rsidRDefault="009D672A" w:rsidP="00BB1802">
      <w:pPr>
        <w:pStyle w:val="FootnoteText"/>
        <w:jc w:val="left"/>
        <w:rPr>
          <w:sz w:val="16"/>
          <w:szCs w:val="16"/>
        </w:rPr>
      </w:pPr>
      <w:r>
        <w:rPr>
          <w:rStyle w:val="FootnoteReference"/>
        </w:rPr>
        <w:footnoteRef/>
      </w:r>
      <w:r>
        <w:t xml:space="preserve"> </w:t>
      </w:r>
      <w:r w:rsidRPr="009421CE">
        <w:rPr>
          <w:i/>
          <w:sz w:val="16"/>
          <w:szCs w:val="16"/>
        </w:rPr>
        <w:t>Shock Waves: Managing the Impacts of Climate Change on Poverty</w:t>
      </w:r>
      <w:r>
        <w:rPr>
          <w:sz w:val="16"/>
          <w:szCs w:val="16"/>
        </w:rPr>
        <w:t xml:space="preserve">, World Bank Group, 2015. At: </w:t>
      </w:r>
      <w:hyperlink r:id="rId1" w:history="1">
        <w:r w:rsidRPr="00F62223">
          <w:rPr>
            <w:rStyle w:val="Hyperlink"/>
            <w:sz w:val="16"/>
            <w:szCs w:val="16"/>
          </w:rPr>
          <w:t>https://openknowledge.worldbank.org/bitstream/handle/10986/22787/9781464806735.pdf</w:t>
        </w:r>
      </w:hyperlink>
      <w:r>
        <w:rPr>
          <w:sz w:val="16"/>
          <w:szCs w:val="16"/>
        </w:rPr>
        <w:t xml:space="preserve"> </w:t>
      </w:r>
    </w:p>
  </w:footnote>
  <w:footnote w:id="3">
    <w:p w14:paraId="69D4E3DC" w14:textId="7C3F635B" w:rsidR="009D672A" w:rsidRPr="00106BCD" w:rsidRDefault="009D672A" w:rsidP="00106BCD">
      <w:pPr>
        <w:pStyle w:val="FootnoteText"/>
        <w:rPr>
          <w:sz w:val="16"/>
          <w:szCs w:val="16"/>
          <w:lang w:val="en-GB"/>
        </w:rPr>
      </w:pPr>
      <w:r w:rsidRPr="00106BCD">
        <w:rPr>
          <w:rStyle w:val="FootnoteReference"/>
          <w:sz w:val="16"/>
          <w:szCs w:val="16"/>
        </w:rPr>
        <w:footnoteRef/>
      </w:r>
      <w:r w:rsidRPr="00106BCD">
        <w:rPr>
          <w:sz w:val="16"/>
          <w:szCs w:val="16"/>
        </w:rPr>
        <w:t xml:space="preserve"> </w:t>
      </w:r>
      <w:r w:rsidRPr="00106BCD">
        <w:rPr>
          <w:sz w:val="16"/>
          <w:szCs w:val="16"/>
          <w:lang w:val="en-GB"/>
        </w:rPr>
        <w:t xml:space="preserve">Based on </w:t>
      </w:r>
      <w:r>
        <w:rPr>
          <w:sz w:val="16"/>
          <w:szCs w:val="16"/>
          <w:lang w:val="en-GB"/>
        </w:rPr>
        <w:t xml:space="preserve">ICF analysis of the </w:t>
      </w:r>
      <w:r w:rsidRPr="00106BCD">
        <w:rPr>
          <w:sz w:val="16"/>
          <w:szCs w:val="16"/>
          <w:lang w:val="en-GB"/>
        </w:rPr>
        <w:t>TEEB E</w:t>
      </w:r>
      <w:r>
        <w:rPr>
          <w:sz w:val="16"/>
          <w:szCs w:val="16"/>
          <w:lang w:val="en-GB"/>
        </w:rPr>
        <w:t>cosystem Service Value database, valuing coastal protection and food services offered by a hectare of mangrove forest - £1453/ha/yr.</w:t>
      </w:r>
    </w:p>
  </w:footnote>
  <w:footnote w:id="4">
    <w:p w14:paraId="591F70BF" w14:textId="77777777" w:rsidR="009D672A" w:rsidRPr="00610E8E" w:rsidRDefault="009D672A" w:rsidP="00364F61">
      <w:pPr>
        <w:pStyle w:val="FootnoteText"/>
      </w:pPr>
      <w:r w:rsidRPr="00610E8E">
        <w:rPr>
          <w:rStyle w:val="FootnoteReference"/>
          <w:sz w:val="16"/>
        </w:rPr>
        <w:footnoteRef/>
      </w:r>
      <w:r w:rsidRPr="00610E8E">
        <w:rPr>
          <w:sz w:val="16"/>
        </w:rPr>
        <w:t xml:space="preserve"> </w:t>
      </w:r>
      <w:proofErr w:type="spellStart"/>
      <w:r w:rsidRPr="00610E8E">
        <w:rPr>
          <w:sz w:val="16"/>
        </w:rPr>
        <w:t>Polidoro</w:t>
      </w:r>
      <w:proofErr w:type="spellEnd"/>
      <w:r w:rsidRPr="00610E8E">
        <w:rPr>
          <w:sz w:val="16"/>
        </w:rPr>
        <w:t xml:space="preserve">, A. </w:t>
      </w:r>
      <w:r w:rsidRPr="00610E8E">
        <w:rPr>
          <w:i/>
          <w:sz w:val="16"/>
        </w:rPr>
        <w:t>et al</w:t>
      </w:r>
      <w:r w:rsidRPr="00610E8E">
        <w:rPr>
          <w:sz w:val="16"/>
        </w:rPr>
        <w:t xml:space="preserve"> (2010) The Loss of Species: Mangrove Extinction Risk and Geographic Areas of Global Concern</w:t>
      </w:r>
    </w:p>
  </w:footnote>
  <w:footnote w:id="5">
    <w:p w14:paraId="26353FDB" w14:textId="77777777" w:rsidR="009D672A" w:rsidRPr="000A404E" w:rsidRDefault="009D672A" w:rsidP="00364F61">
      <w:pPr>
        <w:pStyle w:val="FootnoteText"/>
        <w:rPr>
          <w:sz w:val="16"/>
        </w:rPr>
      </w:pPr>
      <w:r w:rsidRPr="000A404E">
        <w:rPr>
          <w:rStyle w:val="FootnoteReference"/>
          <w:sz w:val="16"/>
        </w:rPr>
        <w:footnoteRef/>
      </w:r>
      <w:r w:rsidRPr="000A404E">
        <w:rPr>
          <w:sz w:val="16"/>
        </w:rPr>
        <w:t xml:space="preserve"> http://wwf.panda.org/about_our_earth/blue_planet/coasts/mangroves/mangrove_threats/</w:t>
      </w:r>
    </w:p>
  </w:footnote>
  <w:footnote w:id="6">
    <w:p w14:paraId="5340E331" w14:textId="77777777" w:rsidR="009D672A" w:rsidRDefault="009D672A" w:rsidP="00106BCD">
      <w:pPr>
        <w:pStyle w:val="FootnoteText"/>
        <w:rPr>
          <w:sz w:val="16"/>
          <w:szCs w:val="16"/>
          <w:lang w:val="en-GB"/>
        </w:rPr>
      </w:pPr>
      <w:r w:rsidRPr="00D73762">
        <w:rPr>
          <w:rStyle w:val="FootnoteReference"/>
          <w:sz w:val="16"/>
          <w:szCs w:val="16"/>
        </w:rPr>
        <w:footnoteRef/>
      </w:r>
      <w:r w:rsidRPr="00D73762">
        <w:rPr>
          <w:sz w:val="16"/>
          <w:szCs w:val="16"/>
        </w:rPr>
        <w:t xml:space="preserve"> </w:t>
      </w:r>
      <w:r w:rsidRPr="00D73762">
        <w:rPr>
          <w:sz w:val="16"/>
          <w:szCs w:val="16"/>
          <w:lang w:val="en-GB"/>
        </w:rPr>
        <w:t>Figure derived from analysis of The Economics of Ecosystems and Biodiversity (TEEB) Ecosystem Service Value (ESV) database.</w:t>
      </w:r>
      <w:r>
        <w:rPr>
          <w:sz w:val="16"/>
          <w:szCs w:val="16"/>
          <w:lang w:val="en-GB"/>
        </w:rPr>
        <w:t xml:space="preserve"> At:</w:t>
      </w:r>
    </w:p>
    <w:p w14:paraId="7B58BD04" w14:textId="77777777" w:rsidR="009D672A" w:rsidRPr="00D73762" w:rsidRDefault="009D672A" w:rsidP="00106BCD">
      <w:pPr>
        <w:pStyle w:val="FootnoteText"/>
        <w:rPr>
          <w:sz w:val="16"/>
          <w:szCs w:val="16"/>
          <w:lang w:val="en-GB"/>
        </w:rPr>
      </w:pPr>
      <w:hyperlink r:id="rId2" w:history="1">
        <w:r w:rsidRPr="00F4002D">
          <w:rPr>
            <w:rStyle w:val="Hyperlink"/>
            <w:sz w:val="16"/>
            <w:szCs w:val="16"/>
            <w:lang w:val="en-GB"/>
          </w:rPr>
          <w:t>https://www.es-partnership.org/services/data-knowledge-sharing/ecosystem-service-valuation-database/</w:t>
        </w:r>
      </w:hyperlink>
    </w:p>
  </w:footnote>
  <w:footnote w:id="7">
    <w:p w14:paraId="2279E8B6" w14:textId="735965FE" w:rsidR="009D672A" w:rsidRPr="006842E5" w:rsidRDefault="009D672A">
      <w:pPr>
        <w:pStyle w:val="FootnoteText"/>
        <w:rPr>
          <w:lang w:val="en-GB"/>
        </w:rPr>
      </w:pPr>
      <w:r w:rsidRPr="006842E5">
        <w:rPr>
          <w:rStyle w:val="FootnoteReference"/>
          <w:sz w:val="16"/>
        </w:rPr>
        <w:footnoteRef/>
      </w:r>
      <w:r w:rsidRPr="006842E5">
        <w:rPr>
          <w:sz w:val="16"/>
        </w:rPr>
        <w:t xml:space="preserve"> </w:t>
      </w:r>
      <w:r w:rsidRPr="006842E5">
        <w:rPr>
          <w:sz w:val="16"/>
          <w:lang w:val="en-GB"/>
        </w:rPr>
        <w:t>Donato, D. (2011) Mangroves among the most carbon-rich forests in the tropics</w:t>
      </w:r>
    </w:p>
  </w:footnote>
  <w:footnote w:id="8">
    <w:p w14:paraId="4C5B3349" w14:textId="5C51739D" w:rsidR="009D672A" w:rsidRPr="00F838A8" w:rsidRDefault="009D672A">
      <w:pPr>
        <w:pStyle w:val="FootnoteText"/>
        <w:rPr>
          <w:lang w:val="en-GB"/>
        </w:rPr>
      </w:pPr>
      <w:r w:rsidRPr="00F838A8">
        <w:rPr>
          <w:rStyle w:val="FootnoteReference"/>
          <w:sz w:val="16"/>
        </w:rPr>
        <w:footnoteRef/>
      </w:r>
      <w:r w:rsidRPr="00F838A8">
        <w:rPr>
          <w:sz w:val="16"/>
        </w:rPr>
        <w:t xml:space="preserve"> https://www.epa.gov/ghgemissions/global-greenhouse-gas-emissions-data#Sector</w:t>
      </w:r>
    </w:p>
  </w:footnote>
  <w:footnote w:id="9">
    <w:p w14:paraId="63DF80AF" w14:textId="77777777" w:rsidR="009D672A" w:rsidRPr="004B2616" w:rsidRDefault="009D672A" w:rsidP="00973597">
      <w:pPr>
        <w:pStyle w:val="FootnoteText"/>
      </w:pPr>
      <w:r w:rsidRPr="004B2616">
        <w:rPr>
          <w:rStyle w:val="FootnoteReference"/>
          <w:sz w:val="16"/>
        </w:rPr>
        <w:footnoteRef/>
      </w:r>
      <w:r w:rsidRPr="004B2616">
        <w:rPr>
          <w:sz w:val="16"/>
        </w:rPr>
        <w:t xml:space="preserve"> Atwood </w:t>
      </w:r>
      <w:r w:rsidRPr="004B2616">
        <w:rPr>
          <w:i/>
          <w:sz w:val="16"/>
        </w:rPr>
        <w:t xml:space="preserve">et al. </w:t>
      </w:r>
      <w:r w:rsidRPr="004B2616">
        <w:rPr>
          <w:sz w:val="16"/>
        </w:rPr>
        <w:t>(2016) Global patterns in mangrove soil carbon stocks and losses</w:t>
      </w:r>
    </w:p>
  </w:footnote>
  <w:footnote w:id="10">
    <w:p w14:paraId="1058A865" w14:textId="77777777" w:rsidR="009D672A" w:rsidRPr="00F20860" w:rsidRDefault="009D672A" w:rsidP="00973597">
      <w:pPr>
        <w:pStyle w:val="FootnoteText"/>
        <w:rPr>
          <w:sz w:val="16"/>
          <w:szCs w:val="16"/>
        </w:rPr>
      </w:pPr>
      <w:r w:rsidRPr="00F20860">
        <w:rPr>
          <w:rStyle w:val="FootnoteReference"/>
          <w:sz w:val="16"/>
          <w:szCs w:val="16"/>
        </w:rPr>
        <w:footnoteRef/>
      </w:r>
      <w:r w:rsidRPr="00F20860">
        <w:rPr>
          <w:sz w:val="16"/>
          <w:szCs w:val="16"/>
        </w:rPr>
        <w:t xml:space="preserve"> </w:t>
      </w:r>
      <w:proofErr w:type="spellStart"/>
      <w:r w:rsidRPr="00F20860">
        <w:rPr>
          <w:sz w:val="16"/>
          <w:szCs w:val="16"/>
        </w:rPr>
        <w:t>Adame</w:t>
      </w:r>
      <w:proofErr w:type="spellEnd"/>
      <w:r w:rsidRPr="00F20860">
        <w:rPr>
          <w:sz w:val="16"/>
          <w:szCs w:val="16"/>
        </w:rPr>
        <w:t xml:space="preserve">, M. F. </w:t>
      </w:r>
      <w:r w:rsidRPr="00F20860">
        <w:rPr>
          <w:i/>
          <w:sz w:val="16"/>
          <w:szCs w:val="16"/>
        </w:rPr>
        <w:t xml:space="preserve">et al </w:t>
      </w:r>
      <w:r w:rsidRPr="00F20860">
        <w:rPr>
          <w:sz w:val="16"/>
          <w:szCs w:val="16"/>
        </w:rPr>
        <w:t>(2017) The undervalued contribution of mangrove protection in Mexico to carbon emission targets</w:t>
      </w:r>
    </w:p>
  </w:footnote>
  <w:footnote w:id="11">
    <w:p w14:paraId="3440F6F8" w14:textId="77777777" w:rsidR="009D672A" w:rsidRPr="001A5EC1" w:rsidRDefault="009D672A" w:rsidP="00973597">
      <w:pPr>
        <w:pStyle w:val="FootnoteText"/>
        <w:rPr>
          <w:sz w:val="16"/>
          <w:szCs w:val="16"/>
        </w:rPr>
      </w:pPr>
      <w:r w:rsidRPr="000A404E">
        <w:rPr>
          <w:rStyle w:val="FootnoteReference"/>
          <w:sz w:val="16"/>
        </w:rPr>
        <w:footnoteRef/>
      </w:r>
      <w:r w:rsidRPr="000A404E">
        <w:rPr>
          <w:sz w:val="16"/>
        </w:rPr>
        <w:t xml:space="preserve"> https</w:t>
      </w:r>
      <w:r w:rsidRPr="001A5EC1">
        <w:rPr>
          <w:sz w:val="16"/>
          <w:szCs w:val="16"/>
        </w:rPr>
        <w:t>://www.iucn.org/content/mangrove-forests-worldwide-decline</w:t>
      </w:r>
    </w:p>
  </w:footnote>
  <w:footnote w:id="12">
    <w:p w14:paraId="3B4F5E7D" w14:textId="77777777" w:rsidR="009D672A" w:rsidRDefault="009D672A" w:rsidP="00973597">
      <w:pPr>
        <w:pStyle w:val="FootnoteText"/>
      </w:pPr>
      <w:r>
        <w:rPr>
          <w:rStyle w:val="FootnoteReference"/>
        </w:rPr>
        <w:footnoteRef/>
      </w:r>
      <w:r>
        <w:t xml:space="preserve"> </w:t>
      </w:r>
      <w:r w:rsidRPr="001A5EC1">
        <w:rPr>
          <w:sz w:val="16"/>
          <w:szCs w:val="16"/>
        </w:rPr>
        <w:t xml:space="preserve">Luther, D. and </w:t>
      </w:r>
      <w:proofErr w:type="spellStart"/>
      <w:r w:rsidRPr="001A5EC1">
        <w:rPr>
          <w:sz w:val="16"/>
          <w:szCs w:val="16"/>
        </w:rPr>
        <w:t>Grenberg</w:t>
      </w:r>
      <w:proofErr w:type="spellEnd"/>
      <w:r w:rsidRPr="001A5EC1">
        <w:rPr>
          <w:sz w:val="16"/>
          <w:szCs w:val="16"/>
        </w:rPr>
        <w:t>, R. (2009) Mangroves: A Global Perspective on the Evolution and Conservation of Their Terrestrial Vertebrates</w:t>
      </w:r>
    </w:p>
  </w:footnote>
  <w:footnote w:id="13">
    <w:p w14:paraId="7AF7D0F2" w14:textId="77777777" w:rsidR="009D672A" w:rsidRPr="00342F75" w:rsidRDefault="009D672A" w:rsidP="00342F75">
      <w:pPr>
        <w:pStyle w:val="FootnoteText"/>
        <w:rPr>
          <w:sz w:val="16"/>
          <w:szCs w:val="16"/>
          <w:lang w:val="en-GB"/>
        </w:rPr>
      </w:pPr>
      <w:r w:rsidRPr="00342F75">
        <w:rPr>
          <w:rStyle w:val="FootnoteReference"/>
          <w:sz w:val="16"/>
          <w:szCs w:val="16"/>
        </w:rPr>
        <w:footnoteRef/>
      </w:r>
      <w:r w:rsidRPr="00342F75">
        <w:rPr>
          <w:sz w:val="16"/>
          <w:szCs w:val="16"/>
        </w:rPr>
        <w:t xml:space="preserve"> </w:t>
      </w:r>
      <w:r w:rsidRPr="00342F75">
        <w:rPr>
          <w:sz w:val="16"/>
          <w:szCs w:val="16"/>
          <w:lang w:val="en-GB"/>
        </w:rPr>
        <w:t xml:space="preserve">Duke, N. C. </w:t>
      </w:r>
      <w:r w:rsidRPr="00342F75">
        <w:rPr>
          <w:i/>
          <w:sz w:val="16"/>
          <w:szCs w:val="16"/>
          <w:lang w:val="en-GB"/>
        </w:rPr>
        <w:t xml:space="preserve">et al. </w:t>
      </w:r>
      <w:r w:rsidRPr="00342F75">
        <w:rPr>
          <w:sz w:val="16"/>
          <w:szCs w:val="16"/>
          <w:lang w:val="en-GB"/>
        </w:rPr>
        <w:t xml:space="preserve">(2017) Large-scale dieback of mangroves in Australia’s Gulf of Carpentaria: a severe ecosystem response, coincidental with an unusually extreme weather event. </w:t>
      </w:r>
      <w:r w:rsidRPr="00342F75">
        <w:rPr>
          <w:i/>
          <w:sz w:val="16"/>
          <w:szCs w:val="16"/>
          <w:lang w:val="en-GB"/>
        </w:rPr>
        <w:t>Marine and Freshwater Research</w:t>
      </w:r>
      <w:r w:rsidRPr="00342F75">
        <w:rPr>
          <w:sz w:val="16"/>
          <w:szCs w:val="16"/>
          <w:lang w:val="en-GB"/>
        </w:rPr>
        <w:t>.</w:t>
      </w:r>
    </w:p>
  </w:footnote>
  <w:footnote w:id="14">
    <w:p w14:paraId="4E833F7A" w14:textId="7AE1755B" w:rsidR="009D672A" w:rsidRPr="006545FD" w:rsidRDefault="009D672A">
      <w:pPr>
        <w:pStyle w:val="FootnoteText"/>
        <w:rPr>
          <w:lang w:val="en-GB"/>
        </w:rPr>
      </w:pPr>
      <w:r w:rsidRPr="006545FD">
        <w:rPr>
          <w:rStyle w:val="FootnoteReference"/>
          <w:sz w:val="16"/>
        </w:rPr>
        <w:footnoteRef/>
      </w:r>
      <w:r w:rsidRPr="006545FD">
        <w:rPr>
          <w:sz w:val="16"/>
        </w:rPr>
        <w:t xml:space="preserve"> </w:t>
      </w:r>
      <w:proofErr w:type="gramStart"/>
      <w:r w:rsidRPr="006545FD">
        <w:rPr>
          <w:sz w:val="16"/>
        </w:rPr>
        <w:t>van</w:t>
      </w:r>
      <w:proofErr w:type="gramEnd"/>
      <w:r w:rsidRPr="006545FD">
        <w:rPr>
          <w:sz w:val="16"/>
        </w:rPr>
        <w:t xml:space="preserve"> </w:t>
      </w:r>
      <w:proofErr w:type="spellStart"/>
      <w:r w:rsidRPr="006545FD">
        <w:rPr>
          <w:sz w:val="16"/>
        </w:rPr>
        <w:t>Bochove</w:t>
      </w:r>
      <w:proofErr w:type="spellEnd"/>
      <w:r w:rsidRPr="006545FD">
        <w:rPr>
          <w:sz w:val="16"/>
        </w:rPr>
        <w:t xml:space="preserve">, J.-W &amp; Sullivan, Emma &amp; Nakamura, T &amp; Duke, Norman &amp; </w:t>
      </w:r>
      <w:proofErr w:type="spellStart"/>
      <w:r w:rsidRPr="006545FD">
        <w:rPr>
          <w:sz w:val="16"/>
        </w:rPr>
        <w:t>Nagelkerken</w:t>
      </w:r>
      <w:proofErr w:type="spellEnd"/>
      <w:r w:rsidRPr="006545FD">
        <w:rPr>
          <w:sz w:val="16"/>
        </w:rPr>
        <w:t xml:space="preserve">, Ivan &amp; </w:t>
      </w:r>
      <w:proofErr w:type="spellStart"/>
      <w:r w:rsidRPr="006545FD">
        <w:rPr>
          <w:sz w:val="16"/>
        </w:rPr>
        <w:t>Agardy</w:t>
      </w:r>
      <w:proofErr w:type="spellEnd"/>
      <w:r w:rsidRPr="006545FD">
        <w:rPr>
          <w:sz w:val="16"/>
        </w:rPr>
        <w:t xml:space="preserve">, </w:t>
      </w:r>
      <w:proofErr w:type="spellStart"/>
      <w:r w:rsidRPr="006545FD">
        <w:rPr>
          <w:sz w:val="16"/>
        </w:rPr>
        <w:t>Tundi</w:t>
      </w:r>
      <w:proofErr w:type="spellEnd"/>
      <w:r w:rsidRPr="006545FD">
        <w:rPr>
          <w:sz w:val="16"/>
        </w:rPr>
        <w:t xml:space="preserve"> &amp; Wells, Sue &amp; Van </w:t>
      </w:r>
      <w:proofErr w:type="spellStart"/>
      <w:r w:rsidRPr="006545FD">
        <w:rPr>
          <w:sz w:val="16"/>
        </w:rPr>
        <w:t>Lavieren</w:t>
      </w:r>
      <w:proofErr w:type="spellEnd"/>
      <w:r w:rsidRPr="006545FD">
        <w:rPr>
          <w:sz w:val="16"/>
        </w:rPr>
        <w:t xml:space="preserve">, Hanneke. (2014). </w:t>
      </w:r>
      <w:proofErr w:type="gramStart"/>
      <w:r w:rsidRPr="006545FD">
        <w:rPr>
          <w:sz w:val="16"/>
        </w:rPr>
        <w:t>The</w:t>
      </w:r>
      <w:proofErr w:type="gramEnd"/>
      <w:r w:rsidRPr="006545FD">
        <w:rPr>
          <w:sz w:val="16"/>
        </w:rPr>
        <w:t xml:space="preserve"> importance of mangroves to people: a call to action.</w:t>
      </w:r>
    </w:p>
  </w:footnote>
  <w:footnote w:id="15">
    <w:p w14:paraId="24564D9F" w14:textId="77777777" w:rsidR="009D672A" w:rsidRDefault="009D672A" w:rsidP="00EB32C6">
      <w:pPr>
        <w:pStyle w:val="FootnoteText"/>
      </w:pPr>
      <w:r w:rsidRPr="001A5887">
        <w:rPr>
          <w:rStyle w:val="FootnoteReference"/>
          <w:sz w:val="16"/>
        </w:rPr>
        <w:footnoteRef/>
      </w:r>
      <w:r w:rsidRPr="001A5887">
        <w:rPr>
          <w:sz w:val="16"/>
        </w:rPr>
        <w:t xml:space="preserve"> </w:t>
      </w:r>
      <w:proofErr w:type="spellStart"/>
      <w:r w:rsidRPr="001A5887">
        <w:rPr>
          <w:sz w:val="16"/>
        </w:rPr>
        <w:t>Kathiresan</w:t>
      </w:r>
      <w:proofErr w:type="spellEnd"/>
      <w:r w:rsidRPr="001A5887">
        <w:rPr>
          <w:sz w:val="16"/>
        </w:rPr>
        <w:t>, K. (2008) Threats to Mangroves – Degradation and Destruction of Mangroves</w:t>
      </w:r>
    </w:p>
  </w:footnote>
  <w:footnote w:id="16">
    <w:p w14:paraId="1DEC8902" w14:textId="77777777" w:rsidR="009D672A" w:rsidRPr="002C7419" w:rsidRDefault="009D672A" w:rsidP="00EB32C6">
      <w:pPr>
        <w:pStyle w:val="FootnoteText"/>
        <w:rPr>
          <w:sz w:val="16"/>
          <w:szCs w:val="16"/>
        </w:rPr>
      </w:pPr>
      <w:r w:rsidRPr="002C7419">
        <w:rPr>
          <w:rStyle w:val="FootnoteReference"/>
          <w:sz w:val="16"/>
          <w:szCs w:val="16"/>
        </w:rPr>
        <w:footnoteRef/>
      </w:r>
      <w:r w:rsidRPr="002C7419">
        <w:rPr>
          <w:sz w:val="16"/>
          <w:szCs w:val="16"/>
        </w:rPr>
        <w:t xml:space="preserve"> Asante, W. (2017) The implications of land tenure and ownership regimes on sustainable mangrove management and conservation in two </w:t>
      </w:r>
      <w:proofErr w:type="spellStart"/>
      <w:r w:rsidRPr="002C7419">
        <w:rPr>
          <w:sz w:val="16"/>
          <w:szCs w:val="16"/>
        </w:rPr>
        <w:t>Ramsar</w:t>
      </w:r>
      <w:proofErr w:type="spellEnd"/>
      <w:r w:rsidRPr="002C7419">
        <w:rPr>
          <w:sz w:val="16"/>
          <w:szCs w:val="16"/>
        </w:rPr>
        <w:t xml:space="preserve"> sites in Ghana</w:t>
      </w:r>
    </w:p>
    <w:p w14:paraId="1650C6B4" w14:textId="77777777" w:rsidR="009D672A" w:rsidRDefault="009D672A" w:rsidP="00EB32C6">
      <w:pPr>
        <w:pStyle w:val="FootnoteText"/>
      </w:pPr>
    </w:p>
  </w:footnote>
  <w:footnote w:id="17">
    <w:p w14:paraId="0CAA0FF2" w14:textId="77777777" w:rsidR="009D672A" w:rsidRDefault="009D672A" w:rsidP="0005604E">
      <w:pPr>
        <w:pStyle w:val="FootnoteText"/>
      </w:pPr>
      <w:r w:rsidRPr="0005604E">
        <w:rPr>
          <w:rStyle w:val="FootnoteReference"/>
          <w:sz w:val="16"/>
        </w:rPr>
        <w:footnoteRef/>
      </w:r>
      <w:r>
        <w:t xml:space="preserve"> </w:t>
      </w:r>
      <w:r w:rsidRPr="009704D1">
        <w:rPr>
          <w:sz w:val="16"/>
        </w:rPr>
        <w:t xml:space="preserve">Hamilton, S. and Casey, D. (2016) Creation of a high </w:t>
      </w:r>
      <w:proofErr w:type="spellStart"/>
      <w:r w:rsidRPr="009704D1">
        <w:rPr>
          <w:sz w:val="16"/>
        </w:rPr>
        <w:t>spatio</w:t>
      </w:r>
      <w:proofErr w:type="spellEnd"/>
      <w:r w:rsidRPr="009704D1">
        <w:rPr>
          <w:sz w:val="16"/>
        </w:rPr>
        <w:t>-temporal resolution global database of continuous mangrove forest cover for the 21st century</w:t>
      </w:r>
    </w:p>
  </w:footnote>
  <w:footnote w:id="18">
    <w:p w14:paraId="73326524" w14:textId="77777777" w:rsidR="009D672A" w:rsidRPr="00B3440D" w:rsidRDefault="009D672A" w:rsidP="0005604E">
      <w:pPr>
        <w:pStyle w:val="FootnoteText"/>
      </w:pPr>
      <w:r w:rsidRPr="00B3440D">
        <w:rPr>
          <w:rStyle w:val="FootnoteReference"/>
          <w:sz w:val="16"/>
        </w:rPr>
        <w:footnoteRef/>
      </w:r>
      <w:r w:rsidRPr="00B3440D">
        <w:rPr>
          <w:sz w:val="16"/>
        </w:rPr>
        <w:t xml:space="preserve"> </w:t>
      </w:r>
      <w:proofErr w:type="spellStart"/>
      <w:r w:rsidRPr="00B3440D">
        <w:rPr>
          <w:sz w:val="16"/>
        </w:rPr>
        <w:t>Giri</w:t>
      </w:r>
      <w:proofErr w:type="spellEnd"/>
      <w:r w:rsidRPr="00B3440D">
        <w:rPr>
          <w:sz w:val="16"/>
        </w:rPr>
        <w:t xml:space="preserve">, C. </w:t>
      </w:r>
      <w:r w:rsidRPr="00B3440D">
        <w:rPr>
          <w:i/>
          <w:sz w:val="16"/>
        </w:rPr>
        <w:t>et al</w:t>
      </w:r>
      <w:r w:rsidRPr="00B3440D">
        <w:rPr>
          <w:sz w:val="16"/>
        </w:rPr>
        <w:t xml:space="preserve"> (2011) Status and distribution of mangrove forests of the world using earth observation satellite data</w:t>
      </w:r>
    </w:p>
  </w:footnote>
  <w:footnote w:id="19">
    <w:p w14:paraId="6F5F190D" w14:textId="77777777" w:rsidR="009D672A" w:rsidRDefault="009D672A" w:rsidP="0005604E">
      <w:pPr>
        <w:pStyle w:val="FootnoteText"/>
      </w:pPr>
      <w:r w:rsidRPr="002C7419">
        <w:rPr>
          <w:rStyle w:val="FootnoteReference"/>
          <w:sz w:val="16"/>
        </w:rPr>
        <w:footnoteRef/>
      </w:r>
      <w:r w:rsidRPr="002C7419">
        <w:rPr>
          <w:sz w:val="16"/>
        </w:rPr>
        <w:t xml:space="preserve"> http://www.fao.org/docrep/004/y1997e/y1997e0c.htm</w:t>
      </w:r>
    </w:p>
  </w:footnote>
  <w:footnote w:id="20">
    <w:p w14:paraId="2E50F50B" w14:textId="77777777" w:rsidR="009D672A" w:rsidRPr="00513C25" w:rsidRDefault="009D672A" w:rsidP="0005604E">
      <w:pPr>
        <w:pStyle w:val="FootnoteText"/>
        <w:rPr>
          <w:sz w:val="16"/>
          <w:szCs w:val="16"/>
        </w:rPr>
      </w:pPr>
      <w:r w:rsidRPr="00513C25">
        <w:rPr>
          <w:rStyle w:val="FootnoteReference"/>
          <w:sz w:val="16"/>
          <w:szCs w:val="16"/>
        </w:rPr>
        <w:footnoteRef/>
      </w:r>
      <w:r w:rsidRPr="00513C25">
        <w:rPr>
          <w:sz w:val="16"/>
          <w:szCs w:val="16"/>
        </w:rPr>
        <w:t xml:space="preserve"> Duke, N. C. </w:t>
      </w:r>
      <w:r w:rsidRPr="00513C25">
        <w:rPr>
          <w:i/>
          <w:sz w:val="16"/>
          <w:szCs w:val="16"/>
        </w:rPr>
        <w:t xml:space="preserve">et al. </w:t>
      </w:r>
      <w:r w:rsidRPr="00513C25">
        <w:rPr>
          <w:sz w:val="16"/>
          <w:szCs w:val="16"/>
        </w:rPr>
        <w:t xml:space="preserve">(2017) Large-scale dieback of mangroves in Australia’s Gulf of Carpentaria: a severe ecosystem response, coincidental with an unusually extreme weather event. </w:t>
      </w:r>
      <w:r w:rsidRPr="00513C25">
        <w:rPr>
          <w:i/>
          <w:sz w:val="16"/>
          <w:szCs w:val="16"/>
        </w:rPr>
        <w:t>Marine and Freshwater Research</w:t>
      </w:r>
      <w:r w:rsidRPr="00513C25">
        <w:rPr>
          <w:sz w:val="16"/>
          <w:szCs w:val="16"/>
        </w:rPr>
        <w:t>.</w:t>
      </w:r>
    </w:p>
  </w:footnote>
  <w:footnote w:id="21">
    <w:p w14:paraId="72D5816F" w14:textId="77777777" w:rsidR="009D672A" w:rsidRDefault="009D672A" w:rsidP="0005604E">
      <w:pPr>
        <w:pStyle w:val="FootnoteText"/>
      </w:pPr>
      <w:r w:rsidRPr="00D97F25">
        <w:rPr>
          <w:rStyle w:val="FootnoteReference"/>
          <w:sz w:val="16"/>
        </w:rPr>
        <w:footnoteRef/>
      </w:r>
      <w:r w:rsidRPr="00D97F25">
        <w:rPr>
          <w:sz w:val="16"/>
        </w:rPr>
        <w:t xml:space="preserve"> Lewis</w:t>
      </w:r>
      <w:r>
        <w:rPr>
          <w:sz w:val="16"/>
        </w:rPr>
        <w:t>, R.</w:t>
      </w:r>
      <w:r w:rsidRPr="00D97F25">
        <w:rPr>
          <w:sz w:val="16"/>
        </w:rPr>
        <w:t xml:space="preserve"> and Brown</w:t>
      </w:r>
      <w:r>
        <w:rPr>
          <w:sz w:val="16"/>
        </w:rPr>
        <w:t>, B.</w:t>
      </w:r>
      <w:r w:rsidRPr="00D97F25">
        <w:rPr>
          <w:sz w:val="16"/>
        </w:rPr>
        <w:t xml:space="preserve"> (2014) Ecological Mangrove Rehabilitation A Field Manual for Practitioners</w:t>
      </w:r>
    </w:p>
  </w:footnote>
  <w:footnote w:id="22">
    <w:p w14:paraId="03D36262" w14:textId="77777777" w:rsidR="009D672A" w:rsidRDefault="009D672A" w:rsidP="0005604E">
      <w:pPr>
        <w:pStyle w:val="FootnoteText"/>
      </w:pPr>
      <w:r w:rsidRPr="00AA0C66">
        <w:rPr>
          <w:rStyle w:val="FootnoteReference"/>
          <w:sz w:val="16"/>
        </w:rPr>
        <w:footnoteRef/>
      </w:r>
      <w:r w:rsidRPr="00AA0C66">
        <w:rPr>
          <w:sz w:val="16"/>
        </w:rPr>
        <w:t xml:space="preserve"> https://www.iucn.org/news/forests/201702/mass-mangrove-restoration-driven-good-intentions-offering-limited-results</w:t>
      </w:r>
    </w:p>
  </w:footnote>
  <w:footnote w:id="23">
    <w:p w14:paraId="4D767F0A" w14:textId="77777777" w:rsidR="009D672A" w:rsidRPr="00C33667" w:rsidRDefault="009D672A" w:rsidP="00956A1A">
      <w:pPr>
        <w:pStyle w:val="FootnoteText"/>
        <w:rPr>
          <w:sz w:val="16"/>
          <w:szCs w:val="16"/>
        </w:rPr>
      </w:pPr>
      <w:r w:rsidRPr="00C33667">
        <w:rPr>
          <w:rStyle w:val="FootnoteReference"/>
          <w:sz w:val="16"/>
          <w:szCs w:val="16"/>
        </w:rPr>
        <w:footnoteRef/>
      </w:r>
      <w:r w:rsidRPr="00C33667">
        <w:rPr>
          <w:sz w:val="16"/>
          <w:szCs w:val="16"/>
        </w:rPr>
        <w:t xml:space="preserve"> The benefit calculations are estimated based on the area of mangrove protected/restored and the associated ecosystem service benefits produced including carbon sequestration, coastal protection and food provision</w:t>
      </w:r>
    </w:p>
  </w:footnote>
  <w:footnote w:id="24">
    <w:p w14:paraId="55F4829D" w14:textId="77777777" w:rsidR="009D672A" w:rsidRDefault="009D672A" w:rsidP="00956A1A">
      <w:pPr>
        <w:pStyle w:val="FootnoteText"/>
      </w:pPr>
    </w:p>
  </w:footnote>
  <w:footnote w:id="25">
    <w:p w14:paraId="2043B507" w14:textId="77777777" w:rsidR="009D672A" w:rsidRPr="00866E69" w:rsidRDefault="009D672A" w:rsidP="00956A1A">
      <w:pPr>
        <w:pStyle w:val="FootnoteText"/>
        <w:rPr>
          <w:sz w:val="16"/>
        </w:rPr>
      </w:pPr>
      <w:r w:rsidRPr="00866E69">
        <w:rPr>
          <w:rStyle w:val="FootnoteReference"/>
          <w:sz w:val="16"/>
        </w:rPr>
        <w:footnoteRef/>
      </w:r>
      <w:r w:rsidRPr="00866E69">
        <w:rPr>
          <w:sz w:val="16"/>
        </w:rPr>
        <w:t xml:space="preserve"> Hamilton, SE et al. (2018) “Global carbon stocks and potential emissions due to mangrove deforestation from 2000 to 2012”</w:t>
      </w:r>
    </w:p>
  </w:footnote>
  <w:footnote w:id="26">
    <w:p w14:paraId="608487E9" w14:textId="77777777" w:rsidR="009D672A" w:rsidRDefault="009D672A" w:rsidP="00956A1A">
      <w:pPr>
        <w:pStyle w:val="FootnoteText"/>
        <w:tabs>
          <w:tab w:val="left" w:pos="1346"/>
        </w:tabs>
      </w:pPr>
      <w:r w:rsidRPr="00866E69">
        <w:rPr>
          <w:rStyle w:val="FootnoteReference"/>
          <w:sz w:val="16"/>
        </w:rPr>
        <w:footnoteRef/>
      </w:r>
      <w:r w:rsidRPr="00866E69">
        <w:rPr>
          <w:sz w:val="16"/>
        </w:rPr>
        <w:t xml:space="preserve"> Thomas, N. et al (2017) “Distribution and drivers of global mangrove forest change, 1996-2010”</w:t>
      </w:r>
    </w:p>
  </w:footnote>
  <w:footnote w:id="27">
    <w:p w14:paraId="575EE297" w14:textId="77777777" w:rsidR="009D672A" w:rsidRDefault="009D672A" w:rsidP="00956A1A">
      <w:pPr>
        <w:pStyle w:val="FootnoteText"/>
        <w:rPr>
          <w:sz w:val="16"/>
          <w:szCs w:val="16"/>
        </w:rPr>
      </w:pPr>
      <w:r w:rsidRPr="001D50D0">
        <w:rPr>
          <w:rStyle w:val="FootnoteReference"/>
          <w:sz w:val="16"/>
          <w:szCs w:val="16"/>
        </w:rPr>
        <w:footnoteRef/>
      </w:r>
      <w:r w:rsidRPr="001D50D0">
        <w:rPr>
          <w:sz w:val="16"/>
          <w:szCs w:val="16"/>
        </w:rPr>
        <w:t xml:space="preserve"> 1 - Sustainable Forest Management Project Mangrove Restoration,</w:t>
      </w:r>
      <w:r>
        <w:rPr>
          <w:sz w:val="16"/>
          <w:szCs w:val="16"/>
        </w:rPr>
        <w:t xml:space="preserve"> Jamaica</w:t>
      </w:r>
    </w:p>
    <w:p w14:paraId="6E2798BD" w14:textId="77777777" w:rsidR="009D672A" w:rsidRDefault="009D672A" w:rsidP="00956A1A">
      <w:pPr>
        <w:pStyle w:val="FootnoteText"/>
        <w:rPr>
          <w:sz w:val="16"/>
          <w:szCs w:val="16"/>
        </w:rPr>
      </w:pPr>
      <w:r>
        <w:rPr>
          <w:sz w:val="16"/>
          <w:szCs w:val="16"/>
        </w:rPr>
        <w:t xml:space="preserve">   </w:t>
      </w:r>
      <w:r w:rsidRPr="001D50D0">
        <w:rPr>
          <w:sz w:val="16"/>
          <w:szCs w:val="16"/>
        </w:rPr>
        <w:t>6 - Blue Carbon– Strengthening Local Governance &amp; Benefits</w:t>
      </w:r>
      <w:r>
        <w:rPr>
          <w:sz w:val="16"/>
          <w:szCs w:val="16"/>
        </w:rPr>
        <w:t>, Ecuador</w:t>
      </w:r>
    </w:p>
    <w:p w14:paraId="001B7B5B" w14:textId="77777777" w:rsidR="009D672A" w:rsidRPr="001D50D0" w:rsidRDefault="009D672A" w:rsidP="00956A1A">
      <w:pPr>
        <w:pStyle w:val="FootnoteText"/>
        <w:rPr>
          <w:sz w:val="16"/>
          <w:szCs w:val="16"/>
        </w:rPr>
      </w:pPr>
      <w:r>
        <w:rPr>
          <w:sz w:val="16"/>
          <w:szCs w:val="16"/>
        </w:rPr>
        <w:t xml:space="preserve">   </w:t>
      </w:r>
      <w:r w:rsidRPr="001D50D0">
        <w:rPr>
          <w:sz w:val="16"/>
          <w:szCs w:val="16"/>
        </w:rPr>
        <w:t>7 - Carbon Offering, Honduras</w:t>
      </w:r>
    </w:p>
  </w:footnote>
  <w:footnote w:id="28">
    <w:p w14:paraId="39580CBA" w14:textId="77777777" w:rsidR="009D672A" w:rsidRPr="00EB3776" w:rsidRDefault="009D672A" w:rsidP="00956A1A">
      <w:pPr>
        <w:pStyle w:val="FootnoteText"/>
        <w:rPr>
          <w:sz w:val="16"/>
          <w:szCs w:val="16"/>
        </w:rPr>
      </w:pPr>
      <w:r>
        <w:rPr>
          <w:rStyle w:val="FootnoteReference"/>
        </w:rPr>
        <w:footnoteRef/>
      </w:r>
      <w:r>
        <w:t xml:space="preserve"> </w:t>
      </w:r>
      <w:r w:rsidRPr="00EB3776">
        <w:rPr>
          <w:sz w:val="16"/>
          <w:szCs w:val="16"/>
        </w:rPr>
        <w:t>3 - Blue Carbon– Strengthening Local Governance &amp; Benefits, Colombia</w:t>
      </w:r>
    </w:p>
    <w:p w14:paraId="01ED1E08" w14:textId="77777777" w:rsidR="009D672A" w:rsidRPr="00EB3776" w:rsidRDefault="009D672A" w:rsidP="00956A1A">
      <w:pPr>
        <w:pStyle w:val="FootnoteText"/>
        <w:rPr>
          <w:sz w:val="16"/>
          <w:szCs w:val="16"/>
        </w:rPr>
      </w:pPr>
      <w:r>
        <w:rPr>
          <w:sz w:val="16"/>
          <w:szCs w:val="16"/>
        </w:rPr>
        <w:t xml:space="preserve">   </w:t>
      </w:r>
      <w:r w:rsidRPr="00EB3776">
        <w:rPr>
          <w:sz w:val="16"/>
          <w:szCs w:val="16"/>
        </w:rPr>
        <w:t>4 - Blue Carbon– Strengthening Local Governance &amp; Benefits, Panama</w:t>
      </w:r>
    </w:p>
    <w:p w14:paraId="00A5CE56" w14:textId="77777777" w:rsidR="009D672A" w:rsidRDefault="009D672A" w:rsidP="00956A1A">
      <w:pPr>
        <w:pStyle w:val="FootnoteText"/>
      </w:pPr>
      <w:r>
        <w:rPr>
          <w:sz w:val="16"/>
          <w:szCs w:val="16"/>
        </w:rPr>
        <w:t xml:space="preserve">   </w:t>
      </w:r>
      <w:r w:rsidRPr="00EB3776">
        <w:rPr>
          <w:sz w:val="16"/>
          <w:szCs w:val="16"/>
        </w:rPr>
        <w:t xml:space="preserve">5 - </w:t>
      </w:r>
      <w:r w:rsidRPr="00EB3776">
        <w:rPr>
          <w:color w:val="000000"/>
          <w:sz w:val="16"/>
          <w:szCs w:val="16"/>
        </w:rPr>
        <w:t>Regional Blue Carbon, Ecosystem Services, Resilience, and Biodiversity Program, Panama and Colombia</w:t>
      </w:r>
    </w:p>
  </w:footnote>
  <w:footnote w:id="29">
    <w:p w14:paraId="190DBF19" w14:textId="41063B70" w:rsidR="009D672A" w:rsidRPr="00240011" w:rsidRDefault="009D672A">
      <w:pPr>
        <w:pStyle w:val="FootnoteText"/>
        <w:rPr>
          <w:sz w:val="16"/>
          <w:szCs w:val="16"/>
          <w:lang w:val="en"/>
        </w:rPr>
      </w:pPr>
      <w:r w:rsidRPr="00240011">
        <w:rPr>
          <w:rStyle w:val="FootnoteReference"/>
          <w:sz w:val="16"/>
          <w:szCs w:val="16"/>
        </w:rPr>
        <w:footnoteRef/>
      </w:r>
      <w:r w:rsidRPr="00240011">
        <w:rPr>
          <w:sz w:val="16"/>
          <w:szCs w:val="16"/>
        </w:rPr>
        <w:t xml:space="preserve"> </w:t>
      </w:r>
      <w:r w:rsidRPr="00240011">
        <w:rPr>
          <w:rStyle w:val="mixed-citation"/>
          <w:sz w:val="16"/>
          <w:szCs w:val="16"/>
          <w:lang w:val="en"/>
        </w:rPr>
        <w:t>Intergovernmental Panel on Climate Change (IPCC). 2013 Supplement to the 2006 IPCC Guidelines for National Greenhouse Gas Inv</w:t>
      </w:r>
      <w:r>
        <w:rPr>
          <w:rStyle w:val="mixed-citation"/>
          <w:sz w:val="16"/>
          <w:szCs w:val="16"/>
          <w:lang w:val="en"/>
        </w:rPr>
        <w:t xml:space="preserve">entories: Wetlands, </w:t>
      </w:r>
      <w:proofErr w:type="spellStart"/>
      <w:r>
        <w:rPr>
          <w:rStyle w:val="mixed-citation"/>
          <w:sz w:val="16"/>
          <w:szCs w:val="16"/>
          <w:lang w:val="en"/>
        </w:rPr>
        <w:t>Hiraishi</w:t>
      </w:r>
      <w:proofErr w:type="spellEnd"/>
      <w:r>
        <w:rPr>
          <w:rStyle w:val="mixed-citation"/>
          <w:sz w:val="16"/>
          <w:szCs w:val="16"/>
          <w:lang w:val="en"/>
        </w:rPr>
        <w:t xml:space="preserve"> T. et al. </w:t>
      </w:r>
      <w:r w:rsidRPr="00240011">
        <w:rPr>
          <w:rStyle w:val="mixed-citation"/>
          <w:sz w:val="16"/>
          <w:szCs w:val="16"/>
          <w:lang w:val="en"/>
        </w:rPr>
        <w:t>(</w:t>
      </w:r>
      <w:proofErr w:type="spellStart"/>
      <w:proofErr w:type="gramStart"/>
      <w:r w:rsidRPr="00240011">
        <w:rPr>
          <w:rStyle w:val="mixed-citation"/>
          <w:sz w:val="16"/>
          <w:szCs w:val="16"/>
          <w:lang w:val="en"/>
        </w:rPr>
        <w:t>eds</w:t>
      </w:r>
      <w:proofErr w:type="spellEnd"/>
      <w:proofErr w:type="gramEnd"/>
      <w:r w:rsidRPr="00240011">
        <w:rPr>
          <w:rStyle w:val="mixed-citation"/>
          <w:sz w:val="16"/>
          <w:szCs w:val="16"/>
          <w:lang w:val="en"/>
        </w:rPr>
        <w:t xml:space="preserve">). </w:t>
      </w:r>
      <w:hyperlink r:id="rId3" w:history="1">
        <w:r w:rsidRPr="00F75925">
          <w:rPr>
            <w:rStyle w:val="Hyperlink"/>
            <w:sz w:val="16"/>
            <w:szCs w:val="16"/>
            <w:lang w:val="en"/>
          </w:rPr>
          <w:t>https://www.ipcc-nggip.iges.or.jp/public/wetlands/pdf/Wetlands_Supplement_Entire_Report.pdf</w:t>
        </w:r>
      </w:hyperlink>
    </w:p>
  </w:footnote>
  <w:footnote w:id="30">
    <w:p w14:paraId="3740DCC2" w14:textId="692982C3" w:rsidR="009D672A" w:rsidRPr="00240011" w:rsidRDefault="009D672A">
      <w:pPr>
        <w:pStyle w:val="FootnoteText"/>
        <w:rPr>
          <w:sz w:val="16"/>
          <w:szCs w:val="16"/>
          <w:lang w:val="en-GB"/>
        </w:rPr>
      </w:pPr>
      <w:r w:rsidRPr="00240011">
        <w:rPr>
          <w:rStyle w:val="FootnoteReference"/>
          <w:sz w:val="16"/>
          <w:szCs w:val="16"/>
        </w:rPr>
        <w:footnoteRef/>
      </w:r>
      <w:r w:rsidRPr="00240011">
        <w:rPr>
          <w:sz w:val="16"/>
          <w:szCs w:val="16"/>
        </w:rPr>
        <w:t xml:space="preserve"> </w:t>
      </w:r>
      <w:r w:rsidRPr="00BD15AB">
        <w:rPr>
          <w:sz w:val="16"/>
          <w:szCs w:val="16"/>
        </w:rPr>
        <w:t xml:space="preserve">Kauffman, J. B. and </w:t>
      </w:r>
      <w:proofErr w:type="spellStart"/>
      <w:r w:rsidRPr="00BD15AB">
        <w:rPr>
          <w:sz w:val="16"/>
          <w:szCs w:val="16"/>
        </w:rPr>
        <w:t>Bhomia</w:t>
      </w:r>
      <w:proofErr w:type="spellEnd"/>
      <w:r w:rsidRPr="00BD15AB">
        <w:rPr>
          <w:sz w:val="16"/>
          <w:szCs w:val="16"/>
        </w:rPr>
        <w:t>, R. K. (2017) "Ecosystem carbon stocks of mangroves across broad environmental gradients in West-Central Africa: Global and regional comparisons".</w:t>
      </w:r>
    </w:p>
  </w:footnote>
  <w:footnote w:id="31">
    <w:p w14:paraId="1B93CFCC" w14:textId="7996E40A" w:rsidR="009D672A" w:rsidRPr="00240011" w:rsidRDefault="009D672A">
      <w:pPr>
        <w:pStyle w:val="FootnoteText"/>
        <w:rPr>
          <w:i/>
          <w:sz w:val="16"/>
          <w:szCs w:val="16"/>
        </w:rPr>
      </w:pPr>
      <w:r w:rsidRPr="00240011">
        <w:rPr>
          <w:rStyle w:val="FootnoteReference"/>
          <w:sz w:val="16"/>
          <w:szCs w:val="16"/>
        </w:rPr>
        <w:footnoteRef/>
      </w:r>
      <w:r w:rsidRPr="00240011">
        <w:rPr>
          <w:sz w:val="16"/>
          <w:szCs w:val="16"/>
        </w:rPr>
        <w:t xml:space="preserve"> Donato, D. C. et al. (2011) “Mangroves among the most carbon-rich forests in the tropics” </w:t>
      </w:r>
      <w:r w:rsidRPr="00240011">
        <w:rPr>
          <w:i/>
          <w:sz w:val="16"/>
          <w:szCs w:val="16"/>
        </w:rPr>
        <w:t xml:space="preserve">Nature Geoscience. </w:t>
      </w:r>
    </w:p>
  </w:footnote>
  <w:footnote w:id="32">
    <w:p w14:paraId="5A2B37F9" w14:textId="77777777" w:rsidR="009D672A" w:rsidRDefault="009D672A" w:rsidP="00956A1A">
      <w:pPr>
        <w:pStyle w:val="FootnoteText"/>
      </w:pPr>
      <w:r w:rsidRPr="007F02AC">
        <w:rPr>
          <w:rStyle w:val="FootnoteReference"/>
          <w:sz w:val="16"/>
          <w:szCs w:val="16"/>
        </w:rPr>
        <w:footnoteRef/>
      </w:r>
      <w:r w:rsidRPr="007F02AC">
        <w:rPr>
          <w:sz w:val="16"/>
          <w:szCs w:val="16"/>
        </w:rPr>
        <w:t xml:space="preserve"> </w:t>
      </w:r>
      <w:proofErr w:type="spellStart"/>
      <w:r w:rsidRPr="007F02AC">
        <w:rPr>
          <w:sz w:val="16"/>
          <w:szCs w:val="16"/>
        </w:rPr>
        <w:t>Alongi</w:t>
      </w:r>
      <w:proofErr w:type="spellEnd"/>
      <w:r w:rsidRPr="007F02AC">
        <w:rPr>
          <w:sz w:val="16"/>
          <w:szCs w:val="16"/>
        </w:rPr>
        <w:t>, D. M. (2014) “Carbon sequestration in mangrove forests”</w:t>
      </w:r>
    </w:p>
  </w:footnote>
  <w:footnote w:id="33">
    <w:p w14:paraId="470F2DB0" w14:textId="77777777" w:rsidR="009D672A" w:rsidRPr="001329C0" w:rsidRDefault="009D672A" w:rsidP="00866E69">
      <w:pPr>
        <w:pStyle w:val="FootnoteText"/>
        <w:jc w:val="left"/>
        <w:rPr>
          <w:sz w:val="16"/>
          <w:szCs w:val="16"/>
        </w:rPr>
      </w:pPr>
      <w:r w:rsidRPr="001329C0">
        <w:rPr>
          <w:rStyle w:val="FootnoteReference"/>
          <w:sz w:val="16"/>
          <w:szCs w:val="16"/>
        </w:rPr>
        <w:footnoteRef/>
      </w:r>
      <w:r w:rsidRPr="001329C0">
        <w:rPr>
          <w:sz w:val="16"/>
          <w:szCs w:val="16"/>
        </w:rPr>
        <w:t xml:space="preserve"> </w:t>
      </w:r>
      <w:r>
        <w:rPr>
          <w:sz w:val="16"/>
          <w:szCs w:val="16"/>
        </w:rPr>
        <w:t xml:space="preserve">Van der </w:t>
      </w:r>
      <w:proofErr w:type="spellStart"/>
      <w:r>
        <w:rPr>
          <w:sz w:val="16"/>
          <w:szCs w:val="16"/>
        </w:rPr>
        <w:t>Ploeg</w:t>
      </w:r>
      <w:proofErr w:type="spellEnd"/>
      <w:r>
        <w:rPr>
          <w:sz w:val="16"/>
          <w:szCs w:val="16"/>
        </w:rPr>
        <w:t xml:space="preserve">, S. and de Groot, R. S. (2010) The TEEB Valuation Database. Foundation for Sustainable Development. </w:t>
      </w:r>
      <w:hyperlink r:id="rId4" w:history="1">
        <w:r w:rsidRPr="002C06AC">
          <w:rPr>
            <w:rStyle w:val="Hyperlink"/>
            <w:sz w:val="16"/>
            <w:szCs w:val="16"/>
          </w:rPr>
          <w:t>https://www.es-partnership.org/services/data-knowledge-sharing/ecosystem-service-valuation-database/</w:t>
        </w:r>
      </w:hyperlink>
    </w:p>
  </w:footnote>
  <w:footnote w:id="34">
    <w:p w14:paraId="2C5897CC" w14:textId="77777777" w:rsidR="009D672A" w:rsidRPr="001329C0" w:rsidRDefault="009D672A" w:rsidP="00866E69">
      <w:pPr>
        <w:pStyle w:val="FootnoteText"/>
        <w:jc w:val="left"/>
        <w:rPr>
          <w:sz w:val="16"/>
          <w:szCs w:val="16"/>
        </w:rPr>
      </w:pPr>
      <w:r w:rsidRPr="001329C0">
        <w:rPr>
          <w:rStyle w:val="FootnoteReference"/>
          <w:sz w:val="16"/>
          <w:szCs w:val="16"/>
        </w:rPr>
        <w:footnoteRef/>
      </w:r>
      <w:r>
        <w:rPr>
          <w:sz w:val="16"/>
          <w:szCs w:val="16"/>
        </w:rPr>
        <w:t xml:space="preserve">HM Treasury (2018) </w:t>
      </w:r>
      <w:proofErr w:type="gramStart"/>
      <w:r>
        <w:rPr>
          <w:sz w:val="16"/>
          <w:szCs w:val="16"/>
        </w:rPr>
        <w:t>The</w:t>
      </w:r>
      <w:proofErr w:type="gramEnd"/>
      <w:r>
        <w:rPr>
          <w:sz w:val="16"/>
          <w:szCs w:val="16"/>
        </w:rPr>
        <w:t xml:space="preserve"> Green Book: Central Government Guidance on Appraisal and Evaluation. </w:t>
      </w:r>
      <w:hyperlink r:id="rId5" w:history="1">
        <w:r w:rsidRPr="002C06AC">
          <w:rPr>
            <w:rStyle w:val="Hyperlink"/>
            <w:sz w:val="16"/>
            <w:szCs w:val="16"/>
          </w:rPr>
          <w:t>https://assets.publishing.service.gov.uk/government/uploads/system/uploads/attachment_data/file/685903/The_Green_Book.pdf</w:t>
        </w:r>
      </w:hyperlink>
    </w:p>
  </w:footnote>
  <w:footnote w:id="35">
    <w:p w14:paraId="5DC4454C" w14:textId="75D219F5" w:rsidR="009D672A" w:rsidRDefault="009D672A" w:rsidP="00866E69">
      <w:pPr>
        <w:pStyle w:val="FootnoteText"/>
        <w:jc w:val="left"/>
      </w:pPr>
      <w:r>
        <w:rPr>
          <w:sz w:val="16"/>
          <w:szCs w:val="16"/>
        </w:rPr>
        <w:t>[Redacted]</w:t>
      </w:r>
    </w:p>
  </w:footnote>
  <w:footnote w:id="36">
    <w:p w14:paraId="24C8687C" w14:textId="6422805E" w:rsidR="009D672A" w:rsidRPr="00240011" w:rsidRDefault="009D672A">
      <w:pPr>
        <w:pStyle w:val="FootnoteText"/>
        <w:rPr>
          <w:sz w:val="16"/>
          <w:szCs w:val="16"/>
          <w:lang w:val="en-GB"/>
        </w:rPr>
      </w:pPr>
      <w:r w:rsidRPr="00240011">
        <w:rPr>
          <w:rStyle w:val="FootnoteReference"/>
          <w:sz w:val="16"/>
          <w:szCs w:val="16"/>
        </w:rPr>
        <w:footnoteRef/>
      </w:r>
      <w:r w:rsidRPr="00240011">
        <w:rPr>
          <w:sz w:val="16"/>
          <w:szCs w:val="16"/>
        </w:rPr>
        <w:t xml:space="preserve"> </w:t>
      </w:r>
      <w:r w:rsidRPr="00240011">
        <w:rPr>
          <w:sz w:val="16"/>
          <w:szCs w:val="16"/>
          <w:lang w:val="en-GB"/>
        </w:rPr>
        <w:t>UNEP-WCMC (2006) “In the Front Line: Shoreline Protection and Other Ecosystem Services from Mangroves and Coral Reefs”</w:t>
      </w:r>
    </w:p>
  </w:footnote>
  <w:footnote w:id="37">
    <w:p w14:paraId="1DFA63B8" w14:textId="488FBD51" w:rsidR="009D672A" w:rsidRPr="00240011" w:rsidRDefault="009D672A">
      <w:pPr>
        <w:pStyle w:val="FootnoteText"/>
        <w:rPr>
          <w:lang w:val="en-GB"/>
        </w:rPr>
      </w:pPr>
      <w:r w:rsidRPr="00240011">
        <w:rPr>
          <w:rStyle w:val="FootnoteReference"/>
          <w:sz w:val="16"/>
          <w:szCs w:val="16"/>
        </w:rPr>
        <w:footnoteRef/>
      </w:r>
      <w:r w:rsidRPr="001F6E59">
        <w:rPr>
          <w:sz w:val="16"/>
          <w:szCs w:val="16"/>
        </w:rPr>
        <w:t xml:space="preserve"> Van der </w:t>
      </w:r>
      <w:proofErr w:type="spellStart"/>
      <w:r w:rsidRPr="001F6E59">
        <w:rPr>
          <w:sz w:val="16"/>
          <w:szCs w:val="16"/>
        </w:rPr>
        <w:t>Ploeg</w:t>
      </w:r>
      <w:proofErr w:type="spellEnd"/>
      <w:r w:rsidRPr="001F6E59">
        <w:rPr>
          <w:sz w:val="16"/>
          <w:szCs w:val="16"/>
        </w:rPr>
        <w:t xml:space="preserve">, S. and de Groot, R. S. (2010) The TEEB Valuation Database. Foundation for Sustainable Development. </w:t>
      </w:r>
      <w:hyperlink r:id="rId6" w:history="1">
        <w:r w:rsidRPr="001F6E59">
          <w:rPr>
            <w:rStyle w:val="Hyperlink"/>
            <w:sz w:val="16"/>
            <w:szCs w:val="16"/>
          </w:rPr>
          <w:t>https://www.es-partnership.org/services/data-knowledge-sharing/ecosystem-service-valuation-database/</w:t>
        </w:r>
      </w:hyperlink>
    </w:p>
  </w:footnote>
  <w:footnote w:id="38">
    <w:p w14:paraId="11918F13" w14:textId="77777777" w:rsidR="009D672A" w:rsidRPr="007F02AC" w:rsidRDefault="009D672A" w:rsidP="00956A1A">
      <w:pPr>
        <w:pStyle w:val="FootnoteText"/>
        <w:rPr>
          <w:sz w:val="16"/>
          <w:szCs w:val="16"/>
        </w:rPr>
      </w:pPr>
      <w:r w:rsidRPr="007F02AC">
        <w:rPr>
          <w:rStyle w:val="FootnoteReference"/>
          <w:sz w:val="16"/>
          <w:szCs w:val="16"/>
        </w:rPr>
        <w:footnoteRef/>
      </w:r>
      <w:r w:rsidRPr="007F02AC">
        <w:rPr>
          <w:sz w:val="16"/>
          <w:szCs w:val="16"/>
        </w:rPr>
        <w:t xml:space="preserve"> Kauffman, J. B. and </w:t>
      </w:r>
      <w:proofErr w:type="spellStart"/>
      <w:r w:rsidRPr="007F02AC">
        <w:rPr>
          <w:sz w:val="16"/>
          <w:szCs w:val="16"/>
        </w:rPr>
        <w:t>Bhomia</w:t>
      </w:r>
      <w:proofErr w:type="spellEnd"/>
      <w:r w:rsidRPr="007F02AC">
        <w:rPr>
          <w:sz w:val="16"/>
          <w:szCs w:val="16"/>
        </w:rPr>
        <w:t>, R. K. (2017) "Ecosystem carbon stocks of mangroves across broad environmental gradients in West-Central Africa: Global and regional comparisons".</w:t>
      </w:r>
    </w:p>
  </w:footnote>
  <w:footnote w:id="39">
    <w:p w14:paraId="443787D0" w14:textId="77777777" w:rsidR="009D672A" w:rsidRPr="00C55BAA" w:rsidRDefault="009D672A" w:rsidP="00CE7198">
      <w:pPr>
        <w:pStyle w:val="FootnoteText"/>
        <w:rPr>
          <w:i/>
          <w:sz w:val="16"/>
          <w:szCs w:val="16"/>
        </w:rPr>
      </w:pPr>
      <w:r w:rsidRPr="00C55BAA">
        <w:rPr>
          <w:rStyle w:val="FootnoteReference"/>
          <w:sz w:val="16"/>
          <w:szCs w:val="16"/>
        </w:rPr>
        <w:footnoteRef/>
      </w:r>
      <w:r w:rsidRPr="00C55BAA">
        <w:rPr>
          <w:sz w:val="16"/>
          <w:szCs w:val="16"/>
        </w:rPr>
        <w:t xml:space="preserve"> Donato, D. C. et al. (2011) “Mangroves among the most carbon-rich forests in the tropics” </w:t>
      </w:r>
      <w:r w:rsidRPr="00C55BAA">
        <w:rPr>
          <w:i/>
          <w:sz w:val="16"/>
          <w:szCs w:val="16"/>
        </w:rPr>
        <w:t xml:space="preserve">Nature Geoscience. </w:t>
      </w:r>
    </w:p>
  </w:footnote>
  <w:footnote w:id="40">
    <w:p w14:paraId="182A91E3" w14:textId="77777777" w:rsidR="009D672A" w:rsidRDefault="009D672A" w:rsidP="00956A1A">
      <w:pPr>
        <w:pStyle w:val="FootnoteText"/>
      </w:pPr>
      <w:r w:rsidRPr="007F02AC">
        <w:rPr>
          <w:rStyle w:val="FootnoteReference"/>
          <w:sz w:val="16"/>
          <w:szCs w:val="16"/>
        </w:rPr>
        <w:footnoteRef/>
      </w:r>
      <w:r w:rsidRPr="007F02AC">
        <w:rPr>
          <w:sz w:val="16"/>
          <w:szCs w:val="16"/>
        </w:rPr>
        <w:t xml:space="preserve"> </w:t>
      </w:r>
      <w:proofErr w:type="spellStart"/>
      <w:r w:rsidRPr="007F02AC">
        <w:rPr>
          <w:sz w:val="16"/>
          <w:szCs w:val="16"/>
        </w:rPr>
        <w:t>Alongi</w:t>
      </w:r>
      <w:proofErr w:type="spellEnd"/>
      <w:r w:rsidRPr="007F02AC">
        <w:rPr>
          <w:sz w:val="16"/>
          <w:szCs w:val="16"/>
        </w:rPr>
        <w:t>, D. M. (2014) “Carbon sequestration in mangrove forests”</w:t>
      </w:r>
    </w:p>
  </w:footnote>
  <w:footnote w:id="41">
    <w:p w14:paraId="342B7DF8" w14:textId="30FE19FA" w:rsidR="009D672A" w:rsidRDefault="009D672A" w:rsidP="00956A1A">
      <w:pPr>
        <w:pStyle w:val="FootnoteText"/>
      </w:pPr>
      <w:r>
        <w:t>[Redacted]</w:t>
      </w:r>
    </w:p>
  </w:footnote>
  <w:footnote w:id="42">
    <w:p w14:paraId="306532A1" w14:textId="4F88C0BB" w:rsidR="009D672A" w:rsidRPr="002C0CA7" w:rsidRDefault="009D672A">
      <w:pPr>
        <w:pStyle w:val="FootnoteText"/>
        <w:rPr>
          <w:lang w:val="en-GB"/>
        </w:rPr>
      </w:pPr>
      <w:r w:rsidRPr="002C0CA7">
        <w:rPr>
          <w:rStyle w:val="FootnoteReference"/>
          <w:sz w:val="16"/>
        </w:rPr>
        <w:footnoteRef/>
      </w:r>
      <w:r w:rsidRPr="002C0CA7">
        <w:rPr>
          <w:sz w:val="16"/>
        </w:rPr>
        <w:t xml:space="preserve"> Examples of this can be found at https://www.ycombinator.com/documents/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FB4B4" w14:textId="54498BAB" w:rsidR="009D672A" w:rsidRDefault="009D672A" w:rsidP="00E25194">
    <w:pPr>
      <w:pStyle w:val="Header"/>
      <w:jc w:val="center"/>
    </w:pPr>
    <w:r>
      <w:t>OFFICIAL SENSITIVE</w:t>
    </w:r>
  </w:p>
  <w:p w14:paraId="39DA9B2C" w14:textId="2E10DC77" w:rsidR="009D672A" w:rsidRDefault="009D672A" w:rsidP="00E25194">
    <w:pPr>
      <w:pStyle w:val="Header"/>
      <w:jc w:val="center"/>
    </w:pPr>
    <w:r>
      <w:t xml:space="preserve">ICF Business Case 2018 </w:t>
    </w:r>
    <w:r w:rsidRPr="00BA6FBB">
      <w:t xml:space="preserve">– </w:t>
    </w:r>
    <w:r w:rsidRPr="00DD7BB7">
      <w:t>GB-GOV-7-ICF-P</w:t>
    </w:r>
    <w:r>
      <w:t>0</w:t>
    </w:r>
    <w:r w:rsidRPr="00DD7BB7">
      <w:t>008-UKBLUECARBONFUND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82D60"/>
    <w:multiLevelType w:val="hybridMultilevel"/>
    <w:tmpl w:val="394EB6DC"/>
    <w:lvl w:ilvl="0" w:tplc="87122CEE">
      <w:start w:val="3"/>
      <w:numFmt w:val="bullet"/>
      <w:lvlText w:val="-"/>
      <w:lvlJc w:val="left"/>
      <w:pPr>
        <w:ind w:left="720" w:hanging="360"/>
      </w:pPr>
      <w:rPr>
        <w:rFonts w:ascii="Calibri" w:eastAsia="Calibri" w:hAnsi="Calibri" w:cs="Times New Roman" w:hint="default"/>
      </w:rPr>
    </w:lvl>
    <w:lvl w:ilvl="1" w:tplc="9EF6B346">
      <w:numFmt w:val="bullet"/>
      <w:lvlText w:val="•"/>
      <w:lvlJc w:val="left"/>
      <w:pPr>
        <w:ind w:left="1440" w:hanging="36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A59B9"/>
    <w:multiLevelType w:val="hybridMultilevel"/>
    <w:tmpl w:val="83B2A92E"/>
    <w:lvl w:ilvl="0" w:tplc="FED01F28">
      <w:start w:val="1"/>
      <w:numFmt w:val="decimal"/>
      <w:lvlText w:val="4.%1"/>
      <w:lvlJc w:val="left"/>
      <w:pPr>
        <w:ind w:left="360" w:hanging="360"/>
      </w:pPr>
      <w:rPr>
        <w:rFonts w:hint="default"/>
        <w:b w:val="0"/>
        <w:i w:val="0"/>
        <w:sz w:val="22"/>
        <w:szCs w:val="22"/>
      </w:rPr>
    </w:lvl>
    <w:lvl w:ilvl="1" w:tplc="08090019">
      <w:start w:val="1"/>
      <w:numFmt w:val="lowerLetter"/>
      <w:lvlText w:val="%2."/>
      <w:lvlJc w:val="left"/>
      <w:pPr>
        <w:ind w:left="1014" w:hanging="360"/>
      </w:pPr>
    </w:lvl>
    <w:lvl w:ilvl="2" w:tplc="0809001B">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2" w15:restartNumberingAfterBreak="0">
    <w:nsid w:val="0D8D0622"/>
    <w:multiLevelType w:val="hybridMultilevel"/>
    <w:tmpl w:val="D1DA41A4"/>
    <w:lvl w:ilvl="0" w:tplc="0C64C7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06771"/>
    <w:multiLevelType w:val="hybridMultilevel"/>
    <w:tmpl w:val="6442B04E"/>
    <w:lvl w:ilvl="0" w:tplc="0C64C7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026960"/>
    <w:multiLevelType w:val="hybridMultilevel"/>
    <w:tmpl w:val="EACC17AE"/>
    <w:lvl w:ilvl="0" w:tplc="4630157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8923B4"/>
    <w:multiLevelType w:val="multilevel"/>
    <w:tmpl w:val="A4D40404"/>
    <w:lvl w:ilvl="0">
      <w:start w:val="1"/>
      <w:numFmt w:val="decimal"/>
      <w:pStyle w:val="Heading1"/>
      <w:lvlText w:val="%1."/>
      <w:lvlJc w:val="left"/>
      <w:pPr>
        <w:ind w:left="360" w:hanging="360"/>
      </w:pPr>
      <w:rPr>
        <w:rFonts w:hint="default"/>
        <w:i w:val="0"/>
        <w:color w:val="2E74B5" w:themeColor="accent1" w:themeShade="BF"/>
      </w:rPr>
    </w:lvl>
    <w:lvl w:ilvl="1">
      <w:start w:val="1"/>
      <w:numFmt w:val="decimal"/>
      <w:pStyle w:val="Heading2"/>
      <w:isLgl/>
      <w:lvlText w:val="%1.%2."/>
      <w:lvlJc w:val="left"/>
      <w:pPr>
        <w:ind w:left="1080" w:hanging="720"/>
      </w:pPr>
      <w:rPr>
        <w:rFonts w:cs="Times New Roman"/>
        <w:b w:val="0"/>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1080" w:hanging="72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4B03307"/>
    <w:multiLevelType w:val="hybridMultilevel"/>
    <w:tmpl w:val="8C44ADE4"/>
    <w:lvl w:ilvl="0" w:tplc="D81A1C0E">
      <w:numFmt w:val="bullet"/>
      <w:lvlText w:val=""/>
      <w:lvlJc w:val="left"/>
      <w:pPr>
        <w:ind w:left="1080" w:hanging="360"/>
      </w:pPr>
      <w:rPr>
        <w:rFonts w:ascii="Symbol" w:eastAsiaTheme="minorHAns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AC0190"/>
    <w:multiLevelType w:val="hybridMultilevel"/>
    <w:tmpl w:val="24A07AE2"/>
    <w:lvl w:ilvl="0" w:tplc="0C64C7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4F0774"/>
    <w:multiLevelType w:val="hybridMultilevel"/>
    <w:tmpl w:val="F8E2A022"/>
    <w:lvl w:ilvl="0" w:tplc="AF2A9016">
      <w:start w:val="1"/>
      <w:numFmt w:val="lowerRoman"/>
      <w:lvlText w:val="%1."/>
      <w:lvlJc w:val="left"/>
      <w:pPr>
        <w:ind w:left="1080" w:hanging="360"/>
      </w:pPr>
      <w:rPr>
        <w:rFonts w:ascii="Calibri" w:eastAsia="Calibri" w:hAnsi="Calibri"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ADC784D"/>
    <w:multiLevelType w:val="hybridMultilevel"/>
    <w:tmpl w:val="E3060E0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CF64D8"/>
    <w:multiLevelType w:val="hybridMultilevel"/>
    <w:tmpl w:val="F7B47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5F2DCD"/>
    <w:multiLevelType w:val="hybridMultilevel"/>
    <w:tmpl w:val="F314F354"/>
    <w:lvl w:ilvl="0" w:tplc="9940D21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A34BF5"/>
    <w:multiLevelType w:val="hybridMultilevel"/>
    <w:tmpl w:val="8ABCE292"/>
    <w:lvl w:ilvl="0" w:tplc="0809001B">
      <w:start w:val="1"/>
      <w:numFmt w:val="lowerRoman"/>
      <w:lvlText w:val="%1."/>
      <w:lvlJc w:val="righ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3" w15:restartNumberingAfterBreak="0">
    <w:nsid w:val="30E62FAA"/>
    <w:multiLevelType w:val="hybridMultilevel"/>
    <w:tmpl w:val="B79EDE66"/>
    <w:lvl w:ilvl="0" w:tplc="0C64C7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71773D"/>
    <w:multiLevelType w:val="hybridMultilevel"/>
    <w:tmpl w:val="6D4A464A"/>
    <w:lvl w:ilvl="0" w:tplc="0C64C7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170A4"/>
    <w:multiLevelType w:val="hybridMultilevel"/>
    <w:tmpl w:val="3E42BAEC"/>
    <w:lvl w:ilvl="0" w:tplc="83C2350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794EEA"/>
    <w:multiLevelType w:val="hybridMultilevel"/>
    <w:tmpl w:val="5434AE5C"/>
    <w:lvl w:ilvl="0" w:tplc="0C64C7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4350A4"/>
    <w:multiLevelType w:val="hybridMultilevel"/>
    <w:tmpl w:val="F25C5F9C"/>
    <w:lvl w:ilvl="0" w:tplc="AEE044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B86B87"/>
    <w:multiLevelType w:val="hybridMultilevel"/>
    <w:tmpl w:val="1D62A852"/>
    <w:lvl w:ilvl="0" w:tplc="77940AA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7E49EC"/>
    <w:multiLevelType w:val="hybridMultilevel"/>
    <w:tmpl w:val="5F26A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A22A3F"/>
    <w:multiLevelType w:val="hybridMultilevel"/>
    <w:tmpl w:val="BC9A0054"/>
    <w:lvl w:ilvl="0" w:tplc="0C64C7CC">
      <w:start w:val="1"/>
      <w:numFmt w:val="bullet"/>
      <w:lvlText w:val="-"/>
      <w:lvlJc w:val="left"/>
      <w:pPr>
        <w:ind w:left="1260" w:hanging="360"/>
      </w:pPr>
      <w:rPr>
        <w:rFonts w:ascii="Calibri" w:hAnsi="Calibri"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1" w15:restartNumberingAfterBreak="0">
    <w:nsid w:val="4BEA03C8"/>
    <w:multiLevelType w:val="hybridMultilevel"/>
    <w:tmpl w:val="7E4222CC"/>
    <w:lvl w:ilvl="0" w:tplc="0C64C7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376BD8"/>
    <w:multiLevelType w:val="hybridMultilevel"/>
    <w:tmpl w:val="20969832"/>
    <w:lvl w:ilvl="0" w:tplc="0C64C7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9E3704"/>
    <w:multiLevelType w:val="hybridMultilevel"/>
    <w:tmpl w:val="02327CDE"/>
    <w:lvl w:ilvl="0" w:tplc="08090017">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4B19E0"/>
    <w:multiLevelType w:val="hybridMultilevel"/>
    <w:tmpl w:val="BDCA81A6"/>
    <w:lvl w:ilvl="0" w:tplc="4B5ED32C">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FC26DC"/>
    <w:multiLevelType w:val="hybridMultilevel"/>
    <w:tmpl w:val="F7306F08"/>
    <w:lvl w:ilvl="0" w:tplc="0809001B">
      <w:start w:val="1"/>
      <w:numFmt w:val="lowerRoman"/>
      <w:lvlText w:val="%1."/>
      <w:lvlJc w:val="righ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6" w15:restartNumberingAfterBreak="0">
    <w:nsid w:val="5F092970"/>
    <w:multiLevelType w:val="hybridMultilevel"/>
    <w:tmpl w:val="B196538E"/>
    <w:lvl w:ilvl="0" w:tplc="0C64C7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465984"/>
    <w:multiLevelType w:val="hybridMultilevel"/>
    <w:tmpl w:val="EB98A35C"/>
    <w:lvl w:ilvl="0" w:tplc="0C64C7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FF0E72"/>
    <w:multiLevelType w:val="hybridMultilevel"/>
    <w:tmpl w:val="BA4ED0AE"/>
    <w:lvl w:ilvl="0" w:tplc="0C64C7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DE00DC"/>
    <w:multiLevelType w:val="hybridMultilevel"/>
    <w:tmpl w:val="486A7402"/>
    <w:lvl w:ilvl="0" w:tplc="0C64C7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A65543"/>
    <w:multiLevelType w:val="hybridMultilevel"/>
    <w:tmpl w:val="A75C06CE"/>
    <w:lvl w:ilvl="0" w:tplc="CA98DD7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B5A1829"/>
    <w:multiLevelType w:val="hybridMultilevel"/>
    <w:tmpl w:val="A1F6C49E"/>
    <w:lvl w:ilvl="0" w:tplc="D81A1C0E">
      <w:numFmt w:val="bullet"/>
      <w:lvlText w:val=""/>
      <w:lvlJc w:val="left"/>
      <w:pPr>
        <w:ind w:left="360" w:hanging="360"/>
      </w:pPr>
      <w:rPr>
        <w:rFonts w:ascii="Symbol" w:eastAsiaTheme="minorHAnsi" w:hAnsi="Symbol" w:cs="Calibri" w:hint="default"/>
        <w:b w:val="0"/>
        <w:i w:val="0"/>
        <w:sz w:val="22"/>
        <w:szCs w:val="22"/>
      </w:rPr>
    </w:lvl>
    <w:lvl w:ilvl="1" w:tplc="806C4714">
      <w:start w:val="1"/>
      <w:numFmt w:val="lowerLetter"/>
      <w:lvlText w:val="%2."/>
      <w:lvlJc w:val="left"/>
      <w:pPr>
        <w:ind w:left="1014" w:hanging="360"/>
      </w:pPr>
      <w:rPr>
        <w:i w:val="0"/>
      </w:r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2" w15:restartNumberingAfterBreak="0">
    <w:nsid w:val="6C745A68"/>
    <w:multiLevelType w:val="hybridMultilevel"/>
    <w:tmpl w:val="2CF62E40"/>
    <w:lvl w:ilvl="0" w:tplc="0C64C7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3D37EE"/>
    <w:multiLevelType w:val="hybridMultilevel"/>
    <w:tmpl w:val="C646E148"/>
    <w:lvl w:ilvl="0" w:tplc="09AEB2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04841BD"/>
    <w:multiLevelType w:val="hybridMultilevel"/>
    <w:tmpl w:val="73307DB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EE278B"/>
    <w:multiLevelType w:val="hybridMultilevel"/>
    <w:tmpl w:val="51C6959A"/>
    <w:lvl w:ilvl="0" w:tplc="0C64C7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E54074"/>
    <w:multiLevelType w:val="hybridMultilevel"/>
    <w:tmpl w:val="EAC06F1E"/>
    <w:lvl w:ilvl="0" w:tplc="0C64C7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C35D99"/>
    <w:multiLevelType w:val="hybridMultilevel"/>
    <w:tmpl w:val="F48E6F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BB0690A"/>
    <w:multiLevelType w:val="hybridMultilevel"/>
    <w:tmpl w:val="03C86026"/>
    <w:lvl w:ilvl="0" w:tplc="0C64C7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B61C39"/>
    <w:multiLevelType w:val="hybridMultilevel"/>
    <w:tmpl w:val="1B3E907A"/>
    <w:lvl w:ilvl="0" w:tplc="66C8626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910553"/>
    <w:multiLevelType w:val="hybridMultilevel"/>
    <w:tmpl w:val="D81E9F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3"/>
  </w:num>
  <w:num w:numId="4">
    <w:abstractNumId w:val="29"/>
  </w:num>
  <w:num w:numId="5">
    <w:abstractNumId w:val="26"/>
  </w:num>
  <w:num w:numId="6">
    <w:abstractNumId w:val="7"/>
  </w:num>
  <w:num w:numId="7">
    <w:abstractNumId w:val="21"/>
  </w:num>
  <w:num w:numId="8">
    <w:abstractNumId w:val="32"/>
  </w:num>
  <w:num w:numId="9">
    <w:abstractNumId w:val="38"/>
  </w:num>
  <w:num w:numId="10">
    <w:abstractNumId w:val="28"/>
  </w:num>
  <w:num w:numId="11">
    <w:abstractNumId w:val="27"/>
  </w:num>
  <w:num w:numId="12">
    <w:abstractNumId w:val="36"/>
  </w:num>
  <w:num w:numId="13">
    <w:abstractNumId w:val="14"/>
  </w:num>
  <w:num w:numId="14">
    <w:abstractNumId w:val="15"/>
  </w:num>
  <w:num w:numId="15">
    <w:abstractNumId w:val="11"/>
  </w:num>
  <w:num w:numId="16">
    <w:abstractNumId w:val="8"/>
  </w:num>
  <w:num w:numId="17">
    <w:abstractNumId w:val="24"/>
  </w:num>
  <w:num w:numId="18">
    <w:abstractNumId w:val="30"/>
  </w:num>
  <w:num w:numId="19">
    <w:abstractNumId w:val="4"/>
  </w:num>
  <w:num w:numId="20">
    <w:abstractNumId w:val="12"/>
  </w:num>
  <w:num w:numId="21">
    <w:abstractNumId w:val="25"/>
  </w:num>
  <w:num w:numId="22">
    <w:abstractNumId w:val="3"/>
  </w:num>
  <w:num w:numId="23">
    <w:abstractNumId w:val="17"/>
  </w:num>
  <w:num w:numId="24">
    <w:abstractNumId w:val="0"/>
  </w:num>
  <w:num w:numId="25">
    <w:abstractNumId w:val="18"/>
  </w:num>
  <w:num w:numId="26">
    <w:abstractNumId w:val="37"/>
  </w:num>
  <w:num w:numId="27">
    <w:abstractNumId w:val="22"/>
  </w:num>
  <w:num w:numId="28">
    <w:abstractNumId w:val="39"/>
  </w:num>
  <w:num w:numId="29">
    <w:abstractNumId w:val="19"/>
  </w:num>
  <w:num w:numId="30">
    <w:abstractNumId w:val="33"/>
  </w:num>
  <w:num w:numId="31">
    <w:abstractNumId w:val="34"/>
  </w:num>
  <w:num w:numId="32">
    <w:abstractNumId w:val="5"/>
  </w:num>
  <w:num w:numId="33">
    <w:abstractNumId w:val="1"/>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6"/>
  </w:num>
  <w:num w:numId="39">
    <w:abstractNumId w:val="9"/>
  </w:num>
  <w:num w:numId="40">
    <w:abstractNumId w:val="35"/>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10"/>
  </w:num>
  <w:num w:numId="44">
    <w:abstractNumId w:val="2"/>
  </w:num>
  <w:num w:numId="45">
    <w:abstractNumId w:val="4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FF3"/>
    <w:rsid w:val="00005795"/>
    <w:rsid w:val="00013186"/>
    <w:rsid w:val="000224C8"/>
    <w:rsid w:val="00023120"/>
    <w:rsid w:val="000276A8"/>
    <w:rsid w:val="0003290D"/>
    <w:rsid w:val="00033F9D"/>
    <w:rsid w:val="00037511"/>
    <w:rsid w:val="0005604E"/>
    <w:rsid w:val="00057097"/>
    <w:rsid w:val="00060BA5"/>
    <w:rsid w:val="00060FC4"/>
    <w:rsid w:val="000629E3"/>
    <w:rsid w:val="00075A4E"/>
    <w:rsid w:val="00085FB3"/>
    <w:rsid w:val="00095D11"/>
    <w:rsid w:val="000A0320"/>
    <w:rsid w:val="000A2ADE"/>
    <w:rsid w:val="000A4CB0"/>
    <w:rsid w:val="000B2AF1"/>
    <w:rsid w:val="000B6997"/>
    <w:rsid w:val="000C17CF"/>
    <w:rsid w:val="000C60A9"/>
    <w:rsid w:val="000C724C"/>
    <w:rsid w:val="000D54E0"/>
    <w:rsid w:val="000D6324"/>
    <w:rsid w:val="000E63BC"/>
    <w:rsid w:val="000E648B"/>
    <w:rsid w:val="000F4757"/>
    <w:rsid w:val="001033C2"/>
    <w:rsid w:val="00106BCD"/>
    <w:rsid w:val="00115D4A"/>
    <w:rsid w:val="001320B7"/>
    <w:rsid w:val="001333E2"/>
    <w:rsid w:val="001339D4"/>
    <w:rsid w:val="0013557C"/>
    <w:rsid w:val="001402A1"/>
    <w:rsid w:val="00140975"/>
    <w:rsid w:val="00144DE6"/>
    <w:rsid w:val="00151767"/>
    <w:rsid w:val="00160403"/>
    <w:rsid w:val="001605D7"/>
    <w:rsid w:val="001622A5"/>
    <w:rsid w:val="00163F2A"/>
    <w:rsid w:val="001643D9"/>
    <w:rsid w:val="00174DCF"/>
    <w:rsid w:val="0019033C"/>
    <w:rsid w:val="0019373C"/>
    <w:rsid w:val="00193C86"/>
    <w:rsid w:val="00195262"/>
    <w:rsid w:val="001A3397"/>
    <w:rsid w:val="001A5060"/>
    <w:rsid w:val="001B0D08"/>
    <w:rsid w:val="001B1AFB"/>
    <w:rsid w:val="001C0425"/>
    <w:rsid w:val="001C3F40"/>
    <w:rsid w:val="001D30D6"/>
    <w:rsid w:val="001D47BA"/>
    <w:rsid w:val="001E06A8"/>
    <w:rsid w:val="001E4770"/>
    <w:rsid w:val="001E4E03"/>
    <w:rsid w:val="001E6C14"/>
    <w:rsid w:val="001E7AB4"/>
    <w:rsid w:val="001F0326"/>
    <w:rsid w:val="001F3922"/>
    <w:rsid w:val="001F6E59"/>
    <w:rsid w:val="002069B6"/>
    <w:rsid w:val="00207457"/>
    <w:rsid w:val="002233B2"/>
    <w:rsid w:val="00223F8B"/>
    <w:rsid w:val="0022655C"/>
    <w:rsid w:val="002326CE"/>
    <w:rsid w:val="00236753"/>
    <w:rsid w:val="00240011"/>
    <w:rsid w:val="00253928"/>
    <w:rsid w:val="00254FF5"/>
    <w:rsid w:val="0025799C"/>
    <w:rsid w:val="00262FAA"/>
    <w:rsid w:val="00265C08"/>
    <w:rsid w:val="0026679C"/>
    <w:rsid w:val="00272A5D"/>
    <w:rsid w:val="00281707"/>
    <w:rsid w:val="00282C6F"/>
    <w:rsid w:val="00290551"/>
    <w:rsid w:val="002968AF"/>
    <w:rsid w:val="002971B9"/>
    <w:rsid w:val="002A42BD"/>
    <w:rsid w:val="002A6210"/>
    <w:rsid w:val="002A7E5E"/>
    <w:rsid w:val="002B641C"/>
    <w:rsid w:val="002C0CA7"/>
    <w:rsid w:val="002C0E8F"/>
    <w:rsid w:val="002C3D1E"/>
    <w:rsid w:val="002D16B3"/>
    <w:rsid w:val="002D1BD3"/>
    <w:rsid w:val="002D4610"/>
    <w:rsid w:val="002D588A"/>
    <w:rsid w:val="002E053B"/>
    <w:rsid w:val="002E2B3C"/>
    <w:rsid w:val="002E58A6"/>
    <w:rsid w:val="002E7F59"/>
    <w:rsid w:val="002F5537"/>
    <w:rsid w:val="00301784"/>
    <w:rsid w:val="00307D2B"/>
    <w:rsid w:val="003143EB"/>
    <w:rsid w:val="003206B7"/>
    <w:rsid w:val="00331093"/>
    <w:rsid w:val="00336DB5"/>
    <w:rsid w:val="00337B84"/>
    <w:rsid w:val="00341F44"/>
    <w:rsid w:val="00342F75"/>
    <w:rsid w:val="0034352C"/>
    <w:rsid w:val="00344049"/>
    <w:rsid w:val="003470EF"/>
    <w:rsid w:val="0034798A"/>
    <w:rsid w:val="00364F61"/>
    <w:rsid w:val="00373327"/>
    <w:rsid w:val="00373F42"/>
    <w:rsid w:val="00376630"/>
    <w:rsid w:val="0037781D"/>
    <w:rsid w:val="0038402D"/>
    <w:rsid w:val="003861F4"/>
    <w:rsid w:val="00392B9B"/>
    <w:rsid w:val="00392BCC"/>
    <w:rsid w:val="00395DD4"/>
    <w:rsid w:val="003C3554"/>
    <w:rsid w:val="003C71C4"/>
    <w:rsid w:val="003C78C8"/>
    <w:rsid w:val="003D218A"/>
    <w:rsid w:val="003D6AAC"/>
    <w:rsid w:val="003E271E"/>
    <w:rsid w:val="003F6D80"/>
    <w:rsid w:val="00400628"/>
    <w:rsid w:val="004033A7"/>
    <w:rsid w:val="004034DE"/>
    <w:rsid w:val="0040509E"/>
    <w:rsid w:val="004078DC"/>
    <w:rsid w:val="00413475"/>
    <w:rsid w:val="0042204B"/>
    <w:rsid w:val="00432238"/>
    <w:rsid w:val="00432290"/>
    <w:rsid w:val="00442FC3"/>
    <w:rsid w:val="00444C9A"/>
    <w:rsid w:val="00455517"/>
    <w:rsid w:val="00456067"/>
    <w:rsid w:val="00456BF4"/>
    <w:rsid w:val="00465FF4"/>
    <w:rsid w:val="00467658"/>
    <w:rsid w:val="0047291D"/>
    <w:rsid w:val="00475686"/>
    <w:rsid w:val="004922DC"/>
    <w:rsid w:val="004933E1"/>
    <w:rsid w:val="004A418D"/>
    <w:rsid w:val="004B2462"/>
    <w:rsid w:val="004B3700"/>
    <w:rsid w:val="004B67AA"/>
    <w:rsid w:val="004C5667"/>
    <w:rsid w:val="004C6C46"/>
    <w:rsid w:val="004E0886"/>
    <w:rsid w:val="004E1C3D"/>
    <w:rsid w:val="004E568E"/>
    <w:rsid w:val="004E73AE"/>
    <w:rsid w:val="004F69CF"/>
    <w:rsid w:val="00502F45"/>
    <w:rsid w:val="00513C96"/>
    <w:rsid w:val="00513EF4"/>
    <w:rsid w:val="00515348"/>
    <w:rsid w:val="00540A02"/>
    <w:rsid w:val="0054674F"/>
    <w:rsid w:val="00551B36"/>
    <w:rsid w:val="00553296"/>
    <w:rsid w:val="0055366A"/>
    <w:rsid w:val="00555238"/>
    <w:rsid w:val="0056302D"/>
    <w:rsid w:val="005631EE"/>
    <w:rsid w:val="00570E75"/>
    <w:rsid w:val="0057668D"/>
    <w:rsid w:val="00594755"/>
    <w:rsid w:val="005A1DE2"/>
    <w:rsid w:val="005A29BB"/>
    <w:rsid w:val="005A60F1"/>
    <w:rsid w:val="005B1B4B"/>
    <w:rsid w:val="005B33C5"/>
    <w:rsid w:val="005B3763"/>
    <w:rsid w:val="005B792D"/>
    <w:rsid w:val="005B7DB2"/>
    <w:rsid w:val="005B7DBA"/>
    <w:rsid w:val="005C3667"/>
    <w:rsid w:val="005C7E22"/>
    <w:rsid w:val="005D2004"/>
    <w:rsid w:val="005F5CD9"/>
    <w:rsid w:val="00601DB1"/>
    <w:rsid w:val="0061240F"/>
    <w:rsid w:val="00613F7D"/>
    <w:rsid w:val="0061429E"/>
    <w:rsid w:val="0061474F"/>
    <w:rsid w:val="006156C7"/>
    <w:rsid w:val="00625484"/>
    <w:rsid w:val="00634BED"/>
    <w:rsid w:val="00636388"/>
    <w:rsid w:val="0063713F"/>
    <w:rsid w:val="00641BD8"/>
    <w:rsid w:val="006424E2"/>
    <w:rsid w:val="006545FD"/>
    <w:rsid w:val="00655478"/>
    <w:rsid w:val="006649F5"/>
    <w:rsid w:val="00674A79"/>
    <w:rsid w:val="00676101"/>
    <w:rsid w:val="00680E20"/>
    <w:rsid w:val="00682D84"/>
    <w:rsid w:val="006842E5"/>
    <w:rsid w:val="00685D6D"/>
    <w:rsid w:val="006879E6"/>
    <w:rsid w:val="00691890"/>
    <w:rsid w:val="006966D5"/>
    <w:rsid w:val="00697857"/>
    <w:rsid w:val="006A0CA8"/>
    <w:rsid w:val="006A3A1F"/>
    <w:rsid w:val="006A5B26"/>
    <w:rsid w:val="006B72DF"/>
    <w:rsid w:val="006C0B36"/>
    <w:rsid w:val="006C2400"/>
    <w:rsid w:val="006C3E60"/>
    <w:rsid w:val="006C4F17"/>
    <w:rsid w:val="006D661C"/>
    <w:rsid w:val="006D69C8"/>
    <w:rsid w:val="006F46AC"/>
    <w:rsid w:val="006F56AF"/>
    <w:rsid w:val="00700092"/>
    <w:rsid w:val="0070196E"/>
    <w:rsid w:val="00701BD0"/>
    <w:rsid w:val="00711F8C"/>
    <w:rsid w:val="00715196"/>
    <w:rsid w:val="00725EBE"/>
    <w:rsid w:val="00731336"/>
    <w:rsid w:val="00732547"/>
    <w:rsid w:val="00735069"/>
    <w:rsid w:val="00745200"/>
    <w:rsid w:val="00746293"/>
    <w:rsid w:val="00747A66"/>
    <w:rsid w:val="007574B3"/>
    <w:rsid w:val="0076107F"/>
    <w:rsid w:val="0076412E"/>
    <w:rsid w:val="007648EC"/>
    <w:rsid w:val="007818C8"/>
    <w:rsid w:val="00786A82"/>
    <w:rsid w:val="007A6DEA"/>
    <w:rsid w:val="007B38AC"/>
    <w:rsid w:val="007E0FF3"/>
    <w:rsid w:val="007E3A65"/>
    <w:rsid w:val="007F2E2E"/>
    <w:rsid w:val="007F4120"/>
    <w:rsid w:val="007F74B3"/>
    <w:rsid w:val="00835728"/>
    <w:rsid w:val="0084090C"/>
    <w:rsid w:val="0084411A"/>
    <w:rsid w:val="00845E2B"/>
    <w:rsid w:val="00851BD5"/>
    <w:rsid w:val="00863255"/>
    <w:rsid w:val="0086422F"/>
    <w:rsid w:val="00866E69"/>
    <w:rsid w:val="00873175"/>
    <w:rsid w:val="00873B09"/>
    <w:rsid w:val="00876E8B"/>
    <w:rsid w:val="00887B1A"/>
    <w:rsid w:val="008B7902"/>
    <w:rsid w:val="008C15AA"/>
    <w:rsid w:val="008C435D"/>
    <w:rsid w:val="008D11BA"/>
    <w:rsid w:val="008D585C"/>
    <w:rsid w:val="008D74A3"/>
    <w:rsid w:val="008F7C43"/>
    <w:rsid w:val="00906001"/>
    <w:rsid w:val="009070C2"/>
    <w:rsid w:val="00914BA3"/>
    <w:rsid w:val="00931D23"/>
    <w:rsid w:val="00951823"/>
    <w:rsid w:val="00956A1A"/>
    <w:rsid w:val="0096602C"/>
    <w:rsid w:val="00970CE8"/>
    <w:rsid w:val="00973597"/>
    <w:rsid w:val="009764B4"/>
    <w:rsid w:val="00977924"/>
    <w:rsid w:val="009821F5"/>
    <w:rsid w:val="009860EA"/>
    <w:rsid w:val="0098652F"/>
    <w:rsid w:val="00992FC3"/>
    <w:rsid w:val="009B43F6"/>
    <w:rsid w:val="009B5436"/>
    <w:rsid w:val="009D2589"/>
    <w:rsid w:val="009D2BBC"/>
    <w:rsid w:val="009D672A"/>
    <w:rsid w:val="009F4A5A"/>
    <w:rsid w:val="00A04337"/>
    <w:rsid w:val="00A1093A"/>
    <w:rsid w:val="00A44577"/>
    <w:rsid w:val="00A50E66"/>
    <w:rsid w:val="00A575A7"/>
    <w:rsid w:val="00A57AD5"/>
    <w:rsid w:val="00A60D8F"/>
    <w:rsid w:val="00A70D6D"/>
    <w:rsid w:val="00A71320"/>
    <w:rsid w:val="00A7387A"/>
    <w:rsid w:val="00A75C8B"/>
    <w:rsid w:val="00A7703F"/>
    <w:rsid w:val="00AA417E"/>
    <w:rsid w:val="00AA4789"/>
    <w:rsid w:val="00AC36B3"/>
    <w:rsid w:val="00AC7642"/>
    <w:rsid w:val="00AD0895"/>
    <w:rsid w:val="00AD63EB"/>
    <w:rsid w:val="00AE53AF"/>
    <w:rsid w:val="00B01362"/>
    <w:rsid w:val="00B01A15"/>
    <w:rsid w:val="00B07B87"/>
    <w:rsid w:val="00B136C3"/>
    <w:rsid w:val="00B169A5"/>
    <w:rsid w:val="00B173A9"/>
    <w:rsid w:val="00B20B55"/>
    <w:rsid w:val="00B22F20"/>
    <w:rsid w:val="00B23FE1"/>
    <w:rsid w:val="00B26311"/>
    <w:rsid w:val="00B31918"/>
    <w:rsid w:val="00B33723"/>
    <w:rsid w:val="00B4685B"/>
    <w:rsid w:val="00B469C8"/>
    <w:rsid w:val="00B53AC2"/>
    <w:rsid w:val="00B63050"/>
    <w:rsid w:val="00B65DFC"/>
    <w:rsid w:val="00B759E9"/>
    <w:rsid w:val="00B83D2F"/>
    <w:rsid w:val="00BA6FBB"/>
    <w:rsid w:val="00BB0C57"/>
    <w:rsid w:val="00BB1802"/>
    <w:rsid w:val="00BB1889"/>
    <w:rsid w:val="00BC2FF6"/>
    <w:rsid w:val="00BD15AB"/>
    <w:rsid w:val="00BD2FCD"/>
    <w:rsid w:val="00BD3D71"/>
    <w:rsid w:val="00BD55B3"/>
    <w:rsid w:val="00BE26CF"/>
    <w:rsid w:val="00BE6585"/>
    <w:rsid w:val="00BF15A0"/>
    <w:rsid w:val="00BF6F35"/>
    <w:rsid w:val="00C02F9F"/>
    <w:rsid w:val="00C07504"/>
    <w:rsid w:val="00C13B29"/>
    <w:rsid w:val="00C253E0"/>
    <w:rsid w:val="00C3547F"/>
    <w:rsid w:val="00C40E3F"/>
    <w:rsid w:val="00C531F4"/>
    <w:rsid w:val="00C6774E"/>
    <w:rsid w:val="00C723FD"/>
    <w:rsid w:val="00C744C9"/>
    <w:rsid w:val="00C8040C"/>
    <w:rsid w:val="00C94DE4"/>
    <w:rsid w:val="00CA64D1"/>
    <w:rsid w:val="00CA68CB"/>
    <w:rsid w:val="00CB104E"/>
    <w:rsid w:val="00CB3CB8"/>
    <w:rsid w:val="00CC18FA"/>
    <w:rsid w:val="00CC2126"/>
    <w:rsid w:val="00CC6AEF"/>
    <w:rsid w:val="00CC6E93"/>
    <w:rsid w:val="00CD10EF"/>
    <w:rsid w:val="00CD2514"/>
    <w:rsid w:val="00CD4519"/>
    <w:rsid w:val="00CD53BB"/>
    <w:rsid w:val="00CE1602"/>
    <w:rsid w:val="00CE7198"/>
    <w:rsid w:val="00CF54E4"/>
    <w:rsid w:val="00CF712C"/>
    <w:rsid w:val="00D033B0"/>
    <w:rsid w:val="00D04783"/>
    <w:rsid w:val="00D10CC9"/>
    <w:rsid w:val="00D11761"/>
    <w:rsid w:val="00D20035"/>
    <w:rsid w:val="00D20259"/>
    <w:rsid w:val="00D205DE"/>
    <w:rsid w:val="00D20F11"/>
    <w:rsid w:val="00D23DE7"/>
    <w:rsid w:val="00D3209C"/>
    <w:rsid w:val="00D35D62"/>
    <w:rsid w:val="00D40644"/>
    <w:rsid w:val="00D40B75"/>
    <w:rsid w:val="00D433D0"/>
    <w:rsid w:val="00D446D1"/>
    <w:rsid w:val="00D44998"/>
    <w:rsid w:val="00D47C5A"/>
    <w:rsid w:val="00D7197A"/>
    <w:rsid w:val="00D821B6"/>
    <w:rsid w:val="00D947A2"/>
    <w:rsid w:val="00DA5F3D"/>
    <w:rsid w:val="00DB36D2"/>
    <w:rsid w:val="00DC0EF7"/>
    <w:rsid w:val="00DC1317"/>
    <w:rsid w:val="00DD01DB"/>
    <w:rsid w:val="00DD73CB"/>
    <w:rsid w:val="00DD7BB7"/>
    <w:rsid w:val="00DE7835"/>
    <w:rsid w:val="00DE7C3D"/>
    <w:rsid w:val="00DF2FAC"/>
    <w:rsid w:val="00DF6930"/>
    <w:rsid w:val="00E02E4D"/>
    <w:rsid w:val="00E14F95"/>
    <w:rsid w:val="00E25194"/>
    <w:rsid w:val="00E25A0E"/>
    <w:rsid w:val="00E429A4"/>
    <w:rsid w:val="00E4736E"/>
    <w:rsid w:val="00E47AA7"/>
    <w:rsid w:val="00E527D9"/>
    <w:rsid w:val="00E57C49"/>
    <w:rsid w:val="00E629EE"/>
    <w:rsid w:val="00E6319E"/>
    <w:rsid w:val="00E71EC5"/>
    <w:rsid w:val="00E770D2"/>
    <w:rsid w:val="00E77729"/>
    <w:rsid w:val="00E824BF"/>
    <w:rsid w:val="00E82DDE"/>
    <w:rsid w:val="00E843FB"/>
    <w:rsid w:val="00E941D6"/>
    <w:rsid w:val="00EA6D4A"/>
    <w:rsid w:val="00EB22C3"/>
    <w:rsid w:val="00EB32C6"/>
    <w:rsid w:val="00EB7C78"/>
    <w:rsid w:val="00EC081F"/>
    <w:rsid w:val="00EC0899"/>
    <w:rsid w:val="00EE6FCE"/>
    <w:rsid w:val="00EF36DF"/>
    <w:rsid w:val="00EF6630"/>
    <w:rsid w:val="00EF6F44"/>
    <w:rsid w:val="00F049A9"/>
    <w:rsid w:val="00F06EFB"/>
    <w:rsid w:val="00F20A72"/>
    <w:rsid w:val="00F222A7"/>
    <w:rsid w:val="00F320C3"/>
    <w:rsid w:val="00F359B8"/>
    <w:rsid w:val="00F35D40"/>
    <w:rsid w:val="00F40936"/>
    <w:rsid w:val="00F57E6C"/>
    <w:rsid w:val="00F76415"/>
    <w:rsid w:val="00F7739A"/>
    <w:rsid w:val="00F838A8"/>
    <w:rsid w:val="00F83DBB"/>
    <w:rsid w:val="00F93F6C"/>
    <w:rsid w:val="00F95EE7"/>
    <w:rsid w:val="00F96AD2"/>
    <w:rsid w:val="00FB4343"/>
    <w:rsid w:val="00FB48BF"/>
    <w:rsid w:val="00FB5F93"/>
    <w:rsid w:val="00FC4A2D"/>
    <w:rsid w:val="00FC7770"/>
    <w:rsid w:val="00FE016F"/>
    <w:rsid w:val="00FE297A"/>
    <w:rsid w:val="00FE4B30"/>
    <w:rsid w:val="00FE5C76"/>
    <w:rsid w:val="00FF1ABA"/>
    <w:rsid w:val="00FF1D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587C225"/>
  <w15:chartTrackingRefBased/>
  <w15:docId w15:val="{CF94B2F8-56D2-4544-9276-18D0AA4DD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Arial" w:hAnsiTheme="minorHAnsi" w:cstheme="minorBidi"/>
        <w:sz w:val="22"/>
        <w:szCs w:val="22"/>
        <w:lang w:val="en-GB" w:eastAsia="en-US" w:bidi="ar-SA"/>
      </w:rPr>
    </w:rPrDefault>
    <w:pPrDefault>
      <w:pPr>
        <w:spacing w:after="12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FF3"/>
    <w:pPr>
      <w:spacing w:after="200" w:line="276" w:lineRule="auto"/>
      <w:jc w:val="both"/>
    </w:pPr>
    <w:rPr>
      <w:rFonts w:ascii="Calibri" w:eastAsia="Calibri" w:hAnsi="Calibri" w:cs="Times New Roman"/>
      <w:lang w:eastAsia="en-GB"/>
    </w:rPr>
  </w:style>
  <w:style w:type="paragraph" w:styleId="Heading1">
    <w:name w:val="heading 1"/>
    <w:basedOn w:val="Normal"/>
    <w:next w:val="Normal"/>
    <w:link w:val="Heading1Char"/>
    <w:uiPriority w:val="9"/>
    <w:qFormat/>
    <w:rsid w:val="00A04337"/>
    <w:pPr>
      <w:keepNext/>
      <w:keepLines/>
      <w:numPr>
        <w:numId w:val="1"/>
      </w:numPr>
      <w:spacing w:before="240" w:after="0"/>
      <w:ind w:left="720"/>
      <w:outlineLvl w:val="0"/>
    </w:pPr>
    <w:rPr>
      <w:rFonts w:asciiTheme="majorHAnsi" w:eastAsiaTheme="majorEastAsia" w:hAnsiTheme="majorHAnsi" w:cstheme="majorBidi"/>
      <w:b/>
      <w:color w:val="2E74B5" w:themeColor="accent1" w:themeShade="BF"/>
      <w:szCs w:val="32"/>
    </w:rPr>
  </w:style>
  <w:style w:type="paragraph" w:styleId="Heading2">
    <w:name w:val="heading 2"/>
    <w:basedOn w:val="Heading3"/>
    <w:next w:val="Normal"/>
    <w:link w:val="Heading2Char"/>
    <w:autoRedefine/>
    <w:uiPriority w:val="9"/>
    <w:unhideWhenUsed/>
    <w:qFormat/>
    <w:rsid w:val="00D7197A"/>
    <w:pPr>
      <w:numPr>
        <w:ilvl w:val="1"/>
      </w:numPr>
      <w:spacing w:before="240"/>
      <w:outlineLvl w:val="1"/>
    </w:pPr>
  </w:style>
  <w:style w:type="paragraph" w:styleId="Heading3">
    <w:name w:val="heading 3"/>
    <w:basedOn w:val="ListParagraph"/>
    <w:next w:val="Normal"/>
    <w:link w:val="Heading3Char"/>
    <w:autoRedefine/>
    <w:uiPriority w:val="9"/>
    <w:unhideWhenUsed/>
    <w:qFormat/>
    <w:rsid w:val="00CD4519"/>
    <w:pPr>
      <w:numPr>
        <w:ilvl w:val="2"/>
        <w:numId w:val="1"/>
      </w:numPr>
      <w:outlineLvl w:val="2"/>
    </w:pPr>
    <w:rPr>
      <w:color w:val="2E74B5" w:themeColor="accent1" w:themeShade="BF"/>
      <w:lang w:eastAsia="en-US"/>
      <w14:scene3d>
        <w14:camera w14:prst="orthographicFront"/>
        <w14:lightRig w14:rig="threePt" w14:dir="t">
          <w14:rot w14:lat="0" w14:lon="0" w14:rev="0"/>
        </w14:lightRig>
      </w14:scene3d>
    </w:rPr>
  </w:style>
  <w:style w:type="paragraph" w:styleId="Heading4">
    <w:name w:val="heading 4"/>
    <w:basedOn w:val="ListParagraph"/>
    <w:next w:val="Normal"/>
    <w:link w:val="Heading4Char"/>
    <w:uiPriority w:val="9"/>
    <w:unhideWhenUsed/>
    <w:qFormat/>
    <w:rsid w:val="00F40936"/>
    <w:pPr>
      <w:ind w:left="0"/>
      <w:outlineLvl w:val="3"/>
    </w:pPr>
    <w:rPr>
      <w:i/>
      <w:color w:val="2E74B5" w:themeColor="accent1" w:themeShade="BF"/>
    </w:rPr>
  </w:style>
  <w:style w:type="paragraph" w:styleId="Heading5">
    <w:name w:val="heading 5"/>
    <w:basedOn w:val="Normal"/>
    <w:next w:val="Normal"/>
    <w:link w:val="Heading5Char"/>
    <w:uiPriority w:val="9"/>
    <w:unhideWhenUsed/>
    <w:qFormat/>
    <w:rsid w:val="00E25A0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F2A"/>
    <w:rPr>
      <w:rFonts w:asciiTheme="majorHAnsi" w:eastAsiaTheme="majorEastAsia" w:hAnsiTheme="majorHAnsi" w:cstheme="majorBidi"/>
      <w:b/>
      <w:color w:val="2E74B5" w:themeColor="accent1" w:themeShade="BF"/>
      <w:szCs w:val="32"/>
      <w:lang w:eastAsia="en-GB"/>
    </w:rPr>
  </w:style>
  <w:style w:type="character" w:customStyle="1" w:styleId="Heading2Char">
    <w:name w:val="Heading 2 Char"/>
    <w:basedOn w:val="DefaultParagraphFont"/>
    <w:link w:val="Heading2"/>
    <w:uiPriority w:val="9"/>
    <w:rsid w:val="00D7197A"/>
    <w:rPr>
      <w:rFonts w:ascii="Calibri" w:eastAsia="Calibri" w:hAnsi="Calibri" w:cs="Times New Roman"/>
      <w:color w:val="2E74B5" w:themeColor="accent1" w:themeShade="BF"/>
      <w14:scene3d>
        <w14:camera w14:prst="orthographicFront"/>
        <w14:lightRig w14:rig="threePt" w14:dir="t">
          <w14:rot w14:lat="0" w14:lon="0" w14:rev="0"/>
        </w14:lightRig>
      </w14:scene3d>
    </w:rPr>
  </w:style>
  <w:style w:type="paragraph" w:styleId="Title">
    <w:name w:val="Title"/>
    <w:basedOn w:val="Normal"/>
    <w:next w:val="Normal"/>
    <w:link w:val="TitleChar"/>
    <w:uiPriority w:val="10"/>
    <w:qFormat/>
    <w:rsid w:val="000D6324"/>
    <w:pPr>
      <w:spacing w:after="0" w:line="240" w:lineRule="auto"/>
      <w:contextualSpacing/>
      <w:jc w:val="center"/>
    </w:pPr>
    <w:rPr>
      <w:rFonts w:asciiTheme="majorHAnsi" w:eastAsiaTheme="majorEastAsia" w:hAnsiTheme="majorHAnsi" w:cstheme="majorBidi"/>
      <w:color w:val="2E74B5" w:themeColor="accent1" w:themeShade="BF"/>
      <w:spacing w:val="-10"/>
      <w:kern w:val="28"/>
      <w:sz w:val="48"/>
      <w:szCs w:val="56"/>
    </w:rPr>
  </w:style>
  <w:style w:type="character" w:customStyle="1" w:styleId="TitleChar">
    <w:name w:val="Title Char"/>
    <w:basedOn w:val="DefaultParagraphFont"/>
    <w:link w:val="Title"/>
    <w:uiPriority w:val="10"/>
    <w:rsid w:val="000D6324"/>
    <w:rPr>
      <w:rFonts w:asciiTheme="majorHAnsi" w:eastAsiaTheme="majorEastAsia" w:hAnsiTheme="majorHAnsi" w:cstheme="majorBidi"/>
      <w:color w:val="2E74B5" w:themeColor="accent1" w:themeShade="BF"/>
      <w:spacing w:val="-10"/>
      <w:kern w:val="28"/>
      <w:sz w:val="48"/>
      <w:szCs w:val="56"/>
    </w:rPr>
  </w:style>
  <w:style w:type="character" w:customStyle="1" w:styleId="Heading3Char">
    <w:name w:val="Heading 3 Char"/>
    <w:basedOn w:val="DefaultParagraphFont"/>
    <w:link w:val="Heading3"/>
    <w:uiPriority w:val="9"/>
    <w:rsid w:val="00CD4519"/>
    <w:rPr>
      <w:rFonts w:ascii="Calibri" w:eastAsia="Calibri" w:hAnsi="Calibri" w:cs="Times New Roman"/>
      <w:color w:val="2E74B5" w:themeColor="accent1" w:themeShade="BF"/>
      <w14:scene3d>
        <w14:camera w14:prst="orthographicFront"/>
        <w14:lightRig w14:rig="threePt" w14:dir="t">
          <w14:rot w14:lat="0" w14:lon="0" w14:rev="0"/>
        </w14:lightRig>
      </w14:scene3d>
    </w:rPr>
  </w:style>
  <w:style w:type="paragraph" w:styleId="ListParagraph">
    <w:name w:val="List Paragraph"/>
    <w:aliases w:val="Dot pt,List Paragraph Char Char Char,Indicator Text,List Paragraph1,No Spacing1,Bullet 1,Numbered Para 1,List Paragraph12,Bullet Points,Bullet Style,MAIN CONTENT,F5 List Paragraph,Colorful List - Accent 11,Normal numbered,List Paragraph2"/>
    <w:basedOn w:val="Normal"/>
    <w:link w:val="ListParagraphChar"/>
    <w:uiPriority w:val="34"/>
    <w:qFormat/>
    <w:rsid w:val="00B4685B"/>
    <w:pPr>
      <w:ind w:left="720"/>
      <w:contextualSpacing/>
    </w:pPr>
  </w:style>
  <w:style w:type="paragraph" w:styleId="FootnoteText">
    <w:name w:val="footnote text"/>
    <w:aliases w:val="single space,footnote text,ft,Footnote Text Char Char Char Char Char Char Char Char Char Char,FOOTNOTES,fn,ADB,WB-Fußnotentext,Footnote,Fußnote,WB-Fuﬂnotentext,Fuﬂnote,ALTS FOOTNOTE,Geneva 9,Font: Geneva 9,Boston 10,f,Footnote Text Char1"/>
    <w:basedOn w:val="Normal"/>
    <w:link w:val="FootnoteTextChar"/>
    <w:uiPriority w:val="99"/>
    <w:unhideWhenUsed/>
    <w:qFormat/>
    <w:rsid w:val="007E0FF3"/>
    <w:pPr>
      <w:spacing w:after="0" w:line="240" w:lineRule="auto"/>
    </w:pPr>
    <w:rPr>
      <w:sz w:val="20"/>
      <w:szCs w:val="20"/>
      <w:lang w:val="en-US"/>
    </w:rPr>
  </w:style>
  <w:style w:type="character" w:customStyle="1" w:styleId="FootnoteTextChar">
    <w:name w:val="Footnote Text Char"/>
    <w:aliases w:val="single space Char,footnote text Char,ft Char,Footnote Text Char Char Char Char Char Char Char Char Char Char Char,FOOTNOTES Char,fn Char,ADB Char,WB-Fußnotentext Char,Footnote Char,Fußnote Char,WB-Fuﬂnotentext Char,Fuﬂnote Char,f Char"/>
    <w:basedOn w:val="DefaultParagraphFont"/>
    <w:link w:val="FootnoteText"/>
    <w:uiPriority w:val="99"/>
    <w:rsid w:val="007E0FF3"/>
    <w:rPr>
      <w:rFonts w:ascii="Calibri" w:eastAsia="Calibri" w:hAnsi="Calibri" w:cs="Times New Roman"/>
      <w:sz w:val="20"/>
      <w:szCs w:val="20"/>
      <w:lang w:val="en-US" w:eastAsia="en-GB"/>
    </w:rPr>
  </w:style>
  <w:style w:type="character" w:styleId="FootnoteReference">
    <w:name w:val="footnote reference"/>
    <w:aliases w:val="ftref,BVI fnr,16 Point,Superscript 6 Point,Ref,de nota al pie, BVI fnr, BVI fnr Car Car,BVI fnr Car, BVI fnr Car Car Car Car, BVI fnr Car Car Car Car Char,BVI fnr Car Car,BVI fnr Car Car Car Car,BVI fnr Car Car Car Car Char,number,FR"/>
    <w:link w:val="BVIfnrChar1CharCharCharCharChar"/>
    <w:uiPriority w:val="99"/>
    <w:unhideWhenUsed/>
    <w:qFormat/>
    <w:rsid w:val="007E0FF3"/>
    <w:rPr>
      <w:vertAlign w:val="superscript"/>
    </w:rPr>
  </w:style>
  <w:style w:type="character" w:styleId="Hyperlink">
    <w:name w:val="Hyperlink"/>
    <w:uiPriority w:val="99"/>
    <w:unhideWhenUsed/>
    <w:rsid w:val="007E0FF3"/>
    <w:rPr>
      <w:color w:val="0563C1"/>
      <w:u w:val="single"/>
    </w:rPr>
  </w:style>
  <w:style w:type="paragraph" w:customStyle="1" w:styleId="Default">
    <w:name w:val="Default"/>
    <w:rsid w:val="007E0FF3"/>
    <w:pPr>
      <w:autoSpaceDE w:val="0"/>
      <w:autoSpaceDN w:val="0"/>
      <w:adjustRightInd w:val="0"/>
      <w:spacing w:after="0"/>
      <w:jc w:val="left"/>
    </w:pPr>
    <w:rPr>
      <w:rFonts w:ascii="Arial" w:eastAsia="Times New Roman" w:hAnsi="Arial" w:cs="Arial"/>
      <w:color w:val="000000"/>
      <w:sz w:val="24"/>
      <w:szCs w:val="24"/>
      <w:lang w:eastAsia="en-GB"/>
    </w:rPr>
  </w:style>
  <w:style w:type="paragraph" w:customStyle="1" w:styleId="BVIfnrChar1CharCharCharCharChar">
    <w:name w:val="BVI fnr Char1 Char Char Char Char Char"/>
    <w:aliases w:val="BVI fnr Car Car Char1 Char Char Char Char Char,BVI fnr Car Char1 Char Char Char Char Char,BVI fnr Car Car Car Car Char2 Char Char Char Char Char"/>
    <w:basedOn w:val="Normal"/>
    <w:link w:val="FootnoteReference"/>
    <w:uiPriority w:val="99"/>
    <w:rsid w:val="007E0FF3"/>
    <w:pPr>
      <w:spacing w:after="160" w:line="240" w:lineRule="exact"/>
    </w:pPr>
    <w:rPr>
      <w:rFonts w:asciiTheme="minorHAnsi" w:eastAsia="Arial" w:hAnsiTheme="minorHAnsi" w:cstheme="minorBidi"/>
      <w:vertAlign w:val="superscript"/>
      <w:lang w:eastAsia="en-US"/>
    </w:rPr>
  </w:style>
  <w:style w:type="character" w:styleId="Emphasis">
    <w:name w:val="Emphasis"/>
    <w:basedOn w:val="DefaultParagraphFont"/>
    <w:uiPriority w:val="20"/>
    <w:qFormat/>
    <w:rsid w:val="00973597"/>
    <w:rPr>
      <w:i/>
      <w:iCs/>
    </w:rPr>
  </w:style>
  <w:style w:type="character" w:styleId="CommentReference">
    <w:name w:val="annotation reference"/>
    <w:basedOn w:val="DefaultParagraphFont"/>
    <w:uiPriority w:val="99"/>
    <w:semiHidden/>
    <w:unhideWhenUsed/>
    <w:rsid w:val="00973597"/>
    <w:rPr>
      <w:sz w:val="16"/>
      <w:szCs w:val="16"/>
    </w:rPr>
  </w:style>
  <w:style w:type="paragraph" w:styleId="CommentText">
    <w:name w:val="annotation text"/>
    <w:basedOn w:val="Normal"/>
    <w:link w:val="CommentTextChar"/>
    <w:uiPriority w:val="99"/>
    <w:unhideWhenUsed/>
    <w:rsid w:val="00973597"/>
    <w:pPr>
      <w:spacing w:after="120" w:line="240" w:lineRule="auto"/>
      <w:jc w:val="left"/>
    </w:pPr>
    <w:rPr>
      <w:rFonts w:eastAsia="Arial" w:cs="Arial"/>
      <w:color w:val="000000"/>
      <w:sz w:val="20"/>
      <w:szCs w:val="20"/>
      <w:lang w:eastAsia="en-US"/>
    </w:rPr>
  </w:style>
  <w:style w:type="character" w:customStyle="1" w:styleId="CommentTextChar">
    <w:name w:val="Comment Text Char"/>
    <w:basedOn w:val="DefaultParagraphFont"/>
    <w:link w:val="CommentText"/>
    <w:uiPriority w:val="99"/>
    <w:rsid w:val="00973597"/>
    <w:rPr>
      <w:rFonts w:ascii="Calibri" w:hAnsi="Calibri" w:cs="Arial"/>
      <w:color w:val="000000"/>
      <w:sz w:val="20"/>
      <w:szCs w:val="20"/>
    </w:rPr>
  </w:style>
  <w:style w:type="paragraph" w:styleId="BalloonText">
    <w:name w:val="Balloon Text"/>
    <w:basedOn w:val="Normal"/>
    <w:link w:val="BalloonTextChar"/>
    <w:uiPriority w:val="99"/>
    <w:semiHidden/>
    <w:unhideWhenUsed/>
    <w:rsid w:val="00F409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936"/>
    <w:rPr>
      <w:rFonts w:ascii="Segoe UI" w:eastAsia="Calibri" w:hAnsi="Segoe UI" w:cs="Segoe UI"/>
      <w:sz w:val="18"/>
      <w:szCs w:val="18"/>
      <w:lang w:eastAsia="en-GB"/>
    </w:rPr>
  </w:style>
  <w:style w:type="character" w:customStyle="1" w:styleId="Heading4Char">
    <w:name w:val="Heading 4 Char"/>
    <w:basedOn w:val="DefaultParagraphFont"/>
    <w:link w:val="Heading4"/>
    <w:uiPriority w:val="9"/>
    <w:rsid w:val="00F40936"/>
    <w:rPr>
      <w:rFonts w:ascii="Calibri" w:eastAsia="Calibri" w:hAnsi="Calibri" w:cs="Times New Roman"/>
      <w:i/>
      <w:color w:val="2E74B5" w:themeColor="accent1" w:themeShade="BF"/>
      <w:lang w:eastAsia="en-GB"/>
    </w:rPr>
  </w:style>
  <w:style w:type="table" w:styleId="TableGrid">
    <w:name w:val="Table Grid"/>
    <w:basedOn w:val="TableNormal"/>
    <w:uiPriority w:val="59"/>
    <w:rsid w:val="00193C8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359B8"/>
    <w:pPr>
      <w:spacing w:after="200"/>
      <w:jc w:val="both"/>
    </w:pPr>
    <w:rPr>
      <w:rFonts w:eastAsia="Calibri" w:cs="Times New Roman"/>
      <w:b/>
      <w:bCs/>
      <w:color w:val="auto"/>
      <w:lang w:eastAsia="en-GB"/>
    </w:rPr>
  </w:style>
  <w:style w:type="character" w:customStyle="1" w:styleId="CommentSubjectChar">
    <w:name w:val="Comment Subject Char"/>
    <w:basedOn w:val="CommentTextChar"/>
    <w:link w:val="CommentSubject"/>
    <w:uiPriority w:val="99"/>
    <w:semiHidden/>
    <w:rsid w:val="00F359B8"/>
    <w:rPr>
      <w:rFonts w:ascii="Calibri" w:eastAsia="Calibri" w:hAnsi="Calibri" w:cs="Times New Roman"/>
      <w:b/>
      <w:bCs/>
      <w:color w:val="000000"/>
      <w:sz w:val="20"/>
      <w:szCs w:val="20"/>
      <w:lang w:eastAsia="en-GB"/>
    </w:rPr>
  </w:style>
  <w:style w:type="paragraph" w:styleId="Revision">
    <w:name w:val="Revision"/>
    <w:hidden/>
    <w:uiPriority w:val="99"/>
    <w:semiHidden/>
    <w:rsid w:val="009F4A5A"/>
    <w:pPr>
      <w:spacing w:after="0"/>
      <w:jc w:val="left"/>
    </w:pPr>
    <w:rPr>
      <w:rFonts w:ascii="Calibri" w:eastAsia="Calibri" w:hAnsi="Calibri" w:cs="Times New Roman"/>
      <w:lang w:eastAsia="en-GB"/>
    </w:rPr>
  </w:style>
  <w:style w:type="paragraph" w:styleId="BodyText">
    <w:name w:val="Body Text"/>
    <w:basedOn w:val="Normal"/>
    <w:link w:val="BodyTextChar"/>
    <w:rsid w:val="0056302D"/>
    <w:pPr>
      <w:spacing w:before="100" w:beforeAutospacing="1" w:after="100" w:afterAutospacing="1" w:line="240" w:lineRule="auto"/>
      <w:jc w:val="left"/>
    </w:pPr>
    <w:rPr>
      <w:rFonts w:ascii="Times New Roman" w:eastAsia="Times New Roman" w:hAnsi="Times New Roman"/>
      <w:sz w:val="24"/>
      <w:szCs w:val="24"/>
    </w:rPr>
  </w:style>
  <w:style w:type="character" w:customStyle="1" w:styleId="BodyTextChar">
    <w:name w:val="Body Text Char"/>
    <w:basedOn w:val="DefaultParagraphFont"/>
    <w:link w:val="BodyText"/>
    <w:rsid w:val="0056302D"/>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262FAA"/>
    <w:rPr>
      <w:rFonts w:ascii="Times New Roman" w:hAnsi="Times New Roman"/>
      <w:sz w:val="24"/>
      <w:szCs w:val="24"/>
    </w:rPr>
  </w:style>
  <w:style w:type="character" w:customStyle="1" w:styleId="ListParagraphChar">
    <w:name w:val="List Paragraph Char"/>
    <w:aliases w:val="Dot pt Char,List Paragraph Char Char Char Char,Indicator Text Char,List Paragraph1 Char,No Spacing1 Char,Bullet 1 Char,Numbered Para 1 Char,List Paragraph12 Char,Bullet Points Char,Bullet Style Char,MAIN CONTENT Char"/>
    <w:link w:val="ListParagraph"/>
    <w:uiPriority w:val="34"/>
    <w:qFormat/>
    <w:locked/>
    <w:rsid w:val="000E63BC"/>
    <w:rPr>
      <w:rFonts w:ascii="Calibri" w:eastAsia="Calibri" w:hAnsi="Calibri" w:cs="Times New Roman"/>
      <w:lang w:eastAsia="en-GB"/>
    </w:rPr>
  </w:style>
  <w:style w:type="paragraph" w:styleId="Header">
    <w:name w:val="header"/>
    <w:basedOn w:val="Normal"/>
    <w:link w:val="HeaderChar"/>
    <w:uiPriority w:val="99"/>
    <w:unhideWhenUsed/>
    <w:rsid w:val="00641B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BD8"/>
    <w:rPr>
      <w:rFonts w:ascii="Calibri" w:eastAsia="Calibri" w:hAnsi="Calibri" w:cs="Times New Roman"/>
      <w:lang w:eastAsia="en-GB"/>
    </w:rPr>
  </w:style>
  <w:style w:type="paragraph" w:styleId="Footer">
    <w:name w:val="footer"/>
    <w:basedOn w:val="Normal"/>
    <w:link w:val="FooterChar"/>
    <w:uiPriority w:val="99"/>
    <w:unhideWhenUsed/>
    <w:rsid w:val="00641B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1BD8"/>
    <w:rPr>
      <w:rFonts w:ascii="Calibri" w:eastAsia="Calibri" w:hAnsi="Calibri" w:cs="Times New Roman"/>
      <w:lang w:eastAsia="en-GB"/>
    </w:rPr>
  </w:style>
  <w:style w:type="character" w:customStyle="1" w:styleId="Heading5Char">
    <w:name w:val="Heading 5 Char"/>
    <w:basedOn w:val="DefaultParagraphFont"/>
    <w:link w:val="Heading5"/>
    <w:uiPriority w:val="9"/>
    <w:rsid w:val="00E25A0E"/>
    <w:rPr>
      <w:rFonts w:asciiTheme="majorHAnsi" w:eastAsiaTheme="majorEastAsia" w:hAnsiTheme="majorHAnsi" w:cstheme="majorBidi"/>
      <w:color w:val="2E74B5" w:themeColor="accent1" w:themeShade="BF"/>
      <w:lang w:eastAsia="en-GB"/>
    </w:rPr>
  </w:style>
  <w:style w:type="table" w:styleId="TableGridLight">
    <w:name w:val="Grid Table Light"/>
    <w:basedOn w:val="TableNormal"/>
    <w:uiPriority w:val="40"/>
    <w:rsid w:val="006F46A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link w:val="NoSpacingChar"/>
    <w:uiPriority w:val="1"/>
    <w:qFormat/>
    <w:rsid w:val="002C0E8F"/>
    <w:pPr>
      <w:spacing w:after="0"/>
      <w:jc w:val="left"/>
    </w:pPr>
    <w:rPr>
      <w:rFonts w:eastAsiaTheme="minorEastAsia"/>
      <w:lang w:val="en-US"/>
    </w:rPr>
  </w:style>
  <w:style w:type="character" w:customStyle="1" w:styleId="NoSpacingChar">
    <w:name w:val="No Spacing Char"/>
    <w:basedOn w:val="DefaultParagraphFont"/>
    <w:link w:val="NoSpacing"/>
    <w:uiPriority w:val="1"/>
    <w:rsid w:val="002C0E8F"/>
    <w:rPr>
      <w:rFonts w:eastAsiaTheme="minorEastAsia"/>
      <w:lang w:val="en-US"/>
    </w:rPr>
  </w:style>
  <w:style w:type="paragraph" w:styleId="TOCHeading">
    <w:name w:val="TOC Heading"/>
    <w:basedOn w:val="Heading1"/>
    <w:next w:val="Normal"/>
    <w:uiPriority w:val="39"/>
    <w:unhideWhenUsed/>
    <w:qFormat/>
    <w:rsid w:val="002C0E8F"/>
    <w:pPr>
      <w:numPr>
        <w:numId w:val="0"/>
      </w:numPr>
      <w:spacing w:line="259" w:lineRule="auto"/>
      <w:jc w:val="left"/>
      <w:outlineLvl w:val="9"/>
    </w:pPr>
    <w:rPr>
      <w:b w:val="0"/>
      <w:sz w:val="32"/>
      <w:lang w:val="en-US" w:eastAsia="en-US"/>
    </w:rPr>
  </w:style>
  <w:style w:type="paragraph" w:styleId="TOC1">
    <w:name w:val="toc 1"/>
    <w:basedOn w:val="Normal"/>
    <w:next w:val="Normal"/>
    <w:autoRedefine/>
    <w:uiPriority w:val="39"/>
    <w:unhideWhenUsed/>
    <w:rsid w:val="002C0E8F"/>
    <w:pPr>
      <w:spacing w:after="100"/>
    </w:pPr>
  </w:style>
  <w:style w:type="paragraph" w:styleId="TOC2">
    <w:name w:val="toc 2"/>
    <w:basedOn w:val="Normal"/>
    <w:next w:val="Normal"/>
    <w:autoRedefine/>
    <w:uiPriority w:val="39"/>
    <w:unhideWhenUsed/>
    <w:rsid w:val="002C0E8F"/>
    <w:pPr>
      <w:spacing w:after="100"/>
      <w:ind w:left="220"/>
    </w:pPr>
  </w:style>
  <w:style w:type="paragraph" w:styleId="TOC3">
    <w:name w:val="toc 3"/>
    <w:basedOn w:val="Normal"/>
    <w:next w:val="Normal"/>
    <w:autoRedefine/>
    <w:uiPriority w:val="39"/>
    <w:unhideWhenUsed/>
    <w:rsid w:val="002C0E8F"/>
    <w:pPr>
      <w:spacing w:after="100"/>
      <w:ind w:left="440"/>
    </w:pPr>
  </w:style>
  <w:style w:type="character" w:styleId="FollowedHyperlink">
    <w:name w:val="FollowedHyperlink"/>
    <w:basedOn w:val="DefaultParagraphFont"/>
    <w:uiPriority w:val="99"/>
    <w:semiHidden/>
    <w:unhideWhenUsed/>
    <w:rsid w:val="0003290D"/>
    <w:rPr>
      <w:color w:val="954F72" w:themeColor="followedHyperlink"/>
      <w:u w:val="single"/>
    </w:rPr>
  </w:style>
  <w:style w:type="paragraph" w:styleId="Caption">
    <w:name w:val="caption"/>
    <w:basedOn w:val="Normal"/>
    <w:next w:val="Normal"/>
    <w:uiPriority w:val="35"/>
    <w:unhideWhenUsed/>
    <w:qFormat/>
    <w:rsid w:val="00DF6930"/>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1320B7"/>
    <w:pPr>
      <w:spacing w:after="0"/>
      <w:jc w:val="left"/>
    </w:pPr>
    <w:rPr>
      <w:rFonts w:asciiTheme="minorHAnsi" w:hAnsiTheme="minorHAnsi"/>
      <w:i/>
      <w:iCs/>
      <w:sz w:val="20"/>
      <w:szCs w:val="20"/>
    </w:rPr>
  </w:style>
  <w:style w:type="character" w:customStyle="1" w:styleId="mixed-citation">
    <w:name w:val="mixed-citation"/>
    <w:basedOn w:val="DefaultParagraphFont"/>
    <w:rsid w:val="000131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91366">
      <w:bodyDiv w:val="1"/>
      <w:marLeft w:val="0"/>
      <w:marRight w:val="0"/>
      <w:marTop w:val="0"/>
      <w:marBottom w:val="0"/>
      <w:divBdr>
        <w:top w:val="none" w:sz="0" w:space="0" w:color="auto"/>
        <w:left w:val="none" w:sz="0" w:space="0" w:color="auto"/>
        <w:bottom w:val="none" w:sz="0" w:space="0" w:color="auto"/>
        <w:right w:val="none" w:sz="0" w:space="0" w:color="auto"/>
      </w:divBdr>
    </w:div>
    <w:div w:id="97339588">
      <w:bodyDiv w:val="1"/>
      <w:marLeft w:val="0"/>
      <w:marRight w:val="0"/>
      <w:marTop w:val="0"/>
      <w:marBottom w:val="0"/>
      <w:divBdr>
        <w:top w:val="none" w:sz="0" w:space="0" w:color="auto"/>
        <w:left w:val="none" w:sz="0" w:space="0" w:color="auto"/>
        <w:bottom w:val="none" w:sz="0" w:space="0" w:color="auto"/>
        <w:right w:val="none" w:sz="0" w:space="0" w:color="auto"/>
      </w:divBdr>
    </w:div>
    <w:div w:id="111897675">
      <w:bodyDiv w:val="1"/>
      <w:marLeft w:val="0"/>
      <w:marRight w:val="0"/>
      <w:marTop w:val="0"/>
      <w:marBottom w:val="0"/>
      <w:divBdr>
        <w:top w:val="none" w:sz="0" w:space="0" w:color="auto"/>
        <w:left w:val="none" w:sz="0" w:space="0" w:color="auto"/>
        <w:bottom w:val="none" w:sz="0" w:space="0" w:color="auto"/>
        <w:right w:val="none" w:sz="0" w:space="0" w:color="auto"/>
      </w:divBdr>
    </w:div>
    <w:div w:id="146168490">
      <w:bodyDiv w:val="1"/>
      <w:marLeft w:val="0"/>
      <w:marRight w:val="0"/>
      <w:marTop w:val="0"/>
      <w:marBottom w:val="0"/>
      <w:divBdr>
        <w:top w:val="none" w:sz="0" w:space="0" w:color="auto"/>
        <w:left w:val="none" w:sz="0" w:space="0" w:color="auto"/>
        <w:bottom w:val="none" w:sz="0" w:space="0" w:color="auto"/>
        <w:right w:val="none" w:sz="0" w:space="0" w:color="auto"/>
      </w:divBdr>
    </w:div>
    <w:div w:id="150173280">
      <w:bodyDiv w:val="1"/>
      <w:marLeft w:val="0"/>
      <w:marRight w:val="0"/>
      <w:marTop w:val="0"/>
      <w:marBottom w:val="0"/>
      <w:divBdr>
        <w:top w:val="none" w:sz="0" w:space="0" w:color="auto"/>
        <w:left w:val="none" w:sz="0" w:space="0" w:color="auto"/>
        <w:bottom w:val="none" w:sz="0" w:space="0" w:color="auto"/>
        <w:right w:val="none" w:sz="0" w:space="0" w:color="auto"/>
      </w:divBdr>
    </w:div>
    <w:div w:id="188762988">
      <w:bodyDiv w:val="1"/>
      <w:marLeft w:val="0"/>
      <w:marRight w:val="0"/>
      <w:marTop w:val="0"/>
      <w:marBottom w:val="0"/>
      <w:divBdr>
        <w:top w:val="none" w:sz="0" w:space="0" w:color="auto"/>
        <w:left w:val="none" w:sz="0" w:space="0" w:color="auto"/>
        <w:bottom w:val="none" w:sz="0" w:space="0" w:color="auto"/>
        <w:right w:val="none" w:sz="0" w:space="0" w:color="auto"/>
      </w:divBdr>
    </w:div>
    <w:div w:id="254170281">
      <w:bodyDiv w:val="1"/>
      <w:marLeft w:val="0"/>
      <w:marRight w:val="0"/>
      <w:marTop w:val="0"/>
      <w:marBottom w:val="0"/>
      <w:divBdr>
        <w:top w:val="none" w:sz="0" w:space="0" w:color="auto"/>
        <w:left w:val="none" w:sz="0" w:space="0" w:color="auto"/>
        <w:bottom w:val="none" w:sz="0" w:space="0" w:color="auto"/>
        <w:right w:val="none" w:sz="0" w:space="0" w:color="auto"/>
      </w:divBdr>
    </w:div>
    <w:div w:id="299655725">
      <w:bodyDiv w:val="1"/>
      <w:marLeft w:val="0"/>
      <w:marRight w:val="0"/>
      <w:marTop w:val="0"/>
      <w:marBottom w:val="0"/>
      <w:divBdr>
        <w:top w:val="none" w:sz="0" w:space="0" w:color="auto"/>
        <w:left w:val="none" w:sz="0" w:space="0" w:color="auto"/>
        <w:bottom w:val="none" w:sz="0" w:space="0" w:color="auto"/>
        <w:right w:val="none" w:sz="0" w:space="0" w:color="auto"/>
      </w:divBdr>
    </w:div>
    <w:div w:id="545072533">
      <w:bodyDiv w:val="1"/>
      <w:marLeft w:val="0"/>
      <w:marRight w:val="0"/>
      <w:marTop w:val="0"/>
      <w:marBottom w:val="0"/>
      <w:divBdr>
        <w:top w:val="none" w:sz="0" w:space="0" w:color="auto"/>
        <w:left w:val="none" w:sz="0" w:space="0" w:color="auto"/>
        <w:bottom w:val="none" w:sz="0" w:space="0" w:color="auto"/>
        <w:right w:val="none" w:sz="0" w:space="0" w:color="auto"/>
      </w:divBdr>
    </w:div>
    <w:div w:id="552348730">
      <w:bodyDiv w:val="1"/>
      <w:marLeft w:val="0"/>
      <w:marRight w:val="0"/>
      <w:marTop w:val="0"/>
      <w:marBottom w:val="0"/>
      <w:divBdr>
        <w:top w:val="none" w:sz="0" w:space="0" w:color="auto"/>
        <w:left w:val="none" w:sz="0" w:space="0" w:color="auto"/>
        <w:bottom w:val="none" w:sz="0" w:space="0" w:color="auto"/>
        <w:right w:val="none" w:sz="0" w:space="0" w:color="auto"/>
      </w:divBdr>
    </w:div>
    <w:div w:id="558134770">
      <w:bodyDiv w:val="1"/>
      <w:marLeft w:val="0"/>
      <w:marRight w:val="0"/>
      <w:marTop w:val="0"/>
      <w:marBottom w:val="0"/>
      <w:divBdr>
        <w:top w:val="none" w:sz="0" w:space="0" w:color="auto"/>
        <w:left w:val="none" w:sz="0" w:space="0" w:color="auto"/>
        <w:bottom w:val="none" w:sz="0" w:space="0" w:color="auto"/>
        <w:right w:val="none" w:sz="0" w:space="0" w:color="auto"/>
      </w:divBdr>
    </w:div>
    <w:div w:id="657852087">
      <w:bodyDiv w:val="1"/>
      <w:marLeft w:val="0"/>
      <w:marRight w:val="0"/>
      <w:marTop w:val="0"/>
      <w:marBottom w:val="0"/>
      <w:divBdr>
        <w:top w:val="none" w:sz="0" w:space="0" w:color="auto"/>
        <w:left w:val="none" w:sz="0" w:space="0" w:color="auto"/>
        <w:bottom w:val="none" w:sz="0" w:space="0" w:color="auto"/>
        <w:right w:val="none" w:sz="0" w:space="0" w:color="auto"/>
      </w:divBdr>
    </w:div>
    <w:div w:id="688259105">
      <w:bodyDiv w:val="1"/>
      <w:marLeft w:val="0"/>
      <w:marRight w:val="0"/>
      <w:marTop w:val="0"/>
      <w:marBottom w:val="0"/>
      <w:divBdr>
        <w:top w:val="none" w:sz="0" w:space="0" w:color="auto"/>
        <w:left w:val="none" w:sz="0" w:space="0" w:color="auto"/>
        <w:bottom w:val="none" w:sz="0" w:space="0" w:color="auto"/>
        <w:right w:val="none" w:sz="0" w:space="0" w:color="auto"/>
      </w:divBdr>
    </w:div>
    <w:div w:id="751202782">
      <w:bodyDiv w:val="1"/>
      <w:marLeft w:val="0"/>
      <w:marRight w:val="0"/>
      <w:marTop w:val="0"/>
      <w:marBottom w:val="0"/>
      <w:divBdr>
        <w:top w:val="none" w:sz="0" w:space="0" w:color="auto"/>
        <w:left w:val="none" w:sz="0" w:space="0" w:color="auto"/>
        <w:bottom w:val="none" w:sz="0" w:space="0" w:color="auto"/>
        <w:right w:val="none" w:sz="0" w:space="0" w:color="auto"/>
      </w:divBdr>
    </w:div>
    <w:div w:id="811144740">
      <w:bodyDiv w:val="1"/>
      <w:marLeft w:val="0"/>
      <w:marRight w:val="0"/>
      <w:marTop w:val="0"/>
      <w:marBottom w:val="0"/>
      <w:divBdr>
        <w:top w:val="none" w:sz="0" w:space="0" w:color="auto"/>
        <w:left w:val="none" w:sz="0" w:space="0" w:color="auto"/>
        <w:bottom w:val="none" w:sz="0" w:space="0" w:color="auto"/>
        <w:right w:val="none" w:sz="0" w:space="0" w:color="auto"/>
      </w:divBdr>
    </w:div>
    <w:div w:id="823397432">
      <w:bodyDiv w:val="1"/>
      <w:marLeft w:val="0"/>
      <w:marRight w:val="0"/>
      <w:marTop w:val="0"/>
      <w:marBottom w:val="0"/>
      <w:divBdr>
        <w:top w:val="none" w:sz="0" w:space="0" w:color="auto"/>
        <w:left w:val="none" w:sz="0" w:space="0" w:color="auto"/>
        <w:bottom w:val="none" w:sz="0" w:space="0" w:color="auto"/>
        <w:right w:val="none" w:sz="0" w:space="0" w:color="auto"/>
      </w:divBdr>
    </w:div>
    <w:div w:id="888229391">
      <w:bodyDiv w:val="1"/>
      <w:marLeft w:val="0"/>
      <w:marRight w:val="0"/>
      <w:marTop w:val="0"/>
      <w:marBottom w:val="0"/>
      <w:divBdr>
        <w:top w:val="none" w:sz="0" w:space="0" w:color="auto"/>
        <w:left w:val="none" w:sz="0" w:space="0" w:color="auto"/>
        <w:bottom w:val="none" w:sz="0" w:space="0" w:color="auto"/>
        <w:right w:val="none" w:sz="0" w:space="0" w:color="auto"/>
      </w:divBdr>
    </w:div>
    <w:div w:id="891117916">
      <w:bodyDiv w:val="1"/>
      <w:marLeft w:val="0"/>
      <w:marRight w:val="0"/>
      <w:marTop w:val="0"/>
      <w:marBottom w:val="0"/>
      <w:divBdr>
        <w:top w:val="none" w:sz="0" w:space="0" w:color="auto"/>
        <w:left w:val="none" w:sz="0" w:space="0" w:color="auto"/>
        <w:bottom w:val="none" w:sz="0" w:space="0" w:color="auto"/>
        <w:right w:val="none" w:sz="0" w:space="0" w:color="auto"/>
      </w:divBdr>
    </w:div>
    <w:div w:id="891617959">
      <w:bodyDiv w:val="1"/>
      <w:marLeft w:val="0"/>
      <w:marRight w:val="0"/>
      <w:marTop w:val="0"/>
      <w:marBottom w:val="0"/>
      <w:divBdr>
        <w:top w:val="none" w:sz="0" w:space="0" w:color="auto"/>
        <w:left w:val="none" w:sz="0" w:space="0" w:color="auto"/>
        <w:bottom w:val="none" w:sz="0" w:space="0" w:color="auto"/>
        <w:right w:val="none" w:sz="0" w:space="0" w:color="auto"/>
      </w:divBdr>
    </w:div>
    <w:div w:id="893277645">
      <w:bodyDiv w:val="1"/>
      <w:marLeft w:val="0"/>
      <w:marRight w:val="0"/>
      <w:marTop w:val="0"/>
      <w:marBottom w:val="0"/>
      <w:divBdr>
        <w:top w:val="none" w:sz="0" w:space="0" w:color="auto"/>
        <w:left w:val="none" w:sz="0" w:space="0" w:color="auto"/>
        <w:bottom w:val="none" w:sz="0" w:space="0" w:color="auto"/>
        <w:right w:val="none" w:sz="0" w:space="0" w:color="auto"/>
      </w:divBdr>
    </w:div>
    <w:div w:id="893543205">
      <w:bodyDiv w:val="1"/>
      <w:marLeft w:val="0"/>
      <w:marRight w:val="0"/>
      <w:marTop w:val="0"/>
      <w:marBottom w:val="0"/>
      <w:divBdr>
        <w:top w:val="none" w:sz="0" w:space="0" w:color="auto"/>
        <w:left w:val="none" w:sz="0" w:space="0" w:color="auto"/>
        <w:bottom w:val="none" w:sz="0" w:space="0" w:color="auto"/>
        <w:right w:val="none" w:sz="0" w:space="0" w:color="auto"/>
      </w:divBdr>
    </w:div>
    <w:div w:id="899484101">
      <w:bodyDiv w:val="1"/>
      <w:marLeft w:val="0"/>
      <w:marRight w:val="0"/>
      <w:marTop w:val="0"/>
      <w:marBottom w:val="0"/>
      <w:divBdr>
        <w:top w:val="none" w:sz="0" w:space="0" w:color="auto"/>
        <w:left w:val="none" w:sz="0" w:space="0" w:color="auto"/>
        <w:bottom w:val="none" w:sz="0" w:space="0" w:color="auto"/>
        <w:right w:val="none" w:sz="0" w:space="0" w:color="auto"/>
      </w:divBdr>
    </w:div>
    <w:div w:id="969244361">
      <w:bodyDiv w:val="1"/>
      <w:marLeft w:val="0"/>
      <w:marRight w:val="0"/>
      <w:marTop w:val="0"/>
      <w:marBottom w:val="0"/>
      <w:divBdr>
        <w:top w:val="none" w:sz="0" w:space="0" w:color="auto"/>
        <w:left w:val="none" w:sz="0" w:space="0" w:color="auto"/>
        <w:bottom w:val="none" w:sz="0" w:space="0" w:color="auto"/>
        <w:right w:val="none" w:sz="0" w:space="0" w:color="auto"/>
      </w:divBdr>
    </w:div>
    <w:div w:id="996416659">
      <w:bodyDiv w:val="1"/>
      <w:marLeft w:val="0"/>
      <w:marRight w:val="0"/>
      <w:marTop w:val="0"/>
      <w:marBottom w:val="0"/>
      <w:divBdr>
        <w:top w:val="none" w:sz="0" w:space="0" w:color="auto"/>
        <w:left w:val="none" w:sz="0" w:space="0" w:color="auto"/>
        <w:bottom w:val="none" w:sz="0" w:space="0" w:color="auto"/>
        <w:right w:val="none" w:sz="0" w:space="0" w:color="auto"/>
      </w:divBdr>
    </w:div>
    <w:div w:id="996883525">
      <w:bodyDiv w:val="1"/>
      <w:marLeft w:val="0"/>
      <w:marRight w:val="0"/>
      <w:marTop w:val="0"/>
      <w:marBottom w:val="0"/>
      <w:divBdr>
        <w:top w:val="none" w:sz="0" w:space="0" w:color="auto"/>
        <w:left w:val="none" w:sz="0" w:space="0" w:color="auto"/>
        <w:bottom w:val="none" w:sz="0" w:space="0" w:color="auto"/>
        <w:right w:val="none" w:sz="0" w:space="0" w:color="auto"/>
      </w:divBdr>
    </w:div>
    <w:div w:id="1017847071">
      <w:bodyDiv w:val="1"/>
      <w:marLeft w:val="0"/>
      <w:marRight w:val="0"/>
      <w:marTop w:val="0"/>
      <w:marBottom w:val="0"/>
      <w:divBdr>
        <w:top w:val="none" w:sz="0" w:space="0" w:color="auto"/>
        <w:left w:val="none" w:sz="0" w:space="0" w:color="auto"/>
        <w:bottom w:val="none" w:sz="0" w:space="0" w:color="auto"/>
        <w:right w:val="none" w:sz="0" w:space="0" w:color="auto"/>
      </w:divBdr>
    </w:div>
    <w:div w:id="1228303559">
      <w:bodyDiv w:val="1"/>
      <w:marLeft w:val="0"/>
      <w:marRight w:val="0"/>
      <w:marTop w:val="0"/>
      <w:marBottom w:val="0"/>
      <w:divBdr>
        <w:top w:val="none" w:sz="0" w:space="0" w:color="auto"/>
        <w:left w:val="none" w:sz="0" w:space="0" w:color="auto"/>
        <w:bottom w:val="none" w:sz="0" w:space="0" w:color="auto"/>
        <w:right w:val="none" w:sz="0" w:space="0" w:color="auto"/>
      </w:divBdr>
    </w:div>
    <w:div w:id="1384796242">
      <w:bodyDiv w:val="1"/>
      <w:marLeft w:val="0"/>
      <w:marRight w:val="0"/>
      <w:marTop w:val="0"/>
      <w:marBottom w:val="0"/>
      <w:divBdr>
        <w:top w:val="none" w:sz="0" w:space="0" w:color="auto"/>
        <w:left w:val="none" w:sz="0" w:space="0" w:color="auto"/>
        <w:bottom w:val="none" w:sz="0" w:space="0" w:color="auto"/>
        <w:right w:val="none" w:sz="0" w:space="0" w:color="auto"/>
      </w:divBdr>
    </w:div>
    <w:div w:id="1420367310">
      <w:bodyDiv w:val="1"/>
      <w:marLeft w:val="0"/>
      <w:marRight w:val="0"/>
      <w:marTop w:val="0"/>
      <w:marBottom w:val="0"/>
      <w:divBdr>
        <w:top w:val="none" w:sz="0" w:space="0" w:color="auto"/>
        <w:left w:val="none" w:sz="0" w:space="0" w:color="auto"/>
        <w:bottom w:val="none" w:sz="0" w:space="0" w:color="auto"/>
        <w:right w:val="none" w:sz="0" w:space="0" w:color="auto"/>
      </w:divBdr>
    </w:div>
    <w:div w:id="1452244541">
      <w:bodyDiv w:val="1"/>
      <w:marLeft w:val="0"/>
      <w:marRight w:val="0"/>
      <w:marTop w:val="0"/>
      <w:marBottom w:val="0"/>
      <w:divBdr>
        <w:top w:val="none" w:sz="0" w:space="0" w:color="auto"/>
        <w:left w:val="none" w:sz="0" w:space="0" w:color="auto"/>
        <w:bottom w:val="none" w:sz="0" w:space="0" w:color="auto"/>
        <w:right w:val="none" w:sz="0" w:space="0" w:color="auto"/>
      </w:divBdr>
    </w:div>
    <w:div w:id="1452480451">
      <w:bodyDiv w:val="1"/>
      <w:marLeft w:val="0"/>
      <w:marRight w:val="0"/>
      <w:marTop w:val="0"/>
      <w:marBottom w:val="0"/>
      <w:divBdr>
        <w:top w:val="none" w:sz="0" w:space="0" w:color="auto"/>
        <w:left w:val="none" w:sz="0" w:space="0" w:color="auto"/>
        <w:bottom w:val="none" w:sz="0" w:space="0" w:color="auto"/>
        <w:right w:val="none" w:sz="0" w:space="0" w:color="auto"/>
      </w:divBdr>
    </w:div>
    <w:div w:id="1527711235">
      <w:bodyDiv w:val="1"/>
      <w:marLeft w:val="0"/>
      <w:marRight w:val="0"/>
      <w:marTop w:val="0"/>
      <w:marBottom w:val="0"/>
      <w:divBdr>
        <w:top w:val="none" w:sz="0" w:space="0" w:color="auto"/>
        <w:left w:val="none" w:sz="0" w:space="0" w:color="auto"/>
        <w:bottom w:val="none" w:sz="0" w:space="0" w:color="auto"/>
        <w:right w:val="none" w:sz="0" w:space="0" w:color="auto"/>
      </w:divBdr>
    </w:div>
    <w:div w:id="1565138028">
      <w:bodyDiv w:val="1"/>
      <w:marLeft w:val="0"/>
      <w:marRight w:val="0"/>
      <w:marTop w:val="0"/>
      <w:marBottom w:val="0"/>
      <w:divBdr>
        <w:top w:val="none" w:sz="0" w:space="0" w:color="auto"/>
        <w:left w:val="none" w:sz="0" w:space="0" w:color="auto"/>
        <w:bottom w:val="none" w:sz="0" w:space="0" w:color="auto"/>
        <w:right w:val="none" w:sz="0" w:space="0" w:color="auto"/>
      </w:divBdr>
    </w:div>
    <w:div w:id="1575630651">
      <w:bodyDiv w:val="1"/>
      <w:marLeft w:val="0"/>
      <w:marRight w:val="0"/>
      <w:marTop w:val="0"/>
      <w:marBottom w:val="0"/>
      <w:divBdr>
        <w:top w:val="none" w:sz="0" w:space="0" w:color="auto"/>
        <w:left w:val="none" w:sz="0" w:space="0" w:color="auto"/>
        <w:bottom w:val="none" w:sz="0" w:space="0" w:color="auto"/>
        <w:right w:val="none" w:sz="0" w:space="0" w:color="auto"/>
      </w:divBdr>
    </w:div>
    <w:div w:id="1618563773">
      <w:bodyDiv w:val="1"/>
      <w:marLeft w:val="0"/>
      <w:marRight w:val="0"/>
      <w:marTop w:val="0"/>
      <w:marBottom w:val="0"/>
      <w:divBdr>
        <w:top w:val="none" w:sz="0" w:space="0" w:color="auto"/>
        <w:left w:val="none" w:sz="0" w:space="0" w:color="auto"/>
        <w:bottom w:val="none" w:sz="0" w:space="0" w:color="auto"/>
        <w:right w:val="none" w:sz="0" w:space="0" w:color="auto"/>
      </w:divBdr>
    </w:div>
    <w:div w:id="1725833392">
      <w:bodyDiv w:val="1"/>
      <w:marLeft w:val="0"/>
      <w:marRight w:val="0"/>
      <w:marTop w:val="0"/>
      <w:marBottom w:val="0"/>
      <w:divBdr>
        <w:top w:val="none" w:sz="0" w:space="0" w:color="auto"/>
        <w:left w:val="none" w:sz="0" w:space="0" w:color="auto"/>
        <w:bottom w:val="none" w:sz="0" w:space="0" w:color="auto"/>
        <w:right w:val="none" w:sz="0" w:space="0" w:color="auto"/>
      </w:divBdr>
    </w:div>
    <w:div w:id="1861239080">
      <w:bodyDiv w:val="1"/>
      <w:marLeft w:val="0"/>
      <w:marRight w:val="0"/>
      <w:marTop w:val="0"/>
      <w:marBottom w:val="0"/>
      <w:divBdr>
        <w:top w:val="none" w:sz="0" w:space="0" w:color="auto"/>
        <w:left w:val="none" w:sz="0" w:space="0" w:color="auto"/>
        <w:bottom w:val="none" w:sz="0" w:space="0" w:color="auto"/>
        <w:right w:val="none" w:sz="0" w:space="0" w:color="auto"/>
      </w:divBdr>
    </w:div>
    <w:div w:id="1927033971">
      <w:bodyDiv w:val="1"/>
      <w:marLeft w:val="0"/>
      <w:marRight w:val="0"/>
      <w:marTop w:val="0"/>
      <w:marBottom w:val="0"/>
      <w:divBdr>
        <w:top w:val="none" w:sz="0" w:space="0" w:color="auto"/>
        <w:left w:val="none" w:sz="0" w:space="0" w:color="auto"/>
        <w:bottom w:val="none" w:sz="0" w:space="0" w:color="auto"/>
        <w:right w:val="none" w:sz="0" w:space="0" w:color="auto"/>
      </w:divBdr>
    </w:div>
    <w:div w:id="1933275179">
      <w:bodyDiv w:val="1"/>
      <w:marLeft w:val="0"/>
      <w:marRight w:val="0"/>
      <w:marTop w:val="0"/>
      <w:marBottom w:val="0"/>
      <w:divBdr>
        <w:top w:val="none" w:sz="0" w:space="0" w:color="auto"/>
        <w:left w:val="none" w:sz="0" w:space="0" w:color="auto"/>
        <w:bottom w:val="none" w:sz="0" w:space="0" w:color="auto"/>
        <w:right w:val="none" w:sz="0" w:space="0" w:color="auto"/>
      </w:divBdr>
    </w:div>
    <w:div w:id="2043700018">
      <w:bodyDiv w:val="1"/>
      <w:marLeft w:val="0"/>
      <w:marRight w:val="0"/>
      <w:marTop w:val="0"/>
      <w:marBottom w:val="0"/>
      <w:divBdr>
        <w:top w:val="none" w:sz="0" w:space="0" w:color="auto"/>
        <w:left w:val="none" w:sz="0" w:space="0" w:color="auto"/>
        <w:bottom w:val="none" w:sz="0" w:space="0" w:color="auto"/>
        <w:right w:val="none" w:sz="0" w:space="0" w:color="auto"/>
      </w:divBdr>
    </w:div>
    <w:div w:id="212680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p.demeter.zeus.gsi.gov.uk/Sites/aa16/INT/ICF/ICF%20Spend_%202017-2020/Mangroves/ICF%20Mangroves%20Business%20Case%202018/Mangroves%20Business%20Case%20-%20All%20sub-cases.docx" TargetMode="External"/><Relationship Id="rId18" Type="http://schemas.openxmlformats.org/officeDocument/2006/relationships/diagramData" Target="diagrams/data1.xml"/><Relationship Id="rId26" Type="http://schemas.openxmlformats.org/officeDocument/2006/relationships/hyperlink" Target="http://www.mopanonline.org/assessments/iadb2015-16/Mopan%20IDB%20%5binteractive%5d%20%5bfinal%5d.pdf" TargetMode="External"/><Relationship Id="rId39" Type="http://schemas.openxmlformats.org/officeDocument/2006/relationships/hyperlink" Target="https://www.iadb.org/en/topics/transparency/integrity-idb-group/how-report-fraud-and-corruption" TargetMode="Externa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hyperlink" Target="https://www.iadb.org/en/idb-finance/idb-finance-portal" TargetMode="External"/><Relationship Id="rId42" Type="http://schemas.openxmlformats.org/officeDocument/2006/relationships/hyperlink" Target="http://www.iadb.org/ove"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https://www.iadb.org/en/procurement" TargetMode="External"/><Relationship Id="rId33" Type="http://schemas.openxmlformats.org/officeDocument/2006/relationships/hyperlink" Target="https://www.iadb.org/en/about-us/departments/rmg" TargetMode="External"/><Relationship Id="rId38" Type="http://schemas.openxmlformats.org/officeDocument/2006/relationships/hyperlink" Target="http://www.mopanonline.org/assessments/iadb2015-16/Mopan%20IDB%20%5binteractive%5d%20%5bfinal%5d.pdf"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diagramQuickStyle" Target="diagrams/quickStyle1.xml"/><Relationship Id="rId41" Type="http://schemas.openxmlformats.org/officeDocument/2006/relationships/hyperlink" Target="https://www.iadb.org/node/325"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iadb.org/en/topics/sustainability/about-us" TargetMode="External"/><Relationship Id="rId32" Type="http://schemas.openxmlformats.org/officeDocument/2006/relationships/image" Target="media/image7.png"/><Relationship Id="rId37" Type="http://schemas.openxmlformats.org/officeDocument/2006/relationships/hyperlink" Target="http://www.publishwhatyoufund.org/the-index/2018" TargetMode="External"/><Relationship Id="rId40" Type="http://schemas.openxmlformats.org/officeDocument/2006/relationships/hyperlink" Target="https://www.iadb.org/en/topics/transparency/integrity-at-the-idb-group/prohibited-practices-at-the-idb,2704.html" TargetMode="External"/><Relationship Id="rId45"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hyperlink" Target="https://sp.demeter.zeus.gsi.gov.uk/Sites/aa16/INT/ICF/ICF%20Spend_%202017-2020/Mangroves/ICF%20Mangroves%20Business%20Case%202018/Mangroves%20Business%20Case%20-%20All%20sub-cases.docx" TargetMode="External"/><Relationship Id="rId23" Type="http://schemas.openxmlformats.org/officeDocument/2006/relationships/image" Target="media/image3.jpg"/><Relationship Id="rId28" Type="http://schemas.openxmlformats.org/officeDocument/2006/relationships/image" Target="media/image5.png"/><Relationship Id="rId36" Type="http://schemas.openxmlformats.org/officeDocument/2006/relationships/image" Target="media/image6.jpg"/><Relationship Id="rId49" Type="http://schemas.openxmlformats.org/officeDocument/2006/relationships/image" Target="media/image10.png"/><Relationship Id="rId10" Type="http://schemas.openxmlformats.org/officeDocument/2006/relationships/webSettings" Target="webSettings.xml"/><Relationship Id="rId19" Type="http://schemas.openxmlformats.org/officeDocument/2006/relationships/diagramLayout" Target="diagrams/layout1.xml"/><Relationship Id="rId31" Type="http://schemas.openxmlformats.org/officeDocument/2006/relationships/image" Target="media/image6.png"/><Relationship Id="rId44" Type="http://schemas.openxmlformats.org/officeDocument/2006/relationships/hyperlink" Target="https://www.iadb.org/en/office-of-evaluation-and-oversight/public-private-partnerships-at-the-idb%2C20865.html"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sp.demeter.zeus.gsi.gov.uk/Sites/aa16/INT/ICF/ICF%20Spend_%202017-2020/Mangroves/ICF%20Mangroves%20Business%20Case%202018/Mangroves%20Business%20Case%20-%20All%20sub-cases.docx" TargetMode="External"/><Relationship Id="rId22" Type="http://schemas.microsoft.com/office/2007/relationships/diagramDrawing" Target="diagrams/drawing1.xml"/><Relationship Id="rId27" Type="http://schemas.openxmlformats.org/officeDocument/2006/relationships/image" Target="media/image4.png"/><Relationship Id="rId35" Type="http://schemas.openxmlformats.org/officeDocument/2006/relationships/hyperlink" Target="https://publications.iadb.org/bitstream/handle/11319/8824/Inter-American-Development-Bank-Annual-Report-2017-The-Year-in-Review.pdf?sequence=1&amp;isAllowed=y" TargetMode="External"/><Relationship Id="rId43" Type="http://schemas.openxmlformats.org/officeDocument/2006/relationships/hyperlink" Target="https://www.iadb.org/en/office-of-evaluation-and-oversight/public-private-partnerships-at-the-idb%2C20865.html" TargetMode="External"/><Relationship Id="rId48" Type="http://schemas.openxmlformats.org/officeDocument/2006/relationships/image" Target="media/image9.png"/><Relationship Id="rId8" Type="http://schemas.openxmlformats.org/officeDocument/2006/relationships/styles" Target="styles.xml"/><Relationship Id="rId51"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s://www.ipcc-nggip.iges.or.jp/public/wetlands/pdf/Wetlands_Supplement_Entire_Report.pdf" TargetMode="External"/><Relationship Id="rId2" Type="http://schemas.openxmlformats.org/officeDocument/2006/relationships/hyperlink" Target="https://www.es-partnership.org/services/data-knowledge-sharing/ecosystem-service-valuation-database/" TargetMode="External"/><Relationship Id="rId1" Type="http://schemas.openxmlformats.org/officeDocument/2006/relationships/hyperlink" Target="https://openknowledge.worldbank.org/bitstream/handle/10986/22787/9781464806735.pdf" TargetMode="External"/><Relationship Id="rId6" Type="http://schemas.openxmlformats.org/officeDocument/2006/relationships/hyperlink" Target="https://www.es-partnership.org/services/data-knowledge-sharing/ecosystem-service-valuation-database/" TargetMode="External"/><Relationship Id="rId5" Type="http://schemas.openxmlformats.org/officeDocument/2006/relationships/hyperlink" Target="https://assets.publishing.service.gov.uk/government/uploads/system/uploads/attachment_data/file/685903/The_Green_Book.pdf" TargetMode="External"/><Relationship Id="rId4" Type="http://schemas.openxmlformats.org/officeDocument/2006/relationships/hyperlink" Target="https://www.es-partnership.org/services/data-knowledge-sharing/ecosystem-service-valuation-databas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8CD32D-850B-41CB-83DB-DB41A001D34C}"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GB"/>
        </a:p>
      </dgm:t>
    </dgm:pt>
    <dgm:pt modelId="{821BD71D-14CB-4C81-86AB-636F48C4FC61}">
      <dgm:prSet phldrT="[Text]" custT="1"/>
      <dgm:spPr>
        <a:solidFill>
          <a:schemeClr val="accent1">
            <a:hueOff val="0"/>
            <a:satOff val="0"/>
            <a:lumOff val="0"/>
            <a:alpha val="70000"/>
          </a:schemeClr>
        </a:solidFill>
      </dgm:spPr>
      <dgm:t>
        <a:bodyPr anchor="t" anchorCtr="0"/>
        <a:lstStyle/>
        <a:p>
          <a:pPr algn="ctr"/>
          <a:r>
            <a:rPr lang="en-GB" sz="1000" b="1" u="sng">
              <a:solidFill>
                <a:schemeClr val="bg2">
                  <a:lumMod val="10000"/>
                </a:schemeClr>
              </a:solidFill>
            </a:rPr>
            <a:t>Threats</a:t>
          </a:r>
        </a:p>
      </dgm:t>
    </dgm:pt>
    <dgm:pt modelId="{F75B01E3-983C-4038-9CBE-AB7B5C249239}" type="parTrans" cxnId="{E38945A4-40D2-4D8C-9AB6-5A15F0DC4A8A}">
      <dgm:prSet/>
      <dgm:spPr/>
      <dgm:t>
        <a:bodyPr/>
        <a:lstStyle/>
        <a:p>
          <a:pPr algn="ctr"/>
          <a:endParaRPr lang="en-GB"/>
        </a:p>
      </dgm:t>
    </dgm:pt>
    <dgm:pt modelId="{FB6B1793-AC07-4EF0-834B-AC23370DE9C2}" type="sibTrans" cxnId="{E38945A4-40D2-4D8C-9AB6-5A15F0DC4A8A}">
      <dgm:prSet/>
      <dgm:spPr/>
      <dgm:t>
        <a:bodyPr/>
        <a:lstStyle/>
        <a:p>
          <a:pPr algn="ctr"/>
          <a:endParaRPr lang="en-GB"/>
        </a:p>
      </dgm:t>
    </dgm:pt>
    <dgm:pt modelId="{22AC7BAE-3273-46BF-91E2-FBC7CCCA9CCD}">
      <dgm:prSet phldrT="[Text]" custT="1"/>
      <dgm:spPr>
        <a:solidFill>
          <a:schemeClr val="accent1">
            <a:hueOff val="0"/>
            <a:satOff val="0"/>
            <a:lumOff val="0"/>
            <a:alpha val="70000"/>
          </a:schemeClr>
        </a:solidFill>
      </dgm:spPr>
      <dgm:t>
        <a:bodyPr anchor="t" anchorCtr="0"/>
        <a:lstStyle/>
        <a:p>
          <a:pPr algn="ctr"/>
          <a:r>
            <a:rPr lang="en-GB" sz="1000" b="1" u="sng">
              <a:solidFill>
                <a:schemeClr val="bg2">
                  <a:lumMod val="10000"/>
                </a:schemeClr>
              </a:solidFill>
            </a:rPr>
            <a:t>Outcomes</a:t>
          </a:r>
          <a:endParaRPr lang="en-GB" sz="1000" u="none"/>
        </a:p>
      </dgm:t>
    </dgm:pt>
    <dgm:pt modelId="{8B113455-43E7-4AFB-9EDE-A3BA6E545D61}" type="parTrans" cxnId="{46A05089-05DF-4EB3-B15A-F1E295F09511}">
      <dgm:prSet/>
      <dgm:spPr/>
      <dgm:t>
        <a:bodyPr/>
        <a:lstStyle/>
        <a:p>
          <a:pPr algn="ctr"/>
          <a:endParaRPr lang="en-GB"/>
        </a:p>
      </dgm:t>
    </dgm:pt>
    <dgm:pt modelId="{2B7E0DE9-9E8A-4A64-B621-5EEF2FDCD492}" type="sibTrans" cxnId="{46A05089-05DF-4EB3-B15A-F1E295F09511}">
      <dgm:prSet/>
      <dgm:spPr/>
      <dgm:t>
        <a:bodyPr/>
        <a:lstStyle/>
        <a:p>
          <a:pPr algn="ctr"/>
          <a:endParaRPr lang="en-GB"/>
        </a:p>
      </dgm:t>
    </dgm:pt>
    <dgm:pt modelId="{D8B83BF8-5742-43D5-837E-3F0D6F782296}">
      <dgm:prSet phldrT="[Text]" custT="1"/>
      <dgm:spPr>
        <a:solidFill>
          <a:schemeClr val="accent1">
            <a:hueOff val="0"/>
            <a:satOff val="0"/>
            <a:lumOff val="0"/>
            <a:alpha val="70000"/>
          </a:schemeClr>
        </a:solidFill>
      </dgm:spPr>
      <dgm:t>
        <a:bodyPr anchor="t" anchorCtr="0"/>
        <a:lstStyle/>
        <a:p>
          <a:pPr algn="ctr"/>
          <a:r>
            <a:rPr lang="en-GB" sz="1000" b="1" u="sng">
              <a:solidFill>
                <a:schemeClr val="bg2">
                  <a:lumMod val="10000"/>
                </a:schemeClr>
              </a:solidFill>
            </a:rPr>
            <a:t>Activities</a:t>
          </a:r>
          <a:endParaRPr lang="en-GB" sz="1000" u="none"/>
        </a:p>
      </dgm:t>
    </dgm:pt>
    <dgm:pt modelId="{BA752169-5B2A-49FA-84B2-47D581D50CAC}" type="parTrans" cxnId="{9CE44A36-DBF2-48DF-A6B8-96CF6D6B5CBD}">
      <dgm:prSet/>
      <dgm:spPr/>
      <dgm:t>
        <a:bodyPr/>
        <a:lstStyle/>
        <a:p>
          <a:pPr algn="ctr"/>
          <a:endParaRPr lang="en-GB"/>
        </a:p>
      </dgm:t>
    </dgm:pt>
    <dgm:pt modelId="{CEFEDC79-FF53-4A14-ADEF-1EAB08017320}" type="sibTrans" cxnId="{9CE44A36-DBF2-48DF-A6B8-96CF6D6B5CBD}">
      <dgm:prSet/>
      <dgm:spPr/>
      <dgm:t>
        <a:bodyPr/>
        <a:lstStyle/>
        <a:p>
          <a:pPr algn="ctr"/>
          <a:endParaRPr lang="en-GB"/>
        </a:p>
      </dgm:t>
    </dgm:pt>
    <dgm:pt modelId="{835702BC-F0D7-4990-BFF5-021CF002FAB1}">
      <dgm:prSet phldrT="[Text]" custT="1"/>
      <dgm:spPr>
        <a:solidFill>
          <a:schemeClr val="accent1">
            <a:hueOff val="0"/>
            <a:satOff val="0"/>
            <a:lumOff val="0"/>
            <a:alpha val="70000"/>
          </a:schemeClr>
        </a:solidFill>
      </dgm:spPr>
      <dgm:t>
        <a:bodyPr anchor="t" anchorCtr="0"/>
        <a:lstStyle/>
        <a:p>
          <a:pPr algn="ctr"/>
          <a:r>
            <a:rPr lang="en-GB" sz="1000" b="1" u="sng">
              <a:solidFill>
                <a:schemeClr val="bg2">
                  <a:lumMod val="10000"/>
                </a:schemeClr>
              </a:solidFill>
            </a:rPr>
            <a:t>Impacts</a:t>
          </a:r>
        </a:p>
      </dgm:t>
    </dgm:pt>
    <dgm:pt modelId="{6689A7E3-9BEA-4109-9B12-20CCEE3B9383}" type="parTrans" cxnId="{69C00566-5A92-406E-BD43-1D049006DB20}">
      <dgm:prSet/>
      <dgm:spPr/>
      <dgm:t>
        <a:bodyPr/>
        <a:lstStyle/>
        <a:p>
          <a:pPr algn="ctr"/>
          <a:endParaRPr lang="en-GB"/>
        </a:p>
      </dgm:t>
    </dgm:pt>
    <dgm:pt modelId="{C09383EB-2B0F-4DEB-B386-E87B04118D7A}" type="sibTrans" cxnId="{69C00566-5A92-406E-BD43-1D049006DB20}">
      <dgm:prSet/>
      <dgm:spPr/>
      <dgm:t>
        <a:bodyPr/>
        <a:lstStyle/>
        <a:p>
          <a:pPr algn="ctr"/>
          <a:endParaRPr lang="en-GB"/>
        </a:p>
      </dgm:t>
    </dgm:pt>
    <dgm:pt modelId="{FE40E49C-7BA0-4B65-84F9-FD27E0F2F0BF}">
      <dgm:prSet phldrT="[Text]" custT="1"/>
      <dgm:spPr>
        <a:solidFill>
          <a:schemeClr val="accent1">
            <a:hueOff val="0"/>
            <a:satOff val="0"/>
            <a:lumOff val="0"/>
            <a:alpha val="70000"/>
          </a:schemeClr>
        </a:solidFill>
      </dgm:spPr>
      <dgm:t>
        <a:bodyPr anchor="t" anchorCtr="0"/>
        <a:lstStyle/>
        <a:p>
          <a:pPr algn="ctr"/>
          <a:r>
            <a:rPr lang="en-GB" sz="1000" b="1" u="sng">
              <a:solidFill>
                <a:schemeClr val="bg2">
                  <a:lumMod val="10000"/>
                </a:schemeClr>
              </a:solidFill>
            </a:rPr>
            <a:t>Inputs</a:t>
          </a:r>
        </a:p>
      </dgm:t>
    </dgm:pt>
    <dgm:pt modelId="{C32A1F68-64DF-40D7-9E63-F6AA3B0A473C}" type="parTrans" cxnId="{FB93EBA1-47FC-4C66-8BBC-FD3AF9748CBE}">
      <dgm:prSet/>
      <dgm:spPr/>
      <dgm:t>
        <a:bodyPr/>
        <a:lstStyle/>
        <a:p>
          <a:endParaRPr lang="en-GB"/>
        </a:p>
      </dgm:t>
    </dgm:pt>
    <dgm:pt modelId="{35B0ADC9-6DE9-451D-8827-832EC2AB3FFB}" type="sibTrans" cxnId="{FB93EBA1-47FC-4C66-8BBC-FD3AF9748CBE}">
      <dgm:prSet/>
      <dgm:spPr/>
      <dgm:t>
        <a:bodyPr/>
        <a:lstStyle/>
        <a:p>
          <a:endParaRPr lang="en-GB"/>
        </a:p>
      </dgm:t>
    </dgm:pt>
    <dgm:pt modelId="{7D4FD886-19DF-48B8-935D-C535D415DEE3}">
      <dgm:prSet phldrT="[Text]" custT="1"/>
      <dgm:spPr>
        <a:solidFill>
          <a:schemeClr val="accent1">
            <a:hueOff val="0"/>
            <a:satOff val="0"/>
            <a:lumOff val="0"/>
            <a:alpha val="70000"/>
          </a:schemeClr>
        </a:solidFill>
      </dgm:spPr>
      <dgm:t>
        <a:bodyPr anchor="t" anchorCtr="0"/>
        <a:lstStyle/>
        <a:p>
          <a:pPr algn="ctr"/>
          <a:r>
            <a:rPr lang="en-GB" sz="1000">
              <a:solidFill>
                <a:schemeClr val="bg2">
                  <a:lumMod val="10000"/>
                </a:schemeClr>
              </a:solidFill>
            </a:rPr>
            <a:t>Clearing,</a:t>
          </a:r>
          <a:endParaRPr lang="en-GB" sz="1000" b="1" u="sng">
            <a:solidFill>
              <a:schemeClr val="bg2">
                <a:lumMod val="10000"/>
              </a:schemeClr>
            </a:solidFill>
          </a:endParaRPr>
        </a:p>
      </dgm:t>
    </dgm:pt>
    <dgm:pt modelId="{BD6B61ED-79BF-4094-B824-00A86ED4B401}" type="parTrans" cxnId="{898CA1EC-325B-4EF0-9B6E-7B9CA0FCEAE4}">
      <dgm:prSet/>
      <dgm:spPr/>
      <dgm:t>
        <a:bodyPr/>
        <a:lstStyle/>
        <a:p>
          <a:endParaRPr lang="en-GB"/>
        </a:p>
      </dgm:t>
    </dgm:pt>
    <dgm:pt modelId="{D8AA9C76-BED4-4616-8DAC-B779B4EA4947}" type="sibTrans" cxnId="{898CA1EC-325B-4EF0-9B6E-7B9CA0FCEAE4}">
      <dgm:prSet/>
      <dgm:spPr/>
      <dgm:t>
        <a:bodyPr/>
        <a:lstStyle/>
        <a:p>
          <a:endParaRPr lang="en-GB"/>
        </a:p>
      </dgm:t>
    </dgm:pt>
    <dgm:pt modelId="{556088EC-324C-4230-8CF7-6A6E7EF2E54A}">
      <dgm:prSet phldrT="[Text]" custT="1"/>
      <dgm:spPr>
        <a:solidFill>
          <a:schemeClr val="accent1">
            <a:hueOff val="0"/>
            <a:satOff val="0"/>
            <a:lumOff val="0"/>
            <a:alpha val="70000"/>
          </a:schemeClr>
        </a:solidFill>
      </dgm:spPr>
      <dgm:t>
        <a:bodyPr anchor="t" anchorCtr="0"/>
        <a:lstStyle/>
        <a:p>
          <a:pPr algn="ctr"/>
          <a:r>
            <a:rPr lang="en-GB" sz="1000">
              <a:solidFill>
                <a:schemeClr val="bg2">
                  <a:lumMod val="10000"/>
                </a:schemeClr>
              </a:solidFill>
            </a:rPr>
            <a:t>Overharvesting</a:t>
          </a:r>
          <a:endParaRPr lang="en-GB" sz="1000" b="1" u="sng">
            <a:solidFill>
              <a:schemeClr val="bg2">
                <a:lumMod val="10000"/>
              </a:schemeClr>
            </a:solidFill>
          </a:endParaRPr>
        </a:p>
      </dgm:t>
    </dgm:pt>
    <dgm:pt modelId="{FB162817-DE95-4CE4-BEA6-DA535BFD56F1}" type="parTrans" cxnId="{D1DCC639-757A-4F00-9AC8-61D4D8DD8977}">
      <dgm:prSet/>
      <dgm:spPr/>
      <dgm:t>
        <a:bodyPr/>
        <a:lstStyle/>
        <a:p>
          <a:endParaRPr lang="en-GB"/>
        </a:p>
      </dgm:t>
    </dgm:pt>
    <dgm:pt modelId="{922A07A7-401E-45F9-893F-E8C0CC529AE8}" type="sibTrans" cxnId="{D1DCC639-757A-4F00-9AC8-61D4D8DD8977}">
      <dgm:prSet/>
      <dgm:spPr/>
      <dgm:t>
        <a:bodyPr/>
        <a:lstStyle/>
        <a:p>
          <a:endParaRPr lang="en-GB"/>
        </a:p>
      </dgm:t>
    </dgm:pt>
    <dgm:pt modelId="{A79A3BAB-FCF9-42B4-ABDC-EC36CD07C07A}">
      <dgm:prSet phldrT="[Text]" custT="1"/>
      <dgm:spPr>
        <a:solidFill>
          <a:schemeClr val="accent1">
            <a:hueOff val="0"/>
            <a:satOff val="0"/>
            <a:lumOff val="0"/>
            <a:alpha val="70000"/>
          </a:schemeClr>
        </a:solidFill>
      </dgm:spPr>
      <dgm:t>
        <a:bodyPr anchor="t" anchorCtr="0"/>
        <a:lstStyle/>
        <a:p>
          <a:pPr algn="ctr"/>
          <a:r>
            <a:rPr lang="en-GB" sz="1000">
              <a:solidFill>
                <a:schemeClr val="bg2">
                  <a:lumMod val="10000"/>
                </a:schemeClr>
              </a:solidFill>
            </a:rPr>
            <a:t>River changes</a:t>
          </a:r>
          <a:endParaRPr lang="en-GB" sz="1000" b="1" u="sng">
            <a:solidFill>
              <a:schemeClr val="bg2">
                <a:lumMod val="10000"/>
              </a:schemeClr>
            </a:solidFill>
          </a:endParaRPr>
        </a:p>
      </dgm:t>
    </dgm:pt>
    <dgm:pt modelId="{19D8D0A9-827E-4474-AA2A-820A94F69D8C}" type="parTrans" cxnId="{D8B62DFA-D113-449C-9950-58DE9D1219D2}">
      <dgm:prSet/>
      <dgm:spPr/>
      <dgm:t>
        <a:bodyPr/>
        <a:lstStyle/>
        <a:p>
          <a:endParaRPr lang="en-GB"/>
        </a:p>
      </dgm:t>
    </dgm:pt>
    <dgm:pt modelId="{1BCC49FC-E256-4CA4-BDDC-05DD137F90E2}" type="sibTrans" cxnId="{D8B62DFA-D113-449C-9950-58DE9D1219D2}">
      <dgm:prSet/>
      <dgm:spPr/>
      <dgm:t>
        <a:bodyPr/>
        <a:lstStyle/>
        <a:p>
          <a:endParaRPr lang="en-GB"/>
        </a:p>
      </dgm:t>
    </dgm:pt>
    <dgm:pt modelId="{B745C881-D4E9-4702-AA6C-F1321F7C0D64}">
      <dgm:prSet phldrT="[Text]" custT="1"/>
      <dgm:spPr>
        <a:solidFill>
          <a:schemeClr val="accent1">
            <a:hueOff val="0"/>
            <a:satOff val="0"/>
            <a:lumOff val="0"/>
            <a:alpha val="70000"/>
          </a:schemeClr>
        </a:solidFill>
      </dgm:spPr>
      <dgm:t>
        <a:bodyPr anchor="t" anchorCtr="0"/>
        <a:lstStyle/>
        <a:p>
          <a:pPr algn="ctr"/>
          <a:r>
            <a:rPr lang="en-GB" sz="1000">
              <a:solidFill>
                <a:schemeClr val="bg2">
                  <a:lumMod val="10000"/>
                </a:schemeClr>
              </a:solidFill>
            </a:rPr>
            <a:t>Overfishing</a:t>
          </a:r>
          <a:endParaRPr lang="en-GB" sz="1000" b="1" u="sng">
            <a:solidFill>
              <a:schemeClr val="bg2">
                <a:lumMod val="10000"/>
              </a:schemeClr>
            </a:solidFill>
          </a:endParaRPr>
        </a:p>
      </dgm:t>
    </dgm:pt>
    <dgm:pt modelId="{7A44988E-FDA7-42A0-879A-11CCA3AE3B7C}" type="parTrans" cxnId="{CBD9D891-6CDA-471A-B2ED-C6CD355A08D7}">
      <dgm:prSet/>
      <dgm:spPr/>
      <dgm:t>
        <a:bodyPr/>
        <a:lstStyle/>
        <a:p>
          <a:endParaRPr lang="en-GB"/>
        </a:p>
      </dgm:t>
    </dgm:pt>
    <dgm:pt modelId="{C36D6BAB-9710-4EDE-B13C-B3DC8C2123E4}" type="sibTrans" cxnId="{CBD9D891-6CDA-471A-B2ED-C6CD355A08D7}">
      <dgm:prSet/>
      <dgm:spPr/>
      <dgm:t>
        <a:bodyPr/>
        <a:lstStyle/>
        <a:p>
          <a:endParaRPr lang="en-GB"/>
        </a:p>
      </dgm:t>
    </dgm:pt>
    <dgm:pt modelId="{3CDC0CBD-38F7-41D3-BD7B-F8D0CDC94BCE}">
      <dgm:prSet phldrT="[Text]" custT="1"/>
      <dgm:spPr>
        <a:solidFill>
          <a:schemeClr val="accent1">
            <a:hueOff val="0"/>
            <a:satOff val="0"/>
            <a:lumOff val="0"/>
            <a:alpha val="70000"/>
          </a:schemeClr>
        </a:solidFill>
      </dgm:spPr>
      <dgm:t>
        <a:bodyPr anchor="t" anchorCtr="0"/>
        <a:lstStyle/>
        <a:p>
          <a:pPr algn="ctr"/>
          <a:r>
            <a:rPr lang="en-GB" sz="1000">
              <a:solidFill>
                <a:schemeClr val="bg2">
                  <a:lumMod val="10000"/>
                </a:schemeClr>
              </a:solidFill>
            </a:rPr>
            <a:t>Destruction of coral reefs and other coastal exosystems</a:t>
          </a:r>
          <a:endParaRPr lang="en-GB" sz="1000" b="1" u="sng">
            <a:solidFill>
              <a:schemeClr val="bg2">
                <a:lumMod val="10000"/>
              </a:schemeClr>
            </a:solidFill>
          </a:endParaRPr>
        </a:p>
      </dgm:t>
    </dgm:pt>
    <dgm:pt modelId="{13CFD9FD-9A2C-4D35-8851-3A6CD3E92BFD}" type="parTrans" cxnId="{707AB4E9-FF80-433E-B5D1-F4D8689E7F6F}">
      <dgm:prSet/>
      <dgm:spPr/>
      <dgm:t>
        <a:bodyPr/>
        <a:lstStyle/>
        <a:p>
          <a:endParaRPr lang="en-GB"/>
        </a:p>
      </dgm:t>
    </dgm:pt>
    <dgm:pt modelId="{8DB19DD1-39D6-470C-9196-717A8849AC6A}" type="sibTrans" cxnId="{707AB4E9-FF80-433E-B5D1-F4D8689E7F6F}">
      <dgm:prSet/>
      <dgm:spPr/>
      <dgm:t>
        <a:bodyPr/>
        <a:lstStyle/>
        <a:p>
          <a:endParaRPr lang="en-GB"/>
        </a:p>
      </dgm:t>
    </dgm:pt>
    <dgm:pt modelId="{295E8B31-A57A-4EEF-B1CE-4E8AB070DA86}">
      <dgm:prSet phldrT="[Text]" custT="1"/>
      <dgm:spPr>
        <a:solidFill>
          <a:schemeClr val="accent1">
            <a:hueOff val="0"/>
            <a:satOff val="0"/>
            <a:lumOff val="0"/>
            <a:alpha val="70000"/>
          </a:schemeClr>
        </a:solidFill>
      </dgm:spPr>
      <dgm:t>
        <a:bodyPr anchor="t" anchorCtr="0"/>
        <a:lstStyle/>
        <a:p>
          <a:pPr algn="ctr"/>
          <a:r>
            <a:rPr lang="en-GB" sz="1000">
              <a:solidFill>
                <a:schemeClr val="bg2">
                  <a:lumMod val="10000"/>
                </a:schemeClr>
              </a:solidFill>
            </a:rPr>
            <a:t>Pollution</a:t>
          </a:r>
          <a:endParaRPr lang="en-GB" sz="1000" b="1" u="sng">
            <a:solidFill>
              <a:schemeClr val="bg2">
                <a:lumMod val="10000"/>
              </a:schemeClr>
            </a:solidFill>
          </a:endParaRPr>
        </a:p>
      </dgm:t>
    </dgm:pt>
    <dgm:pt modelId="{3EA0FA00-9454-48C5-80B5-F7F444FA3461}" type="parTrans" cxnId="{344D3213-44D7-4F9A-A280-AB75CF2C7147}">
      <dgm:prSet/>
      <dgm:spPr/>
      <dgm:t>
        <a:bodyPr/>
        <a:lstStyle/>
        <a:p>
          <a:endParaRPr lang="en-GB"/>
        </a:p>
      </dgm:t>
    </dgm:pt>
    <dgm:pt modelId="{661C8CF7-D7AC-4422-BA40-A2D6655A70FC}" type="sibTrans" cxnId="{344D3213-44D7-4F9A-A280-AB75CF2C7147}">
      <dgm:prSet/>
      <dgm:spPr/>
      <dgm:t>
        <a:bodyPr/>
        <a:lstStyle/>
        <a:p>
          <a:endParaRPr lang="en-GB"/>
        </a:p>
      </dgm:t>
    </dgm:pt>
    <dgm:pt modelId="{9E1C4908-8A7A-4EAA-B9B3-1B9D5C7CE061}">
      <dgm:prSet phldrT="[Text]" custT="1"/>
      <dgm:spPr>
        <a:solidFill>
          <a:schemeClr val="accent1">
            <a:hueOff val="0"/>
            <a:satOff val="0"/>
            <a:lumOff val="0"/>
            <a:alpha val="70000"/>
          </a:schemeClr>
        </a:solidFill>
      </dgm:spPr>
      <dgm:t>
        <a:bodyPr anchor="t" anchorCtr="0"/>
        <a:lstStyle/>
        <a:p>
          <a:pPr algn="ctr"/>
          <a:r>
            <a:rPr lang="en-GB" sz="1000">
              <a:solidFill>
                <a:schemeClr val="bg2">
                  <a:lumMod val="10000"/>
                </a:schemeClr>
              </a:solidFill>
            </a:rPr>
            <a:t>Climate change</a:t>
          </a:r>
          <a:endParaRPr lang="en-GB" sz="1000" b="1" u="sng">
            <a:solidFill>
              <a:schemeClr val="bg2">
                <a:lumMod val="10000"/>
              </a:schemeClr>
            </a:solidFill>
          </a:endParaRPr>
        </a:p>
      </dgm:t>
    </dgm:pt>
    <dgm:pt modelId="{0AB5742B-B9C9-43F4-B557-97DFCC860344}" type="parTrans" cxnId="{B75121CC-D329-4614-8B4A-9CAEF1216A5C}">
      <dgm:prSet/>
      <dgm:spPr/>
      <dgm:t>
        <a:bodyPr/>
        <a:lstStyle/>
        <a:p>
          <a:endParaRPr lang="en-GB"/>
        </a:p>
      </dgm:t>
    </dgm:pt>
    <dgm:pt modelId="{D15B3472-2A72-4B21-9D0E-8C47FCAAC60C}" type="sibTrans" cxnId="{B75121CC-D329-4614-8B4A-9CAEF1216A5C}">
      <dgm:prSet/>
      <dgm:spPr/>
      <dgm:t>
        <a:bodyPr/>
        <a:lstStyle/>
        <a:p>
          <a:endParaRPr lang="en-GB"/>
        </a:p>
      </dgm:t>
    </dgm:pt>
    <dgm:pt modelId="{51DA7140-9BE0-4C3E-BEB0-3CBE52708236}">
      <dgm:prSet phldrT="[Text]" custT="1"/>
      <dgm:spPr>
        <a:solidFill>
          <a:schemeClr val="accent1">
            <a:hueOff val="0"/>
            <a:satOff val="0"/>
            <a:lumOff val="0"/>
            <a:alpha val="70000"/>
          </a:schemeClr>
        </a:solidFill>
      </dgm:spPr>
      <dgm:t>
        <a:bodyPr anchor="t" anchorCtr="0"/>
        <a:lstStyle/>
        <a:p>
          <a:pPr algn="ctr"/>
          <a:r>
            <a:rPr lang="en-GB" sz="1000">
              <a:solidFill>
                <a:schemeClr val="bg2">
                  <a:lumMod val="10000"/>
                </a:schemeClr>
              </a:solidFill>
            </a:rPr>
            <a:t>Socio-economic (land tenure, usage rights)</a:t>
          </a:r>
          <a:endParaRPr lang="en-GB" sz="1000" b="1" u="sng">
            <a:solidFill>
              <a:schemeClr val="bg2">
                <a:lumMod val="10000"/>
              </a:schemeClr>
            </a:solidFill>
          </a:endParaRPr>
        </a:p>
      </dgm:t>
    </dgm:pt>
    <dgm:pt modelId="{167E397A-673A-46CD-A6CF-ADB0E6357D17}" type="parTrans" cxnId="{65868B6F-77A2-4409-821B-6B70E7D86103}">
      <dgm:prSet/>
      <dgm:spPr/>
      <dgm:t>
        <a:bodyPr/>
        <a:lstStyle/>
        <a:p>
          <a:endParaRPr lang="en-GB"/>
        </a:p>
      </dgm:t>
    </dgm:pt>
    <dgm:pt modelId="{E45F2101-A5F9-4199-A370-296EF1158330}" type="sibTrans" cxnId="{65868B6F-77A2-4409-821B-6B70E7D86103}">
      <dgm:prSet/>
      <dgm:spPr/>
      <dgm:t>
        <a:bodyPr/>
        <a:lstStyle/>
        <a:p>
          <a:endParaRPr lang="en-GB"/>
        </a:p>
      </dgm:t>
    </dgm:pt>
    <dgm:pt modelId="{9F58B0E4-4B91-463C-AD88-FAC82AB4727F}">
      <dgm:prSet phldrT="[Text]" custT="1"/>
      <dgm:spPr>
        <a:solidFill>
          <a:schemeClr val="accent1">
            <a:hueOff val="0"/>
            <a:satOff val="0"/>
            <a:lumOff val="0"/>
            <a:alpha val="70000"/>
          </a:schemeClr>
        </a:solidFill>
      </dgm:spPr>
      <dgm:t>
        <a:bodyPr anchor="t" anchorCtr="0"/>
        <a:lstStyle/>
        <a:p>
          <a:pPr algn="ctr"/>
          <a:r>
            <a:rPr lang="en-GB" sz="1000" u="none">
              <a:solidFill>
                <a:schemeClr val="bg2">
                  <a:lumMod val="10000"/>
                </a:schemeClr>
              </a:solidFill>
            </a:rPr>
            <a:t>Direct finance to projects</a:t>
          </a:r>
          <a:endParaRPr lang="en-GB" sz="1000" b="1" u="sng">
            <a:solidFill>
              <a:schemeClr val="bg2">
                <a:lumMod val="10000"/>
              </a:schemeClr>
            </a:solidFill>
          </a:endParaRPr>
        </a:p>
      </dgm:t>
    </dgm:pt>
    <dgm:pt modelId="{2CBB2712-C5D8-4B37-BB22-5029A9A5FDDC}" type="parTrans" cxnId="{E2711F11-6D95-4238-B3E7-E738380EC26A}">
      <dgm:prSet/>
      <dgm:spPr/>
      <dgm:t>
        <a:bodyPr/>
        <a:lstStyle/>
        <a:p>
          <a:endParaRPr lang="en-GB"/>
        </a:p>
      </dgm:t>
    </dgm:pt>
    <dgm:pt modelId="{41FD3FC4-E251-4D77-8796-66773850F247}" type="sibTrans" cxnId="{E2711F11-6D95-4238-B3E7-E738380EC26A}">
      <dgm:prSet/>
      <dgm:spPr/>
      <dgm:t>
        <a:bodyPr/>
        <a:lstStyle/>
        <a:p>
          <a:endParaRPr lang="en-GB"/>
        </a:p>
      </dgm:t>
    </dgm:pt>
    <dgm:pt modelId="{4F031AFB-4B94-4090-B286-F6605049557F}">
      <dgm:prSet phldrT="[Text]" custT="1"/>
      <dgm:spPr>
        <a:solidFill>
          <a:schemeClr val="accent1">
            <a:hueOff val="0"/>
            <a:satOff val="0"/>
            <a:lumOff val="0"/>
            <a:alpha val="70000"/>
          </a:schemeClr>
        </a:solidFill>
      </dgm:spPr>
      <dgm:t>
        <a:bodyPr anchor="t" anchorCtr="0"/>
        <a:lstStyle/>
        <a:p>
          <a:pPr algn="ctr"/>
          <a:r>
            <a:rPr lang="en-GB" sz="1000" u="none">
              <a:solidFill>
                <a:schemeClr val="bg2">
                  <a:lumMod val="10000"/>
                </a:schemeClr>
              </a:solidFill>
            </a:rPr>
            <a:t>Provision of technical assistance</a:t>
          </a:r>
          <a:endParaRPr lang="en-GB" sz="1000" b="1" u="sng">
            <a:solidFill>
              <a:schemeClr val="bg2">
                <a:lumMod val="10000"/>
              </a:schemeClr>
            </a:solidFill>
          </a:endParaRPr>
        </a:p>
      </dgm:t>
    </dgm:pt>
    <dgm:pt modelId="{A29A9FFD-81E4-41EA-851F-F9C981E56EFC}" type="parTrans" cxnId="{B93DC5DD-8397-4F1A-8158-348C072BA2DA}">
      <dgm:prSet/>
      <dgm:spPr/>
      <dgm:t>
        <a:bodyPr/>
        <a:lstStyle/>
        <a:p>
          <a:endParaRPr lang="en-GB"/>
        </a:p>
      </dgm:t>
    </dgm:pt>
    <dgm:pt modelId="{8A7AB571-8DBD-490B-8F32-6FC971282733}" type="sibTrans" cxnId="{B93DC5DD-8397-4F1A-8158-348C072BA2DA}">
      <dgm:prSet/>
      <dgm:spPr/>
      <dgm:t>
        <a:bodyPr/>
        <a:lstStyle/>
        <a:p>
          <a:endParaRPr lang="en-GB"/>
        </a:p>
      </dgm:t>
    </dgm:pt>
    <dgm:pt modelId="{85492F47-9BE7-4279-9459-2F64B64456C8}">
      <dgm:prSet phldrT="[Text]" custT="1"/>
      <dgm:spPr>
        <a:solidFill>
          <a:schemeClr val="accent1">
            <a:hueOff val="0"/>
            <a:satOff val="0"/>
            <a:lumOff val="0"/>
            <a:alpha val="70000"/>
          </a:schemeClr>
        </a:solidFill>
      </dgm:spPr>
      <dgm:t>
        <a:bodyPr anchor="t" anchorCtr="0"/>
        <a:lstStyle/>
        <a:p>
          <a:pPr algn="ctr"/>
          <a:r>
            <a:rPr lang="en-GB" sz="1000" u="none">
              <a:solidFill>
                <a:schemeClr val="bg2">
                  <a:lumMod val="10000"/>
                </a:schemeClr>
              </a:solidFill>
            </a:rPr>
            <a:t>Co-financing or private finance leveraged </a:t>
          </a:r>
          <a:endParaRPr lang="en-GB" sz="1000" b="1" u="sng">
            <a:solidFill>
              <a:schemeClr val="bg2">
                <a:lumMod val="10000"/>
              </a:schemeClr>
            </a:solidFill>
          </a:endParaRPr>
        </a:p>
      </dgm:t>
    </dgm:pt>
    <dgm:pt modelId="{7924D518-18C0-40C4-85CE-8BD805DB3DEC}" type="parTrans" cxnId="{B93F7DC2-E2A5-4D11-B7DD-0CD751BD140D}">
      <dgm:prSet/>
      <dgm:spPr/>
      <dgm:t>
        <a:bodyPr/>
        <a:lstStyle/>
        <a:p>
          <a:endParaRPr lang="en-GB"/>
        </a:p>
      </dgm:t>
    </dgm:pt>
    <dgm:pt modelId="{5563F246-B4EC-4F6B-B248-99FB3CECB592}" type="sibTrans" cxnId="{B93F7DC2-E2A5-4D11-B7DD-0CD751BD140D}">
      <dgm:prSet/>
      <dgm:spPr/>
      <dgm:t>
        <a:bodyPr/>
        <a:lstStyle/>
        <a:p>
          <a:endParaRPr lang="en-GB"/>
        </a:p>
      </dgm:t>
    </dgm:pt>
    <dgm:pt modelId="{E88A76B0-04DD-4DDB-A352-791574E1FD35}">
      <dgm:prSet phldrT="[Text]" custT="1"/>
      <dgm:spPr>
        <a:solidFill>
          <a:schemeClr val="accent1">
            <a:hueOff val="0"/>
            <a:satOff val="0"/>
            <a:lumOff val="0"/>
            <a:alpha val="70000"/>
          </a:schemeClr>
        </a:solidFill>
      </dgm:spPr>
      <dgm:t>
        <a:bodyPr anchor="t" anchorCtr="0"/>
        <a:lstStyle/>
        <a:p>
          <a:pPr algn="ctr"/>
          <a:r>
            <a:rPr lang="en-GB" sz="1000" u="none">
              <a:solidFill>
                <a:schemeClr val="bg2">
                  <a:lumMod val="10000"/>
                </a:schemeClr>
              </a:solidFill>
            </a:rPr>
            <a:t>Education</a:t>
          </a:r>
        </a:p>
      </dgm:t>
    </dgm:pt>
    <dgm:pt modelId="{985FB9FF-D985-4528-935F-4C78F15CA777}" type="parTrans" cxnId="{65707817-C8A3-4C18-9395-F760B068F21E}">
      <dgm:prSet/>
      <dgm:spPr/>
      <dgm:t>
        <a:bodyPr/>
        <a:lstStyle/>
        <a:p>
          <a:endParaRPr lang="en-GB"/>
        </a:p>
      </dgm:t>
    </dgm:pt>
    <dgm:pt modelId="{6B807783-3A96-493D-87B1-73CEE98B77D6}" type="sibTrans" cxnId="{65707817-C8A3-4C18-9395-F760B068F21E}">
      <dgm:prSet/>
      <dgm:spPr/>
      <dgm:t>
        <a:bodyPr/>
        <a:lstStyle/>
        <a:p>
          <a:endParaRPr lang="en-GB"/>
        </a:p>
      </dgm:t>
    </dgm:pt>
    <dgm:pt modelId="{5FD82C5C-252D-4D50-B920-A67DD034C43A}">
      <dgm:prSet phldrT="[Text]" custT="1"/>
      <dgm:spPr>
        <a:solidFill>
          <a:schemeClr val="accent1">
            <a:hueOff val="0"/>
            <a:satOff val="0"/>
            <a:lumOff val="0"/>
            <a:alpha val="70000"/>
          </a:schemeClr>
        </a:solidFill>
      </dgm:spPr>
      <dgm:t>
        <a:bodyPr anchor="t" anchorCtr="0"/>
        <a:lstStyle/>
        <a:p>
          <a:pPr algn="ctr"/>
          <a:r>
            <a:rPr lang="en-GB" sz="1000" u="none">
              <a:solidFill>
                <a:schemeClr val="bg2">
                  <a:lumMod val="10000"/>
                </a:schemeClr>
              </a:solidFill>
            </a:rPr>
            <a:t>Restoration</a:t>
          </a:r>
        </a:p>
      </dgm:t>
    </dgm:pt>
    <dgm:pt modelId="{CFA64ACD-EC30-4A94-9E8E-B1CF7BFE1C55}" type="parTrans" cxnId="{00FF7860-F0DC-45EC-B088-2C84A8928F95}">
      <dgm:prSet/>
      <dgm:spPr/>
      <dgm:t>
        <a:bodyPr/>
        <a:lstStyle/>
        <a:p>
          <a:endParaRPr lang="en-GB"/>
        </a:p>
      </dgm:t>
    </dgm:pt>
    <dgm:pt modelId="{22429E1F-2DB2-49A8-ADE6-1F9871FBA1EB}" type="sibTrans" cxnId="{00FF7860-F0DC-45EC-B088-2C84A8928F95}">
      <dgm:prSet/>
      <dgm:spPr/>
      <dgm:t>
        <a:bodyPr/>
        <a:lstStyle/>
        <a:p>
          <a:endParaRPr lang="en-GB"/>
        </a:p>
      </dgm:t>
    </dgm:pt>
    <dgm:pt modelId="{1F6720A3-27D1-4A76-A6FB-78327929D5EF}">
      <dgm:prSet phldrT="[Text]" custT="1"/>
      <dgm:spPr>
        <a:solidFill>
          <a:schemeClr val="accent1">
            <a:hueOff val="0"/>
            <a:satOff val="0"/>
            <a:lumOff val="0"/>
            <a:alpha val="70000"/>
          </a:schemeClr>
        </a:solidFill>
      </dgm:spPr>
      <dgm:t>
        <a:bodyPr anchor="t" anchorCtr="0"/>
        <a:lstStyle/>
        <a:p>
          <a:pPr algn="ctr"/>
          <a:r>
            <a:rPr lang="en-GB" sz="1000" u="none">
              <a:solidFill>
                <a:schemeClr val="bg2">
                  <a:lumMod val="10000"/>
                </a:schemeClr>
              </a:solidFill>
            </a:rPr>
            <a:t>Land tenure and resource governance</a:t>
          </a:r>
        </a:p>
      </dgm:t>
    </dgm:pt>
    <dgm:pt modelId="{10496A80-D4B3-4CF0-A139-C6F8CCBE1576}" type="parTrans" cxnId="{2DD9229D-AF36-41D3-86B2-107CC7D89756}">
      <dgm:prSet/>
      <dgm:spPr/>
      <dgm:t>
        <a:bodyPr/>
        <a:lstStyle/>
        <a:p>
          <a:endParaRPr lang="en-GB"/>
        </a:p>
      </dgm:t>
    </dgm:pt>
    <dgm:pt modelId="{7F3C484F-A0A9-41C2-BEF9-5587886D69C0}" type="sibTrans" cxnId="{2DD9229D-AF36-41D3-86B2-107CC7D89756}">
      <dgm:prSet/>
      <dgm:spPr/>
      <dgm:t>
        <a:bodyPr/>
        <a:lstStyle/>
        <a:p>
          <a:endParaRPr lang="en-GB"/>
        </a:p>
      </dgm:t>
    </dgm:pt>
    <dgm:pt modelId="{DCC0DF13-F5B0-4576-ABD4-FD961F754F2B}">
      <dgm:prSet phldrT="[Text]" custT="1"/>
      <dgm:spPr>
        <a:solidFill>
          <a:schemeClr val="accent1">
            <a:hueOff val="0"/>
            <a:satOff val="0"/>
            <a:lumOff val="0"/>
            <a:alpha val="70000"/>
          </a:schemeClr>
        </a:solidFill>
      </dgm:spPr>
      <dgm:t>
        <a:bodyPr anchor="t" anchorCtr="0"/>
        <a:lstStyle/>
        <a:p>
          <a:pPr algn="ctr"/>
          <a:r>
            <a:rPr lang="en-GB" sz="1000" u="none">
              <a:solidFill>
                <a:schemeClr val="bg2">
                  <a:lumMod val="10000"/>
                </a:schemeClr>
              </a:solidFill>
            </a:rPr>
            <a:t>Alternative livelihoods</a:t>
          </a:r>
        </a:p>
      </dgm:t>
    </dgm:pt>
    <dgm:pt modelId="{A413CDAE-EBBF-4C8E-8463-7AB2B20B26D8}" type="parTrans" cxnId="{955718EF-5CA4-4EFF-B6B0-9AA84E5A774D}">
      <dgm:prSet/>
      <dgm:spPr/>
      <dgm:t>
        <a:bodyPr/>
        <a:lstStyle/>
        <a:p>
          <a:endParaRPr lang="en-GB"/>
        </a:p>
      </dgm:t>
    </dgm:pt>
    <dgm:pt modelId="{7D5D3A10-6678-4D83-8EAF-7E00195E60D0}" type="sibTrans" cxnId="{955718EF-5CA4-4EFF-B6B0-9AA84E5A774D}">
      <dgm:prSet/>
      <dgm:spPr/>
      <dgm:t>
        <a:bodyPr/>
        <a:lstStyle/>
        <a:p>
          <a:endParaRPr lang="en-GB"/>
        </a:p>
      </dgm:t>
    </dgm:pt>
    <dgm:pt modelId="{682FB2DB-4916-4E25-9737-AC550E84CD8C}">
      <dgm:prSet phldrT="[Text]" custT="1"/>
      <dgm:spPr>
        <a:solidFill>
          <a:schemeClr val="accent1">
            <a:hueOff val="0"/>
            <a:satOff val="0"/>
            <a:lumOff val="0"/>
            <a:alpha val="70000"/>
          </a:schemeClr>
        </a:solidFill>
      </dgm:spPr>
      <dgm:t>
        <a:bodyPr anchor="t" anchorCtr="0"/>
        <a:lstStyle/>
        <a:p>
          <a:pPr algn="ctr"/>
          <a:r>
            <a:rPr lang="en-GB" sz="1000" u="none">
              <a:solidFill>
                <a:schemeClr val="bg2">
                  <a:lumMod val="10000"/>
                </a:schemeClr>
              </a:solidFill>
            </a:rPr>
            <a:t>Sustainable use of natural resources </a:t>
          </a:r>
        </a:p>
      </dgm:t>
    </dgm:pt>
    <dgm:pt modelId="{7C02F9CC-946F-45CE-9D2E-82CCEC4E6362}" type="parTrans" cxnId="{74313AC4-A8FF-4E96-B07A-B7EEB4B78E3E}">
      <dgm:prSet/>
      <dgm:spPr/>
      <dgm:t>
        <a:bodyPr/>
        <a:lstStyle/>
        <a:p>
          <a:endParaRPr lang="en-GB"/>
        </a:p>
      </dgm:t>
    </dgm:pt>
    <dgm:pt modelId="{FA8337AA-F556-4BA1-9948-9AB2BB6E54DF}" type="sibTrans" cxnId="{74313AC4-A8FF-4E96-B07A-B7EEB4B78E3E}">
      <dgm:prSet/>
      <dgm:spPr/>
      <dgm:t>
        <a:bodyPr/>
        <a:lstStyle/>
        <a:p>
          <a:endParaRPr lang="en-GB"/>
        </a:p>
      </dgm:t>
    </dgm:pt>
    <dgm:pt modelId="{FCDB822F-074F-4F8E-83A7-3ABC69A3879A}">
      <dgm:prSet phldrT="[Text]" custT="1"/>
      <dgm:spPr>
        <a:solidFill>
          <a:schemeClr val="accent1">
            <a:hueOff val="0"/>
            <a:satOff val="0"/>
            <a:lumOff val="0"/>
            <a:alpha val="70000"/>
          </a:schemeClr>
        </a:solidFill>
      </dgm:spPr>
      <dgm:t>
        <a:bodyPr anchor="t" anchorCtr="0"/>
        <a:lstStyle/>
        <a:p>
          <a:pPr algn="ctr"/>
          <a:r>
            <a:rPr lang="en-GB" sz="1000" u="none">
              <a:solidFill>
                <a:schemeClr val="bg2">
                  <a:lumMod val="10000"/>
                </a:schemeClr>
              </a:solidFill>
            </a:rPr>
            <a:t>Protection of mangrove habitat</a:t>
          </a:r>
        </a:p>
      </dgm:t>
    </dgm:pt>
    <dgm:pt modelId="{83F9E864-43AD-4A86-87F0-0E8179A9C734}" type="parTrans" cxnId="{FE9ABAA4-9A49-4C07-ADE4-50CD525437E6}">
      <dgm:prSet/>
      <dgm:spPr/>
      <dgm:t>
        <a:bodyPr/>
        <a:lstStyle/>
        <a:p>
          <a:endParaRPr lang="en-GB"/>
        </a:p>
      </dgm:t>
    </dgm:pt>
    <dgm:pt modelId="{582687E8-554D-4FB1-8CFD-D973BF202C55}" type="sibTrans" cxnId="{FE9ABAA4-9A49-4C07-ADE4-50CD525437E6}">
      <dgm:prSet/>
      <dgm:spPr/>
      <dgm:t>
        <a:bodyPr/>
        <a:lstStyle/>
        <a:p>
          <a:endParaRPr lang="en-GB"/>
        </a:p>
      </dgm:t>
    </dgm:pt>
    <dgm:pt modelId="{8E5A2509-A43E-401B-840E-309C3CF0F410}">
      <dgm:prSet phldrT="[Text]" custT="1"/>
      <dgm:spPr>
        <a:solidFill>
          <a:schemeClr val="accent1">
            <a:hueOff val="0"/>
            <a:satOff val="0"/>
            <a:lumOff val="0"/>
            <a:alpha val="70000"/>
          </a:schemeClr>
        </a:solidFill>
      </dgm:spPr>
      <dgm:t>
        <a:bodyPr anchor="t" anchorCtr="0"/>
        <a:lstStyle/>
        <a:p>
          <a:pPr algn="ctr"/>
          <a:r>
            <a:rPr lang="en-GB" sz="1000" u="none">
              <a:solidFill>
                <a:schemeClr val="bg2">
                  <a:lumMod val="10000"/>
                </a:schemeClr>
              </a:solidFill>
            </a:rPr>
            <a:t>GHG emissions avoided</a:t>
          </a:r>
        </a:p>
      </dgm:t>
    </dgm:pt>
    <dgm:pt modelId="{B0DCB6F5-9706-4DB0-8132-FC07B6B1A25A}" type="parTrans" cxnId="{7E3C3C41-31C9-418D-9975-C69F7E15D8B7}">
      <dgm:prSet/>
      <dgm:spPr/>
      <dgm:t>
        <a:bodyPr/>
        <a:lstStyle/>
        <a:p>
          <a:endParaRPr lang="en-GB"/>
        </a:p>
      </dgm:t>
    </dgm:pt>
    <dgm:pt modelId="{F8068A5C-356F-476F-94FD-BCC536A1B0B9}" type="sibTrans" cxnId="{7E3C3C41-31C9-418D-9975-C69F7E15D8B7}">
      <dgm:prSet/>
      <dgm:spPr/>
      <dgm:t>
        <a:bodyPr/>
        <a:lstStyle/>
        <a:p>
          <a:endParaRPr lang="en-GB"/>
        </a:p>
      </dgm:t>
    </dgm:pt>
    <dgm:pt modelId="{DB20DC9F-F0DE-451D-AA5A-E724AF60C2C2}">
      <dgm:prSet phldrT="[Text]" custT="1"/>
      <dgm:spPr>
        <a:solidFill>
          <a:schemeClr val="accent1">
            <a:hueOff val="0"/>
            <a:satOff val="0"/>
            <a:lumOff val="0"/>
            <a:alpha val="70000"/>
          </a:schemeClr>
        </a:solidFill>
      </dgm:spPr>
      <dgm:t>
        <a:bodyPr anchor="t" anchorCtr="0"/>
        <a:lstStyle/>
        <a:p>
          <a:pPr algn="ctr"/>
          <a:r>
            <a:rPr lang="en-GB" sz="1000" u="none">
              <a:solidFill>
                <a:schemeClr val="bg2">
                  <a:lumMod val="10000"/>
                </a:schemeClr>
              </a:solidFill>
            </a:rPr>
            <a:t>Self sustaining sustainable livelihoods,</a:t>
          </a:r>
        </a:p>
      </dgm:t>
    </dgm:pt>
    <dgm:pt modelId="{E6D30D64-3E36-4806-8A2B-1ED290A5F203}" type="parTrans" cxnId="{657B2EED-AE83-4812-8FE2-C3973FAE9463}">
      <dgm:prSet/>
      <dgm:spPr/>
      <dgm:t>
        <a:bodyPr/>
        <a:lstStyle/>
        <a:p>
          <a:endParaRPr lang="en-GB"/>
        </a:p>
      </dgm:t>
    </dgm:pt>
    <dgm:pt modelId="{7EA17CD6-87FE-47EA-A63B-8BEB97A50EF4}" type="sibTrans" cxnId="{657B2EED-AE83-4812-8FE2-C3973FAE9463}">
      <dgm:prSet/>
      <dgm:spPr/>
      <dgm:t>
        <a:bodyPr/>
        <a:lstStyle/>
        <a:p>
          <a:endParaRPr lang="en-GB"/>
        </a:p>
      </dgm:t>
    </dgm:pt>
    <dgm:pt modelId="{E52DA12D-385D-4D00-A2B7-AB45FB322FD1}">
      <dgm:prSet phldrT="[Text]" custT="1"/>
      <dgm:spPr>
        <a:solidFill>
          <a:schemeClr val="accent1">
            <a:hueOff val="0"/>
            <a:satOff val="0"/>
            <a:lumOff val="0"/>
            <a:alpha val="70000"/>
          </a:schemeClr>
        </a:solidFill>
      </dgm:spPr>
      <dgm:t>
        <a:bodyPr anchor="t" anchorCtr="0"/>
        <a:lstStyle/>
        <a:p>
          <a:pPr algn="ctr"/>
          <a:r>
            <a:rPr lang="en-GB" sz="1000" u="none">
              <a:solidFill>
                <a:schemeClr val="bg2">
                  <a:lumMod val="10000"/>
                </a:schemeClr>
              </a:solidFill>
            </a:rPr>
            <a:t>Evidence of success and potential to scale/replicate</a:t>
          </a:r>
        </a:p>
      </dgm:t>
    </dgm:pt>
    <dgm:pt modelId="{46566B02-7BBA-44BE-B6A8-AF6F920BC41C}" type="parTrans" cxnId="{2B47C381-8630-4302-BEEE-79ADB99D0560}">
      <dgm:prSet/>
      <dgm:spPr/>
      <dgm:t>
        <a:bodyPr/>
        <a:lstStyle/>
        <a:p>
          <a:endParaRPr lang="en-GB"/>
        </a:p>
      </dgm:t>
    </dgm:pt>
    <dgm:pt modelId="{75FB45DE-8694-46C2-81CD-DC25B0B3D8E5}" type="sibTrans" cxnId="{2B47C381-8630-4302-BEEE-79ADB99D0560}">
      <dgm:prSet/>
      <dgm:spPr/>
      <dgm:t>
        <a:bodyPr/>
        <a:lstStyle/>
        <a:p>
          <a:endParaRPr lang="en-GB"/>
        </a:p>
      </dgm:t>
    </dgm:pt>
    <dgm:pt modelId="{F6A924B8-9CEB-4574-90E8-8D6CA076882C}">
      <dgm:prSet phldrT="[Text]" custT="1"/>
      <dgm:spPr>
        <a:solidFill>
          <a:schemeClr val="accent1">
            <a:hueOff val="0"/>
            <a:satOff val="0"/>
            <a:lumOff val="0"/>
            <a:alpha val="70000"/>
          </a:schemeClr>
        </a:solidFill>
      </dgm:spPr>
      <dgm:t>
        <a:bodyPr anchor="t" anchorCtr="0"/>
        <a:lstStyle/>
        <a:p>
          <a:pPr algn="ctr"/>
          <a:r>
            <a:rPr lang="en-GB" sz="1000" u="none">
              <a:solidFill>
                <a:schemeClr val="bg2">
                  <a:lumMod val="10000"/>
                </a:schemeClr>
              </a:solidFill>
            </a:rPr>
            <a:t>Sustainable, transformational change in targetted mangrove habitat and beyond</a:t>
          </a:r>
          <a:endParaRPr lang="en-GB" sz="1000" b="1" u="sng">
            <a:solidFill>
              <a:schemeClr val="bg2">
                <a:lumMod val="10000"/>
              </a:schemeClr>
            </a:solidFill>
          </a:endParaRPr>
        </a:p>
      </dgm:t>
    </dgm:pt>
    <dgm:pt modelId="{E28C7149-993F-4B0A-9BA9-EB4D44156C74}" type="parTrans" cxnId="{972325AB-9ABB-45C2-B5D7-36E24DEF71CE}">
      <dgm:prSet/>
      <dgm:spPr/>
      <dgm:t>
        <a:bodyPr/>
        <a:lstStyle/>
        <a:p>
          <a:endParaRPr lang="en-GB"/>
        </a:p>
      </dgm:t>
    </dgm:pt>
    <dgm:pt modelId="{1E33245F-D2D1-43D2-8324-9F4DB60769E5}" type="sibTrans" cxnId="{972325AB-9ABB-45C2-B5D7-36E24DEF71CE}">
      <dgm:prSet/>
      <dgm:spPr/>
      <dgm:t>
        <a:bodyPr/>
        <a:lstStyle/>
        <a:p>
          <a:endParaRPr lang="en-GB"/>
        </a:p>
      </dgm:t>
    </dgm:pt>
    <dgm:pt modelId="{26AC8A39-4746-4764-BA8B-2B4166E19313}" type="pres">
      <dgm:prSet presAssocID="{8F8CD32D-850B-41CB-83DB-DB41A001D34C}" presName="CompostProcess" presStyleCnt="0">
        <dgm:presLayoutVars>
          <dgm:dir/>
          <dgm:resizeHandles val="exact"/>
        </dgm:presLayoutVars>
      </dgm:prSet>
      <dgm:spPr/>
      <dgm:t>
        <a:bodyPr/>
        <a:lstStyle/>
        <a:p>
          <a:endParaRPr lang="en-GB"/>
        </a:p>
      </dgm:t>
    </dgm:pt>
    <dgm:pt modelId="{A1510D58-BA81-43B7-BB44-F3B3B19337EC}" type="pres">
      <dgm:prSet presAssocID="{8F8CD32D-850B-41CB-83DB-DB41A001D34C}" presName="arrow" presStyleLbl="bgShp" presStyleIdx="0" presStyleCnt="1"/>
      <dgm:spPr/>
    </dgm:pt>
    <dgm:pt modelId="{DE0E786A-D2F6-4C30-8386-CB8BDCD34A2D}" type="pres">
      <dgm:prSet presAssocID="{8F8CD32D-850B-41CB-83DB-DB41A001D34C}" presName="linearProcess" presStyleCnt="0"/>
      <dgm:spPr/>
    </dgm:pt>
    <dgm:pt modelId="{9BD50E2F-E0BE-47CF-B81F-328FCBDED98E}" type="pres">
      <dgm:prSet presAssocID="{821BD71D-14CB-4C81-86AB-636F48C4FC61}" presName="textNode" presStyleLbl="node1" presStyleIdx="0" presStyleCnt="5" custScaleX="105454" custScaleY="222325">
        <dgm:presLayoutVars>
          <dgm:bulletEnabled val="1"/>
        </dgm:presLayoutVars>
      </dgm:prSet>
      <dgm:spPr/>
      <dgm:t>
        <a:bodyPr/>
        <a:lstStyle/>
        <a:p>
          <a:endParaRPr lang="en-GB"/>
        </a:p>
      </dgm:t>
    </dgm:pt>
    <dgm:pt modelId="{809E61BB-A7BF-4097-8AD0-2D2DB2964271}" type="pres">
      <dgm:prSet presAssocID="{FB6B1793-AC07-4EF0-834B-AC23370DE9C2}" presName="sibTrans" presStyleCnt="0"/>
      <dgm:spPr/>
    </dgm:pt>
    <dgm:pt modelId="{D5B084A4-DEF6-4D4E-8E39-F35489F847F3}" type="pres">
      <dgm:prSet presAssocID="{FE40E49C-7BA0-4B65-84F9-FD27E0F2F0BF}" presName="textNode" presStyleLbl="node1" presStyleIdx="1" presStyleCnt="5" custScaleX="102144" custScaleY="222325">
        <dgm:presLayoutVars>
          <dgm:bulletEnabled val="1"/>
        </dgm:presLayoutVars>
      </dgm:prSet>
      <dgm:spPr/>
      <dgm:t>
        <a:bodyPr/>
        <a:lstStyle/>
        <a:p>
          <a:endParaRPr lang="en-GB"/>
        </a:p>
      </dgm:t>
    </dgm:pt>
    <dgm:pt modelId="{C1CDCC46-0F4A-469A-B170-E0A56FDC3025}" type="pres">
      <dgm:prSet presAssocID="{35B0ADC9-6DE9-451D-8827-832EC2AB3FFB}" presName="sibTrans" presStyleCnt="0"/>
      <dgm:spPr/>
    </dgm:pt>
    <dgm:pt modelId="{026FE40A-15CD-4311-AA4F-27B26EA21BE0}" type="pres">
      <dgm:prSet presAssocID="{D8B83BF8-5742-43D5-837E-3F0D6F782296}" presName="textNode" presStyleLbl="node1" presStyleIdx="2" presStyleCnt="5" custScaleX="102144" custScaleY="222325">
        <dgm:presLayoutVars>
          <dgm:bulletEnabled val="1"/>
        </dgm:presLayoutVars>
      </dgm:prSet>
      <dgm:spPr/>
      <dgm:t>
        <a:bodyPr/>
        <a:lstStyle/>
        <a:p>
          <a:endParaRPr lang="en-GB"/>
        </a:p>
      </dgm:t>
    </dgm:pt>
    <dgm:pt modelId="{7D9B475A-3FC7-4F65-82B3-FD13C365E2B2}" type="pres">
      <dgm:prSet presAssocID="{CEFEDC79-FF53-4A14-ADEF-1EAB08017320}" presName="sibTrans" presStyleCnt="0"/>
      <dgm:spPr/>
    </dgm:pt>
    <dgm:pt modelId="{23B6035B-732D-4CF7-AE08-A745B355EEFE}" type="pres">
      <dgm:prSet presAssocID="{22AC7BAE-3273-46BF-91E2-FBC7CCCA9CCD}" presName="textNode" presStyleLbl="node1" presStyleIdx="3" presStyleCnt="5" custScaleX="102144" custScaleY="222325">
        <dgm:presLayoutVars>
          <dgm:bulletEnabled val="1"/>
        </dgm:presLayoutVars>
      </dgm:prSet>
      <dgm:spPr/>
      <dgm:t>
        <a:bodyPr/>
        <a:lstStyle/>
        <a:p>
          <a:endParaRPr lang="en-GB"/>
        </a:p>
      </dgm:t>
    </dgm:pt>
    <dgm:pt modelId="{7498086A-F326-48D6-B60B-A0ED36D74415}" type="pres">
      <dgm:prSet presAssocID="{2B7E0DE9-9E8A-4A64-B621-5EEF2FDCD492}" presName="sibTrans" presStyleCnt="0"/>
      <dgm:spPr/>
    </dgm:pt>
    <dgm:pt modelId="{95D32D40-0D1F-41F3-88CD-0678B972DB4C}" type="pres">
      <dgm:prSet presAssocID="{835702BC-F0D7-4990-BFF5-021CF002FAB1}" presName="textNode" presStyleLbl="node1" presStyleIdx="4" presStyleCnt="5" custScaleX="102144" custScaleY="222325">
        <dgm:presLayoutVars>
          <dgm:bulletEnabled val="1"/>
        </dgm:presLayoutVars>
      </dgm:prSet>
      <dgm:spPr/>
      <dgm:t>
        <a:bodyPr/>
        <a:lstStyle/>
        <a:p>
          <a:endParaRPr lang="en-GB"/>
        </a:p>
      </dgm:t>
    </dgm:pt>
  </dgm:ptLst>
  <dgm:cxnLst>
    <dgm:cxn modelId="{2B47C381-8630-4302-BEEE-79ADB99D0560}" srcId="{22AC7BAE-3273-46BF-91E2-FBC7CCCA9CCD}" destId="{E52DA12D-385D-4D00-A2B7-AB45FB322FD1}" srcOrd="4" destOrd="0" parTransId="{46566B02-7BBA-44BE-B6A8-AF6F920BC41C}" sibTransId="{75FB45DE-8694-46C2-81CD-DC25B0B3D8E5}"/>
    <dgm:cxn modelId="{4932FDDB-4A27-4DBD-A48B-FD6D560F4DD8}" type="presOf" srcId="{8E5A2509-A43E-401B-840E-309C3CF0F410}" destId="{23B6035B-732D-4CF7-AE08-A745B355EEFE}" srcOrd="0" destOrd="3" presId="urn:microsoft.com/office/officeart/2005/8/layout/hProcess9"/>
    <dgm:cxn modelId="{23706A70-4E9F-4C7A-BFFA-B965DCC18E0D}" type="presOf" srcId="{DCC0DF13-F5B0-4576-ABD4-FD961F754F2B}" destId="{026FE40A-15CD-4311-AA4F-27B26EA21BE0}" srcOrd="0" destOrd="4" presId="urn:microsoft.com/office/officeart/2005/8/layout/hProcess9"/>
    <dgm:cxn modelId="{147F8B10-4987-4D96-A8EB-208289C62F64}" type="presOf" srcId="{5FD82C5C-252D-4D50-B920-A67DD034C43A}" destId="{026FE40A-15CD-4311-AA4F-27B26EA21BE0}" srcOrd="0" destOrd="2" presId="urn:microsoft.com/office/officeart/2005/8/layout/hProcess9"/>
    <dgm:cxn modelId="{B93DC5DD-8397-4F1A-8158-348C072BA2DA}" srcId="{FE40E49C-7BA0-4B65-84F9-FD27E0F2F0BF}" destId="{4F031AFB-4B94-4090-B286-F6605049557F}" srcOrd="1" destOrd="0" parTransId="{A29A9FFD-81E4-41EA-851F-F9C981E56EFC}" sibTransId="{8A7AB571-8DBD-490B-8F32-6FC971282733}"/>
    <dgm:cxn modelId="{17D060F4-2A83-4525-9B8F-D0173DFE81E4}" type="presOf" srcId="{9E1C4908-8A7A-4EAA-B9B3-1B9D5C7CE061}" destId="{9BD50E2F-E0BE-47CF-B81F-328FCBDED98E}" srcOrd="0" destOrd="7" presId="urn:microsoft.com/office/officeart/2005/8/layout/hProcess9"/>
    <dgm:cxn modelId="{F3D6205A-3088-4664-A436-F9A861F9E378}" type="presOf" srcId="{682FB2DB-4916-4E25-9737-AC550E84CD8C}" destId="{23B6035B-732D-4CF7-AE08-A745B355EEFE}" srcOrd="0" destOrd="1" presId="urn:microsoft.com/office/officeart/2005/8/layout/hProcess9"/>
    <dgm:cxn modelId="{B93F7DC2-E2A5-4D11-B7DD-0CD751BD140D}" srcId="{FE40E49C-7BA0-4B65-84F9-FD27E0F2F0BF}" destId="{85492F47-9BE7-4279-9459-2F64B64456C8}" srcOrd="2" destOrd="0" parTransId="{7924D518-18C0-40C4-85CE-8BD805DB3DEC}" sibTransId="{5563F246-B4EC-4F6B-B248-99FB3CECB592}"/>
    <dgm:cxn modelId="{F41CC98D-9AF6-4788-87CE-0284D8341BF5}" type="presOf" srcId="{FE40E49C-7BA0-4B65-84F9-FD27E0F2F0BF}" destId="{D5B084A4-DEF6-4D4E-8E39-F35489F847F3}" srcOrd="0" destOrd="0" presId="urn:microsoft.com/office/officeart/2005/8/layout/hProcess9"/>
    <dgm:cxn modelId="{65707817-C8A3-4C18-9395-F760B068F21E}" srcId="{D8B83BF8-5742-43D5-837E-3F0D6F782296}" destId="{E88A76B0-04DD-4DDB-A352-791574E1FD35}" srcOrd="0" destOrd="0" parTransId="{985FB9FF-D985-4528-935F-4C78F15CA777}" sibTransId="{6B807783-3A96-493D-87B1-73CEE98B77D6}"/>
    <dgm:cxn modelId="{4D4465EC-E095-4D60-9F9E-570996DD6884}" type="presOf" srcId="{F6A924B8-9CEB-4574-90E8-8D6CA076882C}" destId="{95D32D40-0D1F-41F3-88CD-0678B972DB4C}" srcOrd="0" destOrd="1" presId="urn:microsoft.com/office/officeart/2005/8/layout/hProcess9"/>
    <dgm:cxn modelId="{7CC4CD6E-225E-4660-8CAE-33A297084643}" type="presOf" srcId="{B745C881-D4E9-4702-AA6C-F1321F7C0D64}" destId="{9BD50E2F-E0BE-47CF-B81F-328FCBDED98E}" srcOrd="0" destOrd="4" presId="urn:microsoft.com/office/officeart/2005/8/layout/hProcess9"/>
    <dgm:cxn modelId="{344D3213-44D7-4F9A-A280-AB75CF2C7147}" srcId="{821BD71D-14CB-4C81-86AB-636F48C4FC61}" destId="{295E8B31-A57A-4EEF-B1CE-4E8AB070DA86}" srcOrd="5" destOrd="0" parTransId="{3EA0FA00-9454-48C5-80B5-F7F444FA3461}" sibTransId="{661C8CF7-D7AC-4422-BA40-A2D6655A70FC}"/>
    <dgm:cxn modelId="{955718EF-5CA4-4EFF-B6B0-9AA84E5A774D}" srcId="{D8B83BF8-5742-43D5-837E-3F0D6F782296}" destId="{DCC0DF13-F5B0-4576-ABD4-FD961F754F2B}" srcOrd="3" destOrd="0" parTransId="{A413CDAE-EBBF-4C8E-8463-7AB2B20B26D8}" sibTransId="{7D5D3A10-6678-4D83-8EAF-7E00195E60D0}"/>
    <dgm:cxn modelId="{E38945A4-40D2-4D8C-9AB6-5A15F0DC4A8A}" srcId="{8F8CD32D-850B-41CB-83DB-DB41A001D34C}" destId="{821BD71D-14CB-4C81-86AB-636F48C4FC61}" srcOrd="0" destOrd="0" parTransId="{F75B01E3-983C-4038-9CBE-AB7B5C249239}" sibTransId="{FB6B1793-AC07-4EF0-834B-AC23370DE9C2}"/>
    <dgm:cxn modelId="{46A05089-05DF-4EB3-B15A-F1E295F09511}" srcId="{8F8CD32D-850B-41CB-83DB-DB41A001D34C}" destId="{22AC7BAE-3273-46BF-91E2-FBC7CCCA9CCD}" srcOrd="3" destOrd="0" parTransId="{8B113455-43E7-4AFB-9EDE-A3BA6E545D61}" sibTransId="{2B7E0DE9-9E8A-4A64-B621-5EEF2FDCD492}"/>
    <dgm:cxn modelId="{69C00566-5A92-406E-BD43-1D049006DB20}" srcId="{8F8CD32D-850B-41CB-83DB-DB41A001D34C}" destId="{835702BC-F0D7-4990-BFF5-021CF002FAB1}" srcOrd="4" destOrd="0" parTransId="{6689A7E3-9BEA-4109-9B12-20CCEE3B9383}" sibTransId="{C09383EB-2B0F-4DEB-B386-E87B04118D7A}"/>
    <dgm:cxn modelId="{6796DBA0-0D2F-4A8F-86C2-ADBD2DB4AFBF}" type="presOf" srcId="{1F6720A3-27D1-4A76-A6FB-78327929D5EF}" destId="{026FE40A-15CD-4311-AA4F-27B26EA21BE0}" srcOrd="0" destOrd="3" presId="urn:microsoft.com/office/officeart/2005/8/layout/hProcess9"/>
    <dgm:cxn modelId="{8F3FF451-70E8-4CCA-B786-3484678FC130}" type="presOf" srcId="{51DA7140-9BE0-4C3E-BEB0-3CBE52708236}" destId="{9BD50E2F-E0BE-47CF-B81F-328FCBDED98E}" srcOrd="0" destOrd="8" presId="urn:microsoft.com/office/officeart/2005/8/layout/hProcess9"/>
    <dgm:cxn modelId="{2FA85C0D-E2F5-4049-9A05-236F2F017FFC}" type="presOf" srcId="{821BD71D-14CB-4C81-86AB-636F48C4FC61}" destId="{9BD50E2F-E0BE-47CF-B81F-328FCBDED98E}" srcOrd="0" destOrd="0" presId="urn:microsoft.com/office/officeart/2005/8/layout/hProcess9"/>
    <dgm:cxn modelId="{E2711F11-6D95-4238-B3E7-E738380EC26A}" srcId="{FE40E49C-7BA0-4B65-84F9-FD27E0F2F0BF}" destId="{9F58B0E4-4B91-463C-AD88-FAC82AB4727F}" srcOrd="0" destOrd="0" parTransId="{2CBB2712-C5D8-4B37-BB22-5029A9A5FDDC}" sibTransId="{41FD3FC4-E251-4D77-8796-66773850F247}"/>
    <dgm:cxn modelId="{422ACA66-141C-4E6E-AF5B-C93724303786}" type="presOf" srcId="{4F031AFB-4B94-4090-B286-F6605049557F}" destId="{D5B084A4-DEF6-4D4E-8E39-F35489F847F3}" srcOrd="0" destOrd="2" presId="urn:microsoft.com/office/officeart/2005/8/layout/hProcess9"/>
    <dgm:cxn modelId="{60921A0B-11FD-4922-A182-560912C9B3EA}" type="presOf" srcId="{D8B83BF8-5742-43D5-837E-3F0D6F782296}" destId="{026FE40A-15CD-4311-AA4F-27B26EA21BE0}" srcOrd="0" destOrd="0" presId="urn:microsoft.com/office/officeart/2005/8/layout/hProcess9"/>
    <dgm:cxn modelId="{EF9752E6-5A09-4E46-B538-D3374AACE954}" type="presOf" srcId="{9F58B0E4-4B91-463C-AD88-FAC82AB4727F}" destId="{D5B084A4-DEF6-4D4E-8E39-F35489F847F3}" srcOrd="0" destOrd="1" presId="urn:microsoft.com/office/officeart/2005/8/layout/hProcess9"/>
    <dgm:cxn modelId="{B5CD5F6D-C871-452E-9480-4C1E2C3EEC5A}" type="presOf" srcId="{8F8CD32D-850B-41CB-83DB-DB41A001D34C}" destId="{26AC8A39-4746-4764-BA8B-2B4166E19313}" srcOrd="0" destOrd="0" presId="urn:microsoft.com/office/officeart/2005/8/layout/hProcess9"/>
    <dgm:cxn modelId="{9CE44A36-DBF2-48DF-A6B8-96CF6D6B5CBD}" srcId="{8F8CD32D-850B-41CB-83DB-DB41A001D34C}" destId="{D8B83BF8-5742-43D5-837E-3F0D6F782296}" srcOrd="2" destOrd="0" parTransId="{BA752169-5B2A-49FA-84B2-47D581D50CAC}" sibTransId="{CEFEDC79-FF53-4A14-ADEF-1EAB08017320}"/>
    <dgm:cxn modelId="{972325AB-9ABB-45C2-B5D7-36E24DEF71CE}" srcId="{835702BC-F0D7-4990-BFF5-021CF002FAB1}" destId="{F6A924B8-9CEB-4574-90E8-8D6CA076882C}" srcOrd="0" destOrd="0" parTransId="{E28C7149-993F-4B0A-9BA9-EB4D44156C74}" sibTransId="{1E33245F-D2D1-43D2-8324-9F4DB60769E5}"/>
    <dgm:cxn modelId="{898CA1EC-325B-4EF0-9B6E-7B9CA0FCEAE4}" srcId="{821BD71D-14CB-4C81-86AB-636F48C4FC61}" destId="{7D4FD886-19DF-48B8-935D-C535D415DEE3}" srcOrd="0" destOrd="0" parTransId="{BD6B61ED-79BF-4094-B824-00A86ED4B401}" sibTransId="{D8AA9C76-BED4-4616-8DAC-B779B4EA4947}"/>
    <dgm:cxn modelId="{E9D33D6A-FC3D-4F04-A55A-299B16D9FC55}" type="presOf" srcId="{7D4FD886-19DF-48B8-935D-C535D415DEE3}" destId="{9BD50E2F-E0BE-47CF-B81F-328FCBDED98E}" srcOrd="0" destOrd="1" presId="urn:microsoft.com/office/officeart/2005/8/layout/hProcess9"/>
    <dgm:cxn modelId="{DBE57E82-AF69-47D8-885B-E15E66A70F62}" type="presOf" srcId="{835702BC-F0D7-4990-BFF5-021CF002FAB1}" destId="{95D32D40-0D1F-41F3-88CD-0678B972DB4C}" srcOrd="0" destOrd="0" presId="urn:microsoft.com/office/officeart/2005/8/layout/hProcess9"/>
    <dgm:cxn modelId="{7E3C3C41-31C9-418D-9975-C69F7E15D8B7}" srcId="{22AC7BAE-3273-46BF-91E2-FBC7CCCA9CCD}" destId="{8E5A2509-A43E-401B-840E-309C3CF0F410}" srcOrd="2" destOrd="0" parTransId="{B0DCB6F5-9706-4DB0-8132-FC07B6B1A25A}" sibTransId="{F8068A5C-356F-476F-94FD-BCC536A1B0B9}"/>
    <dgm:cxn modelId="{74313AC4-A8FF-4E96-B07A-B7EEB4B78E3E}" srcId="{22AC7BAE-3273-46BF-91E2-FBC7CCCA9CCD}" destId="{682FB2DB-4916-4E25-9737-AC550E84CD8C}" srcOrd="0" destOrd="0" parTransId="{7C02F9CC-946F-45CE-9D2E-82CCEC4E6362}" sibTransId="{FA8337AA-F556-4BA1-9948-9AB2BB6E54DF}"/>
    <dgm:cxn modelId="{343B6953-CC64-46B6-B8AB-CB6F70B394FC}" type="presOf" srcId="{295E8B31-A57A-4EEF-B1CE-4E8AB070DA86}" destId="{9BD50E2F-E0BE-47CF-B81F-328FCBDED98E}" srcOrd="0" destOrd="6" presId="urn:microsoft.com/office/officeart/2005/8/layout/hProcess9"/>
    <dgm:cxn modelId="{2DD9229D-AF36-41D3-86B2-107CC7D89756}" srcId="{D8B83BF8-5742-43D5-837E-3F0D6F782296}" destId="{1F6720A3-27D1-4A76-A6FB-78327929D5EF}" srcOrd="2" destOrd="0" parTransId="{10496A80-D4B3-4CF0-A139-C6F8CCBE1576}" sibTransId="{7F3C484F-A0A9-41C2-BEF9-5587886D69C0}"/>
    <dgm:cxn modelId="{D1DCC639-757A-4F00-9AC8-61D4D8DD8977}" srcId="{821BD71D-14CB-4C81-86AB-636F48C4FC61}" destId="{556088EC-324C-4230-8CF7-6A6E7EF2E54A}" srcOrd="1" destOrd="0" parTransId="{FB162817-DE95-4CE4-BEA6-DA535BFD56F1}" sibTransId="{922A07A7-401E-45F9-893F-E8C0CC529AE8}"/>
    <dgm:cxn modelId="{CA3FB4D9-A972-4430-A7EE-C9153B3902A7}" type="presOf" srcId="{FCDB822F-074F-4F8E-83A7-3ABC69A3879A}" destId="{23B6035B-732D-4CF7-AE08-A745B355EEFE}" srcOrd="0" destOrd="2" presId="urn:microsoft.com/office/officeart/2005/8/layout/hProcess9"/>
    <dgm:cxn modelId="{B75121CC-D329-4614-8B4A-9CAEF1216A5C}" srcId="{821BD71D-14CB-4C81-86AB-636F48C4FC61}" destId="{9E1C4908-8A7A-4EAA-B9B3-1B9D5C7CE061}" srcOrd="6" destOrd="0" parTransId="{0AB5742B-B9C9-43F4-B557-97DFCC860344}" sibTransId="{D15B3472-2A72-4B21-9D0E-8C47FCAAC60C}"/>
    <dgm:cxn modelId="{B5B270FE-9616-42E2-A9BF-03864BD2AF3E}" type="presOf" srcId="{85492F47-9BE7-4279-9459-2F64B64456C8}" destId="{D5B084A4-DEF6-4D4E-8E39-F35489F847F3}" srcOrd="0" destOrd="3" presId="urn:microsoft.com/office/officeart/2005/8/layout/hProcess9"/>
    <dgm:cxn modelId="{00FF7860-F0DC-45EC-B088-2C84A8928F95}" srcId="{D8B83BF8-5742-43D5-837E-3F0D6F782296}" destId="{5FD82C5C-252D-4D50-B920-A67DD034C43A}" srcOrd="1" destOrd="0" parTransId="{CFA64ACD-EC30-4A94-9E8E-B1CF7BFE1C55}" sibTransId="{22429E1F-2DB2-49A8-ADE6-1F9871FBA1EB}"/>
    <dgm:cxn modelId="{97142AE2-A381-40D2-B908-3ECFD54AF462}" type="presOf" srcId="{DB20DC9F-F0DE-451D-AA5A-E724AF60C2C2}" destId="{23B6035B-732D-4CF7-AE08-A745B355EEFE}" srcOrd="0" destOrd="4" presId="urn:microsoft.com/office/officeart/2005/8/layout/hProcess9"/>
    <dgm:cxn modelId="{86CB6FB7-356D-41E1-91E3-2A3B0E153FC6}" type="presOf" srcId="{E52DA12D-385D-4D00-A2B7-AB45FB322FD1}" destId="{23B6035B-732D-4CF7-AE08-A745B355EEFE}" srcOrd="0" destOrd="5" presId="urn:microsoft.com/office/officeart/2005/8/layout/hProcess9"/>
    <dgm:cxn modelId="{FB93EBA1-47FC-4C66-8BBC-FD3AF9748CBE}" srcId="{8F8CD32D-850B-41CB-83DB-DB41A001D34C}" destId="{FE40E49C-7BA0-4B65-84F9-FD27E0F2F0BF}" srcOrd="1" destOrd="0" parTransId="{C32A1F68-64DF-40D7-9E63-F6AA3B0A473C}" sibTransId="{35B0ADC9-6DE9-451D-8827-832EC2AB3FFB}"/>
    <dgm:cxn modelId="{CBD9D891-6CDA-471A-B2ED-C6CD355A08D7}" srcId="{821BD71D-14CB-4C81-86AB-636F48C4FC61}" destId="{B745C881-D4E9-4702-AA6C-F1321F7C0D64}" srcOrd="3" destOrd="0" parTransId="{7A44988E-FDA7-42A0-879A-11CCA3AE3B7C}" sibTransId="{C36D6BAB-9710-4EDE-B13C-B3DC8C2123E4}"/>
    <dgm:cxn modelId="{6955C173-3467-49E1-931B-5BB4CD8ACC71}" type="presOf" srcId="{E88A76B0-04DD-4DDB-A352-791574E1FD35}" destId="{026FE40A-15CD-4311-AA4F-27B26EA21BE0}" srcOrd="0" destOrd="1" presId="urn:microsoft.com/office/officeart/2005/8/layout/hProcess9"/>
    <dgm:cxn modelId="{464848D8-DC28-4AED-916D-23A82E3E227B}" type="presOf" srcId="{A79A3BAB-FCF9-42B4-ABDC-EC36CD07C07A}" destId="{9BD50E2F-E0BE-47CF-B81F-328FCBDED98E}" srcOrd="0" destOrd="3" presId="urn:microsoft.com/office/officeart/2005/8/layout/hProcess9"/>
    <dgm:cxn modelId="{657B2EED-AE83-4812-8FE2-C3973FAE9463}" srcId="{22AC7BAE-3273-46BF-91E2-FBC7CCCA9CCD}" destId="{DB20DC9F-F0DE-451D-AA5A-E724AF60C2C2}" srcOrd="3" destOrd="0" parTransId="{E6D30D64-3E36-4806-8A2B-1ED290A5F203}" sibTransId="{7EA17CD6-87FE-47EA-A63B-8BEB97A50EF4}"/>
    <dgm:cxn modelId="{6A4DCD40-35C1-42E5-940E-21BA26BDBD3A}" type="presOf" srcId="{22AC7BAE-3273-46BF-91E2-FBC7CCCA9CCD}" destId="{23B6035B-732D-4CF7-AE08-A745B355EEFE}" srcOrd="0" destOrd="0" presId="urn:microsoft.com/office/officeart/2005/8/layout/hProcess9"/>
    <dgm:cxn modelId="{3D6B0E05-D6D2-4070-AFEB-FF77AEB5F3CC}" type="presOf" srcId="{3CDC0CBD-38F7-41D3-BD7B-F8D0CDC94BCE}" destId="{9BD50E2F-E0BE-47CF-B81F-328FCBDED98E}" srcOrd="0" destOrd="5" presId="urn:microsoft.com/office/officeart/2005/8/layout/hProcess9"/>
    <dgm:cxn modelId="{D8B62DFA-D113-449C-9950-58DE9D1219D2}" srcId="{821BD71D-14CB-4C81-86AB-636F48C4FC61}" destId="{A79A3BAB-FCF9-42B4-ABDC-EC36CD07C07A}" srcOrd="2" destOrd="0" parTransId="{19D8D0A9-827E-4474-AA2A-820A94F69D8C}" sibTransId="{1BCC49FC-E256-4CA4-BDDC-05DD137F90E2}"/>
    <dgm:cxn modelId="{65868B6F-77A2-4409-821B-6B70E7D86103}" srcId="{821BD71D-14CB-4C81-86AB-636F48C4FC61}" destId="{51DA7140-9BE0-4C3E-BEB0-3CBE52708236}" srcOrd="7" destOrd="0" parTransId="{167E397A-673A-46CD-A6CF-ADB0E6357D17}" sibTransId="{E45F2101-A5F9-4199-A370-296EF1158330}"/>
    <dgm:cxn modelId="{88578190-EC45-4B34-A609-E26867B2B29B}" type="presOf" srcId="{556088EC-324C-4230-8CF7-6A6E7EF2E54A}" destId="{9BD50E2F-E0BE-47CF-B81F-328FCBDED98E}" srcOrd="0" destOrd="2" presId="urn:microsoft.com/office/officeart/2005/8/layout/hProcess9"/>
    <dgm:cxn modelId="{707AB4E9-FF80-433E-B5D1-F4D8689E7F6F}" srcId="{821BD71D-14CB-4C81-86AB-636F48C4FC61}" destId="{3CDC0CBD-38F7-41D3-BD7B-F8D0CDC94BCE}" srcOrd="4" destOrd="0" parTransId="{13CFD9FD-9A2C-4D35-8851-3A6CD3E92BFD}" sibTransId="{8DB19DD1-39D6-470C-9196-717A8849AC6A}"/>
    <dgm:cxn modelId="{FE9ABAA4-9A49-4C07-ADE4-50CD525437E6}" srcId="{22AC7BAE-3273-46BF-91E2-FBC7CCCA9CCD}" destId="{FCDB822F-074F-4F8E-83A7-3ABC69A3879A}" srcOrd="1" destOrd="0" parTransId="{83F9E864-43AD-4A86-87F0-0E8179A9C734}" sibTransId="{582687E8-554D-4FB1-8CFD-D973BF202C55}"/>
    <dgm:cxn modelId="{31C78185-9DEF-4DEA-949C-65CCFA64F16E}" type="presParOf" srcId="{26AC8A39-4746-4764-BA8B-2B4166E19313}" destId="{A1510D58-BA81-43B7-BB44-F3B3B19337EC}" srcOrd="0" destOrd="0" presId="urn:microsoft.com/office/officeart/2005/8/layout/hProcess9"/>
    <dgm:cxn modelId="{B30E906D-2D48-4E8A-9471-B71C8FDA5636}" type="presParOf" srcId="{26AC8A39-4746-4764-BA8B-2B4166E19313}" destId="{DE0E786A-D2F6-4C30-8386-CB8BDCD34A2D}" srcOrd="1" destOrd="0" presId="urn:microsoft.com/office/officeart/2005/8/layout/hProcess9"/>
    <dgm:cxn modelId="{E7B48011-306A-4A62-8BB1-97A3E9671D55}" type="presParOf" srcId="{DE0E786A-D2F6-4C30-8386-CB8BDCD34A2D}" destId="{9BD50E2F-E0BE-47CF-B81F-328FCBDED98E}" srcOrd="0" destOrd="0" presId="urn:microsoft.com/office/officeart/2005/8/layout/hProcess9"/>
    <dgm:cxn modelId="{2417B9EE-0A7D-413C-872E-5AA6065FC8C8}" type="presParOf" srcId="{DE0E786A-D2F6-4C30-8386-CB8BDCD34A2D}" destId="{809E61BB-A7BF-4097-8AD0-2D2DB2964271}" srcOrd="1" destOrd="0" presId="urn:microsoft.com/office/officeart/2005/8/layout/hProcess9"/>
    <dgm:cxn modelId="{FB6BFEC8-95C7-49B6-B674-7B64068E0D0C}" type="presParOf" srcId="{DE0E786A-D2F6-4C30-8386-CB8BDCD34A2D}" destId="{D5B084A4-DEF6-4D4E-8E39-F35489F847F3}" srcOrd="2" destOrd="0" presId="urn:microsoft.com/office/officeart/2005/8/layout/hProcess9"/>
    <dgm:cxn modelId="{EAF4632D-4B5C-4523-B5D6-C5725A88274C}" type="presParOf" srcId="{DE0E786A-D2F6-4C30-8386-CB8BDCD34A2D}" destId="{C1CDCC46-0F4A-469A-B170-E0A56FDC3025}" srcOrd="3" destOrd="0" presId="urn:microsoft.com/office/officeart/2005/8/layout/hProcess9"/>
    <dgm:cxn modelId="{F3AF2FB4-DB38-43FC-B252-4E828C054E77}" type="presParOf" srcId="{DE0E786A-D2F6-4C30-8386-CB8BDCD34A2D}" destId="{026FE40A-15CD-4311-AA4F-27B26EA21BE0}" srcOrd="4" destOrd="0" presId="urn:microsoft.com/office/officeart/2005/8/layout/hProcess9"/>
    <dgm:cxn modelId="{96A55EF8-5FCA-4C93-B00F-7B9F7EE08BA6}" type="presParOf" srcId="{DE0E786A-D2F6-4C30-8386-CB8BDCD34A2D}" destId="{7D9B475A-3FC7-4F65-82B3-FD13C365E2B2}" srcOrd="5" destOrd="0" presId="urn:microsoft.com/office/officeart/2005/8/layout/hProcess9"/>
    <dgm:cxn modelId="{3996AF01-92C9-43CE-8013-1F0E89AE541E}" type="presParOf" srcId="{DE0E786A-D2F6-4C30-8386-CB8BDCD34A2D}" destId="{23B6035B-732D-4CF7-AE08-A745B355EEFE}" srcOrd="6" destOrd="0" presId="urn:microsoft.com/office/officeart/2005/8/layout/hProcess9"/>
    <dgm:cxn modelId="{8C5C5384-BD84-461E-8EB7-DE43E17A3CA4}" type="presParOf" srcId="{DE0E786A-D2F6-4C30-8386-CB8BDCD34A2D}" destId="{7498086A-F326-48D6-B60B-A0ED36D74415}" srcOrd="7" destOrd="0" presId="urn:microsoft.com/office/officeart/2005/8/layout/hProcess9"/>
    <dgm:cxn modelId="{BD2EC105-B94A-412F-97AD-2C38F4612724}" type="presParOf" srcId="{DE0E786A-D2F6-4C30-8386-CB8BDCD34A2D}" destId="{95D32D40-0D1F-41F3-88CD-0678B972DB4C}" srcOrd="8" destOrd="0" presId="urn:microsoft.com/office/officeart/2005/8/layout/hProcess9"/>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510D58-BA81-43B7-BB44-F3B3B19337EC}">
      <dsp:nvSpPr>
        <dsp:cNvPr id="0" name=""/>
        <dsp:cNvSpPr/>
      </dsp:nvSpPr>
      <dsp:spPr>
        <a:xfrm>
          <a:off x="490061" y="0"/>
          <a:ext cx="5554027" cy="279082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BD50E2F-E0BE-47CF-B81F-328FCBDED98E}">
      <dsp:nvSpPr>
        <dsp:cNvPr id="0" name=""/>
        <dsp:cNvSpPr/>
      </dsp:nvSpPr>
      <dsp:spPr>
        <a:xfrm>
          <a:off x="59744" y="154472"/>
          <a:ext cx="1194756" cy="2481880"/>
        </a:xfrm>
        <a:prstGeom prst="roundRect">
          <a:avLst/>
        </a:prstGeom>
        <a:solidFill>
          <a:schemeClr val="accent1">
            <a:hueOff val="0"/>
            <a:satOff val="0"/>
            <a:lumOff val="0"/>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n-GB" sz="1000" b="1" u="sng" kern="1200">
              <a:solidFill>
                <a:schemeClr val="bg2">
                  <a:lumMod val="10000"/>
                </a:schemeClr>
              </a:solidFill>
            </a:rPr>
            <a:t>Threats</a:t>
          </a:r>
        </a:p>
        <a:p>
          <a:pPr marL="57150" lvl="1" indent="-57150" algn="ctr" defTabSz="444500">
            <a:lnSpc>
              <a:spcPct val="90000"/>
            </a:lnSpc>
            <a:spcBef>
              <a:spcPct val="0"/>
            </a:spcBef>
            <a:spcAft>
              <a:spcPct val="15000"/>
            </a:spcAft>
            <a:buChar char="••"/>
          </a:pPr>
          <a:r>
            <a:rPr lang="en-GB" sz="1000" kern="1200">
              <a:solidFill>
                <a:schemeClr val="bg2">
                  <a:lumMod val="10000"/>
                </a:schemeClr>
              </a:solidFill>
            </a:rPr>
            <a:t>Clearing,</a:t>
          </a:r>
          <a:endParaRPr lang="en-GB" sz="1000" b="1" u="sng" kern="1200">
            <a:solidFill>
              <a:schemeClr val="bg2">
                <a:lumMod val="10000"/>
              </a:schemeClr>
            </a:solidFill>
          </a:endParaRPr>
        </a:p>
        <a:p>
          <a:pPr marL="57150" lvl="1" indent="-57150" algn="ctr" defTabSz="444500">
            <a:lnSpc>
              <a:spcPct val="90000"/>
            </a:lnSpc>
            <a:spcBef>
              <a:spcPct val="0"/>
            </a:spcBef>
            <a:spcAft>
              <a:spcPct val="15000"/>
            </a:spcAft>
            <a:buChar char="••"/>
          </a:pPr>
          <a:r>
            <a:rPr lang="en-GB" sz="1000" kern="1200">
              <a:solidFill>
                <a:schemeClr val="bg2">
                  <a:lumMod val="10000"/>
                </a:schemeClr>
              </a:solidFill>
            </a:rPr>
            <a:t>Overharvesting</a:t>
          </a:r>
          <a:endParaRPr lang="en-GB" sz="1000" b="1" u="sng" kern="1200">
            <a:solidFill>
              <a:schemeClr val="bg2">
                <a:lumMod val="10000"/>
              </a:schemeClr>
            </a:solidFill>
          </a:endParaRPr>
        </a:p>
        <a:p>
          <a:pPr marL="57150" lvl="1" indent="-57150" algn="ctr" defTabSz="444500">
            <a:lnSpc>
              <a:spcPct val="90000"/>
            </a:lnSpc>
            <a:spcBef>
              <a:spcPct val="0"/>
            </a:spcBef>
            <a:spcAft>
              <a:spcPct val="15000"/>
            </a:spcAft>
            <a:buChar char="••"/>
          </a:pPr>
          <a:r>
            <a:rPr lang="en-GB" sz="1000" kern="1200">
              <a:solidFill>
                <a:schemeClr val="bg2">
                  <a:lumMod val="10000"/>
                </a:schemeClr>
              </a:solidFill>
            </a:rPr>
            <a:t>River changes</a:t>
          </a:r>
          <a:endParaRPr lang="en-GB" sz="1000" b="1" u="sng" kern="1200">
            <a:solidFill>
              <a:schemeClr val="bg2">
                <a:lumMod val="10000"/>
              </a:schemeClr>
            </a:solidFill>
          </a:endParaRPr>
        </a:p>
        <a:p>
          <a:pPr marL="57150" lvl="1" indent="-57150" algn="ctr" defTabSz="444500">
            <a:lnSpc>
              <a:spcPct val="90000"/>
            </a:lnSpc>
            <a:spcBef>
              <a:spcPct val="0"/>
            </a:spcBef>
            <a:spcAft>
              <a:spcPct val="15000"/>
            </a:spcAft>
            <a:buChar char="••"/>
          </a:pPr>
          <a:r>
            <a:rPr lang="en-GB" sz="1000" kern="1200">
              <a:solidFill>
                <a:schemeClr val="bg2">
                  <a:lumMod val="10000"/>
                </a:schemeClr>
              </a:solidFill>
            </a:rPr>
            <a:t>Overfishing</a:t>
          </a:r>
          <a:endParaRPr lang="en-GB" sz="1000" b="1" u="sng" kern="1200">
            <a:solidFill>
              <a:schemeClr val="bg2">
                <a:lumMod val="10000"/>
              </a:schemeClr>
            </a:solidFill>
          </a:endParaRPr>
        </a:p>
        <a:p>
          <a:pPr marL="57150" lvl="1" indent="-57150" algn="ctr" defTabSz="444500">
            <a:lnSpc>
              <a:spcPct val="90000"/>
            </a:lnSpc>
            <a:spcBef>
              <a:spcPct val="0"/>
            </a:spcBef>
            <a:spcAft>
              <a:spcPct val="15000"/>
            </a:spcAft>
            <a:buChar char="••"/>
          </a:pPr>
          <a:r>
            <a:rPr lang="en-GB" sz="1000" kern="1200">
              <a:solidFill>
                <a:schemeClr val="bg2">
                  <a:lumMod val="10000"/>
                </a:schemeClr>
              </a:solidFill>
            </a:rPr>
            <a:t>Destruction of coral reefs and other coastal exosystems</a:t>
          </a:r>
          <a:endParaRPr lang="en-GB" sz="1000" b="1" u="sng" kern="1200">
            <a:solidFill>
              <a:schemeClr val="bg2">
                <a:lumMod val="10000"/>
              </a:schemeClr>
            </a:solidFill>
          </a:endParaRPr>
        </a:p>
        <a:p>
          <a:pPr marL="57150" lvl="1" indent="-57150" algn="ctr" defTabSz="444500">
            <a:lnSpc>
              <a:spcPct val="90000"/>
            </a:lnSpc>
            <a:spcBef>
              <a:spcPct val="0"/>
            </a:spcBef>
            <a:spcAft>
              <a:spcPct val="15000"/>
            </a:spcAft>
            <a:buChar char="••"/>
          </a:pPr>
          <a:r>
            <a:rPr lang="en-GB" sz="1000" kern="1200">
              <a:solidFill>
                <a:schemeClr val="bg2">
                  <a:lumMod val="10000"/>
                </a:schemeClr>
              </a:solidFill>
            </a:rPr>
            <a:t>Pollution</a:t>
          </a:r>
          <a:endParaRPr lang="en-GB" sz="1000" b="1" u="sng" kern="1200">
            <a:solidFill>
              <a:schemeClr val="bg2">
                <a:lumMod val="10000"/>
              </a:schemeClr>
            </a:solidFill>
          </a:endParaRPr>
        </a:p>
        <a:p>
          <a:pPr marL="57150" lvl="1" indent="-57150" algn="ctr" defTabSz="444500">
            <a:lnSpc>
              <a:spcPct val="90000"/>
            </a:lnSpc>
            <a:spcBef>
              <a:spcPct val="0"/>
            </a:spcBef>
            <a:spcAft>
              <a:spcPct val="15000"/>
            </a:spcAft>
            <a:buChar char="••"/>
          </a:pPr>
          <a:r>
            <a:rPr lang="en-GB" sz="1000" kern="1200">
              <a:solidFill>
                <a:schemeClr val="bg2">
                  <a:lumMod val="10000"/>
                </a:schemeClr>
              </a:solidFill>
            </a:rPr>
            <a:t>Climate change</a:t>
          </a:r>
          <a:endParaRPr lang="en-GB" sz="1000" b="1" u="sng" kern="1200">
            <a:solidFill>
              <a:schemeClr val="bg2">
                <a:lumMod val="10000"/>
              </a:schemeClr>
            </a:solidFill>
          </a:endParaRPr>
        </a:p>
        <a:p>
          <a:pPr marL="57150" lvl="1" indent="-57150" algn="ctr" defTabSz="444500">
            <a:lnSpc>
              <a:spcPct val="90000"/>
            </a:lnSpc>
            <a:spcBef>
              <a:spcPct val="0"/>
            </a:spcBef>
            <a:spcAft>
              <a:spcPct val="15000"/>
            </a:spcAft>
            <a:buChar char="••"/>
          </a:pPr>
          <a:r>
            <a:rPr lang="en-GB" sz="1000" kern="1200">
              <a:solidFill>
                <a:schemeClr val="bg2">
                  <a:lumMod val="10000"/>
                </a:schemeClr>
              </a:solidFill>
            </a:rPr>
            <a:t>Socio-economic (land tenure, usage rights)</a:t>
          </a:r>
          <a:endParaRPr lang="en-GB" sz="1000" b="1" u="sng" kern="1200">
            <a:solidFill>
              <a:schemeClr val="bg2">
                <a:lumMod val="10000"/>
              </a:schemeClr>
            </a:solidFill>
          </a:endParaRPr>
        </a:p>
      </dsp:txBody>
      <dsp:txXfrm>
        <a:off x="118067" y="212795"/>
        <a:ext cx="1078110" cy="2365234"/>
      </dsp:txXfrm>
    </dsp:sp>
    <dsp:sp modelId="{D5B084A4-DEF6-4D4E-8E39-F35489F847F3}">
      <dsp:nvSpPr>
        <dsp:cNvPr id="0" name=""/>
        <dsp:cNvSpPr/>
      </dsp:nvSpPr>
      <dsp:spPr>
        <a:xfrm>
          <a:off x="1402221" y="154472"/>
          <a:ext cx="1157255" cy="2481880"/>
        </a:xfrm>
        <a:prstGeom prst="roundRect">
          <a:avLst/>
        </a:prstGeom>
        <a:solidFill>
          <a:schemeClr val="accent1">
            <a:hueOff val="0"/>
            <a:satOff val="0"/>
            <a:lumOff val="0"/>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n-GB" sz="1000" b="1" u="sng" kern="1200">
              <a:solidFill>
                <a:schemeClr val="bg2">
                  <a:lumMod val="10000"/>
                </a:schemeClr>
              </a:solidFill>
            </a:rPr>
            <a:t>Inputs</a:t>
          </a:r>
        </a:p>
        <a:p>
          <a:pPr marL="57150" lvl="1" indent="-57150" algn="ctr" defTabSz="444500">
            <a:lnSpc>
              <a:spcPct val="90000"/>
            </a:lnSpc>
            <a:spcBef>
              <a:spcPct val="0"/>
            </a:spcBef>
            <a:spcAft>
              <a:spcPct val="15000"/>
            </a:spcAft>
            <a:buChar char="••"/>
          </a:pPr>
          <a:r>
            <a:rPr lang="en-GB" sz="1000" u="none" kern="1200">
              <a:solidFill>
                <a:schemeClr val="bg2">
                  <a:lumMod val="10000"/>
                </a:schemeClr>
              </a:solidFill>
            </a:rPr>
            <a:t>Direct finance to projects</a:t>
          </a:r>
          <a:endParaRPr lang="en-GB" sz="1000" b="1" u="sng" kern="1200">
            <a:solidFill>
              <a:schemeClr val="bg2">
                <a:lumMod val="10000"/>
              </a:schemeClr>
            </a:solidFill>
          </a:endParaRPr>
        </a:p>
        <a:p>
          <a:pPr marL="57150" lvl="1" indent="-57150" algn="ctr" defTabSz="444500">
            <a:lnSpc>
              <a:spcPct val="90000"/>
            </a:lnSpc>
            <a:spcBef>
              <a:spcPct val="0"/>
            </a:spcBef>
            <a:spcAft>
              <a:spcPct val="15000"/>
            </a:spcAft>
            <a:buChar char="••"/>
          </a:pPr>
          <a:r>
            <a:rPr lang="en-GB" sz="1000" u="none" kern="1200">
              <a:solidFill>
                <a:schemeClr val="bg2">
                  <a:lumMod val="10000"/>
                </a:schemeClr>
              </a:solidFill>
            </a:rPr>
            <a:t>Provision of technical assistance</a:t>
          </a:r>
          <a:endParaRPr lang="en-GB" sz="1000" b="1" u="sng" kern="1200">
            <a:solidFill>
              <a:schemeClr val="bg2">
                <a:lumMod val="10000"/>
              </a:schemeClr>
            </a:solidFill>
          </a:endParaRPr>
        </a:p>
        <a:p>
          <a:pPr marL="57150" lvl="1" indent="-57150" algn="ctr" defTabSz="444500">
            <a:lnSpc>
              <a:spcPct val="90000"/>
            </a:lnSpc>
            <a:spcBef>
              <a:spcPct val="0"/>
            </a:spcBef>
            <a:spcAft>
              <a:spcPct val="15000"/>
            </a:spcAft>
            <a:buChar char="••"/>
          </a:pPr>
          <a:r>
            <a:rPr lang="en-GB" sz="1000" u="none" kern="1200">
              <a:solidFill>
                <a:schemeClr val="bg2">
                  <a:lumMod val="10000"/>
                </a:schemeClr>
              </a:solidFill>
            </a:rPr>
            <a:t>Co-financing or private finance leveraged </a:t>
          </a:r>
          <a:endParaRPr lang="en-GB" sz="1000" b="1" u="sng" kern="1200">
            <a:solidFill>
              <a:schemeClr val="bg2">
                <a:lumMod val="10000"/>
              </a:schemeClr>
            </a:solidFill>
          </a:endParaRPr>
        </a:p>
      </dsp:txBody>
      <dsp:txXfrm>
        <a:off x="1458714" y="210965"/>
        <a:ext cx="1044269" cy="2368894"/>
      </dsp:txXfrm>
    </dsp:sp>
    <dsp:sp modelId="{026FE40A-15CD-4311-AA4F-27B26EA21BE0}">
      <dsp:nvSpPr>
        <dsp:cNvPr id="0" name=""/>
        <dsp:cNvSpPr/>
      </dsp:nvSpPr>
      <dsp:spPr>
        <a:xfrm>
          <a:off x="2707197" y="154472"/>
          <a:ext cx="1157255" cy="2481880"/>
        </a:xfrm>
        <a:prstGeom prst="roundRect">
          <a:avLst/>
        </a:prstGeom>
        <a:solidFill>
          <a:schemeClr val="accent1">
            <a:hueOff val="0"/>
            <a:satOff val="0"/>
            <a:lumOff val="0"/>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n-GB" sz="1000" b="1" u="sng" kern="1200">
              <a:solidFill>
                <a:schemeClr val="bg2">
                  <a:lumMod val="10000"/>
                </a:schemeClr>
              </a:solidFill>
            </a:rPr>
            <a:t>Activities</a:t>
          </a:r>
          <a:endParaRPr lang="en-GB" sz="1000" u="none" kern="1200"/>
        </a:p>
        <a:p>
          <a:pPr marL="57150" lvl="1" indent="-57150" algn="ctr" defTabSz="444500">
            <a:lnSpc>
              <a:spcPct val="90000"/>
            </a:lnSpc>
            <a:spcBef>
              <a:spcPct val="0"/>
            </a:spcBef>
            <a:spcAft>
              <a:spcPct val="15000"/>
            </a:spcAft>
            <a:buChar char="••"/>
          </a:pPr>
          <a:r>
            <a:rPr lang="en-GB" sz="1000" u="none" kern="1200">
              <a:solidFill>
                <a:schemeClr val="bg2">
                  <a:lumMod val="10000"/>
                </a:schemeClr>
              </a:solidFill>
            </a:rPr>
            <a:t>Education</a:t>
          </a:r>
        </a:p>
        <a:p>
          <a:pPr marL="57150" lvl="1" indent="-57150" algn="ctr" defTabSz="444500">
            <a:lnSpc>
              <a:spcPct val="90000"/>
            </a:lnSpc>
            <a:spcBef>
              <a:spcPct val="0"/>
            </a:spcBef>
            <a:spcAft>
              <a:spcPct val="15000"/>
            </a:spcAft>
            <a:buChar char="••"/>
          </a:pPr>
          <a:r>
            <a:rPr lang="en-GB" sz="1000" u="none" kern="1200">
              <a:solidFill>
                <a:schemeClr val="bg2">
                  <a:lumMod val="10000"/>
                </a:schemeClr>
              </a:solidFill>
            </a:rPr>
            <a:t>Restoration</a:t>
          </a:r>
        </a:p>
        <a:p>
          <a:pPr marL="57150" lvl="1" indent="-57150" algn="ctr" defTabSz="444500">
            <a:lnSpc>
              <a:spcPct val="90000"/>
            </a:lnSpc>
            <a:spcBef>
              <a:spcPct val="0"/>
            </a:spcBef>
            <a:spcAft>
              <a:spcPct val="15000"/>
            </a:spcAft>
            <a:buChar char="••"/>
          </a:pPr>
          <a:r>
            <a:rPr lang="en-GB" sz="1000" u="none" kern="1200">
              <a:solidFill>
                <a:schemeClr val="bg2">
                  <a:lumMod val="10000"/>
                </a:schemeClr>
              </a:solidFill>
            </a:rPr>
            <a:t>Land tenure and resource governance</a:t>
          </a:r>
        </a:p>
        <a:p>
          <a:pPr marL="57150" lvl="1" indent="-57150" algn="ctr" defTabSz="444500">
            <a:lnSpc>
              <a:spcPct val="90000"/>
            </a:lnSpc>
            <a:spcBef>
              <a:spcPct val="0"/>
            </a:spcBef>
            <a:spcAft>
              <a:spcPct val="15000"/>
            </a:spcAft>
            <a:buChar char="••"/>
          </a:pPr>
          <a:r>
            <a:rPr lang="en-GB" sz="1000" u="none" kern="1200">
              <a:solidFill>
                <a:schemeClr val="bg2">
                  <a:lumMod val="10000"/>
                </a:schemeClr>
              </a:solidFill>
            </a:rPr>
            <a:t>Alternative livelihoods</a:t>
          </a:r>
        </a:p>
      </dsp:txBody>
      <dsp:txXfrm>
        <a:off x="2763690" y="210965"/>
        <a:ext cx="1044269" cy="2368894"/>
      </dsp:txXfrm>
    </dsp:sp>
    <dsp:sp modelId="{23B6035B-732D-4CF7-AE08-A745B355EEFE}">
      <dsp:nvSpPr>
        <dsp:cNvPr id="0" name=""/>
        <dsp:cNvSpPr/>
      </dsp:nvSpPr>
      <dsp:spPr>
        <a:xfrm>
          <a:off x="4012173" y="154472"/>
          <a:ext cx="1157255" cy="2481880"/>
        </a:xfrm>
        <a:prstGeom prst="roundRect">
          <a:avLst/>
        </a:prstGeom>
        <a:solidFill>
          <a:schemeClr val="accent1">
            <a:hueOff val="0"/>
            <a:satOff val="0"/>
            <a:lumOff val="0"/>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n-GB" sz="1000" b="1" u="sng" kern="1200">
              <a:solidFill>
                <a:schemeClr val="bg2">
                  <a:lumMod val="10000"/>
                </a:schemeClr>
              </a:solidFill>
            </a:rPr>
            <a:t>Outcomes</a:t>
          </a:r>
          <a:endParaRPr lang="en-GB" sz="1000" u="none" kern="1200"/>
        </a:p>
        <a:p>
          <a:pPr marL="57150" lvl="1" indent="-57150" algn="ctr" defTabSz="444500">
            <a:lnSpc>
              <a:spcPct val="90000"/>
            </a:lnSpc>
            <a:spcBef>
              <a:spcPct val="0"/>
            </a:spcBef>
            <a:spcAft>
              <a:spcPct val="15000"/>
            </a:spcAft>
            <a:buChar char="••"/>
          </a:pPr>
          <a:r>
            <a:rPr lang="en-GB" sz="1000" u="none" kern="1200">
              <a:solidFill>
                <a:schemeClr val="bg2">
                  <a:lumMod val="10000"/>
                </a:schemeClr>
              </a:solidFill>
            </a:rPr>
            <a:t>Sustainable use of natural resources </a:t>
          </a:r>
        </a:p>
        <a:p>
          <a:pPr marL="57150" lvl="1" indent="-57150" algn="ctr" defTabSz="444500">
            <a:lnSpc>
              <a:spcPct val="90000"/>
            </a:lnSpc>
            <a:spcBef>
              <a:spcPct val="0"/>
            </a:spcBef>
            <a:spcAft>
              <a:spcPct val="15000"/>
            </a:spcAft>
            <a:buChar char="••"/>
          </a:pPr>
          <a:r>
            <a:rPr lang="en-GB" sz="1000" u="none" kern="1200">
              <a:solidFill>
                <a:schemeClr val="bg2">
                  <a:lumMod val="10000"/>
                </a:schemeClr>
              </a:solidFill>
            </a:rPr>
            <a:t>Protection of mangrove habitat</a:t>
          </a:r>
        </a:p>
        <a:p>
          <a:pPr marL="57150" lvl="1" indent="-57150" algn="ctr" defTabSz="444500">
            <a:lnSpc>
              <a:spcPct val="90000"/>
            </a:lnSpc>
            <a:spcBef>
              <a:spcPct val="0"/>
            </a:spcBef>
            <a:spcAft>
              <a:spcPct val="15000"/>
            </a:spcAft>
            <a:buChar char="••"/>
          </a:pPr>
          <a:r>
            <a:rPr lang="en-GB" sz="1000" u="none" kern="1200">
              <a:solidFill>
                <a:schemeClr val="bg2">
                  <a:lumMod val="10000"/>
                </a:schemeClr>
              </a:solidFill>
            </a:rPr>
            <a:t>GHG emissions avoided</a:t>
          </a:r>
        </a:p>
        <a:p>
          <a:pPr marL="57150" lvl="1" indent="-57150" algn="ctr" defTabSz="444500">
            <a:lnSpc>
              <a:spcPct val="90000"/>
            </a:lnSpc>
            <a:spcBef>
              <a:spcPct val="0"/>
            </a:spcBef>
            <a:spcAft>
              <a:spcPct val="15000"/>
            </a:spcAft>
            <a:buChar char="••"/>
          </a:pPr>
          <a:r>
            <a:rPr lang="en-GB" sz="1000" u="none" kern="1200">
              <a:solidFill>
                <a:schemeClr val="bg2">
                  <a:lumMod val="10000"/>
                </a:schemeClr>
              </a:solidFill>
            </a:rPr>
            <a:t>Self sustaining sustainable livelihoods,</a:t>
          </a:r>
        </a:p>
        <a:p>
          <a:pPr marL="57150" lvl="1" indent="-57150" algn="ctr" defTabSz="444500">
            <a:lnSpc>
              <a:spcPct val="90000"/>
            </a:lnSpc>
            <a:spcBef>
              <a:spcPct val="0"/>
            </a:spcBef>
            <a:spcAft>
              <a:spcPct val="15000"/>
            </a:spcAft>
            <a:buChar char="••"/>
          </a:pPr>
          <a:r>
            <a:rPr lang="en-GB" sz="1000" u="none" kern="1200">
              <a:solidFill>
                <a:schemeClr val="bg2">
                  <a:lumMod val="10000"/>
                </a:schemeClr>
              </a:solidFill>
            </a:rPr>
            <a:t>Evidence of success and potential to scale/replicate</a:t>
          </a:r>
        </a:p>
      </dsp:txBody>
      <dsp:txXfrm>
        <a:off x="4068666" y="210965"/>
        <a:ext cx="1044269" cy="2368894"/>
      </dsp:txXfrm>
    </dsp:sp>
    <dsp:sp modelId="{95D32D40-0D1F-41F3-88CD-0678B972DB4C}">
      <dsp:nvSpPr>
        <dsp:cNvPr id="0" name=""/>
        <dsp:cNvSpPr/>
      </dsp:nvSpPr>
      <dsp:spPr>
        <a:xfrm>
          <a:off x="5317149" y="154472"/>
          <a:ext cx="1157255" cy="2481880"/>
        </a:xfrm>
        <a:prstGeom prst="roundRect">
          <a:avLst/>
        </a:prstGeom>
        <a:solidFill>
          <a:schemeClr val="accent1">
            <a:hueOff val="0"/>
            <a:satOff val="0"/>
            <a:lumOff val="0"/>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ctr" defTabSz="444500">
            <a:lnSpc>
              <a:spcPct val="90000"/>
            </a:lnSpc>
            <a:spcBef>
              <a:spcPct val="0"/>
            </a:spcBef>
            <a:spcAft>
              <a:spcPct val="35000"/>
            </a:spcAft>
          </a:pPr>
          <a:r>
            <a:rPr lang="en-GB" sz="1000" b="1" u="sng" kern="1200">
              <a:solidFill>
                <a:schemeClr val="bg2">
                  <a:lumMod val="10000"/>
                </a:schemeClr>
              </a:solidFill>
            </a:rPr>
            <a:t>Impacts</a:t>
          </a:r>
        </a:p>
        <a:p>
          <a:pPr marL="57150" lvl="1" indent="-57150" algn="ctr" defTabSz="444500">
            <a:lnSpc>
              <a:spcPct val="90000"/>
            </a:lnSpc>
            <a:spcBef>
              <a:spcPct val="0"/>
            </a:spcBef>
            <a:spcAft>
              <a:spcPct val="15000"/>
            </a:spcAft>
            <a:buChar char="••"/>
          </a:pPr>
          <a:r>
            <a:rPr lang="en-GB" sz="1000" u="none" kern="1200">
              <a:solidFill>
                <a:schemeClr val="bg2">
                  <a:lumMod val="10000"/>
                </a:schemeClr>
              </a:solidFill>
            </a:rPr>
            <a:t>Sustainable, transformational change in targetted mangrove habitat and beyond</a:t>
          </a:r>
          <a:endParaRPr lang="en-GB" sz="1000" b="1" u="sng" kern="1200">
            <a:solidFill>
              <a:schemeClr val="bg2">
                <a:lumMod val="10000"/>
              </a:schemeClr>
            </a:solidFill>
          </a:endParaRPr>
        </a:p>
      </dsp:txBody>
      <dsp:txXfrm>
        <a:off x="5373642" y="210965"/>
        <a:ext cx="1044269" cy="236889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1C58126FD940288A0E796BCDA5594D"/>
        <w:category>
          <w:name w:val="General"/>
          <w:gallery w:val="placeholder"/>
        </w:category>
        <w:types>
          <w:type w:val="bbPlcHdr"/>
        </w:types>
        <w:behaviors>
          <w:behavior w:val="content"/>
        </w:behaviors>
        <w:guid w:val="{3EE0E8C2-C89D-44EE-A891-3CBFF470B76E}"/>
      </w:docPartPr>
      <w:docPartBody>
        <w:p w:rsidR="001C6259" w:rsidRDefault="00FD1922" w:rsidP="00FD1922">
          <w:pPr>
            <w:pStyle w:val="B21C58126FD940288A0E796BCDA5594D"/>
          </w:pPr>
          <w:r>
            <w:rPr>
              <w:color w:val="2E74B5" w:themeColor="accent1" w:themeShade="BF"/>
              <w:sz w:val="24"/>
              <w:szCs w:val="24"/>
            </w:rPr>
            <w:t>[Company name]</w:t>
          </w:r>
        </w:p>
      </w:docPartBody>
    </w:docPart>
    <w:docPart>
      <w:docPartPr>
        <w:name w:val="2A035ABDBBC34D93804F57957154BEED"/>
        <w:category>
          <w:name w:val="General"/>
          <w:gallery w:val="placeholder"/>
        </w:category>
        <w:types>
          <w:type w:val="bbPlcHdr"/>
        </w:types>
        <w:behaviors>
          <w:behavior w:val="content"/>
        </w:behaviors>
        <w:guid w:val="{8DF3622E-AAF7-4981-9452-761D43530EA9}"/>
      </w:docPartPr>
      <w:docPartBody>
        <w:p w:rsidR="001C6259" w:rsidRDefault="00FD1922" w:rsidP="00FD1922">
          <w:pPr>
            <w:pStyle w:val="2A035ABDBBC34D93804F57957154BEED"/>
          </w:pPr>
          <w:r>
            <w:rPr>
              <w:rFonts w:asciiTheme="majorHAnsi" w:eastAsiaTheme="majorEastAsia" w:hAnsiTheme="majorHAnsi" w:cstheme="majorBidi"/>
              <w:color w:val="5B9BD5" w:themeColor="accent1"/>
              <w:sz w:val="88"/>
              <w:szCs w:val="88"/>
            </w:rPr>
            <w:t>[Document title]</w:t>
          </w:r>
        </w:p>
      </w:docPartBody>
    </w:docPart>
    <w:docPart>
      <w:docPartPr>
        <w:name w:val="2A586FC91100499D915497D828000F8A"/>
        <w:category>
          <w:name w:val="General"/>
          <w:gallery w:val="placeholder"/>
        </w:category>
        <w:types>
          <w:type w:val="bbPlcHdr"/>
        </w:types>
        <w:behaviors>
          <w:behavior w:val="content"/>
        </w:behaviors>
        <w:guid w:val="{C6A67ACC-EC3F-4FC4-91D4-84CB7D33184D}"/>
      </w:docPartPr>
      <w:docPartBody>
        <w:p w:rsidR="001C6259" w:rsidRDefault="00FD1922" w:rsidP="00FD1922">
          <w:pPr>
            <w:pStyle w:val="2A586FC91100499D915497D828000F8A"/>
          </w:pPr>
          <w:r>
            <w:rPr>
              <w:color w:val="2E74B5"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922"/>
    <w:rsid w:val="000921D5"/>
    <w:rsid w:val="0009402B"/>
    <w:rsid w:val="000D1C05"/>
    <w:rsid w:val="000D3FF3"/>
    <w:rsid w:val="000F5C7C"/>
    <w:rsid w:val="001630CF"/>
    <w:rsid w:val="00193EBC"/>
    <w:rsid w:val="001C6259"/>
    <w:rsid w:val="0021062A"/>
    <w:rsid w:val="0029471C"/>
    <w:rsid w:val="00295B95"/>
    <w:rsid w:val="00321C7A"/>
    <w:rsid w:val="003412B5"/>
    <w:rsid w:val="00422BB8"/>
    <w:rsid w:val="004C7175"/>
    <w:rsid w:val="004D0293"/>
    <w:rsid w:val="00535EFD"/>
    <w:rsid w:val="00540684"/>
    <w:rsid w:val="00563AF6"/>
    <w:rsid w:val="005F0C46"/>
    <w:rsid w:val="00830AFA"/>
    <w:rsid w:val="008C1074"/>
    <w:rsid w:val="008C28DA"/>
    <w:rsid w:val="009477A9"/>
    <w:rsid w:val="00A1423C"/>
    <w:rsid w:val="00A76950"/>
    <w:rsid w:val="00D11CF7"/>
    <w:rsid w:val="00DE3BC4"/>
    <w:rsid w:val="00E04E1B"/>
    <w:rsid w:val="00E51321"/>
    <w:rsid w:val="00E71B3D"/>
    <w:rsid w:val="00E817EB"/>
    <w:rsid w:val="00F93049"/>
    <w:rsid w:val="00FD19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07E484560942B4B51F2F813A3D79CC">
    <w:name w:val="1307E484560942B4B51F2F813A3D79CC"/>
    <w:rsid w:val="00FD1922"/>
  </w:style>
  <w:style w:type="paragraph" w:customStyle="1" w:styleId="CC3958A150B547049C9E071A8AC6160B">
    <w:name w:val="CC3958A150B547049C9E071A8AC6160B"/>
    <w:rsid w:val="00FD1922"/>
  </w:style>
  <w:style w:type="paragraph" w:customStyle="1" w:styleId="87CA368BF568447EA4E87C649FCDCA00">
    <w:name w:val="87CA368BF568447EA4E87C649FCDCA00"/>
    <w:rsid w:val="00FD1922"/>
  </w:style>
  <w:style w:type="paragraph" w:customStyle="1" w:styleId="600478E5CA20443CB6B9F06241FE558F">
    <w:name w:val="600478E5CA20443CB6B9F06241FE558F"/>
    <w:rsid w:val="00FD1922"/>
  </w:style>
  <w:style w:type="paragraph" w:customStyle="1" w:styleId="8511034D20864FA5BCF2F264A07D9217">
    <w:name w:val="8511034D20864FA5BCF2F264A07D9217"/>
    <w:rsid w:val="00FD1922"/>
  </w:style>
  <w:style w:type="paragraph" w:customStyle="1" w:styleId="AF3B0EA013404857BFEAABE4438F2444">
    <w:name w:val="AF3B0EA013404857BFEAABE4438F2444"/>
    <w:rsid w:val="00FD1922"/>
  </w:style>
  <w:style w:type="paragraph" w:customStyle="1" w:styleId="6DE5895A531C41B48FF59CA88B0409E0">
    <w:name w:val="6DE5895A531C41B48FF59CA88B0409E0"/>
    <w:rsid w:val="00FD1922"/>
  </w:style>
  <w:style w:type="paragraph" w:customStyle="1" w:styleId="9A04E35A8BFF4D49A3ACBB3DD3CFD2E4">
    <w:name w:val="9A04E35A8BFF4D49A3ACBB3DD3CFD2E4"/>
    <w:rsid w:val="00FD1922"/>
  </w:style>
  <w:style w:type="paragraph" w:customStyle="1" w:styleId="C0A31C5B14864AC89FB1FA2DB60340BA">
    <w:name w:val="C0A31C5B14864AC89FB1FA2DB60340BA"/>
    <w:rsid w:val="00FD1922"/>
  </w:style>
  <w:style w:type="paragraph" w:customStyle="1" w:styleId="B665968C39DC4D58BA0319CF9DCDBB2B">
    <w:name w:val="B665968C39DC4D58BA0319CF9DCDBB2B"/>
    <w:rsid w:val="00FD1922"/>
  </w:style>
  <w:style w:type="paragraph" w:customStyle="1" w:styleId="9849A37C75134A389EEADB707D782A8E">
    <w:name w:val="9849A37C75134A389EEADB707D782A8E"/>
    <w:rsid w:val="00FD1922"/>
  </w:style>
  <w:style w:type="paragraph" w:customStyle="1" w:styleId="0FED7B7CE2C34DE3A883BACEADD210A1">
    <w:name w:val="0FED7B7CE2C34DE3A883BACEADD210A1"/>
    <w:rsid w:val="00FD1922"/>
  </w:style>
  <w:style w:type="paragraph" w:customStyle="1" w:styleId="4AECECD306FB447286CE9B9619FDA573">
    <w:name w:val="4AECECD306FB447286CE9B9619FDA573"/>
    <w:rsid w:val="00FD1922"/>
  </w:style>
  <w:style w:type="paragraph" w:customStyle="1" w:styleId="B21C58126FD940288A0E796BCDA5594D">
    <w:name w:val="B21C58126FD940288A0E796BCDA5594D"/>
    <w:rsid w:val="00FD1922"/>
  </w:style>
  <w:style w:type="paragraph" w:customStyle="1" w:styleId="2A035ABDBBC34D93804F57957154BEED">
    <w:name w:val="2A035ABDBBC34D93804F57957154BEED"/>
    <w:rsid w:val="00FD1922"/>
  </w:style>
  <w:style w:type="paragraph" w:customStyle="1" w:styleId="2A586FC91100499D915497D828000F8A">
    <w:name w:val="2A586FC91100499D915497D828000F8A"/>
    <w:rsid w:val="00FD1922"/>
  </w:style>
  <w:style w:type="paragraph" w:customStyle="1" w:styleId="5C93D4BEC82D4574A0965C3B4317A5DB">
    <w:name w:val="5C93D4BEC82D4574A0965C3B4317A5DB"/>
    <w:rsid w:val="00FD1922"/>
  </w:style>
  <w:style w:type="paragraph" w:customStyle="1" w:styleId="B38171A89C344BAEACD646A90E019C63">
    <w:name w:val="B38171A89C344BAEACD646A90E019C63"/>
    <w:rsid w:val="00FD1922"/>
  </w:style>
  <w:style w:type="paragraph" w:customStyle="1" w:styleId="2B40CC520B854D2680FABC68491BE303">
    <w:name w:val="2B40CC520B854D2680FABC68491BE303"/>
    <w:rsid w:val="00FD1922"/>
  </w:style>
  <w:style w:type="paragraph" w:customStyle="1" w:styleId="CA56F24B0A234A01A6A33BAEDAFF8282">
    <w:name w:val="CA56F24B0A234A01A6A33BAEDAFF8282"/>
    <w:rsid w:val="00540684"/>
  </w:style>
  <w:style w:type="paragraph" w:customStyle="1" w:styleId="6A87836064C74EF1A712F4D34FFF4825">
    <w:name w:val="6A87836064C74EF1A712F4D34FFF4825"/>
    <w:rsid w:val="005406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2018-08-31T00:00:00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eb8f3fab875401ca34a9f28cac46400 xmlns="41b3ec6c-eebd-4435-b1cb-6f93f025f7d1">
      <Terms xmlns="http://schemas.microsoft.com/office/infopath/2007/PartnerControls">
        <TermInfo xmlns="http://schemas.microsoft.com/office/infopath/2007/PartnerControls">
          <TermName xmlns="http://schemas.microsoft.com/office/infopath/2007/PartnerControls">Official-Sensitive</TermName>
          <TermId xmlns="http://schemas.microsoft.com/office/infopath/2007/PartnerControls">a5ccd732-9db7-4222-9787-744864bd602b</TermId>
        </TermInfo>
      </Terms>
    </peb8f3fab875401ca34a9f28cac46400>
    <dlc_EmailFrom xmlns="41b3ec6c-eebd-4435-b1cb-6f93f025f7d1" xsi:nil="true"/>
    <bcb1675984d34ae3a1ed6b6e433c98de xmlns="41b3ec6c-eebd-4435-b1cb-6f93f025f7d1">
      <Terms xmlns="http://schemas.microsoft.com/office/infopath/2007/PartnerControls"/>
    </bcb1675984d34ae3a1ed6b6e433c98de>
    <dlc_EmailReceivedUTC xmlns="41b3ec6c-eebd-4435-b1cb-6f93f025f7d1" xsi:nil="true"/>
    <dlc_EmailCC xmlns="41b3ec6c-eebd-4435-b1cb-6f93f025f7d1" xsi:nil="true"/>
    <dlc_EmailSubject xmlns="41b3ec6c-eebd-4435-b1cb-6f93f025f7d1" xsi:nil="true"/>
    <TaxCatchAll xmlns="41b3ec6c-eebd-4435-b1cb-6f93f025f7d1">
      <Value>2</Value>
    </TaxCatchAll>
    <dlc_EmailTo xmlns="41b3ec6c-eebd-4435-b1cb-6f93f025f7d1" xsi:nil="true"/>
    <dlc_EmailSentUTC xmlns="41b3ec6c-eebd-4435-b1cb-6f93f025f7d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efra Document" ma:contentTypeID="0x010100672A3FCA98991645BE083C320B7539B7020400A1045E46739CF446BF8D4ADC592AC81A" ma:contentTypeVersion="24" ma:contentTypeDescription="new Document or upload" ma:contentTypeScope="" ma:versionID="5f29c4bce427c10e22625ba4d7c4f479">
  <xsd:schema xmlns:xsd="http://www.w3.org/2001/XMLSchema" xmlns:xs="http://www.w3.org/2001/XMLSchema" xmlns:p="http://schemas.microsoft.com/office/2006/metadata/properties" xmlns:ns2="41b3ec6c-eebd-4435-b1cb-6f93f025f7d1" targetNamespace="http://schemas.microsoft.com/office/2006/metadata/properties" ma:root="true" ma:fieldsID="f2d29c6173b079e5d3672cdc8aa7eaff" ns2:_="">
    <xsd:import namespace="41b3ec6c-eebd-4435-b1cb-6f93f025f7d1"/>
    <xsd:element name="properties">
      <xsd:complexType>
        <xsd:sequence>
          <xsd:element name="documentManagement">
            <xsd:complexType>
              <xsd:all>
                <xsd:element ref="ns2:dlc_EmailSubject" minOccurs="0"/>
                <xsd:element ref="ns2:dlc_EmailTo" minOccurs="0"/>
                <xsd:element ref="ns2:dlc_EmailFrom" minOccurs="0"/>
                <xsd:element ref="ns2:dlc_EmailCC" minOccurs="0"/>
                <xsd:element ref="ns2:dlc_EmailSentUTC" minOccurs="0"/>
                <xsd:element ref="ns2:dlc_EmailReceivedUTC" minOccurs="0"/>
                <xsd:element ref="ns2:bcb1675984d34ae3a1ed6b6e433c98de" minOccurs="0"/>
                <xsd:element ref="ns2:TaxCatchAll" minOccurs="0"/>
                <xsd:element ref="ns2:TaxCatchAllLabel" minOccurs="0"/>
                <xsd:element ref="ns2:peb8f3fab875401ca34a9f28cac4640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3ec6c-eebd-4435-b1cb-6f93f025f7d1" elementFormDefault="qualified">
    <xsd:import namespace="http://schemas.microsoft.com/office/2006/documentManagement/types"/>
    <xsd:import namespace="http://schemas.microsoft.com/office/infopath/2007/PartnerControls"/>
    <xsd:element name="dlc_EmailSubject" ma:index="8" nillable="true" ma:displayName="Subject" ma:description="" ma:internalName="dlc_EmailSubject" ma:readOnly="false">
      <xsd:simpleType>
        <xsd:restriction base="dms:Note"/>
      </xsd:simpleType>
    </xsd:element>
    <xsd:element name="dlc_EmailTo" ma:index="9" nillable="true" ma:displayName="To" ma:description="" ma:internalName="dlc_EmailTo" ma:readOnly="false">
      <xsd:simpleType>
        <xsd:restriction base="dms:Note"/>
      </xsd:simpleType>
    </xsd:element>
    <xsd:element name="dlc_EmailFrom" ma:index="10" nillable="true" ma:displayName="From" ma:description="" ma:internalName="dlc_EmailFrom" ma:readOnly="false">
      <xsd:simpleType>
        <xsd:restriction base="dms:Text">
          <xsd:maxLength value="255"/>
        </xsd:restriction>
      </xsd:simpleType>
    </xsd:element>
    <xsd:element name="dlc_EmailCC" ma:index="11" nillable="true" ma:displayName="CC" ma:description="" ma:internalName="dlc_EmailCC" ma:readOnly="false">
      <xsd:simpleType>
        <xsd:restriction base="dms:Note">
          <xsd:maxLength value="1024"/>
        </xsd:restriction>
      </xsd:simpleType>
    </xsd:element>
    <xsd:element name="dlc_EmailSentUTC" ma:index="12" nillable="true" ma:displayName="Date Sent" ma:description="" ma:internalName="dlc_EmailSentUTC" ma:readOnly="false">
      <xsd:simpleType>
        <xsd:restriction base="dms:DateTime"/>
      </xsd:simpleType>
    </xsd:element>
    <xsd:element name="dlc_EmailReceivedUTC" ma:index="13" nillable="true" ma:displayName="Date Received" ma:description="" ma:internalName="dlc_EmailReceivedUTC" ma:readOnly="false">
      <xsd:simpleType>
        <xsd:restriction base="dms:DateTime"/>
      </xsd:simpleType>
    </xsd:element>
    <xsd:element name="bcb1675984d34ae3a1ed6b6e433c98de" ma:index="14" nillable="true" ma:taxonomy="true" ma:internalName="bcb1675984d34ae3a1ed6b6e433c98de" ma:taxonomyFieldName="Directorate" ma:displayName="Directorate" ma:default="" ma:fieldId="{bcb16759-84d3-4ae3-a1ed-6b6e433c98de}" ma:sspId="fbabd5ee-c98c-4a9b-aa64-c82fd249b873" ma:termSetId="a3042207-bc74-4e42-93b3-dbb4e6115b83" ma:anchorId="00000000-0000-0000-0000-000000000000" ma:open="false" ma:isKeyword="false">
      <xsd:complexType>
        <xsd:sequence>
          <xsd:element ref="pc:Terms" minOccurs="0" maxOccurs="1"/>
        </xsd:sequence>
      </xsd:complexType>
    </xsd:element>
    <xsd:element name="TaxCatchAll" ma:index="15" nillable="true" ma:displayName="Taxonomy Catch All Column" ma:description="" ma:hidden="true" ma:list="{c353510c-bc4f-4e13-8caa-59587b0e3b1c}" ma:internalName="TaxCatchAll" ma:showField="CatchAllData" ma:web="227ca9a2-5ec4-4e89-b110-22fa2eca5a8b">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hidden="true" ma:list="{c353510c-bc4f-4e13-8caa-59587b0e3b1c}" ma:internalName="TaxCatchAllLabel" ma:readOnly="true" ma:showField="CatchAllDataLabel" ma:web="227ca9a2-5ec4-4e89-b110-22fa2eca5a8b">
      <xsd:complexType>
        <xsd:complexContent>
          <xsd:extension base="dms:MultiChoiceLookup">
            <xsd:sequence>
              <xsd:element name="Value" type="dms:Lookup" maxOccurs="unbounded" minOccurs="0" nillable="true"/>
            </xsd:sequence>
          </xsd:extension>
        </xsd:complexContent>
      </xsd:complexType>
    </xsd:element>
    <xsd:element name="peb8f3fab875401ca34a9f28cac46400" ma:index="18" nillable="true" ma:taxonomy="true" ma:internalName="peb8f3fab875401ca34a9f28cac46400" ma:taxonomyFieldName="SecurityClassification" ma:displayName="SecurityClassification" ma:default="" ma:fieldId="{9eb8f3fa-b875-401c-a34a-9f28cac46400}" ma:sspId="fbabd5ee-c98c-4a9b-aa64-c82fd249b873" ma:termSetId="cb8bbbf2-2a11-43af-a18e-40ed7c8e4b1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fbabd5ee-c98c-4a9b-aa64-c82fd249b873" ContentTypeId="0x010100672A3FCA98991645BE083C320B7539B7020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D9A789-A101-46A7-A46F-09C802F4ADF9}">
  <ds:schemaRefs>
    <ds:schemaRef ds:uri="http://schemas.microsoft.com/sharepoint/v3/contenttype/forms"/>
  </ds:schemaRefs>
</ds:datastoreItem>
</file>

<file path=customXml/itemProps3.xml><?xml version="1.0" encoding="utf-8"?>
<ds:datastoreItem xmlns:ds="http://schemas.openxmlformats.org/officeDocument/2006/customXml" ds:itemID="{6E50B087-40E6-4DC1-A50D-C76B39CFA20A}">
  <ds:schemaRefs>
    <ds:schemaRef ds:uri="http://schemas.openxmlformats.org/package/2006/metadata/core-properties"/>
    <ds:schemaRef ds:uri="http://purl.org/dc/dcmitype/"/>
    <ds:schemaRef ds:uri="41b3ec6c-eebd-4435-b1cb-6f93f025f7d1"/>
    <ds:schemaRef ds:uri="http://www.w3.org/XML/1998/namespace"/>
    <ds:schemaRef ds:uri="http://schemas.microsoft.com/office/2006/documentManagement/types"/>
    <ds:schemaRef ds:uri="http://purl.org/dc/elements/1.1/"/>
    <ds:schemaRef ds:uri="http://purl.org/dc/terms/"/>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5E8D9B37-6384-4415-811E-E35ED2021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3ec6c-eebd-4435-b1cb-6f93f025f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66E49C0-6D82-41D3-A2B0-5F07DC688539}">
  <ds:schemaRefs>
    <ds:schemaRef ds:uri="Microsoft.SharePoint.Taxonomy.ContentTypeSync"/>
  </ds:schemaRefs>
</ds:datastoreItem>
</file>

<file path=customXml/itemProps6.xml><?xml version="1.0" encoding="utf-8"?>
<ds:datastoreItem xmlns:ds="http://schemas.openxmlformats.org/officeDocument/2006/customXml" ds:itemID="{503872AE-7EC6-4BEC-A3EA-CABF98C53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70</Pages>
  <Words>25028</Words>
  <Characters>142666</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GB-GOV-7-ICF-0008-UKBLUECARBONFUND</vt:lpstr>
    </vt:vector>
  </TitlesOfParts>
  <Company>Defra International Climate Finance (ICF)</Company>
  <LinksUpToDate>false</LinksUpToDate>
  <CharactersWithSpaces>167360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GB-GOV-7-ICF-0008-UKBLUECARBONFUND</dc:title>
  <dc:subject>A 2018 ICF Business Case</dc:subject>
  <dc:creator>Banton, Graham</dc:creator>
  <cp:keywords/>
  <dc:description/>
  <cp:lastModifiedBy>Henderson, Antony</cp:lastModifiedBy>
  <cp:revision>6</cp:revision>
  <cp:lastPrinted>2019-09-27T13:13:00Z</cp:lastPrinted>
  <dcterms:created xsi:type="dcterms:W3CDTF">2019-09-24T15:14:00Z</dcterms:created>
  <dcterms:modified xsi:type="dcterms:W3CDTF">2019-09-27T13:58:00Z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0x010100672A3FCA98991645BE083C320B7539B7020400A1045E46739CF446BF8D4ADC592AC81A</vt:lpwstr>
  </property>
  <property fmtid="{D5CDD505-2E9C-101B-9397-08002B2CF9AE}" pid="3" name="Directorate">
    <vt:lpwstr/>
  </property>
  <property fmtid="{D5CDD505-2E9C-101B-9397-08002B2CF9AE}" pid="4" name="SecurityClassification">
    <vt:lpwstr>2;#Official-Sensitive|a5ccd732-9db7-4222-9787-744864bd602b</vt:lpwstr>
  </property>
</Properties>
</file>